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E9D9D" w14:textId="0DE06738" w:rsidR="003935EB" w:rsidRPr="00944DAA" w:rsidRDefault="007D58E6" w:rsidP="003935EB">
      <w:pPr>
        <w:pStyle w:val="Heading1"/>
        <w:spacing w:before="0"/>
        <w:ind w:right="-142"/>
        <w:rPr>
          <w:rFonts w:ascii="Arial" w:hAnsi="Arial" w:cs="Arial"/>
          <w:color w:val="595959" w:themeColor="text1" w:themeTint="A6"/>
          <w:sz w:val="24"/>
        </w:rPr>
      </w:pPr>
      <w:r w:rsidRPr="00944DAA">
        <w:rPr>
          <w:rFonts w:ascii="Arial" w:hAnsi="Arial" w:cs="Arial"/>
          <w:color w:val="595959" w:themeColor="text1" w:themeTint="A6"/>
          <w:sz w:val="24"/>
        </w:rPr>
        <w:t xml:space="preserve">Year-on-Year Vegetable Sales Growth </w:t>
      </w:r>
      <w:r w:rsidR="00944DAA" w:rsidRPr="00944DAA">
        <w:rPr>
          <w:rFonts w:ascii="Arial" w:hAnsi="Arial" w:cs="Arial"/>
          <w:color w:val="595959" w:themeColor="text1" w:themeTint="A6"/>
          <w:sz w:val="24"/>
        </w:rPr>
        <w:t>Returned to</w:t>
      </w:r>
      <w:r w:rsidRPr="00944DAA">
        <w:rPr>
          <w:rFonts w:ascii="Arial" w:hAnsi="Arial" w:cs="Arial"/>
          <w:color w:val="595959" w:themeColor="text1" w:themeTint="A6"/>
          <w:sz w:val="24"/>
        </w:rPr>
        <w:t xml:space="preserve"> </w:t>
      </w:r>
      <w:r w:rsidR="00944DAA" w:rsidRPr="00944DAA">
        <w:rPr>
          <w:rFonts w:ascii="Arial" w:hAnsi="Arial" w:cs="Arial"/>
          <w:color w:val="595959" w:themeColor="text1" w:themeTint="A6"/>
          <w:sz w:val="24"/>
        </w:rPr>
        <w:t>Positive Territory in November</w:t>
      </w:r>
      <w:r w:rsidR="008A538A">
        <w:rPr>
          <w:rFonts w:ascii="Arial" w:hAnsi="Arial" w:cs="Arial"/>
          <w:color w:val="595959" w:themeColor="text1" w:themeTint="A6"/>
          <w:sz w:val="24"/>
        </w:rPr>
        <w:t>; Inflation Takes Toll on Volume</w:t>
      </w:r>
    </w:p>
    <w:p w14:paraId="73215AE3" w14:textId="77777777" w:rsidR="000B705A" w:rsidRPr="00B35CE9" w:rsidRDefault="000B705A" w:rsidP="000B705A">
      <w:pPr>
        <w:rPr>
          <w:rFonts w:ascii="Arial" w:hAnsi="Arial" w:cs="Arial"/>
          <w:sz w:val="20"/>
          <w:szCs w:val="20"/>
        </w:rPr>
      </w:pPr>
      <w:r w:rsidRPr="00B35CE9">
        <w:rPr>
          <w:rFonts w:ascii="Arial" w:hAnsi="Arial" w:cs="Arial"/>
          <w:sz w:val="20"/>
          <w:szCs w:val="20"/>
        </w:rPr>
        <w:t xml:space="preserve">By: Anne-Marie Roerink, President, 210 Analytics </w:t>
      </w:r>
      <w:r w:rsidRPr="007E1D2E">
        <w:rPr>
          <w:rFonts w:ascii="Arial" w:hAnsi="Arial" w:cs="Arial"/>
          <w:noProof/>
          <w:sz w:val="20"/>
          <w:szCs w:val="20"/>
        </w:rPr>
        <w:drawing>
          <wp:anchor distT="0" distB="0" distL="114300" distR="114300" simplePos="0" relativeHeight="251659264" behindDoc="0" locked="1" layoutInCell="1" allowOverlap="1" wp14:anchorId="34931786" wp14:editId="355D663F">
            <wp:simplePos x="0" y="0"/>
            <wp:positionH relativeFrom="page">
              <wp:posOffset>313055</wp:posOffset>
            </wp:positionH>
            <wp:positionV relativeFrom="page">
              <wp:posOffset>1277620</wp:posOffset>
            </wp:positionV>
            <wp:extent cx="7212330" cy="634365"/>
            <wp:effectExtent l="0" t="0" r="0" b="0"/>
            <wp:wrapNone/>
            <wp:docPr id="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ge shadow PS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12330" cy="634365"/>
                    </a:xfrm>
                    <a:prstGeom prst="rect">
                      <a:avLst/>
                    </a:prstGeom>
                  </pic:spPr>
                </pic:pic>
              </a:graphicData>
            </a:graphic>
          </wp:anchor>
        </w:drawing>
      </w:r>
    </w:p>
    <w:p w14:paraId="61A8A1E9" w14:textId="77777777" w:rsidR="000B705A" w:rsidRDefault="000B705A" w:rsidP="000B705A">
      <w:pPr>
        <w:pStyle w:val="NoSpacing"/>
        <w:rPr>
          <w:rFonts w:ascii="Arial" w:hAnsi="Arial" w:cs="Arial"/>
          <w:sz w:val="20"/>
          <w:szCs w:val="20"/>
        </w:rPr>
      </w:pPr>
    </w:p>
    <w:p w14:paraId="1D5853C5" w14:textId="77777777" w:rsidR="000B705A" w:rsidRPr="009172A3" w:rsidRDefault="000B705A" w:rsidP="000B705A">
      <w:pPr>
        <w:pStyle w:val="NoSpacing"/>
        <w:rPr>
          <w:rFonts w:ascii="Arial" w:hAnsi="Arial" w:cs="Arial"/>
          <w:sz w:val="10"/>
          <w:szCs w:val="10"/>
        </w:rPr>
      </w:pPr>
    </w:p>
    <w:p w14:paraId="60926429" w14:textId="648111E3" w:rsidR="001210D2" w:rsidRDefault="008C52F0" w:rsidP="001210D2">
      <w:pPr>
        <w:pStyle w:val="NoSpacing"/>
        <w:rPr>
          <w:rFonts w:ascii="Arial" w:hAnsi="Arial" w:cs="Arial"/>
          <w:sz w:val="20"/>
          <w:szCs w:val="20"/>
        </w:rPr>
      </w:pPr>
      <w:r>
        <w:rPr>
          <w:rFonts w:ascii="Arial" w:hAnsi="Arial" w:cs="Arial"/>
          <w:sz w:val="20"/>
          <w:szCs w:val="20"/>
        </w:rPr>
        <w:t xml:space="preserve">November 2021 picked up where October left off: grocery shopping and food consumption patterns remained in flux, especially as holiday purchases started much earlier. Combined with record-setting inflation and substantial supply chain constraints, </w:t>
      </w:r>
      <w:r w:rsidR="00292CDE">
        <w:rPr>
          <w:rFonts w:ascii="Arial" w:hAnsi="Arial" w:cs="Arial"/>
          <w:sz w:val="20"/>
          <w:szCs w:val="20"/>
        </w:rPr>
        <w:t xml:space="preserve">the market </w:t>
      </w:r>
      <w:r>
        <w:rPr>
          <w:rFonts w:ascii="Arial" w:hAnsi="Arial" w:cs="Arial"/>
          <w:sz w:val="20"/>
          <w:szCs w:val="20"/>
        </w:rPr>
        <w:t>ha</w:t>
      </w:r>
      <w:r w:rsidR="00292CDE">
        <w:rPr>
          <w:rFonts w:ascii="Arial" w:hAnsi="Arial" w:cs="Arial"/>
          <w:sz w:val="20"/>
          <w:szCs w:val="20"/>
        </w:rPr>
        <w:t>s</w:t>
      </w:r>
      <w:r>
        <w:rPr>
          <w:rFonts w:ascii="Arial" w:hAnsi="Arial" w:cs="Arial"/>
          <w:sz w:val="20"/>
          <w:szCs w:val="20"/>
        </w:rPr>
        <w:t xml:space="preserve"> yet to find a new and consistent level o</w:t>
      </w:r>
      <w:r w:rsidR="00292CDE">
        <w:rPr>
          <w:rFonts w:ascii="Arial" w:hAnsi="Arial" w:cs="Arial"/>
          <w:sz w:val="20"/>
          <w:szCs w:val="20"/>
        </w:rPr>
        <w:t>f</w:t>
      </w:r>
      <w:r>
        <w:rPr>
          <w:rFonts w:ascii="Arial" w:hAnsi="Arial" w:cs="Arial"/>
          <w:sz w:val="20"/>
          <w:szCs w:val="20"/>
        </w:rPr>
        <w:t xml:space="preserve"> balance.</w:t>
      </w:r>
      <w:r w:rsidR="001210D2">
        <w:rPr>
          <w:rFonts w:ascii="Arial" w:hAnsi="Arial" w:cs="Arial"/>
          <w:sz w:val="20"/>
          <w:szCs w:val="20"/>
        </w:rPr>
        <w:t xml:space="preserve"> IRI, 210 Analytics and the Produce Marketing Association (PMA) have teamed up since March 2020 to document the ever-changing </w:t>
      </w:r>
      <w:r w:rsidR="001210D2" w:rsidRPr="0039585E">
        <w:rPr>
          <w:rFonts w:ascii="Arial" w:hAnsi="Arial" w:cs="Arial"/>
          <w:sz w:val="20"/>
          <w:szCs w:val="20"/>
        </w:rPr>
        <w:t xml:space="preserve">marketplace </w:t>
      </w:r>
      <w:r w:rsidR="001210D2">
        <w:rPr>
          <w:rFonts w:ascii="Arial" w:hAnsi="Arial" w:cs="Arial"/>
          <w:sz w:val="20"/>
          <w:szCs w:val="20"/>
        </w:rPr>
        <w:t>and its impact on fresh produce sales</w:t>
      </w:r>
      <w:r w:rsidR="001210D2" w:rsidRPr="0039585E">
        <w:rPr>
          <w:rFonts w:ascii="Arial" w:hAnsi="Arial" w:cs="Arial"/>
          <w:sz w:val="20"/>
          <w:szCs w:val="20"/>
        </w:rPr>
        <w:t>.</w:t>
      </w:r>
    </w:p>
    <w:p w14:paraId="6B19708D" w14:textId="77777777" w:rsidR="001210D2" w:rsidRDefault="001210D2" w:rsidP="000C0984">
      <w:pPr>
        <w:pStyle w:val="NoSpacing"/>
        <w:rPr>
          <w:rFonts w:ascii="Arial" w:hAnsi="Arial" w:cs="Arial"/>
          <w:sz w:val="20"/>
          <w:szCs w:val="20"/>
        </w:rPr>
      </w:pPr>
    </w:p>
    <w:p w14:paraId="6AE0351E" w14:textId="77777777" w:rsidR="008C52F0" w:rsidRDefault="008C52F0" w:rsidP="008C52F0">
      <w:pPr>
        <w:pStyle w:val="NoSpacing"/>
        <w:rPr>
          <w:rFonts w:ascii="Arial" w:hAnsi="Arial" w:cs="Arial"/>
          <w:sz w:val="20"/>
          <w:szCs w:val="20"/>
        </w:rPr>
      </w:pPr>
      <w:r w:rsidRPr="004A6266">
        <w:rPr>
          <w:rFonts w:ascii="Arial" w:hAnsi="Arial" w:cs="Arial"/>
          <w:noProof/>
          <w:sz w:val="20"/>
          <w:szCs w:val="20"/>
        </w:rPr>
        <w:drawing>
          <wp:anchor distT="0" distB="0" distL="114300" distR="114300" simplePos="0" relativeHeight="251658240" behindDoc="0" locked="0" layoutInCell="1" allowOverlap="1" wp14:anchorId="1A2A3FF6" wp14:editId="56D68AB9">
            <wp:simplePos x="0" y="0"/>
            <wp:positionH relativeFrom="column">
              <wp:posOffset>1788795</wp:posOffset>
            </wp:positionH>
            <wp:positionV relativeFrom="paragraph">
              <wp:posOffset>241604</wp:posOffset>
            </wp:positionV>
            <wp:extent cx="4953000" cy="2653665"/>
            <wp:effectExtent l="0" t="0" r="0" b="0"/>
            <wp:wrapSquare wrapText="bothSides"/>
            <wp:docPr id="10" name="Chart 10">
              <a:extLst xmlns:a="http://schemas.openxmlformats.org/drawingml/2006/main">
                <a:ext uri="{FF2B5EF4-FFF2-40B4-BE49-F238E27FC236}">
                  <a16:creationId xmlns:a16="http://schemas.microsoft.com/office/drawing/2014/main" id="{722FB69E-C8FF-4474-9368-90D2A38384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ascii="Arial" w:hAnsi="Arial" w:cs="Arial"/>
          <w:sz w:val="20"/>
          <w:szCs w:val="20"/>
        </w:rPr>
        <w:t>Meals continued to be home-centric in November. Jonna Parker shared some insights from the November IRI primary shopper survey. “The share of meals prepared at home remains around 80% despite more people working away from home and most of the nation’s school children being back to in-person education.”</w:t>
      </w:r>
    </w:p>
    <w:p w14:paraId="04092770" w14:textId="77777777" w:rsidR="008C52F0" w:rsidRDefault="008C52F0" w:rsidP="008C52F0">
      <w:pPr>
        <w:pStyle w:val="NoSpacing"/>
        <w:rPr>
          <w:rFonts w:ascii="Arial" w:hAnsi="Arial" w:cs="Arial"/>
          <w:sz w:val="20"/>
          <w:szCs w:val="20"/>
        </w:rPr>
      </w:pPr>
    </w:p>
    <w:p w14:paraId="29F83EA3" w14:textId="2F73968D" w:rsidR="008C52F0" w:rsidRDefault="008C52F0" w:rsidP="008C52F0">
      <w:pPr>
        <w:pStyle w:val="NoSpacing"/>
        <w:rPr>
          <w:rFonts w:ascii="Arial" w:hAnsi="Arial" w:cs="Arial"/>
          <w:sz w:val="20"/>
          <w:szCs w:val="20"/>
        </w:rPr>
      </w:pPr>
      <w:r>
        <w:rPr>
          <w:rFonts w:ascii="Arial" w:hAnsi="Arial" w:cs="Arial"/>
          <w:sz w:val="20"/>
          <w:szCs w:val="20"/>
        </w:rPr>
        <w:t>While retail prices for most categories rose to their highest point in many decades, the cost for eating out rose even faster. Restaurant inflation typically results in more at-home meal preparation but those levels have already been elevated since the onset of the pandemic. Parker noted that shoppers are very aware of the widespread inflation: 90% of primary shoppers reported grocery item prices being a little (42%) or much (48%) higher</w:t>
      </w:r>
      <w:r w:rsidRPr="00153C00">
        <w:rPr>
          <w:rFonts w:ascii="Arial" w:hAnsi="Arial" w:cs="Arial"/>
          <w:sz w:val="20"/>
          <w:szCs w:val="20"/>
        </w:rPr>
        <w:t>.</w:t>
      </w:r>
      <w:r>
        <w:rPr>
          <w:rFonts w:ascii="Arial" w:hAnsi="Arial" w:cs="Arial"/>
          <w:sz w:val="20"/>
          <w:szCs w:val="20"/>
        </w:rPr>
        <w:t xml:space="preserve"> Among consumers who noted higher prices, 92% are extremely (41%) or somewhat concerned (51%). “This translates into 83% of primary shoppers being aware and concerned of the inflationary conditions,” said Parker. Consumers selected categories across the store as areas where they have noted higher prices, led by the meat, produce and dairy categories. In response, 61% of consumers have made changes to their grocery selection. Looking for money-saving measures, including stocking up, is the most common response, followed by cutting back on non-essentials and switching to store brand alternatives. </w:t>
      </w:r>
      <w:r w:rsidRPr="00153C00">
        <w:rPr>
          <w:rFonts w:ascii="Arial" w:hAnsi="Arial" w:cs="Arial"/>
          <w:sz w:val="20"/>
          <w:szCs w:val="20"/>
        </w:rPr>
        <w:t xml:space="preserve"> </w:t>
      </w:r>
    </w:p>
    <w:p w14:paraId="3387BDFF" w14:textId="77777777" w:rsidR="008C52F0" w:rsidRDefault="008C52F0" w:rsidP="008C52F0">
      <w:pPr>
        <w:pStyle w:val="NoSpacing"/>
        <w:rPr>
          <w:rFonts w:ascii="Arial" w:hAnsi="Arial" w:cs="Arial"/>
          <w:sz w:val="20"/>
          <w:szCs w:val="20"/>
        </w:rPr>
      </w:pPr>
    </w:p>
    <w:p w14:paraId="79909DC0" w14:textId="13033431" w:rsidR="008C52F0" w:rsidRDefault="008C52F0" w:rsidP="008C52F0">
      <w:pPr>
        <w:pStyle w:val="NoSpacing"/>
        <w:rPr>
          <w:rFonts w:ascii="Arial" w:hAnsi="Arial" w:cs="Arial"/>
          <w:sz w:val="20"/>
          <w:szCs w:val="20"/>
        </w:rPr>
      </w:pPr>
      <w:r>
        <w:rPr>
          <w:rFonts w:ascii="Arial" w:hAnsi="Arial" w:cs="Arial"/>
          <w:sz w:val="20"/>
          <w:szCs w:val="20"/>
        </w:rPr>
        <w:t xml:space="preserve">Beyond inflation, COVID-19 continues its grip on shopping patterns. During the early months of the pandemic, as many as 20% of trips were online, according to the IRI survey tracker. This dropped to a low of 11% in July of 2021 and the share has ticked back up every month since. In November, the online share of trips increased to 17%. Yet online shopping remains a complementary trip for most consumers. Only 4% of survey respondents believe they will buy all their groceries online in the next month. This compares to 19% who will only buy some or a little online. While shopping in person, fewer people browsed for new items or ideas and 17% spent less time in the store than pre-pandemic. </w:t>
      </w:r>
      <w:r w:rsidR="00944DAA">
        <w:rPr>
          <w:rFonts w:ascii="Arial" w:hAnsi="Arial" w:cs="Arial"/>
          <w:sz w:val="20"/>
          <w:szCs w:val="20"/>
        </w:rPr>
        <w:t xml:space="preserve">“This underscores the importance of cross-merchandising, eye-catching displays, suggestive selling and more to make sure fresh produce remains on the consumer radar,” added Parker. </w:t>
      </w:r>
    </w:p>
    <w:p w14:paraId="3C00BED8" w14:textId="77777777" w:rsidR="008C52F0" w:rsidRDefault="008C52F0" w:rsidP="008C52F0">
      <w:pPr>
        <w:pStyle w:val="NoSpacing"/>
        <w:rPr>
          <w:rFonts w:ascii="Arial" w:hAnsi="Arial" w:cs="Arial"/>
          <w:sz w:val="20"/>
          <w:szCs w:val="20"/>
        </w:rPr>
      </w:pPr>
    </w:p>
    <w:p w14:paraId="03A6341F" w14:textId="6C9DD5C9" w:rsidR="008C52F0" w:rsidRDefault="008C52F0" w:rsidP="008C52F0">
      <w:pPr>
        <w:pStyle w:val="NoSpacing"/>
        <w:rPr>
          <w:rFonts w:ascii="Arial" w:hAnsi="Arial" w:cs="Arial"/>
          <w:sz w:val="20"/>
          <w:szCs w:val="20"/>
        </w:rPr>
      </w:pPr>
      <w:r>
        <w:rPr>
          <w:rFonts w:ascii="Arial" w:hAnsi="Arial" w:cs="Arial"/>
          <w:sz w:val="20"/>
          <w:szCs w:val="20"/>
        </w:rPr>
        <w:t xml:space="preserve">November sales are typically dominated by the Thanksgiving holiday, which tends to push an above-average share of dollars to the fresh departments. In 2020, Thanksgiving was very home-centric. Many fewer people traveled, parties were smaller and Thanksgiving sales patterns were </w:t>
      </w:r>
      <w:proofErr w:type="spellStart"/>
      <w:r>
        <w:rPr>
          <w:rFonts w:ascii="Arial" w:hAnsi="Arial" w:cs="Arial"/>
          <w:sz w:val="20"/>
          <w:szCs w:val="20"/>
        </w:rPr>
        <w:t>vasty</w:t>
      </w:r>
      <w:proofErr w:type="spellEnd"/>
      <w:r>
        <w:rPr>
          <w:rFonts w:ascii="Arial" w:hAnsi="Arial" w:cs="Arial"/>
          <w:sz w:val="20"/>
          <w:szCs w:val="20"/>
        </w:rPr>
        <w:t xml:space="preserve"> different. In the October 2021 IRI survey among primary grocery shoppers, more people planned to celebrate Thanksgiving </w:t>
      </w:r>
      <w:r w:rsidR="00944DAA">
        <w:rPr>
          <w:rFonts w:ascii="Arial" w:hAnsi="Arial" w:cs="Arial"/>
          <w:sz w:val="20"/>
          <w:szCs w:val="20"/>
        </w:rPr>
        <w:t xml:space="preserve">this year </w:t>
      </w:r>
      <w:r>
        <w:rPr>
          <w:rFonts w:ascii="Arial" w:hAnsi="Arial" w:cs="Arial"/>
          <w:sz w:val="20"/>
          <w:szCs w:val="20"/>
        </w:rPr>
        <w:t xml:space="preserve">and party sizes were expected to be bigger. At the same time, celebrations remained mostly home-centric though many restaurants and grocery deli’s offered turnkey holiday meal solutions and shoppers planned to shop earlier. The Transportation Security Administration (TSA) reported its highest passenger volume since the onset of the pandemic, at about 88% of the pre-pandemic volume. </w:t>
      </w:r>
    </w:p>
    <w:p w14:paraId="63D95331" w14:textId="77777777" w:rsidR="00D046A6" w:rsidRDefault="00D046A6" w:rsidP="000C0984">
      <w:pPr>
        <w:pStyle w:val="NoSpacing"/>
        <w:rPr>
          <w:rFonts w:ascii="Arial" w:hAnsi="Arial" w:cs="Arial"/>
          <w:sz w:val="20"/>
          <w:szCs w:val="20"/>
        </w:rPr>
      </w:pPr>
    </w:p>
    <w:p w14:paraId="2359618F" w14:textId="77777777" w:rsidR="000C0984" w:rsidRDefault="000C0984" w:rsidP="000C0984">
      <w:pPr>
        <w:spacing w:after="0" w:line="240" w:lineRule="auto"/>
        <w:rPr>
          <w:rFonts w:ascii="Arial" w:hAnsi="Arial" w:cs="Arial"/>
          <w:sz w:val="20"/>
          <w:szCs w:val="20"/>
        </w:rPr>
      </w:pPr>
    </w:p>
    <w:p w14:paraId="19BE0D26" w14:textId="77777777" w:rsidR="00733C3B" w:rsidRPr="00CF43CE" w:rsidRDefault="00733C3B" w:rsidP="00733C3B">
      <w:pPr>
        <w:pStyle w:val="NoSpacing"/>
        <w:rPr>
          <w:rFonts w:ascii="Arial" w:hAnsi="Arial" w:cs="Arial"/>
          <w:b/>
          <w:bCs/>
          <w:color w:val="595959" w:themeColor="text1" w:themeTint="A6"/>
          <w:sz w:val="24"/>
          <w:szCs w:val="24"/>
        </w:rPr>
      </w:pPr>
      <w:r w:rsidRPr="00CF43CE">
        <w:rPr>
          <w:rFonts w:ascii="Arial" w:hAnsi="Arial" w:cs="Arial"/>
          <w:b/>
          <w:bCs/>
          <w:color w:val="595959" w:themeColor="text1" w:themeTint="A6"/>
          <w:sz w:val="24"/>
          <w:szCs w:val="24"/>
        </w:rPr>
        <w:t>Year-to-Date Sales</w:t>
      </w:r>
    </w:p>
    <w:p w14:paraId="2B0B30A4" w14:textId="77777777" w:rsidR="00733C3B" w:rsidRDefault="00733C3B" w:rsidP="00733C3B">
      <w:pPr>
        <w:pStyle w:val="NoSpacing"/>
        <w:rPr>
          <w:rFonts w:ascii="Arial" w:hAnsi="Arial" w:cs="Arial"/>
          <w:sz w:val="20"/>
          <w:szCs w:val="20"/>
        </w:rPr>
      </w:pPr>
      <w:r>
        <w:rPr>
          <w:rFonts w:ascii="Arial" w:hAnsi="Arial" w:cs="Arial"/>
          <w:sz w:val="20"/>
          <w:szCs w:val="20"/>
        </w:rPr>
        <w:t xml:space="preserve">The first 11 months of the year brought $633 billion in food and beverage sales —up 1.3% over 2020 and 15.6% over the 2019 pre-pandemic normal. However, inflation played a significant role with year-on-year unit sales still down 3.5%. Perishables, including produce, seafood, meat, bakery and deli, had the highest year-over-year growth during the first 10 months of 2021, at +1.8%. Frozen foods had the highest increase versus the pre-pandemic normal of 2019, at +22.8%. </w:t>
      </w:r>
    </w:p>
    <w:p w14:paraId="6755C224" w14:textId="77777777" w:rsidR="00733C3B" w:rsidRDefault="00733C3B" w:rsidP="00733C3B">
      <w:pPr>
        <w:pStyle w:val="NoSpacing"/>
        <w:rPr>
          <w:rFonts w:ascii="Arial" w:hAnsi="Arial" w:cs="Arial"/>
          <w:sz w:val="20"/>
          <w:szCs w:val="20"/>
        </w:rPr>
      </w:pPr>
    </w:p>
    <w:tbl>
      <w:tblPr>
        <w:tblStyle w:val="LightShading-Accent5"/>
        <w:tblW w:w="10620" w:type="dxa"/>
        <w:tblInd w:w="108" w:type="dxa"/>
        <w:tblBorders>
          <w:top w:val="none" w:sz="0" w:space="0" w:color="auto"/>
          <w:bottom w:val="none" w:sz="0" w:space="0" w:color="auto"/>
        </w:tblBorders>
        <w:tblLayout w:type="fixed"/>
        <w:tblLook w:val="04A0" w:firstRow="1" w:lastRow="0" w:firstColumn="1" w:lastColumn="0" w:noHBand="0" w:noVBand="1"/>
      </w:tblPr>
      <w:tblGrid>
        <w:gridCol w:w="2685"/>
        <w:gridCol w:w="1610"/>
        <w:gridCol w:w="1825"/>
        <w:gridCol w:w="1710"/>
        <w:gridCol w:w="2790"/>
      </w:tblGrid>
      <w:tr w:rsidR="00733C3B" w:rsidRPr="00706DE2" w14:paraId="52325F79" w14:textId="77777777" w:rsidTr="00046C74">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85" w:type="dxa"/>
            <w:vMerge w:val="restart"/>
            <w:tcBorders>
              <w:top w:val="none" w:sz="0" w:space="0" w:color="auto"/>
              <w:left w:val="none" w:sz="0" w:space="0" w:color="auto"/>
              <w:bottom w:val="none" w:sz="0" w:space="0" w:color="auto"/>
              <w:right w:val="none" w:sz="0" w:space="0" w:color="auto"/>
            </w:tcBorders>
            <w:shd w:val="clear" w:color="auto" w:fill="17365D" w:themeFill="text2" w:themeFillShade="BF"/>
            <w:hideMark/>
          </w:tcPr>
          <w:p w14:paraId="6005D29E" w14:textId="77777777" w:rsidR="00733C3B" w:rsidRDefault="00733C3B" w:rsidP="00046C74">
            <w:pPr>
              <w:rPr>
                <w:rFonts w:ascii="Arial" w:eastAsia="Times New Roman" w:hAnsi="Arial" w:cs="Arial"/>
                <w:b w:val="0"/>
                <w:bCs w:val="0"/>
                <w:color w:val="FFFFFF" w:themeColor="background1"/>
                <w:sz w:val="18"/>
                <w:szCs w:val="20"/>
              </w:rPr>
            </w:pPr>
            <w:r>
              <w:rPr>
                <w:rFonts w:ascii="Arial" w:eastAsia="Times New Roman" w:hAnsi="Arial" w:cs="Arial"/>
                <w:color w:val="FFFFFF" w:themeColor="background1"/>
                <w:sz w:val="18"/>
                <w:szCs w:val="20"/>
              </w:rPr>
              <w:t>Year-to-date</w:t>
            </w:r>
          </w:p>
          <w:p w14:paraId="5A6DD4AF" w14:textId="77777777" w:rsidR="00733C3B" w:rsidRPr="00706DE2" w:rsidRDefault="00733C3B" w:rsidP="00046C74">
            <w:pPr>
              <w:rPr>
                <w:rFonts w:ascii="Arial" w:eastAsia="Times New Roman" w:hAnsi="Arial" w:cs="Arial"/>
                <w:color w:val="FFFFFF" w:themeColor="background1"/>
                <w:sz w:val="18"/>
                <w:szCs w:val="20"/>
              </w:rPr>
            </w:pPr>
            <w:r>
              <w:rPr>
                <w:rFonts w:ascii="Arial" w:eastAsia="Times New Roman" w:hAnsi="Arial" w:cs="Arial"/>
                <w:color w:val="FFFFFF" w:themeColor="background1"/>
                <w:sz w:val="18"/>
                <w:szCs w:val="20"/>
              </w:rPr>
              <w:t>2021 through 11/28/2021</w:t>
            </w:r>
          </w:p>
        </w:tc>
        <w:tc>
          <w:tcPr>
            <w:tcW w:w="1610" w:type="dxa"/>
            <w:tcBorders>
              <w:top w:val="none" w:sz="0" w:space="0" w:color="auto"/>
              <w:left w:val="none" w:sz="0" w:space="0" w:color="auto"/>
              <w:bottom w:val="none" w:sz="0" w:space="0" w:color="auto"/>
              <w:right w:val="none" w:sz="0" w:space="0" w:color="auto"/>
            </w:tcBorders>
            <w:shd w:val="clear" w:color="auto" w:fill="17365D" w:themeFill="text2" w:themeFillShade="BF"/>
          </w:tcPr>
          <w:p w14:paraId="42851CE2" w14:textId="77777777" w:rsidR="00733C3B" w:rsidRPr="00706DE2" w:rsidRDefault="00733C3B" w:rsidP="00046C7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20"/>
              </w:rPr>
            </w:pPr>
          </w:p>
        </w:tc>
        <w:tc>
          <w:tcPr>
            <w:tcW w:w="1825" w:type="dxa"/>
            <w:tcBorders>
              <w:top w:val="none" w:sz="0" w:space="0" w:color="auto"/>
              <w:left w:val="none" w:sz="0" w:space="0" w:color="auto"/>
              <w:bottom w:val="none" w:sz="0" w:space="0" w:color="auto"/>
              <w:right w:val="none" w:sz="0" w:space="0" w:color="auto"/>
            </w:tcBorders>
            <w:shd w:val="clear" w:color="auto" w:fill="17365D" w:themeFill="text2" w:themeFillShade="BF"/>
          </w:tcPr>
          <w:p w14:paraId="07B1E5BE" w14:textId="77777777" w:rsidR="00733C3B" w:rsidRPr="00706DE2" w:rsidRDefault="00733C3B" w:rsidP="00046C7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20"/>
              </w:rPr>
            </w:pPr>
          </w:p>
        </w:tc>
        <w:tc>
          <w:tcPr>
            <w:tcW w:w="4500" w:type="dxa"/>
            <w:gridSpan w:val="2"/>
            <w:tcBorders>
              <w:top w:val="none" w:sz="0" w:space="0" w:color="auto"/>
              <w:left w:val="none" w:sz="0" w:space="0" w:color="auto"/>
              <w:bottom w:val="none" w:sz="0" w:space="0" w:color="auto"/>
              <w:right w:val="none" w:sz="0" w:space="0" w:color="auto"/>
            </w:tcBorders>
            <w:shd w:val="clear" w:color="auto" w:fill="17365D" w:themeFill="text2" w:themeFillShade="BF"/>
          </w:tcPr>
          <w:p w14:paraId="4EC7631E" w14:textId="77777777" w:rsidR="00733C3B" w:rsidRPr="00706DE2" w:rsidRDefault="00733C3B" w:rsidP="00046C7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20"/>
              </w:rPr>
            </w:pPr>
            <w:r w:rsidRPr="00706DE2">
              <w:rPr>
                <w:rFonts w:ascii="Arial" w:eastAsia="Times New Roman" w:hAnsi="Arial" w:cs="Arial"/>
                <w:color w:val="FFFFFF" w:themeColor="background1"/>
                <w:sz w:val="18"/>
                <w:szCs w:val="20"/>
              </w:rPr>
              <w:t>% sales change</w:t>
            </w:r>
            <w:r>
              <w:rPr>
                <w:rFonts w:ascii="Arial" w:eastAsia="Times New Roman" w:hAnsi="Arial" w:cs="Arial"/>
                <w:color w:val="FFFFFF" w:themeColor="background1"/>
                <w:sz w:val="18"/>
                <w:szCs w:val="20"/>
              </w:rPr>
              <w:t xml:space="preserve"> </w:t>
            </w:r>
            <w:r w:rsidRPr="00706DE2">
              <w:rPr>
                <w:rFonts w:ascii="Arial" w:eastAsia="Times New Roman" w:hAnsi="Arial" w:cs="Arial"/>
                <w:color w:val="FFFFFF" w:themeColor="background1"/>
                <w:sz w:val="18"/>
                <w:szCs w:val="20"/>
              </w:rPr>
              <w:t>versus year ago</w:t>
            </w:r>
          </w:p>
        </w:tc>
      </w:tr>
      <w:tr w:rsidR="00733C3B" w:rsidRPr="00706DE2" w14:paraId="618C90A1" w14:textId="77777777" w:rsidTr="00046C74">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2685" w:type="dxa"/>
            <w:vMerge/>
            <w:tcBorders>
              <w:left w:val="none" w:sz="0" w:space="0" w:color="auto"/>
              <w:right w:val="none" w:sz="0" w:space="0" w:color="auto"/>
            </w:tcBorders>
            <w:hideMark/>
          </w:tcPr>
          <w:p w14:paraId="71857C2C" w14:textId="77777777" w:rsidR="00733C3B" w:rsidRPr="00706DE2" w:rsidRDefault="00733C3B" w:rsidP="00046C74">
            <w:pPr>
              <w:rPr>
                <w:rFonts w:ascii="Arial" w:eastAsia="Times New Roman" w:hAnsi="Arial" w:cs="Arial"/>
                <w:color w:val="FFFFFF" w:themeColor="background1"/>
                <w:sz w:val="18"/>
                <w:szCs w:val="20"/>
              </w:rPr>
            </w:pPr>
          </w:p>
        </w:tc>
        <w:tc>
          <w:tcPr>
            <w:tcW w:w="1610" w:type="dxa"/>
            <w:tcBorders>
              <w:left w:val="none" w:sz="0" w:space="0" w:color="auto"/>
              <w:right w:val="none" w:sz="0" w:space="0" w:color="auto"/>
            </w:tcBorders>
            <w:shd w:val="clear" w:color="auto" w:fill="17365D" w:themeFill="text2" w:themeFillShade="BF"/>
          </w:tcPr>
          <w:p w14:paraId="28F98E4F" w14:textId="77777777" w:rsidR="00733C3B" w:rsidRPr="00706DE2" w:rsidRDefault="00733C3B" w:rsidP="00046C7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18"/>
                <w:szCs w:val="20"/>
              </w:rPr>
            </w:pPr>
            <w:r>
              <w:rPr>
                <w:rFonts w:ascii="Arial" w:eastAsia="Times New Roman" w:hAnsi="Arial" w:cs="Arial"/>
                <w:b/>
                <w:color w:val="FFFFFF" w:themeColor="background1"/>
                <w:sz w:val="18"/>
                <w:szCs w:val="20"/>
              </w:rPr>
              <w:t>Dollar size</w:t>
            </w:r>
          </w:p>
        </w:tc>
        <w:tc>
          <w:tcPr>
            <w:tcW w:w="1825" w:type="dxa"/>
            <w:tcBorders>
              <w:left w:val="none" w:sz="0" w:space="0" w:color="auto"/>
              <w:right w:val="none" w:sz="0" w:space="0" w:color="auto"/>
            </w:tcBorders>
            <w:shd w:val="clear" w:color="auto" w:fill="17365D" w:themeFill="text2" w:themeFillShade="BF"/>
          </w:tcPr>
          <w:p w14:paraId="08D53CF3" w14:textId="77777777" w:rsidR="00733C3B" w:rsidRDefault="00733C3B" w:rsidP="00046C7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18"/>
                <w:szCs w:val="20"/>
              </w:rPr>
            </w:pPr>
            <w:r w:rsidRPr="00706DE2">
              <w:rPr>
                <w:rFonts w:ascii="Arial" w:eastAsia="Times New Roman" w:hAnsi="Arial" w:cs="Arial"/>
                <w:b/>
                <w:color w:val="FFFFFF" w:themeColor="background1"/>
                <w:sz w:val="18"/>
                <w:szCs w:val="20"/>
              </w:rPr>
              <w:t>Dollar sales</w:t>
            </w:r>
          </w:p>
          <w:p w14:paraId="778FFE5B" w14:textId="77777777" w:rsidR="00733C3B" w:rsidRPr="00706DE2" w:rsidRDefault="00733C3B" w:rsidP="00046C7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18"/>
                <w:szCs w:val="20"/>
              </w:rPr>
            </w:pPr>
            <w:r>
              <w:rPr>
                <w:rFonts w:ascii="Arial" w:eastAsia="Times New Roman" w:hAnsi="Arial" w:cs="Arial"/>
                <w:b/>
                <w:color w:val="FFFFFF" w:themeColor="background1"/>
                <w:sz w:val="18"/>
                <w:szCs w:val="20"/>
              </w:rPr>
              <w:t>vs. 2020</w:t>
            </w:r>
          </w:p>
        </w:tc>
        <w:tc>
          <w:tcPr>
            <w:tcW w:w="1710" w:type="dxa"/>
            <w:tcBorders>
              <w:left w:val="none" w:sz="0" w:space="0" w:color="auto"/>
              <w:right w:val="none" w:sz="0" w:space="0" w:color="auto"/>
            </w:tcBorders>
            <w:shd w:val="clear" w:color="auto" w:fill="17365D" w:themeFill="text2" w:themeFillShade="BF"/>
          </w:tcPr>
          <w:p w14:paraId="6A1DDF38" w14:textId="77777777" w:rsidR="00733C3B" w:rsidRDefault="00733C3B" w:rsidP="00046C7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18"/>
                <w:szCs w:val="20"/>
              </w:rPr>
            </w:pPr>
            <w:r>
              <w:rPr>
                <w:rFonts w:ascii="Arial" w:eastAsia="Times New Roman" w:hAnsi="Arial" w:cs="Arial"/>
                <w:b/>
                <w:color w:val="FFFFFF" w:themeColor="background1"/>
                <w:sz w:val="18"/>
                <w:szCs w:val="20"/>
              </w:rPr>
              <w:t>Dollar sales</w:t>
            </w:r>
            <w:r>
              <w:rPr>
                <w:rFonts w:ascii="Arial" w:eastAsia="Times New Roman" w:hAnsi="Arial" w:cs="Arial"/>
                <w:b/>
                <w:color w:val="FFFFFF" w:themeColor="background1"/>
                <w:sz w:val="18"/>
                <w:szCs w:val="20"/>
              </w:rPr>
              <w:br/>
              <w:t xml:space="preserve"> vs. 2019</w:t>
            </w:r>
          </w:p>
        </w:tc>
        <w:tc>
          <w:tcPr>
            <w:tcW w:w="2790" w:type="dxa"/>
            <w:tcBorders>
              <w:left w:val="none" w:sz="0" w:space="0" w:color="auto"/>
              <w:right w:val="none" w:sz="0" w:space="0" w:color="auto"/>
            </w:tcBorders>
            <w:shd w:val="clear" w:color="auto" w:fill="17365D" w:themeFill="text2" w:themeFillShade="BF"/>
          </w:tcPr>
          <w:p w14:paraId="1709526B" w14:textId="77777777" w:rsidR="00733C3B" w:rsidRDefault="00733C3B" w:rsidP="00046C7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18"/>
                <w:szCs w:val="20"/>
              </w:rPr>
            </w:pPr>
            <w:r>
              <w:rPr>
                <w:rFonts w:ascii="Arial" w:eastAsia="Times New Roman" w:hAnsi="Arial" w:cs="Arial"/>
                <w:b/>
                <w:color w:val="FFFFFF" w:themeColor="background1"/>
                <w:sz w:val="18"/>
                <w:szCs w:val="20"/>
              </w:rPr>
              <w:t xml:space="preserve">Unit </w:t>
            </w:r>
          </w:p>
          <w:p w14:paraId="5BAB9C00" w14:textId="77777777" w:rsidR="00733C3B" w:rsidRPr="00706DE2" w:rsidRDefault="00733C3B" w:rsidP="00046C7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18"/>
                <w:szCs w:val="20"/>
              </w:rPr>
            </w:pPr>
            <w:r>
              <w:rPr>
                <w:rFonts w:ascii="Arial" w:eastAsia="Times New Roman" w:hAnsi="Arial" w:cs="Arial"/>
                <w:b/>
                <w:color w:val="FFFFFF" w:themeColor="background1"/>
                <w:sz w:val="18"/>
                <w:szCs w:val="20"/>
              </w:rPr>
              <w:t>Sales vs. 2020</w:t>
            </w:r>
          </w:p>
        </w:tc>
      </w:tr>
      <w:tr w:rsidR="00733C3B" w:rsidRPr="00295B72" w14:paraId="77A9E07B" w14:textId="77777777" w:rsidTr="00046C74">
        <w:trPr>
          <w:trHeight w:val="113"/>
        </w:trPr>
        <w:tc>
          <w:tcPr>
            <w:cnfStyle w:val="001000000000" w:firstRow="0" w:lastRow="0" w:firstColumn="1" w:lastColumn="0" w:oddVBand="0" w:evenVBand="0" w:oddHBand="0" w:evenHBand="0" w:firstRowFirstColumn="0" w:firstRowLastColumn="0" w:lastRowFirstColumn="0" w:lastRowLastColumn="0"/>
            <w:tcW w:w="2685" w:type="dxa"/>
            <w:noWrap/>
            <w:hideMark/>
          </w:tcPr>
          <w:p w14:paraId="68954827" w14:textId="77777777" w:rsidR="00733C3B" w:rsidRPr="002F5F30" w:rsidRDefault="00733C3B" w:rsidP="00046C74">
            <w:pPr>
              <w:rPr>
                <w:rFonts w:ascii="Arial" w:eastAsia="Times New Roman" w:hAnsi="Arial" w:cs="Arial"/>
                <w:b w:val="0"/>
                <w:color w:val="215868" w:themeColor="accent5" w:themeShade="80"/>
                <w:sz w:val="18"/>
                <w:szCs w:val="18"/>
              </w:rPr>
            </w:pPr>
            <w:r w:rsidRPr="002F5F30">
              <w:rPr>
                <w:rFonts w:ascii="Arial" w:eastAsia="Times New Roman" w:hAnsi="Arial" w:cs="Arial"/>
                <w:b w:val="0"/>
                <w:color w:val="215868" w:themeColor="accent5" w:themeShade="80"/>
                <w:sz w:val="18"/>
                <w:szCs w:val="18"/>
              </w:rPr>
              <w:t>Total food and beverages</w:t>
            </w:r>
          </w:p>
        </w:tc>
        <w:tc>
          <w:tcPr>
            <w:tcW w:w="1610" w:type="dxa"/>
          </w:tcPr>
          <w:p w14:paraId="41FDEDF0" w14:textId="77777777" w:rsidR="00733C3B" w:rsidRPr="002F5F30" w:rsidRDefault="00733C3B" w:rsidP="00046C74">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sidRPr="002F5F30">
              <w:rPr>
                <w:rFonts w:ascii="Arial" w:eastAsia="Times New Roman" w:hAnsi="Arial" w:cs="Arial"/>
                <w:color w:val="215868" w:themeColor="accent5" w:themeShade="80"/>
                <w:sz w:val="18"/>
                <w:szCs w:val="18"/>
              </w:rPr>
              <w:t>$</w:t>
            </w:r>
            <w:r>
              <w:rPr>
                <w:rFonts w:ascii="Arial" w:eastAsia="Times New Roman" w:hAnsi="Arial" w:cs="Arial"/>
                <w:color w:val="215868" w:themeColor="accent5" w:themeShade="80"/>
                <w:sz w:val="18"/>
                <w:szCs w:val="18"/>
              </w:rPr>
              <w:t>633</w:t>
            </w:r>
            <w:r w:rsidRPr="002F5F30">
              <w:rPr>
                <w:rFonts w:ascii="Arial" w:eastAsia="Times New Roman" w:hAnsi="Arial" w:cs="Arial"/>
                <w:color w:val="215868" w:themeColor="accent5" w:themeShade="80"/>
                <w:sz w:val="18"/>
                <w:szCs w:val="18"/>
              </w:rPr>
              <w:t>B</w:t>
            </w:r>
          </w:p>
        </w:tc>
        <w:tc>
          <w:tcPr>
            <w:tcW w:w="1825" w:type="dxa"/>
          </w:tcPr>
          <w:p w14:paraId="459DEDFF" w14:textId="77777777" w:rsidR="00733C3B" w:rsidRPr="002F5F30" w:rsidRDefault="00733C3B" w:rsidP="00046C7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eastAsia="Times New Roman" w:hAnsi="Arial" w:cs="Arial"/>
                <w:color w:val="215868" w:themeColor="accent5" w:themeShade="80"/>
                <w:sz w:val="18"/>
                <w:szCs w:val="18"/>
              </w:rPr>
              <w:t>+1.3</w:t>
            </w:r>
            <w:r w:rsidRPr="002F5F30">
              <w:rPr>
                <w:rFonts w:ascii="Arial" w:eastAsia="Times New Roman" w:hAnsi="Arial" w:cs="Arial"/>
                <w:color w:val="215868" w:themeColor="accent5" w:themeShade="80"/>
                <w:sz w:val="18"/>
                <w:szCs w:val="18"/>
              </w:rPr>
              <w:t>%</w:t>
            </w:r>
          </w:p>
        </w:tc>
        <w:tc>
          <w:tcPr>
            <w:tcW w:w="1710" w:type="dxa"/>
          </w:tcPr>
          <w:p w14:paraId="56C0395C" w14:textId="77777777" w:rsidR="00733C3B" w:rsidRPr="002F5F30" w:rsidRDefault="00733C3B" w:rsidP="00046C7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sidRPr="002F5F30">
              <w:rPr>
                <w:rFonts w:ascii="Arial" w:eastAsia="Times New Roman" w:hAnsi="Arial" w:cs="Arial"/>
                <w:color w:val="215868" w:themeColor="accent5" w:themeShade="80"/>
                <w:sz w:val="18"/>
                <w:szCs w:val="18"/>
              </w:rPr>
              <w:t>+</w:t>
            </w:r>
            <w:r>
              <w:rPr>
                <w:rFonts w:ascii="Arial" w:eastAsia="Times New Roman" w:hAnsi="Arial" w:cs="Arial"/>
                <w:color w:val="215868" w:themeColor="accent5" w:themeShade="80"/>
                <w:sz w:val="18"/>
                <w:szCs w:val="18"/>
              </w:rPr>
              <w:t>15.6</w:t>
            </w:r>
            <w:r w:rsidRPr="002F5F30">
              <w:rPr>
                <w:rFonts w:ascii="Arial" w:eastAsia="Times New Roman" w:hAnsi="Arial" w:cs="Arial"/>
                <w:color w:val="215868" w:themeColor="accent5" w:themeShade="80"/>
                <w:sz w:val="18"/>
                <w:szCs w:val="18"/>
              </w:rPr>
              <w:t>%</w:t>
            </w:r>
          </w:p>
        </w:tc>
        <w:tc>
          <w:tcPr>
            <w:tcW w:w="2790" w:type="dxa"/>
          </w:tcPr>
          <w:p w14:paraId="27656394" w14:textId="77777777" w:rsidR="00733C3B" w:rsidRPr="002F5F30" w:rsidRDefault="00733C3B" w:rsidP="00046C74">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sidRPr="002F5F30">
              <w:rPr>
                <w:rFonts w:ascii="Arial" w:eastAsia="Times New Roman" w:hAnsi="Arial" w:cs="Arial"/>
                <w:color w:val="215868" w:themeColor="accent5" w:themeShade="80"/>
                <w:sz w:val="18"/>
                <w:szCs w:val="18"/>
              </w:rPr>
              <w:t>-</w:t>
            </w:r>
            <w:r>
              <w:rPr>
                <w:rFonts w:ascii="Arial" w:eastAsia="Times New Roman" w:hAnsi="Arial" w:cs="Arial"/>
                <w:color w:val="215868" w:themeColor="accent5" w:themeShade="80"/>
                <w:sz w:val="18"/>
                <w:szCs w:val="18"/>
              </w:rPr>
              <w:t>3.5</w:t>
            </w:r>
            <w:r w:rsidRPr="002F5F30">
              <w:rPr>
                <w:rFonts w:ascii="Arial" w:eastAsia="Times New Roman" w:hAnsi="Arial" w:cs="Arial"/>
                <w:color w:val="215868" w:themeColor="accent5" w:themeShade="80"/>
                <w:sz w:val="18"/>
                <w:szCs w:val="18"/>
              </w:rPr>
              <w:t>%</w:t>
            </w:r>
          </w:p>
        </w:tc>
      </w:tr>
      <w:tr w:rsidR="00733C3B" w:rsidRPr="00295B72" w14:paraId="7E3EF73C" w14:textId="77777777" w:rsidTr="00046C74">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685" w:type="dxa"/>
            <w:tcBorders>
              <w:left w:val="none" w:sz="0" w:space="0" w:color="auto"/>
              <w:right w:val="none" w:sz="0" w:space="0" w:color="auto"/>
            </w:tcBorders>
            <w:noWrap/>
          </w:tcPr>
          <w:p w14:paraId="4B15C5F8" w14:textId="77777777" w:rsidR="00733C3B" w:rsidRPr="002F5F30" w:rsidRDefault="00733C3B" w:rsidP="00046C74">
            <w:pPr>
              <w:rPr>
                <w:rFonts w:ascii="Arial" w:eastAsia="Times New Roman" w:hAnsi="Arial" w:cs="Arial"/>
                <w:b w:val="0"/>
                <w:color w:val="215868" w:themeColor="accent5" w:themeShade="80"/>
                <w:sz w:val="18"/>
                <w:szCs w:val="18"/>
              </w:rPr>
            </w:pPr>
            <w:r w:rsidRPr="002F5F30">
              <w:rPr>
                <w:rFonts w:ascii="Arial" w:eastAsia="Times New Roman" w:hAnsi="Arial" w:cs="Arial"/>
                <w:b w:val="0"/>
                <w:color w:val="215868" w:themeColor="accent5" w:themeShade="80"/>
                <w:sz w:val="18"/>
                <w:szCs w:val="18"/>
              </w:rPr>
              <w:t>Total perishables</w:t>
            </w:r>
          </w:p>
        </w:tc>
        <w:tc>
          <w:tcPr>
            <w:tcW w:w="1610" w:type="dxa"/>
            <w:tcBorders>
              <w:left w:val="none" w:sz="0" w:space="0" w:color="auto"/>
              <w:right w:val="none" w:sz="0" w:space="0" w:color="auto"/>
            </w:tcBorders>
          </w:tcPr>
          <w:p w14:paraId="1D589B87" w14:textId="77777777" w:rsidR="00733C3B" w:rsidRPr="002F5F30" w:rsidRDefault="00733C3B" w:rsidP="00046C7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sidRPr="002F5F30">
              <w:rPr>
                <w:rFonts w:ascii="Arial" w:eastAsia="Times New Roman" w:hAnsi="Arial" w:cs="Arial"/>
                <w:color w:val="215868" w:themeColor="accent5" w:themeShade="80"/>
                <w:sz w:val="18"/>
                <w:szCs w:val="18"/>
              </w:rPr>
              <w:t>$</w:t>
            </w:r>
            <w:r>
              <w:rPr>
                <w:rFonts w:ascii="Arial" w:eastAsia="Times New Roman" w:hAnsi="Arial" w:cs="Arial"/>
                <w:color w:val="215868" w:themeColor="accent5" w:themeShade="80"/>
                <w:sz w:val="18"/>
                <w:szCs w:val="18"/>
              </w:rPr>
              <w:t>285</w:t>
            </w:r>
            <w:r w:rsidRPr="002F5F30">
              <w:rPr>
                <w:rFonts w:ascii="Arial" w:eastAsia="Times New Roman" w:hAnsi="Arial" w:cs="Arial"/>
                <w:color w:val="215868" w:themeColor="accent5" w:themeShade="80"/>
                <w:sz w:val="18"/>
                <w:szCs w:val="18"/>
              </w:rPr>
              <w:t>B</w:t>
            </w:r>
          </w:p>
        </w:tc>
        <w:tc>
          <w:tcPr>
            <w:tcW w:w="1825" w:type="dxa"/>
            <w:tcBorders>
              <w:left w:val="none" w:sz="0" w:space="0" w:color="auto"/>
              <w:right w:val="none" w:sz="0" w:space="0" w:color="auto"/>
            </w:tcBorders>
          </w:tcPr>
          <w:p w14:paraId="6B535B1D" w14:textId="77777777" w:rsidR="00733C3B" w:rsidRPr="002F5F30" w:rsidRDefault="00733C3B" w:rsidP="00046C7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eastAsia="Times New Roman" w:hAnsi="Arial" w:cs="Arial"/>
                <w:color w:val="215868" w:themeColor="accent5" w:themeShade="80"/>
                <w:sz w:val="18"/>
                <w:szCs w:val="18"/>
              </w:rPr>
              <w:t>+1.8</w:t>
            </w:r>
            <w:r w:rsidRPr="002F5F30">
              <w:rPr>
                <w:rFonts w:ascii="Arial" w:eastAsia="Times New Roman" w:hAnsi="Arial" w:cs="Arial"/>
                <w:color w:val="215868" w:themeColor="accent5" w:themeShade="80"/>
                <w:sz w:val="18"/>
                <w:szCs w:val="18"/>
              </w:rPr>
              <w:t>%</w:t>
            </w:r>
          </w:p>
        </w:tc>
        <w:tc>
          <w:tcPr>
            <w:tcW w:w="1710" w:type="dxa"/>
            <w:tcBorders>
              <w:left w:val="none" w:sz="0" w:space="0" w:color="auto"/>
              <w:right w:val="none" w:sz="0" w:space="0" w:color="auto"/>
            </w:tcBorders>
          </w:tcPr>
          <w:p w14:paraId="77DB55E7" w14:textId="77777777" w:rsidR="00733C3B" w:rsidRPr="002F5F30" w:rsidRDefault="00733C3B" w:rsidP="00046C7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sidRPr="002F5F30">
              <w:rPr>
                <w:rFonts w:ascii="Arial" w:eastAsia="Times New Roman" w:hAnsi="Arial" w:cs="Arial"/>
                <w:color w:val="215868" w:themeColor="accent5" w:themeShade="80"/>
                <w:sz w:val="18"/>
                <w:szCs w:val="18"/>
              </w:rPr>
              <w:t>+</w:t>
            </w:r>
            <w:r>
              <w:rPr>
                <w:rFonts w:ascii="Arial" w:eastAsia="Times New Roman" w:hAnsi="Arial" w:cs="Arial"/>
                <w:color w:val="215868" w:themeColor="accent5" w:themeShade="80"/>
                <w:sz w:val="18"/>
                <w:szCs w:val="18"/>
              </w:rPr>
              <w:t>14.7</w:t>
            </w:r>
            <w:r w:rsidRPr="002F5F30">
              <w:rPr>
                <w:rFonts w:ascii="Arial" w:eastAsia="Times New Roman" w:hAnsi="Arial" w:cs="Arial"/>
                <w:color w:val="215868" w:themeColor="accent5" w:themeShade="80"/>
                <w:sz w:val="18"/>
                <w:szCs w:val="18"/>
              </w:rPr>
              <w:t>%</w:t>
            </w:r>
          </w:p>
        </w:tc>
        <w:tc>
          <w:tcPr>
            <w:tcW w:w="2790" w:type="dxa"/>
            <w:tcBorders>
              <w:left w:val="none" w:sz="0" w:space="0" w:color="auto"/>
              <w:right w:val="none" w:sz="0" w:space="0" w:color="auto"/>
            </w:tcBorders>
          </w:tcPr>
          <w:p w14:paraId="347B6E30" w14:textId="77777777" w:rsidR="00733C3B" w:rsidRPr="002F5F30" w:rsidRDefault="00733C3B" w:rsidP="00046C74">
            <w:pPr>
              <w:jc w:val="right"/>
              <w:cnfStyle w:val="000000100000" w:firstRow="0" w:lastRow="0" w:firstColumn="0" w:lastColumn="0" w:oddVBand="0" w:evenVBand="0" w:oddHBand="1" w:evenHBand="0" w:firstRowFirstColumn="0" w:firstRowLastColumn="0" w:lastRowFirstColumn="0" w:lastRowLastColumn="0"/>
              <w:rPr>
                <w:color w:val="215868" w:themeColor="accent5" w:themeShade="80"/>
              </w:rPr>
            </w:pPr>
            <w:r w:rsidRPr="002F5F30">
              <w:rPr>
                <w:rFonts w:ascii="Arial" w:eastAsia="Times New Roman" w:hAnsi="Arial" w:cs="Arial"/>
                <w:color w:val="215868" w:themeColor="accent5" w:themeShade="80"/>
                <w:sz w:val="18"/>
                <w:szCs w:val="18"/>
              </w:rPr>
              <w:t>-</w:t>
            </w:r>
            <w:r>
              <w:rPr>
                <w:rFonts w:ascii="Arial" w:eastAsia="Times New Roman" w:hAnsi="Arial" w:cs="Arial"/>
                <w:color w:val="215868" w:themeColor="accent5" w:themeShade="80"/>
                <w:sz w:val="18"/>
                <w:szCs w:val="18"/>
              </w:rPr>
              <w:t>2.4</w:t>
            </w:r>
            <w:r w:rsidRPr="002F5F30">
              <w:rPr>
                <w:rFonts w:ascii="Arial" w:eastAsia="Times New Roman" w:hAnsi="Arial" w:cs="Arial"/>
                <w:color w:val="215868" w:themeColor="accent5" w:themeShade="80"/>
                <w:sz w:val="18"/>
                <w:szCs w:val="18"/>
              </w:rPr>
              <w:t>%</w:t>
            </w:r>
          </w:p>
        </w:tc>
      </w:tr>
      <w:tr w:rsidR="00733C3B" w:rsidRPr="00A30CAC" w14:paraId="020A437C" w14:textId="77777777" w:rsidTr="00046C74">
        <w:trPr>
          <w:trHeight w:val="113"/>
        </w:trPr>
        <w:tc>
          <w:tcPr>
            <w:cnfStyle w:val="001000000000" w:firstRow="0" w:lastRow="0" w:firstColumn="1" w:lastColumn="0" w:oddVBand="0" w:evenVBand="0" w:oddHBand="0" w:evenHBand="0" w:firstRowFirstColumn="0" w:firstRowLastColumn="0" w:lastRowFirstColumn="0" w:lastRowLastColumn="0"/>
            <w:tcW w:w="2685" w:type="dxa"/>
            <w:noWrap/>
          </w:tcPr>
          <w:p w14:paraId="509FA3CB" w14:textId="77777777" w:rsidR="00733C3B" w:rsidRPr="002F5F30" w:rsidRDefault="00733C3B" w:rsidP="00046C74">
            <w:pPr>
              <w:rPr>
                <w:rFonts w:ascii="Arial" w:eastAsia="Times New Roman" w:hAnsi="Arial" w:cs="Arial"/>
                <w:b w:val="0"/>
                <w:color w:val="215868" w:themeColor="accent5" w:themeShade="80"/>
                <w:sz w:val="18"/>
                <w:szCs w:val="18"/>
              </w:rPr>
            </w:pPr>
            <w:r w:rsidRPr="002F5F30">
              <w:rPr>
                <w:rFonts w:ascii="Arial" w:eastAsia="Times New Roman" w:hAnsi="Arial" w:cs="Arial"/>
                <w:b w:val="0"/>
                <w:color w:val="215868" w:themeColor="accent5" w:themeShade="80"/>
                <w:sz w:val="18"/>
                <w:szCs w:val="18"/>
              </w:rPr>
              <w:t>Total frozen</w:t>
            </w:r>
          </w:p>
        </w:tc>
        <w:tc>
          <w:tcPr>
            <w:tcW w:w="1610" w:type="dxa"/>
          </w:tcPr>
          <w:p w14:paraId="175B8B46" w14:textId="77777777" w:rsidR="00733C3B" w:rsidRPr="002F5F30" w:rsidRDefault="00733C3B" w:rsidP="00046C74">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sidRPr="002F5F30">
              <w:rPr>
                <w:rFonts w:ascii="Arial" w:eastAsia="Times New Roman" w:hAnsi="Arial" w:cs="Arial"/>
                <w:color w:val="215868" w:themeColor="accent5" w:themeShade="80"/>
                <w:sz w:val="18"/>
                <w:szCs w:val="18"/>
              </w:rPr>
              <w:t>$</w:t>
            </w:r>
            <w:r>
              <w:rPr>
                <w:rFonts w:ascii="Arial" w:eastAsia="Times New Roman" w:hAnsi="Arial" w:cs="Arial"/>
                <w:color w:val="215868" w:themeColor="accent5" w:themeShade="80"/>
                <w:sz w:val="18"/>
                <w:szCs w:val="18"/>
              </w:rPr>
              <w:t>61</w:t>
            </w:r>
            <w:r w:rsidRPr="002F5F30">
              <w:rPr>
                <w:rFonts w:ascii="Arial" w:eastAsia="Times New Roman" w:hAnsi="Arial" w:cs="Arial"/>
                <w:color w:val="215868" w:themeColor="accent5" w:themeShade="80"/>
                <w:sz w:val="18"/>
                <w:szCs w:val="18"/>
              </w:rPr>
              <w:t>B</w:t>
            </w:r>
          </w:p>
        </w:tc>
        <w:tc>
          <w:tcPr>
            <w:tcW w:w="1825" w:type="dxa"/>
          </w:tcPr>
          <w:p w14:paraId="2DFABED1" w14:textId="77777777" w:rsidR="00733C3B" w:rsidRPr="002F5F30" w:rsidRDefault="00733C3B" w:rsidP="00046C7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eastAsia="Times New Roman" w:hAnsi="Arial" w:cs="Arial"/>
                <w:color w:val="215868" w:themeColor="accent5" w:themeShade="80"/>
                <w:sz w:val="18"/>
                <w:szCs w:val="18"/>
              </w:rPr>
              <w:t>+0.5</w:t>
            </w:r>
            <w:r w:rsidRPr="002F5F30">
              <w:rPr>
                <w:rFonts w:ascii="Arial" w:eastAsia="Times New Roman" w:hAnsi="Arial" w:cs="Arial"/>
                <w:color w:val="215868" w:themeColor="accent5" w:themeShade="80"/>
                <w:sz w:val="18"/>
                <w:szCs w:val="18"/>
              </w:rPr>
              <w:t>%</w:t>
            </w:r>
          </w:p>
        </w:tc>
        <w:tc>
          <w:tcPr>
            <w:tcW w:w="1710" w:type="dxa"/>
          </w:tcPr>
          <w:p w14:paraId="07772F39" w14:textId="77777777" w:rsidR="00733C3B" w:rsidRPr="002F5F30" w:rsidRDefault="00733C3B" w:rsidP="00046C7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sidRPr="002F5F30">
              <w:rPr>
                <w:rFonts w:ascii="Arial" w:eastAsia="Times New Roman" w:hAnsi="Arial" w:cs="Arial"/>
                <w:color w:val="215868" w:themeColor="accent5" w:themeShade="80"/>
                <w:sz w:val="18"/>
                <w:szCs w:val="18"/>
              </w:rPr>
              <w:t>+</w:t>
            </w:r>
            <w:r>
              <w:rPr>
                <w:rFonts w:ascii="Arial" w:eastAsia="Times New Roman" w:hAnsi="Arial" w:cs="Arial"/>
                <w:color w:val="215868" w:themeColor="accent5" w:themeShade="80"/>
                <w:sz w:val="18"/>
                <w:szCs w:val="18"/>
              </w:rPr>
              <w:t>22.8</w:t>
            </w:r>
            <w:r w:rsidRPr="002F5F30">
              <w:rPr>
                <w:rFonts w:ascii="Arial" w:eastAsia="Times New Roman" w:hAnsi="Arial" w:cs="Arial"/>
                <w:color w:val="215868" w:themeColor="accent5" w:themeShade="80"/>
                <w:sz w:val="18"/>
                <w:szCs w:val="18"/>
              </w:rPr>
              <w:t>%</w:t>
            </w:r>
          </w:p>
        </w:tc>
        <w:tc>
          <w:tcPr>
            <w:tcW w:w="2790" w:type="dxa"/>
          </w:tcPr>
          <w:p w14:paraId="025B4247" w14:textId="77777777" w:rsidR="00733C3B" w:rsidRPr="002F5F30" w:rsidRDefault="00733C3B" w:rsidP="00046C74">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sidRPr="002F5F30">
              <w:rPr>
                <w:rFonts w:ascii="Arial" w:eastAsia="Times New Roman" w:hAnsi="Arial" w:cs="Arial"/>
                <w:color w:val="215868" w:themeColor="accent5" w:themeShade="80"/>
                <w:sz w:val="18"/>
                <w:szCs w:val="18"/>
              </w:rPr>
              <w:t>-</w:t>
            </w:r>
            <w:r>
              <w:rPr>
                <w:rFonts w:ascii="Arial" w:eastAsia="Times New Roman" w:hAnsi="Arial" w:cs="Arial"/>
                <w:color w:val="215868" w:themeColor="accent5" w:themeShade="80"/>
                <w:sz w:val="18"/>
                <w:szCs w:val="18"/>
              </w:rPr>
              <w:t>3.3</w:t>
            </w:r>
            <w:r w:rsidRPr="002F5F30">
              <w:rPr>
                <w:rFonts w:ascii="Arial" w:eastAsia="Times New Roman" w:hAnsi="Arial" w:cs="Arial"/>
                <w:color w:val="215868" w:themeColor="accent5" w:themeShade="80"/>
                <w:sz w:val="18"/>
                <w:szCs w:val="18"/>
              </w:rPr>
              <w:t>%</w:t>
            </w:r>
          </w:p>
        </w:tc>
      </w:tr>
    </w:tbl>
    <w:p w14:paraId="5ECBAD89" w14:textId="77777777" w:rsidR="00733C3B" w:rsidRPr="00B64ECF" w:rsidRDefault="00733C3B" w:rsidP="00733C3B">
      <w:pPr>
        <w:pStyle w:val="NoSpacing"/>
        <w:rPr>
          <w:rFonts w:ascii="Arial" w:hAnsi="Arial" w:cs="Arial"/>
          <w:sz w:val="12"/>
          <w:szCs w:val="16"/>
        </w:rPr>
      </w:pPr>
    </w:p>
    <w:p w14:paraId="46CD482A" w14:textId="77777777" w:rsidR="00733C3B" w:rsidRPr="00A04CFB" w:rsidRDefault="00733C3B" w:rsidP="00733C3B">
      <w:pPr>
        <w:pStyle w:val="NoSpacing"/>
        <w:rPr>
          <w:rFonts w:ascii="Arial" w:hAnsi="Arial" w:cs="Arial"/>
          <w:color w:val="7F7F7F" w:themeColor="text1" w:themeTint="80"/>
          <w:sz w:val="16"/>
          <w:szCs w:val="16"/>
        </w:rPr>
      </w:pPr>
      <w:r w:rsidRPr="00A04CFB">
        <w:rPr>
          <w:rFonts w:ascii="Arial" w:hAnsi="Arial" w:cs="Arial"/>
          <w:color w:val="7F7F7F" w:themeColor="text1" w:themeTint="80"/>
          <w:sz w:val="16"/>
          <w:szCs w:val="16"/>
        </w:rPr>
        <w:t>Source: IRI, Integrated Fresh, Total US, MULO, % change vs. year ago.</w:t>
      </w:r>
    </w:p>
    <w:p w14:paraId="7BA4B18A" w14:textId="77777777" w:rsidR="00CF43CE" w:rsidRPr="00A56386" w:rsidRDefault="00CF43CE" w:rsidP="00CF43CE">
      <w:pPr>
        <w:pStyle w:val="NoSpacing"/>
        <w:rPr>
          <w:rFonts w:ascii="Arial" w:hAnsi="Arial" w:cs="Arial"/>
          <w:sz w:val="20"/>
          <w:szCs w:val="20"/>
        </w:rPr>
      </w:pPr>
    </w:p>
    <w:p w14:paraId="3938555E" w14:textId="77777777" w:rsidR="00733C3B" w:rsidRPr="00355721" w:rsidRDefault="00733C3B" w:rsidP="00733C3B">
      <w:pPr>
        <w:pStyle w:val="NoSpacing"/>
        <w:rPr>
          <w:rFonts w:ascii="Arial" w:hAnsi="Arial" w:cs="Arial"/>
          <w:b/>
          <w:color w:val="595959" w:themeColor="text1" w:themeTint="A6"/>
          <w:sz w:val="24"/>
          <w:szCs w:val="20"/>
        </w:rPr>
      </w:pPr>
      <w:r w:rsidRPr="00355721">
        <w:rPr>
          <w:rFonts w:ascii="Arial" w:hAnsi="Arial" w:cs="Arial"/>
          <w:b/>
          <w:color w:val="595959" w:themeColor="text1" w:themeTint="A6"/>
          <w:sz w:val="24"/>
          <w:szCs w:val="20"/>
        </w:rPr>
        <w:t>Inflation</w:t>
      </w:r>
    </w:p>
    <w:p w14:paraId="412FC081" w14:textId="77777777" w:rsidR="00733C3B" w:rsidRDefault="00733C3B" w:rsidP="00733C3B">
      <w:pPr>
        <w:pStyle w:val="NoSpacing"/>
        <w:rPr>
          <w:rFonts w:ascii="Arial" w:hAnsi="Arial" w:cs="Arial"/>
          <w:color w:val="000000" w:themeColor="text1"/>
          <w:sz w:val="20"/>
          <w:szCs w:val="20"/>
        </w:rPr>
      </w:pPr>
      <w:r>
        <w:rPr>
          <w:rFonts w:ascii="Arial" w:hAnsi="Arial" w:cs="Arial"/>
          <w:color w:val="000000" w:themeColor="text1"/>
          <w:sz w:val="20"/>
          <w:szCs w:val="20"/>
        </w:rPr>
        <w:t xml:space="preserve">The consumer price index increased 6.8% in November 2021, the largest year-over-year increase in 39 years, according to the Labor Department. </w:t>
      </w:r>
      <w:r>
        <w:rPr>
          <w:rFonts w:ascii="Arial" w:hAnsi="Arial" w:cs="Arial"/>
          <w:sz w:val="20"/>
          <w:szCs w:val="20"/>
        </w:rPr>
        <w:t xml:space="preserve">IRI-measured price per volume also shows that prices continued to rise over and above their elevated 2020 levels for food and beverages, indexing at 107 for each of the November weeks. </w:t>
      </w:r>
    </w:p>
    <w:p w14:paraId="5FF8F37F" w14:textId="77777777" w:rsidR="00733C3B" w:rsidRDefault="00733C3B" w:rsidP="00733C3B">
      <w:pPr>
        <w:pStyle w:val="NoSpacing"/>
        <w:rPr>
          <w:rFonts w:ascii="Arial" w:hAnsi="Arial" w:cs="Arial"/>
          <w:b/>
          <w:color w:val="595959" w:themeColor="text1" w:themeTint="A6"/>
          <w:sz w:val="24"/>
          <w:szCs w:val="20"/>
        </w:rPr>
      </w:pPr>
    </w:p>
    <w:tbl>
      <w:tblPr>
        <w:tblStyle w:val="LightShading-Accent5"/>
        <w:tblW w:w="10745" w:type="dxa"/>
        <w:tblBorders>
          <w:top w:val="none" w:sz="0" w:space="0" w:color="auto"/>
          <w:bottom w:val="none" w:sz="0" w:space="0" w:color="auto"/>
        </w:tblBorders>
        <w:tblCellMar>
          <w:left w:w="57" w:type="dxa"/>
          <w:right w:w="57" w:type="dxa"/>
        </w:tblCellMar>
        <w:tblLook w:val="04A0" w:firstRow="1" w:lastRow="0" w:firstColumn="1" w:lastColumn="0" w:noHBand="0" w:noVBand="1"/>
      </w:tblPr>
      <w:tblGrid>
        <w:gridCol w:w="1632"/>
        <w:gridCol w:w="449"/>
        <w:gridCol w:w="449"/>
        <w:gridCol w:w="465"/>
        <w:gridCol w:w="465"/>
        <w:gridCol w:w="465"/>
        <w:gridCol w:w="449"/>
        <w:gridCol w:w="465"/>
        <w:gridCol w:w="465"/>
        <w:gridCol w:w="465"/>
        <w:gridCol w:w="465"/>
        <w:gridCol w:w="565"/>
        <w:gridCol w:w="565"/>
        <w:gridCol w:w="565"/>
        <w:gridCol w:w="565"/>
        <w:gridCol w:w="556"/>
        <w:gridCol w:w="565"/>
        <w:gridCol w:w="565"/>
        <w:gridCol w:w="565"/>
      </w:tblGrid>
      <w:tr w:rsidR="00733C3B" w:rsidRPr="00770F6B" w14:paraId="7D9C7BCD" w14:textId="77777777" w:rsidTr="00046C7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4" w:type="dxa"/>
            <w:shd w:val="clear" w:color="auto" w:fill="17365D" w:themeFill="text2" w:themeFillShade="BF"/>
            <w:vAlign w:val="center"/>
          </w:tcPr>
          <w:p w14:paraId="6CA238C9" w14:textId="77777777" w:rsidR="00733C3B" w:rsidRPr="006C208B" w:rsidRDefault="00733C3B" w:rsidP="00046C74">
            <w:pPr>
              <w:pStyle w:val="NoSpacing"/>
              <w:rPr>
                <w:rFonts w:ascii="Arial" w:hAnsi="Arial" w:cs="Arial"/>
                <w:b w:val="0"/>
                <w:color w:val="F2F2F2" w:themeColor="background1" w:themeShade="F2"/>
                <w:sz w:val="18"/>
                <w:szCs w:val="18"/>
              </w:rPr>
            </w:pPr>
            <w:r w:rsidRPr="006C208B">
              <w:rPr>
                <w:rFonts w:ascii="Arial" w:hAnsi="Arial" w:cs="Arial"/>
                <w:b w:val="0"/>
                <w:color w:val="F2F2F2" w:themeColor="background1" w:themeShade="F2"/>
                <w:sz w:val="18"/>
                <w:szCs w:val="18"/>
              </w:rPr>
              <w:t>Average price</w:t>
            </w:r>
          </w:p>
        </w:tc>
        <w:tc>
          <w:tcPr>
            <w:tcW w:w="452" w:type="dxa"/>
            <w:shd w:val="clear" w:color="auto" w:fill="17365D" w:themeFill="text2" w:themeFillShade="BF"/>
          </w:tcPr>
          <w:p w14:paraId="26695535" w14:textId="77777777" w:rsidR="00733C3B" w:rsidRPr="006C208B" w:rsidRDefault="00733C3B" w:rsidP="00046C74">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sidRPr="006C208B">
              <w:rPr>
                <w:rFonts w:ascii="Arial" w:hAnsi="Arial" w:cs="Arial"/>
                <w:color w:val="F2F2F2" w:themeColor="background1" w:themeShade="F2"/>
                <w:sz w:val="18"/>
                <w:szCs w:val="18"/>
              </w:rPr>
              <w:t>8/1</w:t>
            </w:r>
          </w:p>
        </w:tc>
        <w:tc>
          <w:tcPr>
            <w:tcW w:w="452" w:type="dxa"/>
            <w:shd w:val="clear" w:color="auto" w:fill="17365D" w:themeFill="text2" w:themeFillShade="BF"/>
          </w:tcPr>
          <w:p w14:paraId="31F6922B" w14:textId="77777777" w:rsidR="00733C3B" w:rsidRPr="006C208B" w:rsidRDefault="00733C3B" w:rsidP="00046C74">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sidRPr="006C208B">
              <w:rPr>
                <w:rFonts w:ascii="Arial" w:hAnsi="Arial" w:cs="Arial"/>
                <w:color w:val="F2F2F2" w:themeColor="background1" w:themeShade="F2"/>
                <w:sz w:val="18"/>
                <w:szCs w:val="18"/>
              </w:rPr>
              <w:t>8/8</w:t>
            </w:r>
          </w:p>
        </w:tc>
        <w:tc>
          <w:tcPr>
            <w:tcW w:w="465" w:type="dxa"/>
            <w:shd w:val="clear" w:color="auto" w:fill="17365D" w:themeFill="text2" w:themeFillShade="BF"/>
          </w:tcPr>
          <w:p w14:paraId="5B525323" w14:textId="77777777" w:rsidR="00733C3B" w:rsidRPr="006C208B" w:rsidRDefault="00733C3B" w:rsidP="00046C74">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sidRPr="006C208B">
              <w:rPr>
                <w:rFonts w:ascii="Arial" w:hAnsi="Arial" w:cs="Arial"/>
                <w:color w:val="F2F2F2" w:themeColor="background1" w:themeShade="F2"/>
                <w:sz w:val="18"/>
                <w:szCs w:val="18"/>
              </w:rPr>
              <w:t>8/15</w:t>
            </w:r>
          </w:p>
        </w:tc>
        <w:tc>
          <w:tcPr>
            <w:tcW w:w="465" w:type="dxa"/>
            <w:shd w:val="clear" w:color="auto" w:fill="17365D" w:themeFill="text2" w:themeFillShade="BF"/>
          </w:tcPr>
          <w:p w14:paraId="004C458D" w14:textId="77777777" w:rsidR="00733C3B" w:rsidRPr="006C208B" w:rsidRDefault="00733C3B" w:rsidP="00046C74">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sidRPr="006C208B">
              <w:rPr>
                <w:rFonts w:ascii="Arial" w:hAnsi="Arial" w:cs="Arial"/>
                <w:color w:val="F2F2F2" w:themeColor="background1" w:themeShade="F2"/>
                <w:sz w:val="18"/>
                <w:szCs w:val="18"/>
              </w:rPr>
              <w:t>8/22</w:t>
            </w:r>
          </w:p>
        </w:tc>
        <w:tc>
          <w:tcPr>
            <w:tcW w:w="465" w:type="dxa"/>
            <w:shd w:val="clear" w:color="auto" w:fill="17365D" w:themeFill="text2" w:themeFillShade="BF"/>
          </w:tcPr>
          <w:p w14:paraId="0914F1EA" w14:textId="77777777" w:rsidR="00733C3B" w:rsidRPr="006C208B" w:rsidRDefault="00733C3B" w:rsidP="00046C74">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sidRPr="006C208B">
              <w:rPr>
                <w:rFonts w:ascii="Arial" w:hAnsi="Arial" w:cs="Arial"/>
                <w:color w:val="F2F2F2" w:themeColor="background1" w:themeShade="F2"/>
                <w:sz w:val="18"/>
                <w:szCs w:val="18"/>
              </w:rPr>
              <w:t>8/29</w:t>
            </w:r>
          </w:p>
        </w:tc>
        <w:tc>
          <w:tcPr>
            <w:tcW w:w="452" w:type="dxa"/>
            <w:shd w:val="clear" w:color="auto" w:fill="17365D" w:themeFill="text2" w:themeFillShade="BF"/>
          </w:tcPr>
          <w:p w14:paraId="039160A0" w14:textId="77777777" w:rsidR="00733C3B" w:rsidRPr="006C208B" w:rsidRDefault="00733C3B" w:rsidP="00046C74">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9/5</w:t>
            </w:r>
          </w:p>
        </w:tc>
        <w:tc>
          <w:tcPr>
            <w:tcW w:w="465" w:type="dxa"/>
            <w:shd w:val="clear" w:color="auto" w:fill="17365D" w:themeFill="text2" w:themeFillShade="BF"/>
          </w:tcPr>
          <w:p w14:paraId="7B3487F8" w14:textId="77777777" w:rsidR="00733C3B" w:rsidRPr="006C208B" w:rsidRDefault="00733C3B" w:rsidP="00046C74">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9/12</w:t>
            </w:r>
          </w:p>
        </w:tc>
        <w:tc>
          <w:tcPr>
            <w:tcW w:w="465" w:type="dxa"/>
            <w:shd w:val="clear" w:color="auto" w:fill="17365D" w:themeFill="text2" w:themeFillShade="BF"/>
          </w:tcPr>
          <w:p w14:paraId="29512C56" w14:textId="77777777" w:rsidR="00733C3B" w:rsidRPr="006C208B" w:rsidRDefault="00733C3B" w:rsidP="00046C74">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9/19</w:t>
            </w:r>
          </w:p>
        </w:tc>
        <w:tc>
          <w:tcPr>
            <w:tcW w:w="465" w:type="dxa"/>
            <w:shd w:val="clear" w:color="auto" w:fill="17365D" w:themeFill="text2" w:themeFillShade="BF"/>
          </w:tcPr>
          <w:p w14:paraId="2A1E99C3" w14:textId="77777777" w:rsidR="00733C3B" w:rsidRPr="006C208B" w:rsidRDefault="00733C3B" w:rsidP="00046C74">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9/26</w:t>
            </w:r>
          </w:p>
        </w:tc>
        <w:tc>
          <w:tcPr>
            <w:tcW w:w="465" w:type="dxa"/>
            <w:shd w:val="clear" w:color="auto" w:fill="17365D" w:themeFill="text2" w:themeFillShade="BF"/>
          </w:tcPr>
          <w:p w14:paraId="72FDA25B" w14:textId="77777777" w:rsidR="00733C3B" w:rsidRDefault="00733C3B" w:rsidP="00046C74">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10/3</w:t>
            </w:r>
          </w:p>
        </w:tc>
        <w:tc>
          <w:tcPr>
            <w:tcW w:w="565" w:type="dxa"/>
            <w:shd w:val="clear" w:color="auto" w:fill="17365D" w:themeFill="text2" w:themeFillShade="BF"/>
          </w:tcPr>
          <w:p w14:paraId="074A7912" w14:textId="77777777" w:rsidR="00733C3B" w:rsidRDefault="00733C3B" w:rsidP="00046C74">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10/10</w:t>
            </w:r>
          </w:p>
        </w:tc>
        <w:tc>
          <w:tcPr>
            <w:tcW w:w="565" w:type="dxa"/>
            <w:shd w:val="clear" w:color="auto" w:fill="17365D" w:themeFill="text2" w:themeFillShade="BF"/>
          </w:tcPr>
          <w:p w14:paraId="4F134C54" w14:textId="77777777" w:rsidR="00733C3B" w:rsidRDefault="00733C3B" w:rsidP="00046C74">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10/17</w:t>
            </w:r>
          </w:p>
        </w:tc>
        <w:tc>
          <w:tcPr>
            <w:tcW w:w="565" w:type="dxa"/>
            <w:shd w:val="clear" w:color="auto" w:fill="17365D" w:themeFill="text2" w:themeFillShade="BF"/>
          </w:tcPr>
          <w:p w14:paraId="32641379" w14:textId="77777777" w:rsidR="00733C3B" w:rsidRDefault="00733C3B" w:rsidP="00046C74">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10/24</w:t>
            </w:r>
          </w:p>
        </w:tc>
        <w:tc>
          <w:tcPr>
            <w:tcW w:w="565" w:type="dxa"/>
            <w:shd w:val="clear" w:color="auto" w:fill="17365D" w:themeFill="text2" w:themeFillShade="BF"/>
          </w:tcPr>
          <w:p w14:paraId="444BE472" w14:textId="77777777" w:rsidR="00733C3B" w:rsidRDefault="00733C3B" w:rsidP="00046C74">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10/31</w:t>
            </w:r>
          </w:p>
        </w:tc>
        <w:tc>
          <w:tcPr>
            <w:tcW w:w="565" w:type="dxa"/>
            <w:shd w:val="clear" w:color="auto" w:fill="17365D" w:themeFill="text2" w:themeFillShade="BF"/>
          </w:tcPr>
          <w:p w14:paraId="2E87BAF0" w14:textId="77777777" w:rsidR="00733C3B" w:rsidRDefault="00733C3B" w:rsidP="00046C74">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11/7</w:t>
            </w:r>
          </w:p>
        </w:tc>
        <w:tc>
          <w:tcPr>
            <w:tcW w:w="565" w:type="dxa"/>
            <w:shd w:val="clear" w:color="auto" w:fill="17365D" w:themeFill="text2" w:themeFillShade="BF"/>
          </w:tcPr>
          <w:p w14:paraId="281B54A4" w14:textId="77777777" w:rsidR="00733C3B" w:rsidRDefault="00733C3B" w:rsidP="00046C74">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11/14</w:t>
            </w:r>
          </w:p>
        </w:tc>
        <w:tc>
          <w:tcPr>
            <w:tcW w:w="525" w:type="dxa"/>
            <w:shd w:val="clear" w:color="auto" w:fill="17365D" w:themeFill="text2" w:themeFillShade="BF"/>
          </w:tcPr>
          <w:p w14:paraId="3B8AEE0C" w14:textId="77777777" w:rsidR="00733C3B" w:rsidRDefault="00733C3B" w:rsidP="00046C74">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11/21</w:t>
            </w:r>
          </w:p>
        </w:tc>
        <w:tc>
          <w:tcPr>
            <w:tcW w:w="525" w:type="dxa"/>
            <w:shd w:val="clear" w:color="auto" w:fill="17365D" w:themeFill="text2" w:themeFillShade="BF"/>
          </w:tcPr>
          <w:p w14:paraId="5BDB0D5C" w14:textId="77777777" w:rsidR="00733C3B" w:rsidRDefault="00733C3B" w:rsidP="00046C74">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11/28</w:t>
            </w:r>
          </w:p>
        </w:tc>
      </w:tr>
      <w:tr w:rsidR="00733C3B" w:rsidRPr="00617F9E" w14:paraId="64B41F45" w14:textId="77777777" w:rsidTr="00046C7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4" w:type="dxa"/>
            <w:vAlign w:val="center"/>
          </w:tcPr>
          <w:p w14:paraId="77467190" w14:textId="77777777" w:rsidR="00733C3B" w:rsidRPr="006C208B" w:rsidRDefault="00733C3B" w:rsidP="00046C74">
            <w:pPr>
              <w:pStyle w:val="NoSpacing"/>
              <w:rPr>
                <w:rFonts w:ascii="Arial" w:hAnsi="Arial" w:cs="Arial"/>
                <w:sz w:val="18"/>
                <w:szCs w:val="18"/>
              </w:rPr>
            </w:pPr>
            <w:r w:rsidRPr="006C208B">
              <w:rPr>
                <w:rFonts w:ascii="Arial" w:hAnsi="Arial" w:cs="Arial"/>
                <w:sz w:val="18"/>
                <w:szCs w:val="18"/>
              </w:rPr>
              <w:t>Total food and beverages</w:t>
            </w:r>
          </w:p>
        </w:tc>
        <w:tc>
          <w:tcPr>
            <w:tcW w:w="452" w:type="dxa"/>
          </w:tcPr>
          <w:p w14:paraId="647F9886" w14:textId="77777777" w:rsidR="00733C3B" w:rsidRPr="006C208B" w:rsidRDefault="00733C3B" w:rsidP="00046C74">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C208B">
              <w:rPr>
                <w:rFonts w:ascii="Arial" w:hAnsi="Arial" w:cs="Arial"/>
                <w:sz w:val="18"/>
                <w:szCs w:val="18"/>
              </w:rPr>
              <w:t>104</w:t>
            </w:r>
          </w:p>
        </w:tc>
        <w:tc>
          <w:tcPr>
            <w:tcW w:w="452" w:type="dxa"/>
          </w:tcPr>
          <w:p w14:paraId="0E0B2639" w14:textId="77777777" w:rsidR="00733C3B" w:rsidRPr="006C208B" w:rsidRDefault="00733C3B" w:rsidP="00046C74">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C208B">
              <w:rPr>
                <w:rFonts w:ascii="Arial" w:hAnsi="Arial" w:cs="Arial"/>
                <w:sz w:val="18"/>
                <w:szCs w:val="18"/>
              </w:rPr>
              <w:t>105</w:t>
            </w:r>
          </w:p>
        </w:tc>
        <w:tc>
          <w:tcPr>
            <w:tcW w:w="465" w:type="dxa"/>
          </w:tcPr>
          <w:p w14:paraId="5CC60E81" w14:textId="77777777" w:rsidR="00733C3B" w:rsidRPr="006C208B" w:rsidRDefault="00733C3B" w:rsidP="00046C74">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C208B">
              <w:rPr>
                <w:rFonts w:ascii="Arial" w:hAnsi="Arial" w:cs="Arial"/>
                <w:sz w:val="18"/>
                <w:szCs w:val="18"/>
              </w:rPr>
              <w:t>105</w:t>
            </w:r>
          </w:p>
        </w:tc>
        <w:tc>
          <w:tcPr>
            <w:tcW w:w="465" w:type="dxa"/>
          </w:tcPr>
          <w:p w14:paraId="352754BD" w14:textId="77777777" w:rsidR="00733C3B" w:rsidRPr="006C208B" w:rsidRDefault="00733C3B" w:rsidP="00046C74">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C208B">
              <w:rPr>
                <w:rFonts w:ascii="Arial" w:hAnsi="Arial" w:cs="Arial"/>
                <w:sz w:val="18"/>
                <w:szCs w:val="18"/>
              </w:rPr>
              <w:t>106</w:t>
            </w:r>
          </w:p>
        </w:tc>
        <w:tc>
          <w:tcPr>
            <w:tcW w:w="465" w:type="dxa"/>
          </w:tcPr>
          <w:p w14:paraId="40EAA363" w14:textId="77777777" w:rsidR="00733C3B" w:rsidRPr="006C208B" w:rsidRDefault="00733C3B" w:rsidP="00046C74">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C208B">
              <w:rPr>
                <w:rFonts w:ascii="Arial" w:hAnsi="Arial" w:cs="Arial"/>
                <w:sz w:val="18"/>
                <w:szCs w:val="18"/>
              </w:rPr>
              <w:t>106</w:t>
            </w:r>
          </w:p>
        </w:tc>
        <w:tc>
          <w:tcPr>
            <w:tcW w:w="452" w:type="dxa"/>
          </w:tcPr>
          <w:p w14:paraId="048AE6CF" w14:textId="77777777" w:rsidR="00733C3B" w:rsidRPr="006C208B" w:rsidRDefault="00733C3B" w:rsidP="00046C74">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105</w:t>
            </w:r>
          </w:p>
        </w:tc>
        <w:tc>
          <w:tcPr>
            <w:tcW w:w="465" w:type="dxa"/>
          </w:tcPr>
          <w:p w14:paraId="5FC53E82" w14:textId="77777777" w:rsidR="00733C3B" w:rsidRPr="006C208B" w:rsidRDefault="00733C3B" w:rsidP="00046C74">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106</w:t>
            </w:r>
          </w:p>
        </w:tc>
        <w:tc>
          <w:tcPr>
            <w:tcW w:w="465" w:type="dxa"/>
          </w:tcPr>
          <w:p w14:paraId="2CFBDA9E" w14:textId="77777777" w:rsidR="00733C3B" w:rsidRPr="006C208B" w:rsidRDefault="00733C3B" w:rsidP="00046C74">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106</w:t>
            </w:r>
          </w:p>
        </w:tc>
        <w:tc>
          <w:tcPr>
            <w:tcW w:w="465" w:type="dxa"/>
          </w:tcPr>
          <w:p w14:paraId="54FEAD9F" w14:textId="77777777" w:rsidR="00733C3B" w:rsidRPr="006C208B" w:rsidRDefault="00733C3B" w:rsidP="00046C74">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106</w:t>
            </w:r>
          </w:p>
        </w:tc>
        <w:tc>
          <w:tcPr>
            <w:tcW w:w="465" w:type="dxa"/>
          </w:tcPr>
          <w:p w14:paraId="49579EE1" w14:textId="77777777" w:rsidR="00733C3B" w:rsidRDefault="00733C3B" w:rsidP="00046C74">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107</w:t>
            </w:r>
          </w:p>
        </w:tc>
        <w:tc>
          <w:tcPr>
            <w:tcW w:w="565" w:type="dxa"/>
          </w:tcPr>
          <w:p w14:paraId="4176E9B7" w14:textId="77777777" w:rsidR="00733C3B" w:rsidRDefault="00733C3B" w:rsidP="00046C74">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107</w:t>
            </w:r>
          </w:p>
        </w:tc>
        <w:tc>
          <w:tcPr>
            <w:tcW w:w="565" w:type="dxa"/>
          </w:tcPr>
          <w:p w14:paraId="09F0F25E" w14:textId="77777777" w:rsidR="00733C3B" w:rsidRDefault="00733C3B" w:rsidP="00046C74">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107</w:t>
            </w:r>
          </w:p>
        </w:tc>
        <w:tc>
          <w:tcPr>
            <w:tcW w:w="565" w:type="dxa"/>
          </w:tcPr>
          <w:p w14:paraId="7B8EAE4D" w14:textId="77777777" w:rsidR="00733C3B" w:rsidRDefault="00733C3B" w:rsidP="00046C74">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107</w:t>
            </w:r>
          </w:p>
        </w:tc>
        <w:tc>
          <w:tcPr>
            <w:tcW w:w="565" w:type="dxa"/>
          </w:tcPr>
          <w:p w14:paraId="2BC1BBFB" w14:textId="77777777" w:rsidR="00733C3B" w:rsidRDefault="00733C3B" w:rsidP="00046C74">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107</w:t>
            </w:r>
          </w:p>
        </w:tc>
        <w:tc>
          <w:tcPr>
            <w:tcW w:w="565" w:type="dxa"/>
          </w:tcPr>
          <w:p w14:paraId="42555756" w14:textId="77777777" w:rsidR="00733C3B" w:rsidRDefault="00733C3B" w:rsidP="00046C74">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107</w:t>
            </w:r>
          </w:p>
        </w:tc>
        <w:tc>
          <w:tcPr>
            <w:tcW w:w="565" w:type="dxa"/>
          </w:tcPr>
          <w:p w14:paraId="5F045F33" w14:textId="77777777" w:rsidR="00733C3B" w:rsidRDefault="00733C3B" w:rsidP="00046C74">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108</w:t>
            </w:r>
          </w:p>
        </w:tc>
        <w:tc>
          <w:tcPr>
            <w:tcW w:w="525" w:type="dxa"/>
          </w:tcPr>
          <w:p w14:paraId="45C50304" w14:textId="77777777" w:rsidR="00733C3B" w:rsidRDefault="00733C3B" w:rsidP="00046C74">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107</w:t>
            </w:r>
          </w:p>
        </w:tc>
        <w:tc>
          <w:tcPr>
            <w:tcW w:w="525" w:type="dxa"/>
          </w:tcPr>
          <w:p w14:paraId="321181FA" w14:textId="77777777" w:rsidR="00733C3B" w:rsidRDefault="00733C3B" w:rsidP="00046C74">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107</w:t>
            </w:r>
          </w:p>
        </w:tc>
      </w:tr>
    </w:tbl>
    <w:p w14:paraId="6D2096E5" w14:textId="77777777" w:rsidR="00733C3B" w:rsidRPr="00392CAA" w:rsidRDefault="00733C3B" w:rsidP="00733C3B">
      <w:pPr>
        <w:pStyle w:val="NoSpacing"/>
        <w:rPr>
          <w:rFonts w:ascii="Arial" w:hAnsi="Arial" w:cs="Arial"/>
          <w:sz w:val="10"/>
          <w:szCs w:val="10"/>
        </w:rPr>
      </w:pPr>
    </w:p>
    <w:p w14:paraId="1649C090" w14:textId="77777777" w:rsidR="00733C3B" w:rsidRPr="005C6A11" w:rsidRDefault="00733C3B" w:rsidP="00733C3B">
      <w:pPr>
        <w:pStyle w:val="NoSpacing"/>
        <w:rPr>
          <w:rFonts w:ascii="Arial" w:hAnsi="Arial" w:cs="Arial"/>
          <w:sz w:val="16"/>
          <w:szCs w:val="16"/>
        </w:rPr>
      </w:pPr>
      <w:r w:rsidRPr="005C6A11">
        <w:rPr>
          <w:rFonts w:ascii="Arial" w:hAnsi="Arial" w:cs="Arial"/>
          <w:sz w:val="16"/>
          <w:szCs w:val="16"/>
        </w:rPr>
        <w:t xml:space="preserve">Source: IRI, </w:t>
      </w:r>
      <w:r>
        <w:rPr>
          <w:rFonts w:ascii="Arial" w:hAnsi="Arial" w:cs="Arial"/>
          <w:sz w:val="16"/>
          <w:szCs w:val="16"/>
        </w:rPr>
        <w:t xml:space="preserve">Integrated Fresh </w:t>
      </w:r>
      <w:r w:rsidRPr="005C6A11">
        <w:rPr>
          <w:rFonts w:ascii="Arial" w:hAnsi="Arial" w:cs="Arial"/>
          <w:sz w:val="16"/>
          <w:szCs w:val="16"/>
        </w:rPr>
        <w:t xml:space="preserve">Total US, MULO, </w:t>
      </w:r>
      <w:r>
        <w:rPr>
          <w:rFonts w:ascii="Arial" w:hAnsi="Arial" w:cs="Arial"/>
          <w:sz w:val="16"/>
          <w:szCs w:val="16"/>
        </w:rPr>
        <w:t>inflation index vs. YAGO</w:t>
      </w:r>
    </w:p>
    <w:p w14:paraId="1283C3A0" w14:textId="77777777" w:rsidR="00AE509A" w:rsidRDefault="00AE509A" w:rsidP="00732CE6">
      <w:pPr>
        <w:pStyle w:val="NoSpacing"/>
        <w:rPr>
          <w:rFonts w:ascii="Arial" w:hAnsi="Arial" w:cs="Arial"/>
          <w:sz w:val="16"/>
          <w:szCs w:val="16"/>
        </w:rPr>
      </w:pPr>
    </w:p>
    <w:p w14:paraId="63F48067" w14:textId="683A755A" w:rsidR="00ED74DD" w:rsidRDefault="00ED74DD" w:rsidP="00ED74DD">
      <w:pPr>
        <w:pStyle w:val="NoSpacing"/>
        <w:rPr>
          <w:rFonts w:ascii="Arial" w:hAnsi="Arial" w:cs="Arial"/>
          <w:color w:val="000000" w:themeColor="text1"/>
          <w:sz w:val="20"/>
          <w:szCs w:val="20"/>
        </w:rPr>
      </w:pPr>
      <w:r>
        <w:rPr>
          <w:rFonts w:ascii="Arial" w:hAnsi="Arial" w:cs="Arial"/>
          <w:sz w:val="20"/>
          <w:szCs w:val="20"/>
        </w:rPr>
        <w:t>Fresh produce prices are also higher than last year. Year-to-date, prices for total fresh produce are about 6% higher than they were last year. Inflation for fruit is above average, at +</w:t>
      </w:r>
      <w:r w:rsidR="009A0F69">
        <w:rPr>
          <w:rFonts w:ascii="Arial" w:hAnsi="Arial" w:cs="Arial"/>
          <w:sz w:val="20"/>
          <w:szCs w:val="20"/>
        </w:rPr>
        <w:t>8.2</w:t>
      </w:r>
      <w:r>
        <w:rPr>
          <w:rFonts w:ascii="Arial" w:hAnsi="Arial" w:cs="Arial"/>
          <w:sz w:val="20"/>
          <w:szCs w:val="20"/>
        </w:rPr>
        <w:t xml:space="preserve">% year-to-date through </w:t>
      </w:r>
      <w:r w:rsidR="009A0F69">
        <w:rPr>
          <w:rFonts w:ascii="Arial" w:hAnsi="Arial" w:cs="Arial"/>
          <w:sz w:val="20"/>
          <w:szCs w:val="20"/>
        </w:rPr>
        <w:t>November 28</w:t>
      </w:r>
      <w:r>
        <w:rPr>
          <w:rFonts w:ascii="Arial" w:hAnsi="Arial" w:cs="Arial"/>
          <w:sz w:val="20"/>
          <w:szCs w:val="20"/>
        </w:rPr>
        <w:t xml:space="preserve">. Fruit prices during </w:t>
      </w:r>
      <w:r w:rsidR="009A0F69">
        <w:rPr>
          <w:rFonts w:ascii="Arial" w:hAnsi="Arial" w:cs="Arial"/>
          <w:sz w:val="20"/>
          <w:szCs w:val="20"/>
        </w:rPr>
        <w:t xml:space="preserve">November </w:t>
      </w:r>
      <w:r>
        <w:rPr>
          <w:rFonts w:ascii="Arial" w:hAnsi="Arial" w:cs="Arial"/>
          <w:sz w:val="20"/>
          <w:szCs w:val="20"/>
        </w:rPr>
        <w:t xml:space="preserve">2021 were </w:t>
      </w:r>
      <w:r w:rsidR="009A0F69">
        <w:rPr>
          <w:rFonts w:ascii="Arial" w:hAnsi="Arial" w:cs="Arial"/>
          <w:sz w:val="20"/>
          <w:szCs w:val="20"/>
        </w:rPr>
        <w:t>11.9</w:t>
      </w:r>
      <w:r>
        <w:rPr>
          <w:rFonts w:ascii="Arial" w:hAnsi="Arial" w:cs="Arial"/>
          <w:sz w:val="20"/>
          <w:szCs w:val="20"/>
        </w:rPr>
        <w:t xml:space="preserve">% higher than in </w:t>
      </w:r>
      <w:r w:rsidR="004F346A">
        <w:rPr>
          <w:rFonts w:ascii="Arial" w:hAnsi="Arial" w:cs="Arial"/>
          <w:sz w:val="20"/>
          <w:szCs w:val="20"/>
        </w:rPr>
        <w:t xml:space="preserve">November </w:t>
      </w:r>
      <w:r>
        <w:rPr>
          <w:rFonts w:ascii="Arial" w:hAnsi="Arial" w:cs="Arial"/>
          <w:sz w:val="20"/>
          <w:szCs w:val="20"/>
        </w:rPr>
        <w:t xml:space="preserve">2020. </w:t>
      </w:r>
      <w:r>
        <w:rPr>
          <w:rFonts w:ascii="Arial" w:hAnsi="Arial" w:cs="Arial"/>
          <w:color w:val="000000" w:themeColor="text1"/>
          <w:sz w:val="20"/>
          <w:szCs w:val="20"/>
        </w:rPr>
        <w:t>“</w:t>
      </w:r>
      <w:r w:rsidR="004F346A">
        <w:rPr>
          <w:rFonts w:ascii="Arial" w:hAnsi="Arial" w:cs="Arial"/>
          <w:color w:val="000000" w:themeColor="text1"/>
          <w:sz w:val="20"/>
          <w:szCs w:val="20"/>
        </w:rPr>
        <w:t>Supply chain challenges continue to affect fresh produce pricing and availability</w:t>
      </w:r>
      <w:r>
        <w:rPr>
          <w:rFonts w:ascii="Arial" w:hAnsi="Arial" w:cs="Arial"/>
          <w:color w:val="000000" w:themeColor="text1"/>
          <w:sz w:val="20"/>
          <w:szCs w:val="20"/>
        </w:rPr>
        <w:t xml:space="preserve">,” said </w:t>
      </w:r>
      <w:r>
        <w:rPr>
          <w:rFonts w:ascii="Arial" w:hAnsi="Arial" w:cs="Arial"/>
          <w:sz w:val="20"/>
          <w:szCs w:val="20"/>
        </w:rPr>
        <w:t xml:space="preserve">Joe Watson, </w:t>
      </w:r>
      <w:r w:rsidRPr="00B35CE9">
        <w:rPr>
          <w:rFonts w:ascii="Arial" w:hAnsi="Arial" w:cs="Arial"/>
          <w:sz w:val="20"/>
          <w:szCs w:val="20"/>
        </w:rPr>
        <w:t>VP of Membership and Engagement for PMA</w:t>
      </w:r>
      <w:r>
        <w:rPr>
          <w:rFonts w:ascii="Arial" w:hAnsi="Arial" w:cs="Arial"/>
          <w:sz w:val="20"/>
          <w:szCs w:val="20"/>
        </w:rPr>
        <w:t>. “</w:t>
      </w:r>
      <w:r w:rsidR="004F346A">
        <w:rPr>
          <w:rFonts w:ascii="Arial" w:hAnsi="Arial" w:cs="Arial"/>
          <w:sz w:val="20"/>
          <w:szCs w:val="20"/>
        </w:rPr>
        <w:t>Fresh produce certainly is not alone in th</w:t>
      </w:r>
      <w:r w:rsidR="00944DAA">
        <w:rPr>
          <w:rFonts w:ascii="Arial" w:hAnsi="Arial" w:cs="Arial"/>
          <w:sz w:val="20"/>
          <w:szCs w:val="20"/>
        </w:rPr>
        <w:t>is</w:t>
      </w:r>
      <w:r w:rsidR="004F346A">
        <w:rPr>
          <w:rFonts w:ascii="Arial" w:hAnsi="Arial" w:cs="Arial"/>
          <w:sz w:val="20"/>
          <w:szCs w:val="20"/>
        </w:rPr>
        <w:t xml:space="preserve"> but shoppers are also more fluid than I have ever seen before in switching between fresh, frozen and shelf-stable, which means inflation</w:t>
      </w:r>
      <w:r w:rsidR="00944DAA">
        <w:rPr>
          <w:rFonts w:ascii="Arial" w:hAnsi="Arial" w:cs="Arial"/>
          <w:sz w:val="20"/>
          <w:szCs w:val="20"/>
        </w:rPr>
        <w:t xml:space="preserve"> and promotional</w:t>
      </w:r>
      <w:r w:rsidR="004F346A">
        <w:rPr>
          <w:rFonts w:ascii="Arial" w:hAnsi="Arial" w:cs="Arial"/>
          <w:sz w:val="20"/>
          <w:szCs w:val="20"/>
        </w:rPr>
        <w:t xml:space="preserve"> levels in those other areas can affect the fresh purchase</w:t>
      </w:r>
      <w:r w:rsidR="00F27029">
        <w:rPr>
          <w:rFonts w:ascii="Arial" w:hAnsi="Arial" w:cs="Arial"/>
          <w:sz w:val="20"/>
          <w:szCs w:val="20"/>
        </w:rPr>
        <w:t xml:space="preserve"> more than ever</w:t>
      </w:r>
      <w:r w:rsidR="004F346A">
        <w:rPr>
          <w:rFonts w:ascii="Arial" w:hAnsi="Arial" w:cs="Arial"/>
          <w:sz w:val="20"/>
          <w:szCs w:val="20"/>
        </w:rPr>
        <w:t xml:space="preserve">.”  Inflation for frozen fruit and vegetables was lower in November 2021, at +4.9% versus year and </w:t>
      </w:r>
      <w:r w:rsidR="00466C35">
        <w:rPr>
          <w:rFonts w:ascii="Arial" w:hAnsi="Arial" w:cs="Arial"/>
          <w:sz w:val="20"/>
          <w:szCs w:val="20"/>
        </w:rPr>
        <w:t>shelf-stable fruit and vegetables saw price increases of 5.6%</w:t>
      </w:r>
      <w:r w:rsidR="004F346A">
        <w:rPr>
          <w:rFonts w:ascii="Arial" w:hAnsi="Arial" w:cs="Arial"/>
          <w:sz w:val="20"/>
          <w:szCs w:val="20"/>
        </w:rPr>
        <w:t>.</w:t>
      </w:r>
    </w:p>
    <w:p w14:paraId="35EEE0DC" w14:textId="77777777" w:rsidR="00AE509A" w:rsidRPr="000A543A" w:rsidRDefault="00AE509A" w:rsidP="00AE509A">
      <w:pPr>
        <w:pStyle w:val="NoSpacing"/>
        <w:rPr>
          <w:rFonts w:ascii="Arial" w:hAnsi="Arial" w:cs="Arial"/>
          <w:sz w:val="20"/>
          <w:szCs w:val="20"/>
        </w:rPr>
      </w:pPr>
    </w:p>
    <w:tbl>
      <w:tblPr>
        <w:tblStyle w:val="LightShading-Accent5"/>
        <w:tblW w:w="10008" w:type="dxa"/>
        <w:tblBorders>
          <w:top w:val="none" w:sz="0" w:space="0" w:color="auto"/>
          <w:bottom w:val="none" w:sz="0" w:space="0" w:color="auto"/>
        </w:tblBorders>
        <w:tblLook w:val="04A0" w:firstRow="1" w:lastRow="0" w:firstColumn="1" w:lastColumn="0" w:noHBand="0" w:noVBand="1"/>
      </w:tblPr>
      <w:tblGrid>
        <w:gridCol w:w="4260"/>
        <w:gridCol w:w="2130"/>
        <w:gridCol w:w="1702"/>
        <w:gridCol w:w="1916"/>
      </w:tblGrid>
      <w:tr w:rsidR="00AE509A" w:rsidRPr="002A71C0" w14:paraId="49E912C9" w14:textId="77777777" w:rsidTr="00107812">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4260" w:type="dxa"/>
            <w:tcBorders>
              <w:top w:val="none" w:sz="0" w:space="0" w:color="auto"/>
              <w:bottom w:val="none" w:sz="0" w:space="0" w:color="auto"/>
            </w:tcBorders>
            <w:shd w:val="clear" w:color="auto" w:fill="17365D" w:themeFill="text2" w:themeFillShade="BF"/>
            <w:vAlign w:val="center"/>
          </w:tcPr>
          <w:p w14:paraId="283531EA" w14:textId="77777777" w:rsidR="00AE509A" w:rsidRPr="004850A1" w:rsidRDefault="00AE509A" w:rsidP="00107812">
            <w:pPr>
              <w:pStyle w:val="NoSpacing"/>
              <w:rPr>
                <w:rFonts w:ascii="Arial" w:hAnsi="Arial" w:cs="Arial"/>
                <w:color w:val="FFFFFF" w:themeColor="background1"/>
                <w:sz w:val="18"/>
                <w:szCs w:val="18"/>
              </w:rPr>
            </w:pPr>
            <w:r w:rsidRPr="004850A1">
              <w:rPr>
                <w:rFonts w:ascii="Arial" w:hAnsi="Arial" w:cs="Arial"/>
                <w:color w:val="FFFFFF" w:themeColor="background1"/>
                <w:sz w:val="18"/>
                <w:szCs w:val="18"/>
              </w:rPr>
              <w:t>Price per volume</w:t>
            </w:r>
          </w:p>
        </w:tc>
        <w:tc>
          <w:tcPr>
            <w:tcW w:w="2130" w:type="dxa"/>
            <w:tcBorders>
              <w:top w:val="none" w:sz="0" w:space="0" w:color="auto"/>
              <w:bottom w:val="none" w:sz="0" w:space="0" w:color="auto"/>
            </w:tcBorders>
            <w:shd w:val="clear" w:color="auto" w:fill="17365D" w:themeFill="text2" w:themeFillShade="BF"/>
            <w:vAlign w:val="center"/>
          </w:tcPr>
          <w:p w14:paraId="1BC89741" w14:textId="77777777" w:rsidR="00AE509A" w:rsidRPr="004850A1" w:rsidRDefault="00AE509A" w:rsidP="00107812">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4850A1">
              <w:rPr>
                <w:rFonts w:ascii="Arial" w:hAnsi="Arial" w:cs="Arial"/>
                <w:color w:val="FFFFFF" w:themeColor="background1"/>
                <w:sz w:val="18"/>
                <w:szCs w:val="18"/>
              </w:rPr>
              <w:t>Price/volume</w:t>
            </w:r>
          </w:p>
        </w:tc>
        <w:tc>
          <w:tcPr>
            <w:tcW w:w="1702" w:type="dxa"/>
            <w:tcBorders>
              <w:top w:val="none" w:sz="0" w:space="0" w:color="auto"/>
              <w:bottom w:val="none" w:sz="0" w:space="0" w:color="auto"/>
            </w:tcBorders>
            <w:shd w:val="clear" w:color="auto" w:fill="17365D" w:themeFill="text2" w:themeFillShade="BF"/>
            <w:vAlign w:val="center"/>
          </w:tcPr>
          <w:p w14:paraId="795F69C2" w14:textId="77777777" w:rsidR="00AE509A" w:rsidRPr="004850A1" w:rsidRDefault="00AE509A" w:rsidP="00107812">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4850A1">
              <w:rPr>
                <w:rFonts w:ascii="Arial" w:hAnsi="Arial" w:cs="Arial"/>
                <w:color w:val="FFFFFF" w:themeColor="background1"/>
                <w:sz w:val="18"/>
                <w:szCs w:val="18"/>
              </w:rPr>
              <w:t>Change vs. 2020</w:t>
            </w:r>
          </w:p>
        </w:tc>
        <w:tc>
          <w:tcPr>
            <w:tcW w:w="1916" w:type="dxa"/>
            <w:tcBorders>
              <w:top w:val="none" w:sz="0" w:space="0" w:color="auto"/>
              <w:bottom w:val="none" w:sz="0" w:space="0" w:color="auto"/>
            </w:tcBorders>
            <w:shd w:val="clear" w:color="auto" w:fill="17365D" w:themeFill="text2" w:themeFillShade="BF"/>
            <w:vAlign w:val="center"/>
          </w:tcPr>
          <w:p w14:paraId="5C692CD0" w14:textId="77777777" w:rsidR="00AE509A" w:rsidRPr="004850A1" w:rsidRDefault="00AE509A" w:rsidP="00107812">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4850A1">
              <w:rPr>
                <w:rFonts w:ascii="Arial" w:hAnsi="Arial" w:cs="Arial"/>
                <w:color w:val="FFFFFF" w:themeColor="background1"/>
                <w:sz w:val="18"/>
                <w:szCs w:val="18"/>
              </w:rPr>
              <w:t>Change vs. 2019</w:t>
            </w:r>
          </w:p>
        </w:tc>
      </w:tr>
      <w:tr w:rsidR="00AE509A" w:rsidRPr="009A0F69" w14:paraId="1EC887A8" w14:textId="77777777" w:rsidTr="00107812">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260" w:type="dxa"/>
            <w:vAlign w:val="center"/>
          </w:tcPr>
          <w:p w14:paraId="0D828017" w14:textId="77777777" w:rsidR="00AE509A" w:rsidRPr="009A0F69" w:rsidRDefault="00AE509A" w:rsidP="00107812">
            <w:pPr>
              <w:pStyle w:val="NoSpacing"/>
              <w:jc w:val="right"/>
              <w:rPr>
                <w:rFonts w:ascii="Arial" w:hAnsi="Arial" w:cs="Arial"/>
                <w:color w:val="215868" w:themeColor="accent5" w:themeShade="80"/>
                <w:sz w:val="18"/>
                <w:szCs w:val="18"/>
              </w:rPr>
            </w:pPr>
            <w:r w:rsidRPr="009A0F69">
              <w:rPr>
                <w:rFonts w:ascii="Arial" w:hAnsi="Arial" w:cs="Arial"/>
                <w:color w:val="215868" w:themeColor="accent5" w:themeShade="80"/>
                <w:sz w:val="18"/>
                <w:szCs w:val="18"/>
              </w:rPr>
              <w:t>Total fresh produce YTD</w:t>
            </w:r>
          </w:p>
        </w:tc>
        <w:tc>
          <w:tcPr>
            <w:tcW w:w="2130" w:type="dxa"/>
            <w:vAlign w:val="center"/>
          </w:tcPr>
          <w:p w14:paraId="6278A861" w14:textId="14E14810" w:rsidR="00AE509A" w:rsidRPr="009A0F69" w:rsidRDefault="00AE509A" w:rsidP="00107812">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215868" w:themeColor="accent5" w:themeShade="80"/>
                <w:sz w:val="18"/>
                <w:szCs w:val="18"/>
              </w:rPr>
            </w:pPr>
            <w:r w:rsidRPr="009A0F69">
              <w:rPr>
                <w:rFonts w:ascii="Arial" w:hAnsi="Arial" w:cs="Arial"/>
                <w:b/>
                <w:bCs/>
                <w:color w:val="215868" w:themeColor="accent5" w:themeShade="80"/>
                <w:sz w:val="18"/>
                <w:szCs w:val="18"/>
              </w:rPr>
              <w:t>$</w:t>
            </w:r>
            <w:r w:rsidR="009A0F69" w:rsidRPr="009A0F69">
              <w:rPr>
                <w:rFonts w:ascii="Arial" w:hAnsi="Arial" w:cs="Arial"/>
                <w:b/>
                <w:bCs/>
                <w:color w:val="215868" w:themeColor="accent5" w:themeShade="80"/>
                <w:sz w:val="18"/>
                <w:szCs w:val="18"/>
              </w:rPr>
              <w:t>1.67</w:t>
            </w:r>
          </w:p>
        </w:tc>
        <w:tc>
          <w:tcPr>
            <w:tcW w:w="1702" w:type="dxa"/>
            <w:vAlign w:val="center"/>
          </w:tcPr>
          <w:p w14:paraId="49E069A7" w14:textId="6D2C795E" w:rsidR="00AE509A" w:rsidRPr="009A0F69" w:rsidRDefault="00AE509A" w:rsidP="00107812">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215868" w:themeColor="accent5" w:themeShade="80"/>
                <w:sz w:val="18"/>
                <w:szCs w:val="18"/>
              </w:rPr>
            </w:pPr>
            <w:r w:rsidRPr="009A0F69">
              <w:rPr>
                <w:rFonts w:ascii="Arial" w:hAnsi="Arial" w:cs="Arial"/>
                <w:b/>
                <w:bCs/>
                <w:color w:val="215868" w:themeColor="accent5" w:themeShade="80"/>
                <w:sz w:val="18"/>
                <w:szCs w:val="18"/>
              </w:rPr>
              <w:t>+</w:t>
            </w:r>
            <w:r w:rsidR="009A0F69" w:rsidRPr="009A0F69">
              <w:rPr>
                <w:rFonts w:ascii="Arial" w:hAnsi="Arial" w:cs="Arial"/>
                <w:b/>
                <w:bCs/>
                <w:color w:val="215868" w:themeColor="accent5" w:themeShade="80"/>
                <w:sz w:val="18"/>
                <w:szCs w:val="18"/>
              </w:rPr>
              <w:t>6.2</w:t>
            </w:r>
            <w:r w:rsidRPr="009A0F69">
              <w:rPr>
                <w:rFonts w:ascii="Arial" w:hAnsi="Arial" w:cs="Arial"/>
                <w:b/>
                <w:bCs/>
                <w:color w:val="215868" w:themeColor="accent5" w:themeShade="80"/>
                <w:sz w:val="18"/>
                <w:szCs w:val="18"/>
              </w:rPr>
              <w:t>%</w:t>
            </w:r>
          </w:p>
        </w:tc>
        <w:tc>
          <w:tcPr>
            <w:tcW w:w="1916" w:type="dxa"/>
          </w:tcPr>
          <w:p w14:paraId="41421265" w14:textId="598CF14B" w:rsidR="00AE509A" w:rsidRPr="009A0F69" w:rsidRDefault="00AE509A" w:rsidP="00107812">
            <w:pPr>
              <w:jc w:val="right"/>
              <w:cnfStyle w:val="000000100000" w:firstRow="0" w:lastRow="0" w:firstColumn="0" w:lastColumn="0" w:oddVBand="0" w:evenVBand="0" w:oddHBand="1" w:evenHBand="0" w:firstRowFirstColumn="0" w:firstRowLastColumn="0" w:lastRowFirstColumn="0" w:lastRowLastColumn="0"/>
              <w:rPr>
                <w:b/>
                <w:bCs/>
              </w:rPr>
            </w:pPr>
            <w:r w:rsidRPr="009A0F69">
              <w:rPr>
                <w:rFonts w:ascii="Arial" w:hAnsi="Arial" w:cs="Arial"/>
                <w:b/>
                <w:bCs/>
                <w:color w:val="215868" w:themeColor="accent5" w:themeShade="80"/>
                <w:sz w:val="18"/>
                <w:szCs w:val="18"/>
              </w:rPr>
              <w:t>+</w:t>
            </w:r>
            <w:r w:rsidR="009A0F69" w:rsidRPr="009A0F69">
              <w:rPr>
                <w:rFonts w:ascii="Arial" w:hAnsi="Arial" w:cs="Arial"/>
                <w:b/>
                <w:bCs/>
                <w:color w:val="215868" w:themeColor="accent5" w:themeShade="80"/>
                <w:sz w:val="18"/>
                <w:szCs w:val="18"/>
              </w:rPr>
              <w:t>11.1</w:t>
            </w:r>
            <w:r w:rsidRPr="009A0F69">
              <w:rPr>
                <w:rFonts w:ascii="Arial" w:hAnsi="Arial" w:cs="Arial"/>
                <w:b/>
                <w:bCs/>
                <w:color w:val="215868" w:themeColor="accent5" w:themeShade="80"/>
                <w:sz w:val="18"/>
                <w:szCs w:val="18"/>
              </w:rPr>
              <w:t>%</w:t>
            </w:r>
          </w:p>
        </w:tc>
      </w:tr>
      <w:tr w:rsidR="00AE509A" w:rsidRPr="003C65CF" w14:paraId="563A4C82" w14:textId="77777777" w:rsidTr="00107812">
        <w:trPr>
          <w:trHeight w:val="259"/>
        </w:trPr>
        <w:tc>
          <w:tcPr>
            <w:cnfStyle w:val="001000000000" w:firstRow="0" w:lastRow="0" w:firstColumn="1" w:lastColumn="0" w:oddVBand="0" w:evenVBand="0" w:oddHBand="0" w:evenHBand="0" w:firstRowFirstColumn="0" w:firstRowLastColumn="0" w:lastRowFirstColumn="0" w:lastRowLastColumn="0"/>
            <w:tcW w:w="4260" w:type="dxa"/>
          </w:tcPr>
          <w:p w14:paraId="0E08FF24" w14:textId="77777777" w:rsidR="00AE509A" w:rsidRPr="004850A1" w:rsidRDefault="000E02DD" w:rsidP="00107812">
            <w:pPr>
              <w:pStyle w:val="NoSpacing"/>
              <w:jc w:val="right"/>
              <w:rPr>
                <w:rFonts w:ascii="Arial" w:hAnsi="Arial" w:cs="Arial"/>
                <w:b w:val="0"/>
                <w:bCs w:val="0"/>
                <w:color w:val="215868" w:themeColor="accent5" w:themeShade="80"/>
                <w:sz w:val="18"/>
                <w:szCs w:val="18"/>
              </w:rPr>
            </w:pPr>
            <w:r>
              <w:rPr>
                <w:rFonts w:ascii="Arial" w:hAnsi="Arial" w:cs="Arial"/>
                <w:b w:val="0"/>
                <w:bCs w:val="0"/>
                <w:color w:val="215868" w:themeColor="accent5" w:themeShade="80"/>
                <w:sz w:val="18"/>
                <w:szCs w:val="18"/>
              </w:rPr>
              <w:t>Total fresh produce November</w:t>
            </w:r>
            <w:r w:rsidR="00AE509A" w:rsidRPr="004850A1">
              <w:rPr>
                <w:rFonts w:ascii="Arial" w:hAnsi="Arial" w:cs="Arial"/>
                <w:b w:val="0"/>
                <w:bCs w:val="0"/>
                <w:color w:val="215868" w:themeColor="accent5" w:themeShade="80"/>
                <w:sz w:val="18"/>
                <w:szCs w:val="18"/>
              </w:rPr>
              <w:t xml:space="preserve"> 2021</w:t>
            </w:r>
          </w:p>
        </w:tc>
        <w:tc>
          <w:tcPr>
            <w:tcW w:w="2130" w:type="dxa"/>
          </w:tcPr>
          <w:p w14:paraId="0A30CA05" w14:textId="79590E10" w:rsidR="00AE509A" w:rsidRDefault="00AE509A" w:rsidP="00107812">
            <w:pPr>
              <w:jc w:val="right"/>
              <w:cnfStyle w:val="000000000000" w:firstRow="0" w:lastRow="0" w:firstColumn="0" w:lastColumn="0" w:oddVBand="0" w:evenVBand="0" w:oddHBand="0" w:evenHBand="0" w:firstRowFirstColumn="0" w:firstRowLastColumn="0" w:lastRowFirstColumn="0" w:lastRowLastColumn="0"/>
            </w:pPr>
            <w:r w:rsidRPr="00210B83">
              <w:rPr>
                <w:rFonts w:ascii="Arial" w:hAnsi="Arial" w:cs="Arial"/>
                <w:color w:val="215868" w:themeColor="accent5" w:themeShade="80"/>
                <w:sz w:val="18"/>
                <w:szCs w:val="18"/>
              </w:rPr>
              <w:t>$</w:t>
            </w:r>
            <w:r w:rsidR="009A0F69">
              <w:rPr>
                <w:rFonts w:ascii="Arial" w:hAnsi="Arial" w:cs="Arial"/>
                <w:color w:val="215868" w:themeColor="accent5" w:themeShade="80"/>
                <w:sz w:val="18"/>
                <w:szCs w:val="18"/>
              </w:rPr>
              <w:t>1.73</w:t>
            </w:r>
          </w:p>
        </w:tc>
        <w:tc>
          <w:tcPr>
            <w:tcW w:w="1702" w:type="dxa"/>
          </w:tcPr>
          <w:p w14:paraId="0CC2CF4D" w14:textId="416F818D" w:rsidR="00AE509A" w:rsidRDefault="00AE509A" w:rsidP="00107812">
            <w:pPr>
              <w:jc w:val="right"/>
              <w:cnfStyle w:val="000000000000" w:firstRow="0" w:lastRow="0" w:firstColumn="0" w:lastColumn="0" w:oddVBand="0" w:evenVBand="0" w:oddHBand="0" w:evenHBand="0" w:firstRowFirstColumn="0" w:firstRowLastColumn="0" w:lastRowFirstColumn="0" w:lastRowLastColumn="0"/>
            </w:pPr>
            <w:r w:rsidRPr="00222108">
              <w:rPr>
                <w:rFonts w:ascii="Arial" w:hAnsi="Arial" w:cs="Arial"/>
                <w:color w:val="215868" w:themeColor="accent5" w:themeShade="80"/>
                <w:sz w:val="18"/>
                <w:szCs w:val="18"/>
              </w:rPr>
              <w:t>+</w:t>
            </w:r>
            <w:r w:rsidR="009A0F69">
              <w:rPr>
                <w:rFonts w:ascii="Arial" w:hAnsi="Arial" w:cs="Arial"/>
                <w:color w:val="215868" w:themeColor="accent5" w:themeShade="80"/>
                <w:sz w:val="18"/>
                <w:szCs w:val="18"/>
              </w:rPr>
              <w:t>8.8</w:t>
            </w:r>
            <w:r w:rsidRPr="00222108">
              <w:rPr>
                <w:rFonts w:ascii="Arial" w:hAnsi="Arial" w:cs="Arial"/>
                <w:color w:val="215868" w:themeColor="accent5" w:themeShade="80"/>
                <w:sz w:val="18"/>
                <w:szCs w:val="18"/>
              </w:rPr>
              <w:t>%</w:t>
            </w:r>
          </w:p>
        </w:tc>
        <w:tc>
          <w:tcPr>
            <w:tcW w:w="1916" w:type="dxa"/>
          </w:tcPr>
          <w:p w14:paraId="28977A44" w14:textId="2FFB1EE6" w:rsidR="00AE509A" w:rsidRDefault="00AE509A" w:rsidP="00107812">
            <w:pPr>
              <w:jc w:val="right"/>
              <w:cnfStyle w:val="000000000000" w:firstRow="0" w:lastRow="0" w:firstColumn="0" w:lastColumn="0" w:oddVBand="0" w:evenVBand="0" w:oddHBand="0" w:evenHBand="0" w:firstRowFirstColumn="0" w:firstRowLastColumn="0" w:lastRowFirstColumn="0" w:lastRowLastColumn="0"/>
            </w:pPr>
            <w:r w:rsidRPr="0038421C">
              <w:rPr>
                <w:rFonts w:ascii="Arial" w:hAnsi="Arial" w:cs="Arial"/>
                <w:color w:val="215868" w:themeColor="accent5" w:themeShade="80"/>
                <w:sz w:val="18"/>
                <w:szCs w:val="18"/>
              </w:rPr>
              <w:t>+</w:t>
            </w:r>
            <w:r w:rsidR="009A0F69">
              <w:rPr>
                <w:rFonts w:ascii="Arial" w:hAnsi="Arial" w:cs="Arial"/>
                <w:color w:val="215868" w:themeColor="accent5" w:themeShade="80"/>
                <w:sz w:val="18"/>
                <w:szCs w:val="18"/>
              </w:rPr>
              <w:t>6.4</w:t>
            </w:r>
            <w:r w:rsidRPr="0038421C">
              <w:rPr>
                <w:rFonts w:ascii="Arial" w:hAnsi="Arial" w:cs="Arial"/>
                <w:color w:val="215868" w:themeColor="accent5" w:themeShade="80"/>
                <w:sz w:val="18"/>
                <w:szCs w:val="18"/>
              </w:rPr>
              <w:t>%</w:t>
            </w:r>
          </w:p>
        </w:tc>
      </w:tr>
      <w:tr w:rsidR="00AE509A" w:rsidRPr="009A0F69" w14:paraId="3957C7B6" w14:textId="77777777" w:rsidTr="00107812">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260" w:type="dxa"/>
            <w:vAlign w:val="center"/>
          </w:tcPr>
          <w:p w14:paraId="1595EDD9" w14:textId="77777777" w:rsidR="00AE509A" w:rsidRPr="009A0F69" w:rsidRDefault="00AE509A" w:rsidP="00107812">
            <w:pPr>
              <w:pStyle w:val="NoSpacing"/>
              <w:jc w:val="right"/>
              <w:rPr>
                <w:rFonts w:ascii="Arial" w:hAnsi="Arial" w:cs="Arial"/>
                <w:color w:val="215868" w:themeColor="accent5" w:themeShade="80"/>
                <w:sz w:val="18"/>
                <w:szCs w:val="18"/>
              </w:rPr>
            </w:pPr>
            <w:r w:rsidRPr="009A0F69">
              <w:rPr>
                <w:rFonts w:ascii="Arial" w:hAnsi="Arial" w:cs="Arial"/>
                <w:color w:val="215868" w:themeColor="accent5" w:themeShade="80"/>
                <w:sz w:val="18"/>
                <w:szCs w:val="18"/>
              </w:rPr>
              <w:t>Fresh vegetables YTD</w:t>
            </w:r>
          </w:p>
        </w:tc>
        <w:tc>
          <w:tcPr>
            <w:tcW w:w="2130" w:type="dxa"/>
          </w:tcPr>
          <w:p w14:paraId="33D25069" w14:textId="5B6565EB" w:rsidR="00AE509A" w:rsidRPr="009A0F69" w:rsidRDefault="00AE509A" w:rsidP="00107812">
            <w:pPr>
              <w:jc w:val="right"/>
              <w:cnfStyle w:val="000000100000" w:firstRow="0" w:lastRow="0" w:firstColumn="0" w:lastColumn="0" w:oddVBand="0" w:evenVBand="0" w:oddHBand="1" w:evenHBand="0" w:firstRowFirstColumn="0" w:firstRowLastColumn="0" w:lastRowFirstColumn="0" w:lastRowLastColumn="0"/>
              <w:rPr>
                <w:b/>
                <w:bCs/>
              </w:rPr>
            </w:pPr>
            <w:r w:rsidRPr="009A0F69">
              <w:rPr>
                <w:rFonts w:ascii="Arial" w:hAnsi="Arial" w:cs="Arial"/>
                <w:b/>
                <w:bCs/>
                <w:color w:val="215868" w:themeColor="accent5" w:themeShade="80"/>
                <w:sz w:val="18"/>
                <w:szCs w:val="18"/>
              </w:rPr>
              <w:t>$</w:t>
            </w:r>
            <w:r w:rsidR="009A0F69" w:rsidRPr="009A0F69">
              <w:rPr>
                <w:rFonts w:ascii="Arial" w:hAnsi="Arial" w:cs="Arial"/>
                <w:b/>
                <w:bCs/>
                <w:color w:val="215868" w:themeColor="accent5" w:themeShade="80"/>
                <w:sz w:val="18"/>
                <w:szCs w:val="18"/>
              </w:rPr>
              <w:t>1.78</w:t>
            </w:r>
          </w:p>
        </w:tc>
        <w:tc>
          <w:tcPr>
            <w:tcW w:w="1702" w:type="dxa"/>
          </w:tcPr>
          <w:p w14:paraId="266396ED" w14:textId="141384F0" w:rsidR="00AE509A" w:rsidRPr="009A0F69" w:rsidRDefault="00AE509A" w:rsidP="00107812">
            <w:pPr>
              <w:jc w:val="right"/>
              <w:cnfStyle w:val="000000100000" w:firstRow="0" w:lastRow="0" w:firstColumn="0" w:lastColumn="0" w:oddVBand="0" w:evenVBand="0" w:oddHBand="1" w:evenHBand="0" w:firstRowFirstColumn="0" w:firstRowLastColumn="0" w:lastRowFirstColumn="0" w:lastRowLastColumn="0"/>
              <w:rPr>
                <w:b/>
                <w:bCs/>
              </w:rPr>
            </w:pPr>
            <w:r w:rsidRPr="009A0F69">
              <w:rPr>
                <w:rFonts w:ascii="Arial" w:hAnsi="Arial" w:cs="Arial"/>
                <w:b/>
                <w:bCs/>
                <w:color w:val="215868" w:themeColor="accent5" w:themeShade="80"/>
                <w:sz w:val="18"/>
                <w:szCs w:val="18"/>
              </w:rPr>
              <w:t>+</w:t>
            </w:r>
            <w:r w:rsidR="009A0F69" w:rsidRPr="009A0F69">
              <w:rPr>
                <w:rFonts w:ascii="Arial" w:hAnsi="Arial" w:cs="Arial"/>
                <w:b/>
                <w:bCs/>
                <w:color w:val="215868" w:themeColor="accent5" w:themeShade="80"/>
                <w:sz w:val="18"/>
                <w:szCs w:val="18"/>
              </w:rPr>
              <w:t>4.4</w:t>
            </w:r>
            <w:r w:rsidRPr="009A0F69">
              <w:rPr>
                <w:rFonts w:ascii="Arial" w:hAnsi="Arial" w:cs="Arial"/>
                <w:b/>
                <w:bCs/>
                <w:color w:val="215868" w:themeColor="accent5" w:themeShade="80"/>
                <w:sz w:val="18"/>
                <w:szCs w:val="18"/>
              </w:rPr>
              <w:t>%</w:t>
            </w:r>
          </w:p>
        </w:tc>
        <w:tc>
          <w:tcPr>
            <w:tcW w:w="1916" w:type="dxa"/>
          </w:tcPr>
          <w:p w14:paraId="55A1C036" w14:textId="02F1983D" w:rsidR="00AE509A" w:rsidRPr="009A0F69" w:rsidRDefault="00AE509A" w:rsidP="00107812">
            <w:pPr>
              <w:jc w:val="right"/>
              <w:cnfStyle w:val="000000100000" w:firstRow="0" w:lastRow="0" w:firstColumn="0" w:lastColumn="0" w:oddVBand="0" w:evenVBand="0" w:oddHBand="1" w:evenHBand="0" w:firstRowFirstColumn="0" w:firstRowLastColumn="0" w:lastRowFirstColumn="0" w:lastRowLastColumn="0"/>
              <w:rPr>
                <w:b/>
                <w:bCs/>
              </w:rPr>
            </w:pPr>
            <w:r w:rsidRPr="009A0F69">
              <w:rPr>
                <w:rFonts w:ascii="Arial" w:hAnsi="Arial" w:cs="Arial"/>
                <w:b/>
                <w:bCs/>
                <w:color w:val="215868" w:themeColor="accent5" w:themeShade="80"/>
                <w:sz w:val="18"/>
                <w:szCs w:val="18"/>
              </w:rPr>
              <w:t>+</w:t>
            </w:r>
            <w:r w:rsidR="009A0F69" w:rsidRPr="009A0F69">
              <w:rPr>
                <w:rFonts w:ascii="Arial" w:hAnsi="Arial" w:cs="Arial"/>
                <w:b/>
                <w:bCs/>
                <w:color w:val="215868" w:themeColor="accent5" w:themeShade="80"/>
                <w:sz w:val="18"/>
                <w:szCs w:val="18"/>
              </w:rPr>
              <w:t>4.8</w:t>
            </w:r>
            <w:r w:rsidRPr="009A0F69">
              <w:rPr>
                <w:rFonts w:ascii="Arial" w:hAnsi="Arial" w:cs="Arial"/>
                <w:b/>
                <w:bCs/>
                <w:color w:val="215868" w:themeColor="accent5" w:themeShade="80"/>
                <w:sz w:val="18"/>
                <w:szCs w:val="18"/>
              </w:rPr>
              <w:t>%</w:t>
            </w:r>
          </w:p>
        </w:tc>
      </w:tr>
      <w:tr w:rsidR="00AE509A" w:rsidRPr="003C65CF" w14:paraId="07939D52" w14:textId="77777777" w:rsidTr="00107812">
        <w:trPr>
          <w:trHeight w:val="259"/>
        </w:trPr>
        <w:tc>
          <w:tcPr>
            <w:cnfStyle w:val="001000000000" w:firstRow="0" w:lastRow="0" w:firstColumn="1" w:lastColumn="0" w:oddVBand="0" w:evenVBand="0" w:oddHBand="0" w:evenHBand="0" w:firstRowFirstColumn="0" w:firstRowLastColumn="0" w:lastRowFirstColumn="0" w:lastRowLastColumn="0"/>
            <w:tcW w:w="4260" w:type="dxa"/>
          </w:tcPr>
          <w:p w14:paraId="779560C3" w14:textId="77777777" w:rsidR="00AE509A" w:rsidRPr="004850A1" w:rsidRDefault="000E02DD" w:rsidP="00107812">
            <w:pPr>
              <w:pStyle w:val="NoSpacing"/>
              <w:jc w:val="right"/>
              <w:rPr>
                <w:rFonts w:ascii="Arial" w:hAnsi="Arial" w:cs="Arial"/>
                <w:b w:val="0"/>
                <w:bCs w:val="0"/>
                <w:color w:val="215868" w:themeColor="accent5" w:themeShade="80"/>
                <w:sz w:val="18"/>
                <w:szCs w:val="18"/>
              </w:rPr>
            </w:pPr>
            <w:r>
              <w:rPr>
                <w:rFonts w:ascii="Arial" w:hAnsi="Arial" w:cs="Arial"/>
                <w:b w:val="0"/>
                <w:bCs w:val="0"/>
                <w:color w:val="215868" w:themeColor="accent5" w:themeShade="80"/>
                <w:sz w:val="18"/>
                <w:szCs w:val="18"/>
              </w:rPr>
              <w:t>Fresh vegetables November</w:t>
            </w:r>
            <w:r w:rsidR="00AE509A" w:rsidRPr="004850A1">
              <w:rPr>
                <w:rFonts w:ascii="Arial" w:hAnsi="Arial" w:cs="Arial"/>
                <w:b w:val="0"/>
                <w:bCs w:val="0"/>
                <w:color w:val="215868" w:themeColor="accent5" w:themeShade="80"/>
                <w:sz w:val="18"/>
                <w:szCs w:val="18"/>
              </w:rPr>
              <w:t xml:space="preserve"> 2021</w:t>
            </w:r>
          </w:p>
        </w:tc>
        <w:tc>
          <w:tcPr>
            <w:tcW w:w="2130" w:type="dxa"/>
          </w:tcPr>
          <w:p w14:paraId="38AE1C44" w14:textId="7053226E" w:rsidR="00AE509A" w:rsidRDefault="00AE509A" w:rsidP="00107812">
            <w:pPr>
              <w:jc w:val="right"/>
              <w:cnfStyle w:val="000000000000" w:firstRow="0" w:lastRow="0" w:firstColumn="0" w:lastColumn="0" w:oddVBand="0" w:evenVBand="0" w:oddHBand="0" w:evenHBand="0" w:firstRowFirstColumn="0" w:firstRowLastColumn="0" w:lastRowFirstColumn="0" w:lastRowLastColumn="0"/>
            </w:pPr>
            <w:r w:rsidRPr="00210B83">
              <w:rPr>
                <w:rFonts w:ascii="Arial" w:hAnsi="Arial" w:cs="Arial"/>
                <w:color w:val="215868" w:themeColor="accent5" w:themeShade="80"/>
                <w:sz w:val="18"/>
                <w:szCs w:val="18"/>
              </w:rPr>
              <w:t>$</w:t>
            </w:r>
            <w:r w:rsidR="009A0F69">
              <w:rPr>
                <w:rFonts w:ascii="Arial" w:hAnsi="Arial" w:cs="Arial"/>
                <w:color w:val="215868" w:themeColor="accent5" w:themeShade="80"/>
                <w:sz w:val="18"/>
                <w:szCs w:val="18"/>
              </w:rPr>
              <w:t>1.71</w:t>
            </w:r>
          </w:p>
        </w:tc>
        <w:tc>
          <w:tcPr>
            <w:tcW w:w="1702" w:type="dxa"/>
          </w:tcPr>
          <w:p w14:paraId="0A7F2743" w14:textId="7FBE6CC3" w:rsidR="00AE509A" w:rsidRDefault="00AE509A" w:rsidP="00107812">
            <w:pPr>
              <w:jc w:val="right"/>
              <w:cnfStyle w:val="000000000000" w:firstRow="0" w:lastRow="0" w:firstColumn="0" w:lastColumn="0" w:oddVBand="0" w:evenVBand="0" w:oddHBand="0" w:evenHBand="0" w:firstRowFirstColumn="0" w:firstRowLastColumn="0" w:lastRowFirstColumn="0" w:lastRowLastColumn="0"/>
            </w:pPr>
            <w:r w:rsidRPr="00222108">
              <w:rPr>
                <w:rFonts w:ascii="Arial" w:hAnsi="Arial" w:cs="Arial"/>
                <w:color w:val="215868" w:themeColor="accent5" w:themeShade="80"/>
                <w:sz w:val="18"/>
                <w:szCs w:val="18"/>
              </w:rPr>
              <w:t>+</w:t>
            </w:r>
            <w:r w:rsidR="009A0F69">
              <w:rPr>
                <w:rFonts w:ascii="Arial" w:hAnsi="Arial" w:cs="Arial"/>
                <w:color w:val="215868" w:themeColor="accent5" w:themeShade="80"/>
                <w:sz w:val="18"/>
                <w:szCs w:val="18"/>
              </w:rPr>
              <w:t>6.4</w:t>
            </w:r>
            <w:r w:rsidRPr="00222108">
              <w:rPr>
                <w:rFonts w:ascii="Arial" w:hAnsi="Arial" w:cs="Arial"/>
                <w:color w:val="215868" w:themeColor="accent5" w:themeShade="80"/>
                <w:sz w:val="18"/>
                <w:szCs w:val="18"/>
              </w:rPr>
              <w:t>%</w:t>
            </w:r>
          </w:p>
        </w:tc>
        <w:tc>
          <w:tcPr>
            <w:tcW w:w="1916" w:type="dxa"/>
          </w:tcPr>
          <w:p w14:paraId="4B11DE8D" w14:textId="5C700938" w:rsidR="00AE509A" w:rsidRDefault="00AE509A" w:rsidP="00107812">
            <w:pPr>
              <w:jc w:val="right"/>
              <w:cnfStyle w:val="000000000000" w:firstRow="0" w:lastRow="0" w:firstColumn="0" w:lastColumn="0" w:oddVBand="0" w:evenVBand="0" w:oddHBand="0" w:evenHBand="0" w:firstRowFirstColumn="0" w:firstRowLastColumn="0" w:lastRowFirstColumn="0" w:lastRowLastColumn="0"/>
            </w:pPr>
            <w:r w:rsidRPr="0038421C">
              <w:rPr>
                <w:rFonts w:ascii="Arial" w:hAnsi="Arial" w:cs="Arial"/>
                <w:color w:val="215868" w:themeColor="accent5" w:themeShade="80"/>
                <w:sz w:val="18"/>
                <w:szCs w:val="18"/>
              </w:rPr>
              <w:t>+</w:t>
            </w:r>
            <w:r w:rsidR="009A0F69">
              <w:rPr>
                <w:rFonts w:ascii="Arial" w:hAnsi="Arial" w:cs="Arial"/>
                <w:color w:val="215868" w:themeColor="accent5" w:themeShade="80"/>
                <w:sz w:val="18"/>
                <w:szCs w:val="18"/>
              </w:rPr>
              <w:t>10.5</w:t>
            </w:r>
            <w:r w:rsidRPr="0038421C">
              <w:rPr>
                <w:rFonts w:ascii="Arial" w:hAnsi="Arial" w:cs="Arial"/>
                <w:color w:val="215868" w:themeColor="accent5" w:themeShade="80"/>
                <w:sz w:val="18"/>
                <w:szCs w:val="18"/>
              </w:rPr>
              <w:t>%</w:t>
            </w:r>
          </w:p>
        </w:tc>
      </w:tr>
      <w:tr w:rsidR="00AE509A" w:rsidRPr="009A0F69" w14:paraId="3036BF7F" w14:textId="77777777" w:rsidTr="00107812">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260" w:type="dxa"/>
            <w:vAlign w:val="center"/>
          </w:tcPr>
          <w:p w14:paraId="4506FAF3" w14:textId="77777777" w:rsidR="00AE509A" w:rsidRPr="009A0F69" w:rsidRDefault="00AE509A" w:rsidP="00107812">
            <w:pPr>
              <w:pStyle w:val="NoSpacing"/>
              <w:jc w:val="right"/>
              <w:rPr>
                <w:rFonts w:ascii="Arial" w:hAnsi="Arial" w:cs="Arial"/>
                <w:color w:val="215868" w:themeColor="accent5" w:themeShade="80"/>
                <w:sz w:val="18"/>
                <w:szCs w:val="18"/>
              </w:rPr>
            </w:pPr>
            <w:r w:rsidRPr="009A0F69">
              <w:rPr>
                <w:rFonts w:ascii="Arial" w:hAnsi="Arial" w:cs="Arial"/>
                <w:color w:val="215868" w:themeColor="accent5" w:themeShade="80"/>
                <w:sz w:val="18"/>
                <w:szCs w:val="18"/>
              </w:rPr>
              <w:t>Fresh fruit YTD</w:t>
            </w:r>
          </w:p>
        </w:tc>
        <w:tc>
          <w:tcPr>
            <w:tcW w:w="2130" w:type="dxa"/>
          </w:tcPr>
          <w:p w14:paraId="37D623E7" w14:textId="6F80F83C" w:rsidR="00AE509A" w:rsidRPr="009A0F69" w:rsidRDefault="00AE509A" w:rsidP="00107812">
            <w:pPr>
              <w:jc w:val="right"/>
              <w:cnfStyle w:val="000000100000" w:firstRow="0" w:lastRow="0" w:firstColumn="0" w:lastColumn="0" w:oddVBand="0" w:evenVBand="0" w:oddHBand="1" w:evenHBand="0" w:firstRowFirstColumn="0" w:firstRowLastColumn="0" w:lastRowFirstColumn="0" w:lastRowLastColumn="0"/>
              <w:rPr>
                <w:b/>
                <w:bCs/>
              </w:rPr>
            </w:pPr>
            <w:r w:rsidRPr="009A0F69">
              <w:rPr>
                <w:rFonts w:ascii="Arial" w:hAnsi="Arial" w:cs="Arial"/>
                <w:b/>
                <w:bCs/>
                <w:color w:val="215868" w:themeColor="accent5" w:themeShade="80"/>
                <w:sz w:val="18"/>
                <w:szCs w:val="18"/>
              </w:rPr>
              <w:t>$</w:t>
            </w:r>
            <w:r w:rsidR="009A0F69" w:rsidRPr="009A0F69">
              <w:rPr>
                <w:rFonts w:ascii="Arial" w:hAnsi="Arial" w:cs="Arial"/>
                <w:b/>
                <w:bCs/>
                <w:color w:val="215868" w:themeColor="accent5" w:themeShade="80"/>
                <w:sz w:val="18"/>
                <w:szCs w:val="18"/>
              </w:rPr>
              <w:t>1.54</w:t>
            </w:r>
          </w:p>
        </w:tc>
        <w:tc>
          <w:tcPr>
            <w:tcW w:w="1702" w:type="dxa"/>
          </w:tcPr>
          <w:p w14:paraId="2D2C36C7" w14:textId="230068EA" w:rsidR="00AE509A" w:rsidRPr="009A0F69" w:rsidRDefault="00AE509A" w:rsidP="00107812">
            <w:pPr>
              <w:jc w:val="right"/>
              <w:cnfStyle w:val="000000100000" w:firstRow="0" w:lastRow="0" w:firstColumn="0" w:lastColumn="0" w:oddVBand="0" w:evenVBand="0" w:oddHBand="1" w:evenHBand="0" w:firstRowFirstColumn="0" w:firstRowLastColumn="0" w:lastRowFirstColumn="0" w:lastRowLastColumn="0"/>
              <w:rPr>
                <w:b/>
                <w:bCs/>
              </w:rPr>
            </w:pPr>
            <w:r w:rsidRPr="009A0F69">
              <w:rPr>
                <w:rFonts w:ascii="Arial" w:hAnsi="Arial" w:cs="Arial"/>
                <w:b/>
                <w:bCs/>
                <w:color w:val="215868" w:themeColor="accent5" w:themeShade="80"/>
                <w:sz w:val="18"/>
                <w:szCs w:val="18"/>
              </w:rPr>
              <w:t>+</w:t>
            </w:r>
            <w:r w:rsidR="009A0F69" w:rsidRPr="009A0F69">
              <w:rPr>
                <w:rFonts w:ascii="Arial" w:hAnsi="Arial" w:cs="Arial"/>
                <w:b/>
                <w:bCs/>
                <w:color w:val="215868" w:themeColor="accent5" w:themeShade="80"/>
                <w:sz w:val="18"/>
                <w:szCs w:val="18"/>
              </w:rPr>
              <w:t>8.2</w:t>
            </w:r>
            <w:r w:rsidRPr="009A0F69">
              <w:rPr>
                <w:rFonts w:ascii="Arial" w:hAnsi="Arial" w:cs="Arial"/>
                <w:b/>
                <w:bCs/>
                <w:color w:val="215868" w:themeColor="accent5" w:themeShade="80"/>
                <w:sz w:val="18"/>
                <w:szCs w:val="18"/>
              </w:rPr>
              <w:t>%</w:t>
            </w:r>
          </w:p>
        </w:tc>
        <w:tc>
          <w:tcPr>
            <w:tcW w:w="1916" w:type="dxa"/>
          </w:tcPr>
          <w:p w14:paraId="143E2C50" w14:textId="0A14212C" w:rsidR="00AE509A" w:rsidRPr="009A0F69" w:rsidRDefault="00AE509A" w:rsidP="00107812">
            <w:pPr>
              <w:jc w:val="right"/>
              <w:cnfStyle w:val="000000100000" w:firstRow="0" w:lastRow="0" w:firstColumn="0" w:lastColumn="0" w:oddVBand="0" w:evenVBand="0" w:oddHBand="1" w:evenHBand="0" w:firstRowFirstColumn="0" w:firstRowLastColumn="0" w:lastRowFirstColumn="0" w:lastRowLastColumn="0"/>
              <w:rPr>
                <w:b/>
                <w:bCs/>
              </w:rPr>
            </w:pPr>
            <w:r w:rsidRPr="009A0F69">
              <w:rPr>
                <w:rFonts w:ascii="Arial" w:hAnsi="Arial" w:cs="Arial"/>
                <w:b/>
                <w:bCs/>
                <w:color w:val="215868" w:themeColor="accent5" w:themeShade="80"/>
                <w:sz w:val="18"/>
                <w:szCs w:val="18"/>
              </w:rPr>
              <w:t>+</w:t>
            </w:r>
            <w:r w:rsidR="009A0F69" w:rsidRPr="009A0F69">
              <w:rPr>
                <w:rFonts w:ascii="Arial" w:hAnsi="Arial" w:cs="Arial"/>
                <w:b/>
                <w:bCs/>
                <w:color w:val="215868" w:themeColor="accent5" w:themeShade="80"/>
                <w:sz w:val="18"/>
                <w:szCs w:val="18"/>
              </w:rPr>
              <w:t>8.0</w:t>
            </w:r>
            <w:r w:rsidRPr="009A0F69">
              <w:rPr>
                <w:rFonts w:ascii="Arial" w:hAnsi="Arial" w:cs="Arial"/>
                <w:b/>
                <w:bCs/>
                <w:color w:val="215868" w:themeColor="accent5" w:themeShade="80"/>
                <w:sz w:val="18"/>
                <w:szCs w:val="18"/>
              </w:rPr>
              <w:t>%</w:t>
            </w:r>
          </w:p>
        </w:tc>
      </w:tr>
      <w:tr w:rsidR="00AE509A" w:rsidRPr="003C65CF" w14:paraId="038E080B" w14:textId="77777777" w:rsidTr="00107812">
        <w:trPr>
          <w:trHeight w:val="259"/>
        </w:trPr>
        <w:tc>
          <w:tcPr>
            <w:cnfStyle w:val="001000000000" w:firstRow="0" w:lastRow="0" w:firstColumn="1" w:lastColumn="0" w:oddVBand="0" w:evenVBand="0" w:oddHBand="0" w:evenHBand="0" w:firstRowFirstColumn="0" w:firstRowLastColumn="0" w:lastRowFirstColumn="0" w:lastRowLastColumn="0"/>
            <w:tcW w:w="4260" w:type="dxa"/>
            <w:vAlign w:val="center"/>
          </w:tcPr>
          <w:p w14:paraId="3F5D3B16" w14:textId="77777777" w:rsidR="00AE509A" w:rsidRPr="004850A1" w:rsidRDefault="000E02DD" w:rsidP="00107812">
            <w:pPr>
              <w:pStyle w:val="NoSpacing"/>
              <w:jc w:val="right"/>
              <w:rPr>
                <w:rFonts w:ascii="Arial" w:hAnsi="Arial" w:cs="Arial"/>
                <w:b w:val="0"/>
                <w:bCs w:val="0"/>
                <w:color w:val="215868" w:themeColor="accent5" w:themeShade="80"/>
                <w:sz w:val="18"/>
                <w:szCs w:val="18"/>
              </w:rPr>
            </w:pPr>
            <w:r>
              <w:rPr>
                <w:rFonts w:ascii="Arial" w:hAnsi="Arial" w:cs="Arial"/>
                <w:b w:val="0"/>
                <w:bCs w:val="0"/>
                <w:color w:val="215868" w:themeColor="accent5" w:themeShade="80"/>
                <w:sz w:val="18"/>
                <w:szCs w:val="18"/>
              </w:rPr>
              <w:t xml:space="preserve"> Fresh fruit November</w:t>
            </w:r>
            <w:r w:rsidR="00AE509A" w:rsidRPr="004850A1">
              <w:rPr>
                <w:rFonts w:ascii="Arial" w:hAnsi="Arial" w:cs="Arial"/>
                <w:b w:val="0"/>
                <w:bCs w:val="0"/>
                <w:color w:val="215868" w:themeColor="accent5" w:themeShade="80"/>
                <w:sz w:val="18"/>
                <w:szCs w:val="18"/>
              </w:rPr>
              <w:t xml:space="preserve"> 2021</w:t>
            </w:r>
          </w:p>
        </w:tc>
        <w:tc>
          <w:tcPr>
            <w:tcW w:w="2130" w:type="dxa"/>
          </w:tcPr>
          <w:p w14:paraId="76B08D8F" w14:textId="349E7B4F" w:rsidR="00AE509A" w:rsidRDefault="00AE509A" w:rsidP="00107812">
            <w:pPr>
              <w:jc w:val="right"/>
              <w:cnfStyle w:val="000000000000" w:firstRow="0" w:lastRow="0" w:firstColumn="0" w:lastColumn="0" w:oddVBand="0" w:evenVBand="0" w:oddHBand="0" w:evenHBand="0" w:firstRowFirstColumn="0" w:firstRowLastColumn="0" w:lastRowFirstColumn="0" w:lastRowLastColumn="0"/>
            </w:pPr>
            <w:r w:rsidRPr="00210B83">
              <w:rPr>
                <w:rFonts w:ascii="Arial" w:hAnsi="Arial" w:cs="Arial"/>
                <w:color w:val="215868" w:themeColor="accent5" w:themeShade="80"/>
                <w:sz w:val="18"/>
                <w:szCs w:val="18"/>
              </w:rPr>
              <w:t>$</w:t>
            </w:r>
            <w:r w:rsidR="009A0F69">
              <w:rPr>
                <w:rFonts w:ascii="Arial" w:hAnsi="Arial" w:cs="Arial"/>
                <w:color w:val="215868" w:themeColor="accent5" w:themeShade="80"/>
                <w:sz w:val="18"/>
                <w:szCs w:val="18"/>
              </w:rPr>
              <w:t>1.71</w:t>
            </w:r>
          </w:p>
        </w:tc>
        <w:tc>
          <w:tcPr>
            <w:tcW w:w="1702" w:type="dxa"/>
          </w:tcPr>
          <w:p w14:paraId="6E33AD98" w14:textId="0E4C7EBB" w:rsidR="00AE509A" w:rsidRDefault="00AE509A" w:rsidP="00107812">
            <w:pPr>
              <w:jc w:val="right"/>
              <w:cnfStyle w:val="000000000000" w:firstRow="0" w:lastRow="0" w:firstColumn="0" w:lastColumn="0" w:oddVBand="0" w:evenVBand="0" w:oddHBand="0" w:evenHBand="0" w:firstRowFirstColumn="0" w:firstRowLastColumn="0" w:lastRowFirstColumn="0" w:lastRowLastColumn="0"/>
            </w:pPr>
            <w:r w:rsidRPr="00222108">
              <w:rPr>
                <w:rFonts w:ascii="Arial" w:hAnsi="Arial" w:cs="Arial"/>
                <w:color w:val="215868" w:themeColor="accent5" w:themeShade="80"/>
                <w:sz w:val="18"/>
                <w:szCs w:val="18"/>
              </w:rPr>
              <w:t>+</w:t>
            </w:r>
            <w:r w:rsidR="009A0F69">
              <w:rPr>
                <w:rFonts w:ascii="Arial" w:hAnsi="Arial" w:cs="Arial"/>
                <w:color w:val="215868" w:themeColor="accent5" w:themeShade="80"/>
                <w:sz w:val="18"/>
                <w:szCs w:val="18"/>
              </w:rPr>
              <w:t>11.4</w:t>
            </w:r>
            <w:r w:rsidRPr="00222108">
              <w:rPr>
                <w:rFonts w:ascii="Arial" w:hAnsi="Arial" w:cs="Arial"/>
                <w:color w:val="215868" w:themeColor="accent5" w:themeShade="80"/>
                <w:sz w:val="18"/>
                <w:szCs w:val="18"/>
              </w:rPr>
              <w:t>%</w:t>
            </w:r>
          </w:p>
        </w:tc>
        <w:tc>
          <w:tcPr>
            <w:tcW w:w="1916" w:type="dxa"/>
          </w:tcPr>
          <w:p w14:paraId="4F9789CB" w14:textId="7966F31A" w:rsidR="00AE509A" w:rsidRDefault="00AE509A" w:rsidP="00107812">
            <w:pPr>
              <w:jc w:val="right"/>
              <w:cnfStyle w:val="000000000000" w:firstRow="0" w:lastRow="0" w:firstColumn="0" w:lastColumn="0" w:oddVBand="0" w:evenVBand="0" w:oddHBand="0" w:evenHBand="0" w:firstRowFirstColumn="0" w:firstRowLastColumn="0" w:lastRowFirstColumn="0" w:lastRowLastColumn="0"/>
            </w:pPr>
            <w:r w:rsidRPr="0038421C">
              <w:rPr>
                <w:rFonts w:ascii="Arial" w:hAnsi="Arial" w:cs="Arial"/>
                <w:color w:val="215868" w:themeColor="accent5" w:themeShade="80"/>
                <w:sz w:val="18"/>
                <w:szCs w:val="18"/>
              </w:rPr>
              <w:t>+</w:t>
            </w:r>
            <w:r w:rsidR="009A0F69">
              <w:rPr>
                <w:rFonts w:ascii="Arial" w:hAnsi="Arial" w:cs="Arial"/>
                <w:color w:val="215868" w:themeColor="accent5" w:themeShade="80"/>
                <w:sz w:val="18"/>
                <w:szCs w:val="18"/>
              </w:rPr>
              <w:t>11.9</w:t>
            </w:r>
            <w:r w:rsidRPr="0038421C">
              <w:rPr>
                <w:rFonts w:ascii="Arial" w:hAnsi="Arial" w:cs="Arial"/>
                <w:color w:val="215868" w:themeColor="accent5" w:themeShade="80"/>
                <w:sz w:val="18"/>
                <w:szCs w:val="18"/>
              </w:rPr>
              <w:t>%</w:t>
            </w:r>
          </w:p>
        </w:tc>
      </w:tr>
    </w:tbl>
    <w:p w14:paraId="7AD7328F" w14:textId="77777777" w:rsidR="00AE509A" w:rsidRPr="008A1AD9" w:rsidRDefault="00AE509A" w:rsidP="00AE509A">
      <w:pPr>
        <w:pStyle w:val="NoSpacing"/>
        <w:rPr>
          <w:rFonts w:ascii="Arial" w:hAnsi="Arial" w:cs="Arial"/>
          <w:sz w:val="6"/>
          <w:szCs w:val="6"/>
        </w:rPr>
      </w:pPr>
    </w:p>
    <w:p w14:paraId="2CBB8A5E" w14:textId="77777777" w:rsidR="00AE509A" w:rsidRPr="006879B2" w:rsidRDefault="00AE509A" w:rsidP="00AE509A">
      <w:pPr>
        <w:pStyle w:val="NoSpacing"/>
        <w:rPr>
          <w:rFonts w:ascii="Arial" w:hAnsi="Arial" w:cs="Arial"/>
          <w:sz w:val="16"/>
          <w:szCs w:val="16"/>
        </w:rPr>
      </w:pPr>
      <w:r>
        <w:rPr>
          <w:rFonts w:ascii="Arial" w:hAnsi="Arial" w:cs="Arial"/>
          <w:sz w:val="16"/>
          <w:szCs w:val="16"/>
        </w:rPr>
        <w:t>Source: IRI, Integrated Fresh, Total US, MULO, average price per volume and % gain versus YA and 2YA</w:t>
      </w:r>
    </w:p>
    <w:p w14:paraId="31B7F9B6" w14:textId="77777777" w:rsidR="00AE509A" w:rsidRPr="005C6A11" w:rsidRDefault="00AE509A" w:rsidP="00732CE6">
      <w:pPr>
        <w:pStyle w:val="NoSpacing"/>
        <w:rPr>
          <w:rFonts w:ascii="Arial" w:hAnsi="Arial" w:cs="Arial"/>
          <w:sz w:val="16"/>
          <w:szCs w:val="16"/>
        </w:rPr>
      </w:pPr>
    </w:p>
    <w:p w14:paraId="79F3927B" w14:textId="77777777" w:rsidR="0053257C" w:rsidRPr="00C227BA" w:rsidRDefault="0053257C" w:rsidP="0053257C">
      <w:pPr>
        <w:pStyle w:val="Heading1"/>
        <w:rPr>
          <w:rFonts w:ascii="Arial" w:hAnsi="Arial" w:cs="Arial"/>
          <w:color w:val="595959" w:themeColor="text1" w:themeTint="A6"/>
          <w:sz w:val="24"/>
        </w:rPr>
      </w:pPr>
      <w:r>
        <w:rPr>
          <w:rFonts w:ascii="Arial" w:hAnsi="Arial" w:cs="Arial"/>
          <w:color w:val="595959" w:themeColor="text1" w:themeTint="A6"/>
          <w:sz w:val="24"/>
        </w:rPr>
        <w:t>W</w:t>
      </w:r>
      <w:r w:rsidRPr="00C227BA">
        <w:rPr>
          <w:rFonts w:ascii="Arial" w:hAnsi="Arial" w:cs="Arial"/>
          <w:color w:val="595959" w:themeColor="text1" w:themeTint="A6"/>
          <w:sz w:val="24"/>
        </w:rPr>
        <w:t>eek-by-</w:t>
      </w:r>
      <w:r>
        <w:rPr>
          <w:rFonts w:ascii="Arial" w:hAnsi="Arial" w:cs="Arial"/>
          <w:color w:val="595959" w:themeColor="text1" w:themeTint="A6"/>
          <w:sz w:val="24"/>
        </w:rPr>
        <w:t>W</w:t>
      </w:r>
      <w:r w:rsidRPr="00C227BA">
        <w:rPr>
          <w:rFonts w:ascii="Arial" w:hAnsi="Arial" w:cs="Arial"/>
          <w:color w:val="595959" w:themeColor="text1" w:themeTint="A6"/>
          <w:sz w:val="24"/>
        </w:rPr>
        <w:t xml:space="preserve">eek </w:t>
      </w:r>
      <w:r>
        <w:rPr>
          <w:rFonts w:ascii="Arial" w:hAnsi="Arial" w:cs="Arial"/>
          <w:color w:val="595959" w:themeColor="text1" w:themeTint="A6"/>
          <w:sz w:val="24"/>
        </w:rPr>
        <w:t>S</w:t>
      </w:r>
      <w:r w:rsidRPr="00C227BA">
        <w:rPr>
          <w:rFonts w:ascii="Arial" w:hAnsi="Arial" w:cs="Arial"/>
          <w:color w:val="595959" w:themeColor="text1" w:themeTint="A6"/>
          <w:sz w:val="24"/>
        </w:rPr>
        <w:t>ales</w:t>
      </w:r>
      <w:r w:rsidR="009759B0">
        <w:rPr>
          <w:rFonts w:ascii="Arial" w:hAnsi="Arial" w:cs="Arial"/>
          <w:color w:val="595959" w:themeColor="text1" w:themeTint="A6"/>
          <w:sz w:val="24"/>
        </w:rPr>
        <w:t xml:space="preserve"> Fresh Produce</w:t>
      </w:r>
    </w:p>
    <w:tbl>
      <w:tblPr>
        <w:tblStyle w:val="LightShading-Accent5"/>
        <w:tblpPr w:leftFromText="180" w:rightFromText="180" w:vertAnchor="text" w:horzAnchor="margin" w:tblpXSpec="right" w:tblpY="320"/>
        <w:tblOverlap w:val="never"/>
        <w:tblW w:w="5701" w:type="dxa"/>
        <w:tblBorders>
          <w:top w:val="none" w:sz="0" w:space="0" w:color="auto"/>
          <w:bottom w:val="none" w:sz="0" w:space="0" w:color="auto"/>
        </w:tblBorders>
        <w:tblLook w:val="04A0" w:firstRow="1" w:lastRow="0" w:firstColumn="1" w:lastColumn="0" w:noHBand="0" w:noVBand="1"/>
      </w:tblPr>
      <w:tblGrid>
        <w:gridCol w:w="1843"/>
        <w:gridCol w:w="1276"/>
        <w:gridCol w:w="1291"/>
        <w:gridCol w:w="1291"/>
      </w:tblGrid>
      <w:tr w:rsidR="00A225AD" w:rsidRPr="00DE633B" w14:paraId="46E4781C" w14:textId="77777777" w:rsidTr="00340AA9">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43" w:type="dxa"/>
            <w:shd w:val="clear" w:color="auto" w:fill="17365D" w:themeFill="text2" w:themeFillShade="BF"/>
            <w:vAlign w:val="bottom"/>
          </w:tcPr>
          <w:p w14:paraId="104770F2" w14:textId="77777777" w:rsidR="00A225AD" w:rsidRPr="00DE633B" w:rsidRDefault="00A225AD" w:rsidP="00340AA9">
            <w:pPr>
              <w:rPr>
                <w:rFonts w:ascii="Arial" w:hAnsi="Arial" w:cs="Arial"/>
                <w:color w:val="FFFFFF" w:themeColor="background1"/>
                <w:sz w:val="18"/>
                <w:szCs w:val="20"/>
              </w:rPr>
            </w:pPr>
            <w:r>
              <w:rPr>
                <w:rFonts w:ascii="Arial" w:hAnsi="Arial" w:cs="Arial"/>
                <w:color w:val="FFFFFF" w:themeColor="background1"/>
                <w:sz w:val="18"/>
                <w:szCs w:val="20"/>
              </w:rPr>
              <w:t xml:space="preserve">Produce </w:t>
            </w:r>
            <w:r w:rsidRPr="00DE633B">
              <w:rPr>
                <w:rFonts w:ascii="Arial" w:hAnsi="Arial" w:cs="Arial"/>
                <w:color w:val="FFFFFF" w:themeColor="background1"/>
                <w:sz w:val="18"/>
                <w:szCs w:val="20"/>
              </w:rPr>
              <w:t>department</w:t>
            </w:r>
          </w:p>
        </w:tc>
        <w:tc>
          <w:tcPr>
            <w:tcW w:w="1276" w:type="dxa"/>
            <w:shd w:val="clear" w:color="auto" w:fill="17365D" w:themeFill="text2" w:themeFillShade="BF"/>
            <w:vAlign w:val="bottom"/>
          </w:tcPr>
          <w:p w14:paraId="1FC4BBEC" w14:textId="77777777" w:rsidR="00A225AD" w:rsidRPr="00DE633B" w:rsidRDefault="00A225AD" w:rsidP="00340AA9">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sidRPr="00DE633B">
              <w:rPr>
                <w:rFonts w:ascii="Arial" w:hAnsi="Arial" w:cs="Arial"/>
                <w:color w:val="FFFFFF" w:themeColor="background1"/>
                <w:sz w:val="18"/>
                <w:szCs w:val="20"/>
              </w:rPr>
              <w:t xml:space="preserve">Dollar </w:t>
            </w:r>
            <w:r>
              <w:rPr>
                <w:rFonts w:ascii="Arial" w:hAnsi="Arial" w:cs="Arial"/>
                <w:color w:val="FFFFFF" w:themeColor="background1"/>
                <w:sz w:val="18"/>
                <w:szCs w:val="20"/>
              </w:rPr>
              <w:br/>
            </w:r>
            <w:r w:rsidRPr="00DE633B">
              <w:rPr>
                <w:rFonts w:ascii="Arial" w:hAnsi="Arial" w:cs="Arial"/>
                <w:color w:val="FFFFFF" w:themeColor="background1"/>
                <w:sz w:val="18"/>
                <w:szCs w:val="20"/>
              </w:rPr>
              <w:t>sales</w:t>
            </w:r>
          </w:p>
        </w:tc>
        <w:tc>
          <w:tcPr>
            <w:tcW w:w="1291" w:type="dxa"/>
            <w:shd w:val="clear" w:color="auto" w:fill="17365D" w:themeFill="text2" w:themeFillShade="BF"/>
          </w:tcPr>
          <w:p w14:paraId="596A1590" w14:textId="77777777" w:rsidR="00A225AD" w:rsidRPr="00DE633B" w:rsidRDefault="00A225AD" w:rsidP="00340AA9">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Pr>
                <w:rFonts w:ascii="Arial" w:hAnsi="Arial" w:cs="Arial"/>
                <w:color w:val="FFFFFF" w:themeColor="background1"/>
                <w:sz w:val="18"/>
                <w:szCs w:val="20"/>
              </w:rPr>
              <w:t>Dollar gains vs. 2020</w:t>
            </w:r>
          </w:p>
        </w:tc>
        <w:tc>
          <w:tcPr>
            <w:tcW w:w="1291" w:type="dxa"/>
            <w:shd w:val="clear" w:color="auto" w:fill="17365D" w:themeFill="text2" w:themeFillShade="BF"/>
            <w:vAlign w:val="bottom"/>
          </w:tcPr>
          <w:p w14:paraId="55CA246E" w14:textId="77777777" w:rsidR="00A225AD" w:rsidRPr="00DE633B" w:rsidRDefault="00A225AD" w:rsidP="00340AA9">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sidRPr="00DE633B">
              <w:rPr>
                <w:rFonts w:ascii="Arial" w:hAnsi="Arial" w:cs="Arial"/>
                <w:color w:val="FFFFFF" w:themeColor="background1"/>
                <w:sz w:val="18"/>
                <w:szCs w:val="20"/>
              </w:rPr>
              <w:t>Dollar gains</w:t>
            </w:r>
            <w:r>
              <w:rPr>
                <w:rFonts w:ascii="Arial" w:hAnsi="Arial" w:cs="Arial"/>
                <w:color w:val="FFFFFF" w:themeColor="background1"/>
                <w:sz w:val="18"/>
                <w:szCs w:val="20"/>
              </w:rPr>
              <w:t xml:space="preserve"> vs. 2019</w:t>
            </w:r>
          </w:p>
        </w:tc>
      </w:tr>
      <w:tr w:rsidR="00A225AD" w:rsidRPr="00361BCC" w14:paraId="37265F12" w14:textId="77777777" w:rsidTr="00340AA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45E0B671" w14:textId="77777777" w:rsidR="00A225AD" w:rsidRPr="00361BCC" w:rsidRDefault="00E614AD" w:rsidP="00340AA9">
            <w:pPr>
              <w:pStyle w:val="NoSpacing"/>
              <w:rPr>
                <w:rFonts w:ascii="Arial" w:hAnsi="Arial" w:cs="Arial"/>
                <w:color w:val="215868" w:themeColor="accent5" w:themeShade="80"/>
                <w:sz w:val="18"/>
                <w:szCs w:val="18"/>
              </w:rPr>
            </w:pPr>
            <w:r>
              <w:rPr>
                <w:rFonts w:ascii="Arial" w:hAnsi="Arial" w:cs="Arial"/>
                <w:color w:val="215868" w:themeColor="accent5" w:themeShade="80"/>
                <w:sz w:val="18"/>
                <w:szCs w:val="18"/>
              </w:rPr>
              <w:t>Novem</w:t>
            </w:r>
            <w:r w:rsidR="00A225AD">
              <w:rPr>
                <w:rFonts w:ascii="Arial" w:hAnsi="Arial" w:cs="Arial"/>
                <w:color w:val="215868" w:themeColor="accent5" w:themeShade="80"/>
                <w:sz w:val="18"/>
                <w:szCs w:val="18"/>
              </w:rPr>
              <w:t>ber</w:t>
            </w:r>
            <w:r w:rsidR="00A225AD" w:rsidRPr="00361BCC">
              <w:rPr>
                <w:rFonts w:ascii="Arial" w:hAnsi="Arial" w:cs="Arial"/>
                <w:color w:val="215868" w:themeColor="accent5" w:themeShade="80"/>
                <w:sz w:val="18"/>
                <w:szCs w:val="18"/>
              </w:rPr>
              <w:t xml:space="preserve"> 2021</w:t>
            </w:r>
          </w:p>
        </w:tc>
        <w:tc>
          <w:tcPr>
            <w:tcW w:w="1276" w:type="dxa"/>
            <w:vAlign w:val="center"/>
          </w:tcPr>
          <w:p w14:paraId="58C3F8F2" w14:textId="125D6BA2" w:rsidR="00A225AD" w:rsidRPr="00361BCC" w:rsidRDefault="00A225AD" w:rsidP="00340AA9">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215868" w:themeColor="accent5" w:themeShade="80"/>
                <w:sz w:val="18"/>
                <w:szCs w:val="20"/>
              </w:rPr>
            </w:pPr>
            <w:r w:rsidRPr="00361BCC">
              <w:rPr>
                <w:rFonts w:ascii="Arial" w:hAnsi="Arial" w:cs="Arial"/>
                <w:b/>
                <w:bCs/>
                <w:color w:val="215868" w:themeColor="accent5" w:themeShade="80"/>
                <w:sz w:val="18"/>
                <w:szCs w:val="20"/>
              </w:rPr>
              <w:t>$</w:t>
            </w:r>
            <w:r w:rsidR="004F346A">
              <w:rPr>
                <w:rFonts w:ascii="Arial" w:hAnsi="Arial" w:cs="Arial"/>
                <w:b/>
                <w:bCs/>
                <w:color w:val="215868" w:themeColor="accent5" w:themeShade="80"/>
                <w:sz w:val="18"/>
                <w:szCs w:val="20"/>
              </w:rPr>
              <w:t>5.26</w:t>
            </w:r>
            <w:r w:rsidRPr="00361BCC">
              <w:rPr>
                <w:rFonts w:ascii="Arial" w:hAnsi="Arial" w:cs="Arial"/>
                <w:b/>
                <w:bCs/>
                <w:color w:val="215868" w:themeColor="accent5" w:themeShade="80"/>
                <w:sz w:val="18"/>
                <w:szCs w:val="20"/>
              </w:rPr>
              <w:t>B</w:t>
            </w:r>
          </w:p>
        </w:tc>
        <w:tc>
          <w:tcPr>
            <w:tcW w:w="1291" w:type="dxa"/>
            <w:vAlign w:val="center"/>
          </w:tcPr>
          <w:p w14:paraId="71324B54" w14:textId="32139FC9" w:rsidR="00A225AD" w:rsidRPr="00361BCC" w:rsidRDefault="00BA7456" w:rsidP="00340AA9">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215868" w:themeColor="accent5" w:themeShade="80"/>
                <w:sz w:val="18"/>
                <w:szCs w:val="20"/>
              </w:rPr>
            </w:pPr>
            <w:r>
              <w:rPr>
                <w:rFonts w:ascii="Arial" w:hAnsi="Arial" w:cs="Arial"/>
                <w:b/>
                <w:bCs/>
                <w:color w:val="215868" w:themeColor="accent5" w:themeShade="80"/>
                <w:sz w:val="18"/>
                <w:szCs w:val="20"/>
              </w:rPr>
              <w:t>+</w:t>
            </w:r>
            <w:r w:rsidR="004F346A">
              <w:rPr>
                <w:rFonts w:ascii="Arial" w:hAnsi="Arial" w:cs="Arial"/>
                <w:b/>
                <w:bCs/>
                <w:color w:val="215868" w:themeColor="accent5" w:themeShade="80"/>
                <w:sz w:val="18"/>
                <w:szCs w:val="20"/>
              </w:rPr>
              <w:t>4.0</w:t>
            </w:r>
            <w:r w:rsidR="00A225AD" w:rsidRPr="00361BCC">
              <w:rPr>
                <w:rFonts w:ascii="Arial" w:hAnsi="Arial" w:cs="Arial"/>
                <w:b/>
                <w:bCs/>
                <w:color w:val="215868" w:themeColor="accent5" w:themeShade="80"/>
                <w:sz w:val="18"/>
                <w:szCs w:val="20"/>
              </w:rPr>
              <w:t>%</w:t>
            </w:r>
          </w:p>
        </w:tc>
        <w:tc>
          <w:tcPr>
            <w:tcW w:w="1291" w:type="dxa"/>
            <w:vAlign w:val="center"/>
          </w:tcPr>
          <w:p w14:paraId="3180D98A" w14:textId="6D0B7ECE" w:rsidR="00A225AD" w:rsidRPr="00361BCC" w:rsidRDefault="00A225AD" w:rsidP="00340AA9">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215868" w:themeColor="accent5" w:themeShade="80"/>
                <w:sz w:val="18"/>
                <w:szCs w:val="20"/>
              </w:rPr>
            </w:pPr>
            <w:r w:rsidRPr="00361BCC">
              <w:rPr>
                <w:rFonts w:ascii="Arial" w:hAnsi="Arial" w:cs="Arial"/>
                <w:b/>
                <w:bCs/>
                <w:color w:val="215868" w:themeColor="accent5" w:themeShade="80"/>
                <w:sz w:val="18"/>
                <w:szCs w:val="20"/>
              </w:rPr>
              <w:t>+</w:t>
            </w:r>
            <w:r w:rsidR="004F346A">
              <w:rPr>
                <w:rFonts w:ascii="Arial" w:hAnsi="Arial" w:cs="Arial"/>
                <w:b/>
                <w:bCs/>
                <w:color w:val="215868" w:themeColor="accent5" w:themeShade="80"/>
                <w:sz w:val="18"/>
                <w:szCs w:val="20"/>
              </w:rPr>
              <w:t>16.0</w:t>
            </w:r>
            <w:r w:rsidRPr="00361BCC">
              <w:rPr>
                <w:rFonts w:ascii="Arial" w:hAnsi="Arial" w:cs="Arial"/>
                <w:b/>
                <w:bCs/>
                <w:color w:val="215868" w:themeColor="accent5" w:themeShade="80"/>
                <w:sz w:val="18"/>
                <w:szCs w:val="20"/>
              </w:rPr>
              <w:t>%</w:t>
            </w:r>
          </w:p>
        </w:tc>
      </w:tr>
      <w:tr w:rsidR="00A225AD" w:rsidRPr="00E736B9" w14:paraId="6D9434E7" w14:textId="77777777" w:rsidTr="00340AA9">
        <w:trPr>
          <w:trHeight w:val="255"/>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561A0A82" w14:textId="77777777" w:rsidR="00A225AD" w:rsidRPr="00E736B9" w:rsidRDefault="00E614AD" w:rsidP="00340AA9">
            <w:pPr>
              <w:pStyle w:val="NoSpacing"/>
              <w:rPr>
                <w:rFonts w:ascii="Arial" w:hAnsi="Arial" w:cs="Arial"/>
                <w:b w:val="0"/>
                <w:color w:val="215868" w:themeColor="accent5" w:themeShade="80"/>
                <w:sz w:val="18"/>
                <w:szCs w:val="18"/>
              </w:rPr>
            </w:pPr>
            <w:proofErr w:type="spellStart"/>
            <w:r>
              <w:rPr>
                <w:rFonts w:ascii="Arial" w:hAnsi="Arial" w:cs="Arial"/>
                <w:b w:val="0"/>
                <w:color w:val="215868" w:themeColor="accent5" w:themeShade="80"/>
                <w:sz w:val="18"/>
                <w:szCs w:val="18"/>
              </w:rPr>
              <w:t>w.e</w:t>
            </w:r>
            <w:proofErr w:type="spellEnd"/>
            <w:r>
              <w:rPr>
                <w:rFonts w:ascii="Arial" w:hAnsi="Arial" w:cs="Arial"/>
                <w:b w:val="0"/>
                <w:color w:val="215868" w:themeColor="accent5" w:themeShade="80"/>
                <w:sz w:val="18"/>
                <w:szCs w:val="18"/>
              </w:rPr>
              <w:t>. 11/7</w:t>
            </w:r>
            <w:r w:rsidR="00A225AD" w:rsidRPr="00E736B9">
              <w:rPr>
                <w:rFonts w:ascii="Arial" w:hAnsi="Arial" w:cs="Arial"/>
                <w:b w:val="0"/>
                <w:color w:val="215868" w:themeColor="accent5" w:themeShade="80"/>
                <w:sz w:val="18"/>
                <w:szCs w:val="18"/>
              </w:rPr>
              <w:t>/2021</w:t>
            </w:r>
          </w:p>
        </w:tc>
        <w:tc>
          <w:tcPr>
            <w:tcW w:w="1276" w:type="dxa"/>
            <w:vAlign w:val="center"/>
          </w:tcPr>
          <w:p w14:paraId="4011F651" w14:textId="0249D2F2" w:rsidR="00A225AD" w:rsidRPr="00E736B9" w:rsidRDefault="00BA7456" w:rsidP="00340AA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w:t>
            </w:r>
            <w:r w:rsidR="004F346A">
              <w:rPr>
                <w:rFonts w:ascii="Arial" w:hAnsi="Arial" w:cs="Arial"/>
                <w:color w:val="215868" w:themeColor="accent5" w:themeShade="80"/>
                <w:sz w:val="18"/>
                <w:szCs w:val="20"/>
              </w:rPr>
              <w:t>1.25</w:t>
            </w:r>
            <w:r w:rsidR="00A225AD">
              <w:rPr>
                <w:rFonts w:ascii="Arial" w:hAnsi="Arial" w:cs="Arial"/>
                <w:color w:val="215868" w:themeColor="accent5" w:themeShade="80"/>
                <w:sz w:val="18"/>
                <w:szCs w:val="20"/>
              </w:rPr>
              <w:t>B</w:t>
            </w:r>
          </w:p>
        </w:tc>
        <w:tc>
          <w:tcPr>
            <w:tcW w:w="1291" w:type="dxa"/>
            <w:vAlign w:val="center"/>
          </w:tcPr>
          <w:p w14:paraId="0C235A25" w14:textId="07662D0E" w:rsidR="00A225AD" w:rsidRPr="00E736B9" w:rsidRDefault="00BA7456" w:rsidP="00340AA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w:t>
            </w:r>
            <w:r w:rsidR="004F346A">
              <w:rPr>
                <w:rFonts w:ascii="Arial" w:hAnsi="Arial" w:cs="Arial"/>
                <w:color w:val="215868" w:themeColor="accent5" w:themeShade="80"/>
                <w:sz w:val="18"/>
                <w:szCs w:val="20"/>
              </w:rPr>
              <w:t>2.5</w:t>
            </w:r>
            <w:r w:rsidR="00A225AD">
              <w:rPr>
                <w:rFonts w:ascii="Arial" w:hAnsi="Arial" w:cs="Arial"/>
                <w:color w:val="215868" w:themeColor="accent5" w:themeShade="80"/>
                <w:sz w:val="18"/>
                <w:szCs w:val="20"/>
              </w:rPr>
              <w:t>%</w:t>
            </w:r>
          </w:p>
        </w:tc>
        <w:tc>
          <w:tcPr>
            <w:tcW w:w="1291" w:type="dxa"/>
            <w:vAlign w:val="center"/>
          </w:tcPr>
          <w:p w14:paraId="4345F351" w14:textId="2B7CA237" w:rsidR="00A225AD" w:rsidRPr="00E736B9" w:rsidRDefault="00BA7456" w:rsidP="00340AA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w:t>
            </w:r>
            <w:r w:rsidR="004F346A">
              <w:rPr>
                <w:rFonts w:ascii="Arial" w:hAnsi="Arial" w:cs="Arial"/>
                <w:color w:val="215868" w:themeColor="accent5" w:themeShade="80"/>
                <w:sz w:val="18"/>
                <w:szCs w:val="20"/>
              </w:rPr>
              <w:t>14.0</w:t>
            </w:r>
            <w:r w:rsidR="00A225AD">
              <w:rPr>
                <w:rFonts w:ascii="Arial" w:hAnsi="Arial" w:cs="Arial"/>
                <w:color w:val="215868" w:themeColor="accent5" w:themeShade="80"/>
                <w:sz w:val="18"/>
                <w:szCs w:val="20"/>
              </w:rPr>
              <w:t>%</w:t>
            </w:r>
          </w:p>
        </w:tc>
      </w:tr>
      <w:tr w:rsidR="00A225AD" w:rsidRPr="00E736B9" w14:paraId="6561D457" w14:textId="77777777" w:rsidTr="00340AA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69BE70E2" w14:textId="77777777" w:rsidR="00A225AD" w:rsidRPr="00E736B9" w:rsidRDefault="00A225AD" w:rsidP="00340AA9">
            <w:pPr>
              <w:rPr>
                <w:color w:val="215868" w:themeColor="accent5" w:themeShade="80"/>
              </w:rPr>
            </w:pPr>
            <w:proofErr w:type="spellStart"/>
            <w:r w:rsidRPr="00E736B9">
              <w:rPr>
                <w:rFonts w:ascii="Arial" w:hAnsi="Arial" w:cs="Arial"/>
                <w:b w:val="0"/>
                <w:color w:val="215868" w:themeColor="accent5" w:themeShade="80"/>
                <w:sz w:val="18"/>
                <w:szCs w:val="18"/>
              </w:rPr>
              <w:t>w.e</w:t>
            </w:r>
            <w:proofErr w:type="spellEnd"/>
            <w:r w:rsidRPr="00E736B9">
              <w:rPr>
                <w:rFonts w:ascii="Arial" w:hAnsi="Arial" w:cs="Arial"/>
                <w:b w:val="0"/>
                <w:color w:val="215868" w:themeColor="accent5" w:themeShade="80"/>
                <w:sz w:val="18"/>
                <w:szCs w:val="18"/>
              </w:rPr>
              <w:t xml:space="preserve">. </w:t>
            </w:r>
            <w:r w:rsidR="00E614AD">
              <w:rPr>
                <w:rFonts w:ascii="Arial" w:hAnsi="Arial" w:cs="Arial"/>
                <w:b w:val="0"/>
                <w:color w:val="215868" w:themeColor="accent5" w:themeShade="80"/>
                <w:sz w:val="18"/>
                <w:szCs w:val="18"/>
              </w:rPr>
              <w:t>11/14</w:t>
            </w:r>
            <w:r w:rsidRPr="00E736B9">
              <w:rPr>
                <w:rFonts w:ascii="Arial" w:hAnsi="Arial" w:cs="Arial"/>
                <w:b w:val="0"/>
                <w:color w:val="215868" w:themeColor="accent5" w:themeShade="80"/>
                <w:sz w:val="18"/>
                <w:szCs w:val="18"/>
              </w:rPr>
              <w:t>/2021</w:t>
            </w:r>
          </w:p>
        </w:tc>
        <w:tc>
          <w:tcPr>
            <w:tcW w:w="1276" w:type="dxa"/>
            <w:vAlign w:val="center"/>
          </w:tcPr>
          <w:p w14:paraId="49FD8EC1" w14:textId="227F145D" w:rsidR="00A225AD" w:rsidRPr="00E736B9" w:rsidRDefault="00E614AD" w:rsidP="00340AA9">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w:t>
            </w:r>
            <w:r w:rsidR="004F346A">
              <w:rPr>
                <w:rFonts w:ascii="Arial" w:hAnsi="Arial" w:cs="Arial"/>
                <w:color w:val="215868" w:themeColor="accent5" w:themeShade="80"/>
                <w:sz w:val="18"/>
                <w:szCs w:val="20"/>
              </w:rPr>
              <w:t>1.28</w:t>
            </w:r>
            <w:r w:rsidR="00A225AD">
              <w:rPr>
                <w:rFonts w:ascii="Arial" w:hAnsi="Arial" w:cs="Arial"/>
                <w:color w:val="215868" w:themeColor="accent5" w:themeShade="80"/>
                <w:sz w:val="18"/>
                <w:szCs w:val="20"/>
              </w:rPr>
              <w:t>B</w:t>
            </w:r>
          </w:p>
        </w:tc>
        <w:tc>
          <w:tcPr>
            <w:tcW w:w="1291" w:type="dxa"/>
            <w:vAlign w:val="center"/>
          </w:tcPr>
          <w:p w14:paraId="1F5A573C" w14:textId="6EB41C25" w:rsidR="00A225AD" w:rsidRPr="00E736B9" w:rsidRDefault="00BA7456" w:rsidP="00340AA9">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w:t>
            </w:r>
            <w:r w:rsidR="004F346A">
              <w:rPr>
                <w:rFonts w:ascii="Arial" w:hAnsi="Arial" w:cs="Arial"/>
                <w:color w:val="215868" w:themeColor="accent5" w:themeShade="80"/>
                <w:sz w:val="18"/>
                <w:szCs w:val="20"/>
              </w:rPr>
              <w:t>3.3</w:t>
            </w:r>
            <w:r w:rsidR="00A225AD">
              <w:rPr>
                <w:rFonts w:ascii="Arial" w:hAnsi="Arial" w:cs="Arial"/>
                <w:color w:val="215868" w:themeColor="accent5" w:themeShade="80"/>
                <w:sz w:val="18"/>
                <w:szCs w:val="20"/>
              </w:rPr>
              <w:t>%</w:t>
            </w:r>
          </w:p>
        </w:tc>
        <w:tc>
          <w:tcPr>
            <w:tcW w:w="1291" w:type="dxa"/>
            <w:vAlign w:val="center"/>
          </w:tcPr>
          <w:p w14:paraId="67D15975" w14:textId="72543888" w:rsidR="00A225AD" w:rsidRPr="00E736B9" w:rsidRDefault="00BA7456" w:rsidP="00340AA9">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w:t>
            </w:r>
            <w:r w:rsidR="004F346A">
              <w:rPr>
                <w:rFonts w:ascii="Arial" w:hAnsi="Arial" w:cs="Arial"/>
                <w:color w:val="215868" w:themeColor="accent5" w:themeShade="80"/>
                <w:sz w:val="18"/>
                <w:szCs w:val="20"/>
              </w:rPr>
              <w:t>18.2</w:t>
            </w:r>
            <w:r w:rsidR="00A225AD">
              <w:rPr>
                <w:rFonts w:ascii="Arial" w:hAnsi="Arial" w:cs="Arial"/>
                <w:color w:val="215868" w:themeColor="accent5" w:themeShade="80"/>
                <w:sz w:val="18"/>
                <w:szCs w:val="20"/>
              </w:rPr>
              <w:t>%</w:t>
            </w:r>
          </w:p>
        </w:tc>
      </w:tr>
      <w:tr w:rsidR="00A225AD" w:rsidRPr="00E736B9" w14:paraId="63DE7644" w14:textId="77777777" w:rsidTr="00340AA9">
        <w:trPr>
          <w:trHeight w:val="255"/>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751BEA97" w14:textId="77777777" w:rsidR="00A225AD" w:rsidRPr="00E736B9" w:rsidRDefault="00E614AD" w:rsidP="00E614AD">
            <w:pPr>
              <w:rPr>
                <w:color w:val="215868" w:themeColor="accent5" w:themeShade="80"/>
              </w:rPr>
            </w:pPr>
            <w:proofErr w:type="spellStart"/>
            <w:r>
              <w:rPr>
                <w:rFonts w:ascii="Arial" w:hAnsi="Arial" w:cs="Arial"/>
                <w:b w:val="0"/>
                <w:color w:val="215868" w:themeColor="accent5" w:themeShade="80"/>
                <w:sz w:val="18"/>
                <w:szCs w:val="18"/>
              </w:rPr>
              <w:t>w.e</w:t>
            </w:r>
            <w:proofErr w:type="spellEnd"/>
            <w:r>
              <w:rPr>
                <w:rFonts w:ascii="Arial" w:hAnsi="Arial" w:cs="Arial"/>
                <w:b w:val="0"/>
                <w:color w:val="215868" w:themeColor="accent5" w:themeShade="80"/>
                <w:sz w:val="18"/>
                <w:szCs w:val="18"/>
              </w:rPr>
              <w:t>. 11/21</w:t>
            </w:r>
            <w:r w:rsidR="00A225AD" w:rsidRPr="00E736B9">
              <w:rPr>
                <w:rFonts w:ascii="Arial" w:hAnsi="Arial" w:cs="Arial"/>
                <w:b w:val="0"/>
                <w:color w:val="215868" w:themeColor="accent5" w:themeShade="80"/>
                <w:sz w:val="18"/>
                <w:szCs w:val="18"/>
              </w:rPr>
              <w:t>/2021</w:t>
            </w:r>
          </w:p>
        </w:tc>
        <w:tc>
          <w:tcPr>
            <w:tcW w:w="1276" w:type="dxa"/>
            <w:vAlign w:val="center"/>
          </w:tcPr>
          <w:p w14:paraId="4B038CA7" w14:textId="139613BC" w:rsidR="00A225AD" w:rsidRPr="00E736B9" w:rsidRDefault="00BA7456" w:rsidP="00340AA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w:t>
            </w:r>
            <w:r w:rsidR="004F346A">
              <w:rPr>
                <w:rFonts w:ascii="Arial" w:hAnsi="Arial" w:cs="Arial"/>
                <w:color w:val="215868" w:themeColor="accent5" w:themeShade="80"/>
                <w:sz w:val="18"/>
                <w:szCs w:val="20"/>
              </w:rPr>
              <w:t>1.39</w:t>
            </w:r>
            <w:r w:rsidR="00A225AD">
              <w:rPr>
                <w:rFonts w:ascii="Arial" w:hAnsi="Arial" w:cs="Arial"/>
                <w:color w:val="215868" w:themeColor="accent5" w:themeShade="80"/>
                <w:sz w:val="18"/>
                <w:szCs w:val="20"/>
              </w:rPr>
              <w:t>B</w:t>
            </w:r>
          </w:p>
        </w:tc>
        <w:tc>
          <w:tcPr>
            <w:tcW w:w="1291" w:type="dxa"/>
            <w:vAlign w:val="center"/>
          </w:tcPr>
          <w:p w14:paraId="6237CECA" w14:textId="117E113B" w:rsidR="00A225AD" w:rsidRPr="00E736B9" w:rsidRDefault="00BA7456" w:rsidP="00340AA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w:t>
            </w:r>
            <w:r w:rsidR="004F346A">
              <w:rPr>
                <w:rFonts w:ascii="Arial" w:hAnsi="Arial" w:cs="Arial"/>
                <w:color w:val="215868" w:themeColor="accent5" w:themeShade="80"/>
                <w:sz w:val="18"/>
                <w:szCs w:val="20"/>
              </w:rPr>
              <w:t>2.7</w:t>
            </w:r>
            <w:r w:rsidR="00A225AD">
              <w:rPr>
                <w:rFonts w:ascii="Arial" w:hAnsi="Arial" w:cs="Arial"/>
                <w:color w:val="215868" w:themeColor="accent5" w:themeShade="80"/>
                <w:sz w:val="18"/>
                <w:szCs w:val="20"/>
              </w:rPr>
              <w:t>%</w:t>
            </w:r>
          </w:p>
        </w:tc>
        <w:tc>
          <w:tcPr>
            <w:tcW w:w="1291" w:type="dxa"/>
            <w:vAlign w:val="center"/>
          </w:tcPr>
          <w:p w14:paraId="1204F959" w14:textId="4AB0B423" w:rsidR="00A225AD" w:rsidRPr="00E736B9" w:rsidRDefault="00BA7456" w:rsidP="00340AA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w:t>
            </w:r>
            <w:r w:rsidR="004F346A">
              <w:rPr>
                <w:rFonts w:ascii="Arial" w:hAnsi="Arial" w:cs="Arial"/>
                <w:color w:val="215868" w:themeColor="accent5" w:themeShade="80"/>
                <w:sz w:val="18"/>
                <w:szCs w:val="20"/>
              </w:rPr>
              <w:t>17.9</w:t>
            </w:r>
            <w:r w:rsidR="00A225AD">
              <w:rPr>
                <w:rFonts w:ascii="Arial" w:hAnsi="Arial" w:cs="Arial"/>
                <w:color w:val="215868" w:themeColor="accent5" w:themeShade="80"/>
                <w:sz w:val="18"/>
                <w:szCs w:val="20"/>
              </w:rPr>
              <w:t>%</w:t>
            </w:r>
          </w:p>
        </w:tc>
      </w:tr>
      <w:tr w:rsidR="00A225AD" w:rsidRPr="00E736B9" w14:paraId="399F934F" w14:textId="77777777" w:rsidTr="00340AA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686BEB9D" w14:textId="77777777" w:rsidR="00A225AD" w:rsidRPr="00E736B9" w:rsidRDefault="00E614AD" w:rsidP="00340AA9">
            <w:pPr>
              <w:rPr>
                <w:color w:val="215868" w:themeColor="accent5" w:themeShade="80"/>
              </w:rPr>
            </w:pPr>
            <w:proofErr w:type="spellStart"/>
            <w:r>
              <w:rPr>
                <w:rFonts w:ascii="Arial" w:hAnsi="Arial" w:cs="Arial"/>
                <w:b w:val="0"/>
                <w:color w:val="215868" w:themeColor="accent5" w:themeShade="80"/>
                <w:sz w:val="18"/>
                <w:szCs w:val="18"/>
              </w:rPr>
              <w:t>w.e</w:t>
            </w:r>
            <w:proofErr w:type="spellEnd"/>
            <w:r>
              <w:rPr>
                <w:rFonts w:ascii="Arial" w:hAnsi="Arial" w:cs="Arial"/>
                <w:b w:val="0"/>
                <w:color w:val="215868" w:themeColor="accent5" w:themeShade="80"/>
                <w:sz w:val="18"/>
                <w:szCs w:val="18"/>
              </w:rPr>
              <w:t>. 11/28</w:t>
            </w:r>
            <w:r w:rsidR="00A225AD" w:rsidRPr="00E736B9">
              <w:rPr>
                <w:rFonts w:ascii="Arial" w:hAnsi="Arial" w:cs="Arial"/>
                <w:b w:val="0"/>
                <w:color w:val="215868" w:themeColor="accent5" w:themeShade="80"/>
                <w:sz w:val="18"/>
                <w:szCs w:val="18"/>
              </w:rPr>
              <w:t>/2021</w:t>
            </w:r>
          </w:p>
        </w:tc>
        <w:tc>
          <w:tcPr>
            <w:tcW w:w="1276" w:type="dxa"/>
            <w:vAlign w:val="center"/>
          </w:tcPr>
          <w:p w14:paraId="0F3AC8DE" w14:textId="56FEE552" w:rsidR="00A225AD" w:rsidRPr="00E736B9" w:rsidRDefault="00BA7456" w:rsidP="00340AA9">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w:t>
            </w:r>
            <w:r w:rsidR="004F346A">
              <w:rPr>
                <w:rFonts w:ascii="Arial" w:hAnsi="Arial" w:cs="Arial"/>
                <w:color w:val="215868" w:themeColor="accent5" w:themeShade="80"/>
                <w:sz w:val="18"/>
                <w:szCs w:val="20"/>
              </w:rPr>
              <w:t>1.34</w:t>
            </w:r>
            <w:r w:rsidR="00A225AD">
              <w:rPr>
                <w:rFonts w:ascii="Arial" w:hAnsi="Arial" w:cs="Arial"/>
                <w:color w:val="215868" w:themeColor="accent5" w:themeShade="80"/>
                <w:sz w:val="18"/>
                <w:szCs w:val="20"/>
              </w:rPr>
              <w:t>B</w:t>
            </w:r>
          </w:p>
        </w:tc>
        <w:tc>
          <w:tcPr>
            <w:tcW w:w="1291" w:type="dxa"/>
            <w:vAlign w:val="center"/>
          </w:tcPr>
          <w:p w14:paraId="5D38B687" w14:textId="28CCAD44" w:rsidR="00A225AD" w:rsidRPr="00E736B9" w:rsidRDefault="00BA7456" w:rsidP="00340AA9">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w:t>
            </w:r>
            <w:r w:rsidR="004F346A">
              <w:rPr>
                <w:rFonts w:ascii="Arial" w:hAnsi="Arial" w:cs="Arial"/>
                <w:color w:val="215868" w:themeColor="accent5" w:themeShade="80"/>
                <w:sz w:val="18"/>
                <w:szCs w:val="20"/>
              </w:rPr>
              <w:t>7.6</w:t>
            </w:r>
            <w:r w:rsidR="00A225AD">
              <w:rPr>
                <w:rFonts w:ascii="Arial" w:hAnsi="Arial" w:cs="Arial"/>
                <w:color w:val="215868" w:themeColor="accent5" w:themeShade="80"/>
                <w:sz w:val="18"/>
                <w:szCs w:val="20"/>
              </w:rPr>
              <w:t>%</w:t>
            </w:r>
          </w:p>
        </w:tc>
        <w:tc>
          <w:tcPr>
            <w:tcW w:w="1291" w:type="dxa"/>
            <w:vAlign w:val="center"/>
          </w:tcPr>
          <w:p w14:paraId="63BF36A0" w14:textId="3083CDB1" w:rsidR="00A225AD" w:rsidRPr="00E736B9" w:rsidRDefault="00BA7456" w:rsidP="00340AA9">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w:t>
            </w:r>
            <w:r w:rsidR="004F346A">
              <w:rPr>
                <w:rFonts w:ascii="Arial" w:hAnsi="Arial" w:cs="Arial"/>
                <w:color w:val="215868" w:themeColor="accent5" w:themeShade="80"/>
                <w:sz w:val="18"/>
                <w:szCs w:val="20"/>
              </w:rPr>
              <w:t>13.9</w:t>
            </w:r>
            <w:r w:rsidR="00A225AD">
              <w:rPr>
                <w:rFonts w:ascii="Arial" w:hAnsi="Arial" w:cs="Arial"/>
                <w:color w:val="215868" w:themeColor="accent5" w:themeShade="80"/>
                <w:sz w:val="18"/>
                <w:szCs w:val="20"/>
              </w:rPr>
              <w:t>%</w:t>
            </w:r>
          </w:p>
        </w:tc>
      </w:tr>
    </w:tbl>
    <w:p w14:paraId="39E308DA" w14:textId="575838CE" w:rsidR="007D4DC6" w:rsidRDefault="009759B0" w:rsidP="00A225AD">
      <w:pPr>
        <w:spacing w:after="0" w:line="240" w:lineRule="auto"/>
        <w:rPr>
          <w:rFonts w:ascii="Arial" w:hAnsi="Arial" w:cs="Arial"/>
          <w:sz w:val="20"/>
          <w:szCs w:val="20"/>
        </w:rPr>
      </w:pPr>
      <w:r>
        <w:rPr>
          <w:rFonts w:ascii="Arial" w:hAnsi="Arial" w:cs="Arial"/>
          <w:sz w:val="20"/>
          <w:szCs w:val="20"/>
        </w:rPr>
        <w:t xml:space="preserve">Fresh produce </w:t>
      </w:r>
      <w:r w:rsidR="00A225AD">
        <w:rPr>
          <w:rFonts w:ascii="Arial" w:hAnsi="Arial" w:cs="Arial"/>
          <w:sz w:val="20"/>
          <w:szCs w:val="20"/>
        </w:rPr>
        <w:t xml:space="preserve">sales were very consistent with </w:t>
      </w:r>
      <w:r w:rsidR="00E92520">
        <w:rPr>
          <w:rFonts w:ascii="Arial" w:hAnsi="Arial" w:cs="Arial"/>
          <w:sz w:val="20"/>
          <w:szCs w:val="20"/>
        </w:rPr>
        <w:t xml:space="preserve">November </w:t>
      </w:r>
      <w:r w:rsidR="00A225AD">
        <w:rPr>
          <w:rFonts w:ascii="Arial" w:hAnsi="Arial" w:cs="Arial"/>
          <w:sz w:val="20"/>
          <w:szCs w:val="20"/>
        </w:rPr>
        <w:t xml:space="preserve">levels </w:t>
      </w:r>
      <w:r w:rsidR="00E92520">
        <w:rPr>
          <w:rFonts w:ascii="Arial" w:hAnsi="Arial" w:cs="Arial"/>
          <w:sz w:val="20"/>
          <w:szCs w:val="20"/>
        </w:rPr>
        <w:t xml:space="preserve">between $1.2 and </w:t>
      </w:r>
      <w:r w:rsidR="00A225AD">
        <w:rPr>
          <w:rFonts w:ascii="Arial" w:hAnsi="Arial" w:cs="Arial"/>
          <w:sz w:val="20"/>
          <w:szCs w:val="20"/>
        </w:rPr>
        <w:t>$1.</w:t>
      </w:r>
      <w:r w:rsidR="00E92520">
        <w:rPr>
          <w:rFonts w:ascii="Arial" w:hAnsi="Arial" w:cs="Arial"/>
          <w:sz w:val="20"/>
          <w:szCs w:val="20"/>
        </w:rPr>
        <w:t>4</w:t>
      </w:r>
      <w:r w:rsidR="00A225AD">
        <w:rPr>
          <w:rFonts w:ascii="Arial" w:hAnsi="Arial" w:cs="Arial"/>
          <w:sz w:val="20"/>
          <w:szCs w:val="20"/>
        </w:rPr>
        <w:t xml:space="preserve"> billion each week</w:t>
      </w:r>
      <w:r w:rsidR="00E92520">
        <w:rPr>
          <w:rFonts w:ascii="Arial" w:hAnsi="Arial" w:cs="Arial"/>
          <w:sz w:val="20"/>
          <w:szCs w:val="20"/>
        </w:rPr>
        <w:t>.</w:t>
      </w:r>
      <w:r w:rsidR="00A225AD">
        <w:rPr>
          <w:rFonts w:ascii="Arial" w:hAnsi="Arial" w:cs="Arial"/>
          <w:sz w:val="20"/>
          <w:szCs w:val="20"/>
        </w:rPr>
        <w:t xml:space="preserve"> Despite the high consumer demand in 2020, sales exceeded last year’s levels</w:t>
      </w:r>
      <w:r w:rsidR="00E92520">
        <w:rPr>
          <w:rFonts w:ascii="Arial" w:hAnsi="Arial" w:cs="Arial"/>
          <w:sz w:val="20"/>
          <w:szCs w:val="20"/>
        </w:rPr>
        <w:t xml:space="preserve"> by 4.0%</w:t>
      </w:r>
      <w:r w:rsidR="00A225AD">
        <w:rPr>
          <w:rFonts w:ascii="Arial" w:hAnsi="Arial" w:cs="Arial"/>
          <w:sz w:val="20"/>
          <w:szCs w:val="20"/>
        </w:rPr>
        <w:t xml:space="preserve"> and remained about 16% ahead of the 2019 pre-pandemic normal.</w:t>
      </w:r>
      <w:r w:rsidR="00E92520">
        <w:rPr>
          <w:rFonts w:ascii="Arial" w:hAnsi="Arial" w:cs="Arial"/>
          <w:sz w:val="20"/>
          <w:szCs w:val="20"/>
        </w:rPr>
        <w:t xml:space="preserve"> </w:t>
      </w:r>
      <w:r w:rsidR="00A225AD">
        <w:rPr>
          <w:rFonts w:ascii="Arial" w:hAnsi="Arial" w:cs="Arial"/>
          <w:sz w:val="20"/>
          <w:szCs w:val="20"/>
        </w:rPr>
        <w:t xml:space="preserve"> </w:t>
      </w:r>
      <w:r w:rsidR="007D4DC6">
        <w:rPr>
          <w:rFonts w:ascii="Arial" w:hAnsi="Arial" w:cs="Arial"/>
          <w:sz w:val="20"/>
          <w:szCs w:val="20"/>
        </w:rPr>
        <w:t xml:space="preserve"> </w:t>
      </w:r>
    </w:p>
    <w:p w14:paraId="55D77427" w14:textId="77777777" w:rsidR="007D4DC6" w:rsidRDefault="007D4DC6" w:rsidP="00151CCC">
      <w:pPr>
        <w:pStyle w:val="NoSpacing"/>
        <w:rPr>
          <w:rFonts w:ascii="Arial" w:hAnsi="Arial" w:cs="Arial"/>
          <w:sz w:val="20"/>
          <w:szCs w:val="20"/>
        </w:rPr>
      </w:pPr>
    </w:p>
    <w:p w14:paraId="458FD7A8" w14:textId="2B6649DA" w:rsidR="0068309E" w:rsidRDefault="005D2937" w:rsidP="00151CCC">
      <w:pPr>
        <w:pStyle w:val="NoSpacing"/>
        <w:rPr>
          <w:rFonts w:ascii="Arial" w:hAnsi="Arial" w:cs="Arial"/>
          <w:sz w:val="20"/>
          <w:szCs w:val="20"/>
        </w:rPr>
      </w:pPr>
      <w:r>
        <w:rPr>
          <w:rFonts w:ascii="Arial" w:hAnsi="Arial" w:cs="Arial"/>
          <w:noProof/>
          <w:sz w:val="20"/>
          <w:szCs w:val="20"/>
        </w:rPr>
        <w:pict w14:anchorId="105F6DEE">
          <v:shapetype id="_x0000_t202" coordsize="21600,21600" o:spt="202" path="m,l,21600r21600,l21600,xe">
            <v:stroke joinstyle="miter"/>
            <v:path gradientshapeok="t" o:connecttype="rect"/>
          </v:shapetype>
          <v:shape id="Text Box 2" o:spid="_x0000_s2050" type="#_x0000_t202" style="position:absolute;margin-left:252.25pt;margin-top:49.65pt;width:279.35pt;height:15.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" stroked="f">
            <v:textbox>
              <w:txbxContent>
                <w:p w14:paraId="5D7E2416" w14:textId="77777777" w:rsidR="00340AA9" w:rsidRDefault="00340AA9" w:rsidP="0053257C">
                  <w:pPr>
                    <w:pStyle w:val="NoSpacing"/>
                  </w:pPr>
                  <w:r>
                    <w:rPr>
                      <w:rFonts w:ascii="Arial" w:hAnsi="Arial" w:cs="Arial"/>
                      <w:sz w:val="16"/>
                      <w:szCs w:val="16"/>
                    </w:rPr>
                    <w:t>Source: IRI, Integrated Fresh, Total US, MULO, $ sales</w:t>
                  </w:r>
                </w:p>
              </w:txbxContent>
            </v:textbox>
            <w10:wrap type="square"/>
          </v:shape>
        </w:pict>
      </w:r>
      <w:r w:rsidR="005C201D">
        <w:rPr>
          <w:rFonts w:ascii="Arial" w:hAnsi="Arial" w:cs="Arial"/>
          <w:sz w:val="20"/>
          <w:szCs w:val="20"/>
        </w:rPr>
        <w:t>“</w:t>
      </w:r>
      <w:r w:rsidR="00E7405A">
        <w:rPr>
          <w:rFonts w:ascii="Arial" w:hAnsi="Arial" w:cs="Arial"/>
          <w:sz w:val="20"/>
          <w:szCs w:val="20"/>
        </w:rPr>
        <w:t>Both the week before the holiday and Thanksgiving week itself were big for fresh produce</w:t>
      </w:r>
      <w:r w:rsidR="005C201D">
        <w:rPr>
          <w:rFonts w:ascii="Arial" w:hAnsi="Arial" w:cs="Arial"/>
          <w:sz w:val="20"/>
          <w:szCs w:val="20"/>
        </w:rPr>
        <w:t>,” said Watson</w:t>
      </w:r>
      <w:r w:rsidR="000A543A">
        <w:rPr>
          <w:rFonts w:ascii="Arial" w:hAnsi="Arial" w:cs="Arial"/>
          <w:sz w:val="20"/>
          <w:szCs w:val="20"/>
        </w:rPr>
        <w:t>. “</w:t>
      </w:r>
      <w:r w:rsidR="00E7405A">
        <w:rPr>
          <w:rFonts w:ascii="Arial" w:hAnsi="Arial" w:cs="Arial"/>
          <w:sz w:val="20"/>
          <w:szCs w:val="20"/>
        </w:rPr>
        <w:t xml:space="preserve">As we have been seeing since the start of the </w:t>
      </w:r>
      <w:r w:rsidR="00E7405A">
        <w:rPr>
          <w:rFonts w:ascii="Arial" w:hAnsi="Arial" w:cs="Arial"/>
          <w:sz w:val="20"/>
          <w:szCs w:val="20"/>
        </w:rPr>
        <w:lastRenderedPageBreak/>
        <w:t>pandemic, consumers started holiday purchases earlier</w:t>
      </w:r>
      <w:r w:rsidR="007D58E6">
        <w:rPr>
          <w:rFonts w:ascii="Arial" w:hAnsi="Arial" w:cs="Arial"/>
          <w:sz w:val="20"/>
          <w:szCs w:val="20"/>
        </w:rPr>
        <w:t xml:space="preserve"> — making the week prior to the holiday the bigger of the two. </w:t>
      </w:r>
      <w:r w:rsidR="00594573">
        <w:rPr>
          <w:rFonts w:ascii="Arial" w:hAnsi="Arial" w:cs="Arial"/>
          <w:sz w:val="20"/>
          <w:szCs w:val="20"/>
        </w:rPr>
        <w:t>I noticed a lot of</w:t>
      </w:r>
      <w:r w:rsidR="00E7405A">
        <w:rPr>
          <w:rFonts w:ascii="Arial" w:hAnsi="Arial" w:cs="Arial"/>
          <w:sz w:val="20"/>
          <w:szCs w:val="20"/>
        </w:rPr>
        <w:t xml:space="preserve"> consumer media coverage about potential shortages</w:t>
      </w:r>
      <w:r w:rsidR="007D58E6">
        <w:rPr>
          <w:rFonts w:ascii="Arial" w:hAnsi="Arial" w:cs="Arial"/>
          <w:sz w:val="20"/>
          <w:szCs w:val="20"/>
        </w:rPr>
        <w:t>, resulting in some consumers being surprised to find certain items in stock</w:t>
      </w:r>
      <w:r w:rsidR="00A95927">
        <w:rPr>
          <w:rFonts w:ascii="Arial" w:hAnsi="Arial" w:cs="Arial"/>
          <w:sz w:val="20"/>
          <w:szCs w:val="20"/>
        </w:rPr>
        <w:t>.</w:t>
      </w:r>
      <w:r w:rsidR="00E7405A">
        <w:rPr>
          <w:rFonts w:ascii="Arial" w:hAnsi="Arial" w:cs="Arial"/>
          <w:sz w:val="20"/>
          <w:szCs w:val="20"/>
        </w:rPr>
        <w:t xml:space="preserve"> We have an opportunity to</w:t>
      </w:r>
      <w:r w:rsidR="007D58E6">
        <w:rPr>
          <w:rFonts w:ascii="Arial" w:hAnsi="Arial" w:cs="Arial"/>
          <w:sz w:val="20"/>
          <w:szCs w:val="20"/>
        </w:rPr>
        <w:t xml:space="preserve"> clearly communicate about supply chain </w:t>
      </w:r>
      <w:r w:rsidR="00F27029">
        <w:rPr>
          <w:rFonts w:ascii="Arial" w:hAnsi="Arial" w:cs="Arial"/>
          <w:sz w:val="20"/>
          <w:szCs w:val="20"/>
        </w:rPr>
        <w:t xml:space="preserve">availability </w:t>
      </w:r>
      <w:r w:rsidR="007D58E6">
        <w:rPr>
          <w:rFonts w:ascii="Arial" w:hAnsi="Arial" w:cs="Arial"/>
          <w:sz w:val="20"/>
          <w:szCs w:val="20"/>
        </w:rPr>
        <w:t>and provide substitution suggestions</w:t>
      </w:r>
      <w:r w:rsidR="00594573">
        <w:rPr>
          <w:rFonts w:ascii="Arial" w:hAnsi="Arial" w:cs="Arial"/>
          <w:sz w:val="20"/>
          <w:szCs w:val="20"/>
        </w:rPr>
        <w:t>,</w:t>
      </w:r>
      <w:r w:rsidR="007D58E6">
        <w:rPr>
          <w:rFonts w:ascii="Arial" w:hAnsi="Arial" w:cs="Arial"/>
          <w:sz w:val="20"/>
          <w:szCs w:val="20"/>
        </w:rPr>
        <w:t xml:space="preserve"> where</w:t>
      </w:r>
      <w:r w:rsidR="00594573">
        <w:rPr>
          <w:rFonts w:ascii="Arial" w:hAnsi="Arial" w:cs="Arial"/>
          <w:sz w:val="20"/>
          <w:szCs w:val="20"/>
        </w:rPr>
        <w:t xml:space="preserve"> needed</w:t>
      </w:r>
      <w:r w:rsidR="007D58E6">
        <w:rPr>
          <w:rFonts w:ascii="Arial" w:hAnsi="Arial" w:cs="Arial"/>
          <w:sz w:val="20"/>
          <w:szCs w:val="20"/>
        </w:rPr>
        <w:t>.</w:t>
      </w:r>
      <w:r w:rsidR="00BA7456">
        <w:rPr>
          <w:rFonts w:ascii="Arial" w:hAnsi="Arial" w:cs="Arial"/>
          <w:sz w:val="20"/>
          <w:szCs w:val="20"/>
        </w:rPr>
        <w:t>”</w:t>
      </w:r>
      <w:r w:rsidR="0068309E">
        <w:rPr>
          <w:rFonts w:ascii="Arial" w:hAnsi="Arial" w:cs="Arial"/>
          <w:sz w:val="20"/>
          <w:szCs w:val="20"/>
        </w:rPr>
        <w:br/>
      </w:r>
      <w:r w:rsidR="0068309E">
        <w:rPr>
          <w:rFonts w:ascii="Arial" w:hAnsi="Arial" w:cs="Arial"/>
          <w:sz w:val="20"/>
          <w:szCs w:val="20"/>
        </w:rPr>
        <w:br/>
      </w:r>
      <w:r w:rsidR="00594573">
        <w:rPr>
          <w:rFonts w:ascii="Arial" w:hAnsi="Arial" w:cs="Arial"/>
          <w:sz w:val="20"/>
          <w:szCs w:val="20"/>
        </w:rPr>
        <w:t xml:space="preserve">November was the first time since March that vegetable sales tracked ahead when compared to 2020. Fruit sales growth slowed a little to +8.5% versus November 2020, but gains remained more than 18% ahead of the pre-pandemic 2019 levels. Vegetable sales were 14.1% ahead of 2019 — for a total department gain of 16.0%. </w:t>
      </w:r>
    </w:p>
    <w:p w14:paraId="4CEF5673" w14:textId="684CBF1B" w:rsidR="009759B0" w:rsidRDefault="00594573" w:rsidP="00151CCC">
      <w:pPr>
        <w:pStyle w:val="NoSpacing"/>
        <w:rPr>
          <w:rFonts w:ascii="Arial" w:hAnsi="Arial" w:cs="Arial"/>
          <w:sz w:val="20"/>
          <w:szCs w:val="20"/>
        </w:rPr>
      </w:pPr>
      <w:r>
        <w:rPr>
          <w:noProof/>
        </w:rPr>
        <w:drawing>
          <wp:inline distT="0" distB="0" distL="0" distR="0" wp14:anchorId="4FFF2416" wp14:editId="7C2F39D0">
            <wp:extent cx="6750685" cy="3107690"/>
            <wp:effectExtent l="0" t="0" r="0" b="0"/>
            <wp:docPr id="12" name="Chart 12">
              <a:extLst xmlns:a="http://schemas.openxmlformats.org/drawingml/2006/main">
                <a:ext uri="{FF2B5EF4-FFF2-40B4-BE49-F238E27FC236}">
                  <a16:creationId xmlns:a16="http://schemas.microsoft.com/office/drawing/2014/main" id="{00000000-0008-0000-00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4D44CCD" w14:textId="77777777" w:rsidR="0068309E" w:rsidRDefault="0068309E" w:rsidP="0068309E">
      <w:pPr>
        <w:pStyle w:val="NoSpacing"/>
        <w:rPr>
          <w:rFonts w:ascii="Arial" w:hAnsi="Arial" w:cs="Arial"/>
          <w:sz w:val="16"/>
          <w:szCs w:val="16"/>
        </w:rPr>
      </w:pPr>
      <w:r w:rsidRPr="00B35CE9">
        <w:rPr>
          <w:rFonts w:ascii="Arial" w:hAnsi="Arial" w:cs="Arial"/>
          <w:sz w:val="16"/>
          <w:szCs w:val="16"/>
        </w:rPr>
        <w:t>Source</w:t>
      </w:r>
      <w:r>
        <w:rPr>
          <w:rFonts w:ascii="Arial" w:hAnsi="Arial" w:cs="Arial"/>
          <w:sz w:val="16"/>
          <w:szCs w:val="16"/>
        </w:rPr>
        <w:t xml:space="preserve">: IRI Integrated Fresh, Total U.S., MULO, </w:t>
      </w:r>
      <w:r w:rsidRPr="00B35CE9">
        <w:rPr>
          <w:rFonts w:ascii="Arial" w:hAnsi="Arial" w:cs="Arial"/>
          <w:sz w:val="16"/>
          <w:szCs w:val="16"/>
        </w:rPr>
        <w:t>% change vs. YA</w:t>
      </w:r>
    </w:p>
    <w:p w14:paraId="2F9311D7" w14:textId="77777777" w:rsidR="0068309E" w:rsidRDefault="0068309E" w:rsidP="00151CCC">
      <w:pPr>
        <w:pStyle w:val="NoSpacing"/>
        <w:rPr>
          <w:rFonts w:ascii="Arial" w:hAnsi="Arial" w:cs="Arial"/>
          <w:sz w:val="20"/>
          <w:szCs w:val="20"/>
        </w:rPr>
      </w:pPr>
    </w:p>
    <w:p w14:paraId="382035E1" w14:textId="77777777" w:rsidR="000A543A" w:rsidRDefault="000A543A" w:rsidP="00160D1A">
      <w:pPr>
        <w:pStyle w:val="NoSpacing"/>
        <w:rPr>
          <w:rFonts w:ascii="Arial" w:hAnsi="Arial" w:cs="Arial"/>
          <w:b/>
          <w:color w:val="595959" w:themeColor="text1" w:themeTint="A6"/>
          <w:sz w:val="24"/>
          <w:szCs w:val="24"/>
        </w:rPr>
      </w:pPr>
    </w:p>
    <w:p w14:paraId="46BFCB3C" w14:textId="77777777" w:rsidR="00C573F6" w:rsidRPr="00507D74" w:rsidRDefault="00043B43" w:rsidP="00160D1A">
      <w:pPr>
        <w:pStyle w:val="NoSpacing"/>
        <w:rPr>
          <w:rFonts w:ascii="Arial" w:hAnsi="Arial" w:cs="Arial"/>
          <w:b/>
          <w:color w:val="595959" w:themeColor="text1" w:themeTint="A6"/>
          <w:sz w:val="24"/>
          <w:szCs w:val="24"/>
        </w:rPr>
      </w:pPr>
      <w:r w:rsidRPr="00507D74">
        <w:rPr>
          <w:rFonts w:ascii="Arial" w:hAnsi="Arial" w:cs="Arial"/>
          <w:b/>
          <w:color w:val="595959" w:themeColor="text1" w:themeTint="A6"/>
          <w:sz w:val="24"/>
          <w:szCs w:val="24"/>
        </w:rPr>
        <w:t>Fresh Share</w:t>
      </w:r>
      <w:r w:rsidR="00EB33CE">
        <w:rPr>
          <w:rFonts w:ascii="Arial" w:hAnsi="Arial" w:cs="Arial"/>
          <w:b/>
          <w:color w:val="595959" w:themeColor="text1" w:themeTint="A6"/>
          <w:sz w:val="24"/>
          <w:szCs w:val="24"/>
        </w:rPr>
        <w:t xml:space="preserve"> </w:t>
      </w:r>
    </w:p>
    <w:p w14:paraId="46E4961C" w14:textId="1F3CE3D1" w:rsidR="008111C0" w:rsidRDefault="008F0972" w:rsidP="008111C0">
      <w:pPr>
        <w:pStyle w:val="NoSpacing"/>
        <w:rPr>
          <w:rFonts w:ascii="Arial" w:hAnsi="Arial" w:cs="Arial"/>
          <w:sz w:val="20"/>
          <w:szCs w:val="20"/>
        </w:rPr>
      </w:pPr>
      <w:r>
        <w:rPr>
          <w:rFonts w:ascii="Arial" w:hAnsi="Arial" w:cs="Arial"/>
          <w:sz w:val="20"/>
          <w:szCs w:val="20"/>
        </w:rPr>
        <w:t>F</w:t>
      </w:r>
      <w:r w:rsidR="009F417C">
        <w:rPr>
          <w:rFonts w:ascii="Arial" w:hAnsi="Arial" w:cs="Arial"/>
          <w:sz w:val="20"/>
          <w:szCs w:val="20"/>
        </w:rPr>
        <w:t xml:space="preserve">resh </w:t>
      </w:r>
      <w:r w:rsidR="00466C35">
        <w:rPr>
          <w:rFonts w:ascii="Arial" w:hAnsi="Arial" w:cs="Arial"/>
          <w:sz w:val="20"/>
          <w:szCs w:val="20"/>
        </w:rPr>
        <w:t>produce sales were strong in November</w:t>
      </w:r>
      <w:r>
        <w:rPr>
          <w:rFonts w:ascii="Arial" w:hAnsi="Arial" w:cs="Arial"/>
          <w:sz w:val="20"/>
          <w:szCs w:val="20"/>
        </w:rPr>
        <w:t xml:space="preserve"> and</w:t>
      </w:r>
      <w:r w:rsidR="00466C35">
        <w:rPr>
          <w:rFonts w:ascii="Arial" w:hAnsi="Arial" w:cs="Arial"/>
          <w:sz w:val="20"/>
          <w:szCs w:val="20"/>
        </w:rPr>
        <w:t xml:space="preserve"> its share of dollars</w:t>
      </w:r>
      <w:r>
        <w:rPr>
          <w:rFonts w:ascii="Arial" w:hAnsi="Arial" w:cs="Arial"/>
          <w:sz w:val="20"/>
          <w:szCs w:val="20"/>
        </w:rPr>
        <w:t xml:space="preserve"> rebounded from the October 2021 low point of 79.5% to 80.8%. As such, it did</w:t>
      </w:r>
      <w:r w:rsidR="00466C35">
        <w:rPr>
          <w:rFonts w:ascii="Arial" w:hAnsi="Arial" w:cs="Arial"/>
          <w:sz w:val="20"/>
          <w:szCs w:val="20"/>
        </w:rPr>
        <w:t xml:space="preserve"> remain below summer levels, despite having the highest inflation of the three areas</w:t>
      </w:r>
      <w:r w:rsidR="00F27029">
        <w:rPr>
          <w:rFonts w:ascii="Arial" w:hAnsi="Arial" w:cs="Arial"/>
          <w:sz w:val="20"/>
          <w:szCs w:val="20"/>
        </w:rPr>
        <w:t>, which would artificially boost its share of dollars</w:t>
      </w:r>
      <w:r w:rsidR="00466C35">
        <w:rPr>
          <w:rFonts w:ascii="Arial" w:hAnsi="Arial" w:cs="Arial"/>
          <w:sz w:val="20"/>
          <w:szCs w:val="20"/>
        </w:rPr>
        <w:t xml:space="preserve">. </w:t>
      </w:r>
    </w:p>
    <w:p w14:paraId="4A5F9DCB" w14:textId="1C17EB58" w:rsidR="008111C0" w:rsidRDefault="00466C35" w:rsidP="008111C0">
      <w:pPr>
        <w:spacing w:after="0" w:line="240" w:lineRule="auto"/>
        <w:rPr>
          <w:rFonts w:ascii="Arial" w:hAnsi="Arial" w:cs="Arial"/>
          <w:color w:val="000000" w:themeColor="text1"/>
          <w:sz w:val="20"/>
          <w:szCs w:val="18"/>
          <w:shd w:val="clear" w:color="auto" w:fill="FFFFFF"/>
        </w:rPr>
      </w:pPr>
      <w:r>
        <w:rPr>
          <w:noProof/>
        </w:rPr>
        <w:drawing>
          <wp:inline distT="0" distB="0" distL="0" distR="0" wp14:anchorId="5CAC527A" wp14:editId="75E5E64A">
            <wp:extent cx="6750685" cy="2814761"/>
            <wp:effectExtent l="0" t="0" r="0" b="0"/>
            <wp:docPr id="13" name="Chart 13">
              <a:extLst xmlns:a="http://schemas.openxmlformats.org/drawingml/2006/main">
                <a:ext uri="{FF2B5EF4-FFF2-40B4-BE49-F238E27FC236}">
                  <a16:creationId xmlns:a16="http://schemas.microsoft.com/office/drawing/2014/main" id="{00000000-0008-0000-00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8111C0">
        <w:rPr>
          <w:rFonts w:ascii="Arial" w:hAnsi="Arial" w:cs="Arial"/>
          <w:color w:val="000000" w:themeColor="text1"/>
          <w:sz w:val="20"/>
          <w:szCs w:val="18"/>
          <w:shd w:val="clear" w:color="auto" w:fill="FFFFFF"/>
        </w:rPr>
        <w:t xml:space="preserve"> </w:t>
      </w:r>
    </w:p>
    <w:p w14:paraId="5135449E" w14:textId="77777777" w:rsidR="008111C0" w:rsidRDefault="008111C0" w:rsidP="008111C0">
      <w:pPr>
        <w:pStyle w:val="NoSpacing"/>
        <w:rPr>
          <w:rFonts w:ascii="Arial" w:hAnsi="Arial" w:cs="Arial"/>
          <w:sz w:val="16"/>
          <w:szCs w:val="16"/>
        </w:rPr>
      </w:pPr>
      <w:r w:rsidRPr="00507D74">
        <w:rPr>
          <w:rFonts w:ascii="Arial" w:hAnsi="Arial" w:cs="Arial"/>
          <w:sz w:val="16"/>
          <w:szCs w:val="16"/>
        </w:rPr>
        <w:t>Source: Source: IRI Integrated Fresh, Total U.S., MULO, % change vs. YA</w:t>
      </w:r>
    </w:p>
    <w:p w14:paraId="0396535E" w14:textId="77777777" w:rsidR="008111C0" w:rsidRDefault="008111C0" w:rsidP="0053257C">
      <w:pPr>
        <w:spacing w:after="0" w:line="240" w:lineRule="auto"/>
        <w:rPr>
          <w:rFonts w:ascii="Arial" w:hAnsi="Arial" w:cs="Arial"/>
          <w:sz w:val="20"/>
          <w:shd w:val="clear" w:color="auto" w:fill="FFFFFF"/>
        </w:rPr>
      </w:pPr>
    </w:p>
    <w:p w14:paraId="3908FB31" w14:textId="77777777" w:rsidR="008111C0" w:rsidRDefault="008111C0" w:rsidP="0053257C">
      <w:pPr>
        <w:spacing w:after="0" w:line="240" w:lineRule="auto"/>
        <w:rPr>
          <w:rFonts w:ascii="Arial" w:hAnsi="Arial" w:cs="Arial"/>
          <w:sz w:val="20"/>
          <w:shd w:val="clear" w:color="auto" w:fill="FFFFFF"/>
        </w:rPr>
      </w:pPr>
    </w:p>
    <w:p w14:paraId="28994990" w14:textId="77777777" w:rsidR="008111C0" w:rsidRDefault="008111C0" w:rsidP="0053257C">
      <w:pPr>
        <w:spacing w:after="0" w:line="240" w:lineRule="auto"/>
        <w:rPr>
          <w:rFonts w:ascii="Arial" w:hAnsi="Arial" w:cs="Arial"/>
          <w:sz w:val="20"/>
          <w:shd w:val="clear" w:color="auto" w:fill="FFFFFF"/>
        </w:rPr>
      </w:pPr>
    </w:p>
    <w:p w14:paraId="143F1B51" w14:textId="1E291909" w:rsidR="0053257C" w:rsidRPr="00DC5E32" w:rsidRDefault="00BF3299" w:rsidP="0053257C">
      <w:pPr>
        <w:spacing w:after="0" w:line="240" w:lineRule="auto"/>
        <w:rPr>
          <w:rFonts w:ascii="Arial" w:hAnsi="Arial" w:cs="Arial"/>
          <w:sz w:val="20"/>
          <w:shd w:val="clear" w:color="auto" w:fill="FFFFFF"/>
        </w:rPr>
      </w:pPr>
      <w:r>
        <w:rPr>
          <w:rFonts w:ascii="Arial" w:hAnsi="Arial" w:cs="Arial"/>
          <w:sz w:val="20"/>
          <w:shd w:val="clear" w:color="auto" w:fill="FFFFFF"/>
        </w:rPr>
        <w:t xml:space="preserve">In frozen, fruit </w:t>
      </w:r>
      <w:r w:rsidR="0011773C">
        <w:rPr>
          <w:rFonts w:ascii="Arial" w:hAnsi="Arial" w:cs="Arial"/>
          <w:sz w:val="20"/>
          <w:shd w:val="clear" w:color="auto" w:fill="FFFFFF"/>
        </w:rPr>
        <w:t xml:space="preserve">represented 18.6% of frozen fruit/vegetable sales and </w:t>
      </w:r>
      <w:r w:rsidR="006E5601">
        <w:rPr>
          <w:rFonts w:ascii="Arial" w:hAnsi="Arial" w:cs="Arial"/>
          <w:sz w:val="20"/>
          <w:shd w:val="clear" w:color="auto" w:fill="FFFFFF"/>
        </w:rPr>
        <w:t xml:space="preserve">dollars </w:t>
      </w:r>
      <w:r w:rsidR="0011773C">
        <w:rPr>
          <w:rFonts w:ascii="Arial" w:hAnsi="Arial" w:cs="Arial"/>
          <w:sz w:val="20"/>
          <w:shd w:val="clear" w:color="auto" w:fill="FFFFFF"/>
        </w:rPr>
        <w:t xml:space="preserve">were flat </w:t>
      </w:r>
      <w:r>
        <w:rPr>
          <w:rFonts w:ascii="Arial" w:hAnsi="Arial" w:cs="Arial"/>
          <w:sz w:val="20"/>
          <w:shd w:val="clear" w:color="auto" w:fill="FFFFFF"/>
        </w:rPr>
        <w:t>year-on-year</w:t>
      </w:r>
      <w:r w:rsidR="0011773C">
        <w:rPr>
          <w:rFonts w:ascii="Arial" w:hAnsi="Arial" w:cs="Arial"/>
          <w:sz w:val="20"/>
          <w:shd w:val="clear" w:color="auto" w:fill="FFFFFF"/>
        </w:rPr>
        <w:t>. F</w:t>
      </w:r>
      <w:r>
        <w:rPr>
          <w:rFonts w:ascii="Arial" w:hAnsi="Arial" w:cs="Arial"/>
          <w:sz w:val="20"/>
          <w:shd w:val="clear" w:color="auto" w:fill="FFFFFF"/>
        </w:rPr>
        <w:t xml:space="preserve">rozen vegetables declined </w:t>
      </w:r>
      <w:r w:rsidR="0011773C">
        <w:rPr>
          <w:rFonts w:ascii="Arial" w:hAnsi="Arial" w:cs="Arial"/>
          <w:sz w:val="20"/>
          <w:shd w:val="clear" w:color="auto" w:fill="FFFFFF"/>
        </w:rPr>
        <w:t>6.5</w:t>
      </w:r>
      <w:r>
        <w:rPr>
          <w:rFonts w:ascii="Arial" w:hAnsi="Arial" w:cs="Arial"/>
          <w:sz w:val="20"/>
          <w:shd w:val="clear" w:color="auto" w:fill="FFFFFF"/>
        </w:rPr>
        <w:t xml:space="preserve">%. </w:t>
      </w:r>
      <w:r w:rsidR="00FA1373" w:rsidRPr="00BF3299">
        <w:rPr>
          <w:rFonts w:ascii="Arial" w:hAnsi="Arial" w:cs="Arial"/>
          <w:sz w:val="20"/>
          <w:shd w:val="clear" w:color="auto" w:fill="FFFFFF"/>
        </w:rPr>
        <w:t>In</w:t>
      </w:r>
      <w:r w:rsidR="00FA5F3C" w:rsidRPr="00BF3299">
        <w:rPr>
          <w:rFonts w:ascii="Arial" w:hAnsi="Arial" w:cs="Arial"/>
          <w:sz w:val="20"/>
          <w:shd w:val="clear" w:color="auto" w:fill="FFFFFF"/>
        </w:rPr>
        <w:t xml:space="preserve"> canned, fruit also outperformed vegetables. Fruit sales increased </w:t>
      </w:r>
      <w:r w:rsidR="0011773C">
        <w:rPr>
          <w:rFonts w:ascii="Arial" w:hAnsi="Arial" w:cs="Arial"/>
          <w:sz w:val="20"/>
          <w:shd w:val="clear" w:color="auto" w:fill="FFFFFF"/>
        </w:rPr>
        <w:t>3.7</w:t>
      </w:r>
      <w:r w:rsidR="00FA5F3C" w:rsidRPr="00BF3299">
        <w:rPr>
          <w:rFonts w:ascii="Arial" w:hAnsi="Arial" w:cs="Arial"/>
          <w:sz w:val="20"/>
          <w:shd w:val="clear" w:color="auto" w:fill="FFFFFF"/>
        </w:rPr>
        <w:t xml:space="preserve">% in </w:t>
      </w:r>
      <w:r w:rsidR="0011773C">
        <w:rPr>
          <w:rFonts w:ascii="Arial" w:hAnsi="Arial" w:cs="Arial"/>
          <w:sz w:val="20"/>
          <w:shd w:val="clear" w:color="auto" w:fill="FFFFFF"/>
        </w:rPr>
        <w:t xml:space="preserve">November </w:t>
      </w:r>
      <w:r w:rsidR="00FA5F3C" w:rsidRPr="00BF3299">
        <w:rPr>
          <w:rFonts w:ascii="Arial" w:hAnsi="Arial" w:cs="Arial"/>
          <w:sz w:val="20"/>
          <w:shd w:val="clear" w:color="auto" w:fill="FFFFFF"/>
        </w:rPr>
        <w:t>2021 versus year ago</w:t>
      </w:r>
      <w:r w:rsidR="00FA5F3C">
        <w:rPr>
          <w:rFonts w:ascii="Arial" w:hAnsi="Arial" w:cs="Arial"/>
          <w:sz w:val="20"/>
          <w:shd w:val="clear" w:color="auto" w:fill="FFFFFF"/>
        </w:rPr>
        <w:t xml:space="preserve"> compared with </w:t>
      </w:r>
      <w:r w:rsidR="0011773C">
        <w:rPr>
          <w:rFonts w:ascii="Arial" w:hAnsi="Arial" w:cs="Arial"/>
          <w:sz w:val="20"/>
          <w:shd w:val="clear" w:color="auto" w:fill="FFFFFF"/>
        </w:rPr>
        <w:t>-2.0</w:t>
      </w:r>
      <w:r w:rsidR="00FA5F3C">
        <w:rPr>
          <w:rFonts w:ascii="Arial" w:hAnsi="Arial" w:cs="Arial"/>
          <w:sz w:val="20"/>
          <w:shd w:val="clear" w:color="auto" w:fill="FFFFFF"/>
        </w:rPr>
        <w:t>% for shelf-stable vegetables</w:t>
      </w:r>
      <w:r>
        <w:rPr>
          <w:rFonts w:ascii="Arial" w:hAnsi="Arial" w:cs="Arial"/>
          <w:sz w:val="20"/>
          <w:shd w:val="clear" w:color="auto" w:fill="FFFFFF"/>
        </w:rPr>
        <w:t xml:space="preserve">. </w:t>
      </w:r>
      <w:r w:rsidR="00FA5F3C">
        <w:rPr>
          <w:rFonts w:ascii="Arial" w:hAnsi="Arial" w:cs="Arial"/>
          <w:sz w:val="20"/>
          <w:shd w:val="clear" w:color="auto" w:fill="FFFFFF"/>
        </w:rPr>
        <w:t xml:space="preserve">All </w:t>
      </w:r>
      <w:r>
        <w:rPr>
          <w:rFonts w:ascii="Arial" w:hAnsi="Arial" w:cs="Arial"/>
          <w:sz w:val="20"/>
          <w:shd w:val="clear" w:color="auto" w:fill="FFFFFF"/>
        </w:rPr>
        <w:t xml:space="preserve">areas </w:t>
      </w:r>
      <w:r w:rsidR="00FA5F3C">
        <w:rPr>
          <w:rFonts w:ascii="Arial" w:hAnsi="Arial" w:cs="Arial"/>
          <w:sz w:val="20"/>
          <w:shd w:val="clear" w:color="auto" w:fill="FFFFFF"/>
        </w:rPr>
        <w:t xml:space="preserve">are still benefiting from robust demand versus the 2019 pre-pandemic normal. </w:t>
      </w:r>
      <w:r w:rsidR="00FA1373">
        <w:rPr>
          <w:rFonts w:ascii="Arial" w:hAnsi="Arial" w:cs="Arial"/>
          <w:sz w:val="20"/>
          <w:shd w:val="clear" w:color="auto" w:fill="FFFFFF"/>
        </w:rPr>
        <w:t xml:space="preserve"> </w:t>
      </w:r>
    </w:p>
    <w:p w14:paraId="5407C05A" w14:textId="77777777" w:rsidR="008111C0" w:rsidRPr="00B265F0" w:rsidRDefault="008111C0" w:rsidP="0053257C">
      <w:pPr>
        <w:pStyle w:val="NoSpacing"/>
        <w:rPr>
          <w:rFonts w:ascii="Arial" w:hAnsi="Arial" w:cs="Arial"/>
          <w:sz w:val="16"/>
          <w:szCs w:val="16"/>
        </w:rPr>
      </w:pPr>
    </w:p>
    <w:tbl>
      <w:tblPr>
        <w:tblStyle w:val="LightShading-Accent5"/>
        <w:tblW w:w="10847" w:type="dxa"/>
        <w:tblBorders>
          <w:top w:val="none" w:sz="0" w:space="0" w:color="auto"/>
          <w:bottom w:val="none" w:sz="0" w:space="0" w:color="auto"/>
        </w:tblBorders>
        <w:tblLook w:val="04A0" w:firstRow="1" w:lastRow="0" w:firstColumn="1" w:lastColumn="0" w:noHBand="0" w:noVBand="1"/>
      </w:tblPr>
      <w:tblGrid>
        <w:gridCol w:w="5893"/>
        <w:gridCol w:w="1552"/>
        <w:gridCol w:w="1643"/>
        <w:gridCol w:w="1759"/>
      </w:tblGrid>
      <w:tr w:rsidR="005C201D" w:rsidRPr="00B265F0" w14:paraId="054A71D6" w14:textId="77777777" w:rsidTr="00B920A9">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893" w:type="dxa"/>
            <w:tcBorders>
              <w:top w:val="none" w:sz="0" w:space="0" w:color="auto"/>
              <w:bottom w:val="none" w:sz="0" w:space="0" w:color="auto"/>
            </w:tcBorders>
            <w:shd w:val="clear" w:color="auto" w:fill="17365D" w:themeFill="text2" w:themeFillShade="BF"/>
          </w:tcPr>
          <w:p w14:paraId="486B12F0" w14:textId="77777777" w:rsidR="005C201D" w:rsidRPr="00B265F0" w:rsidRDefault="008D7B46" w:rsidP="00042FD2">
            <w:pPr>
              <w:pStyle w:val="NoSpacing"/>
              <w:rPr>
                <w:rFonts w:ascii="Arial" w:hAnsi="Arial" w:cs="Arial"/>
                <w:color w:val="FFFFFF" w:themeColor="background1"/>
                <w:sz w:val="18"/>
                <w:szCs w:val="20"/>
              </w:rPr>
            </w:pPr>
            <w:r>
              <w:rPr>
                <w:rFonts w:ascii="Arial" w:hAnsi="Arial" w:cs="Arial"/>
                <w:color w:val="FFFFFF" w:themeColor="background1"/>
                <w:sz w:val="18"/>
                <w:szCs w:val="20"/>
              </w:rPr>
              <w:t>Novem</w:t>
            </w:r>
            <w:r w:rsidR="00E86435">
              <w:rPr>
                <w:rFonts w:ascii="Arial" w:hAnsi="Arial" w:cs="Arial"/>
                <w:color w:val="FFFFFF" w:themeColor="background1"/>
                <w:sz w:val="18"/>
                <w:szCs w:val="20"/>
              </w:rPr>
              <w:t>ber</w:t>
            </w:r>
            <w:r w:rsidR="00926C6E">
              <w:rPr>
                <w:rFonts w:ascii="Arial" w:hAnsi="Arial" w:cs="Arial"/>
                <w:color w:val="FFFFFF" w:themeColor="background1"/>
                <w:sz w:val="18"/>
                <w:szCs w:val="20"/>
              </w:rPr>
              <w:t xml:space="preserve"> </w:t>
            </w:r>
            <w:r w:rsidR="005C201D">
              <w:rPr>
                <w:rFonts w:ascii="Arial" w:hAnsi="Arial" w:cs="Arial"/>
                <w:color w:val="FFFFFF" w:themeColor="background1"/>
                <w:sz w:val="18"/>
                <w:szCs w:val="20"/>
              </w:rPr>
              <w:t>2021</w:t>
            </w:r>
          </w:p>
        </w:tc>
        <w:tc>
          <w:tcPr>
            <w:tcW w:w="1552" w:type="dxa"/>
            <w:tcBorders>
              <w:top w:val="none" w:sz="0" w:space="0" w:color="auto"/>
              <w:bottom w:val="none" w:sz="0" w:space="0" w:color="auto"/>
            </w:tcBorders>
            <w:shd w:val="clear" w:color="auto" w:fill="17365D" w:themeFill="text2" w:themeFillShade="BF"/>
          </w:tcPr>
          <w:p w14:paraId="4EC25DA6" w14:textId="77777777" w:rsidR="005C201D" w:rsidRPr="00B265F0" w:rsidRDefault="005C201D" w:rsidP="005C201D">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Pr>
                <w:rFonts w:ascii="Arial" w:hAnsi="Arial" w:cs="Arial"/>
                <w:color w:val="FFFFFF" w:themeColor="background1"/>
                <w:sz w:val="18"/>
                <w:szCs w:val="20"/>
              </w:rPr>
              <w:t>Dollar</w:t>
            </w:r>
            <w:r>
              <w:rPr>
                <w:rFonts w:ascii="Arial" w:hAnsi="Arial" w:cs="Arial"/>
                <w:color w:val="FFFFFF" w:themeColor="background1"/>
                <w:sz w:val="18"/>
                <w:szCs w:val="20"/>
              </w:rPr>
              <w:br/>
              <w:t>sales</w:t>
            </w:r>
          </w:p>
        </w:tc>
        <w:tc>
          <w:tcPr>
            <w:tcW w:w="1643" w:type="dxa"/>
            <w:tcBorders>
              <w:top w:val="none" w:sz="0" w:space="0" w:color="auto"/>
              <w:bottom w:val="none" w:sz="0" w:space="0" w:color="auto"/>
            </w:tcBorders>
            <w:shd w:val="clear" w:color="auto" w:fill="17365D" w:themeFill="text2" w:themeFillShade="BF"/>
            <w:vAlign w:val="bottom"/>
          </w:tcPr>
          <w:p w14:paraId="118F88B1" w14:textId="77777777" w:rsidR="005C201D" w:rsidRPr="00B265F0" w:rsidRDefault="005C201D" w:rsidP="00042FD2">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sidRPr="00B265F0">
              <w:rPr>
                <w:rFonts w:ascii="Arial" w:hAnsi="Arial" w:cs="Arial"/>
                <w:color w:val="FFFFFF" w:themeColor="background1"/>
                <w:sz w:val="18"/>
                <w:szCs w:val="20"/>
              </w:rPr>
              <w:t>Dollar sales gains v</w:t>
            </w:r>
            <w:r>
              <w:rPr>
                <w:rFonts w:ascii="Arial" w:hAnsi="Arial" w:cs="Arial"/>
                <w:color w:val="FFFFFF" w:themeColor="background1"/>
                <w:sz w:val="18"/>
                <w:szCs w:val="20"/>
              </w:rPr>
              <w:t>s. 2020</w:t>
            </w:r>
          </w:p>
        </w:tc>
        <w:tc>
          <w:tcPr>
            <w:tcW w:w="1759" w:type="dxa"/>
            <w:tcBorders>
              <w:top w:val="none" w:sz="0" w:space="0" w:color="auto"/>
              <w:bottom w:val="none" w:sz="0" w:space="0" w:color="auto"/>
            </w:tcBorders>
            <w:shd w:val="clear" w:color="auto" w:fill="17365D" w:themeFill="text2" w:themeFillShade="BF"/>
            <w:vAlign w:val="bottom"/>
          </w:tcPr>
          <w:p w14:paraId="4A7BAA8B" w14:textId="77777777" w:rsidR="005C201D" w:rsidRPr="00B265F0" w:rsidRDefault="005C201D" w:rsidP="00042FD2">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sidRPr="00B265F0">
              <w:rPr>
                <w:rFonts w:ascii="Arial" w:hAnsi="Arial" w:cs="Arial"/>
                <w:color w:val="FFFFFF" w:themeColor="background1"/>
                <w:sz w:val="18"/>
                <w:szCs w:val="20"/>
              </w:rPr>
              <w:t>Dollar sales</w:t>
            </w:r>
            <w:r>
              <w:rPr>
                <w:rFonts w:ascii="Arial" w:hAnsi="Arial" w:cs="Arial"/>
                <w:color w:val="FFFFFF" w:themeColor="background1"/>
                <w:sz w:val="18"/>
                <w:szCs w:val="20"/>
              </w:rPr>
              <w:br/>
            </w:r>
            <w:r w:rsidRPr="00B265F0">
              <w:rPr>
                <w:rFonts w:ascii="Arial" w:hAnsi="Arial" w:cs="Arial"/>
                <w:color w:val="FFFFFF" w:themeColor="background1"/>
                <w:sz w:val="18"/>
                <w:szCs w:val="20"/>
              </w:rPr>
              <w:t xml:space="preserve"> gains v</w:t>
            </w:r>
            <w:r>
              <w:rPr>
                <w:rFonts w:ascii="Arial" w:hAnsi="Arial" w:cs="Arial"/>
                <w:color w:val="FFFFFF" w:themeColor="background1"/>
                <w:sz w:val="18"/>
                <w:szCs w:val="20"/>
              </w:rPr>
              <w:t>s. 2019</w:t>
            </w:r>
          </w:p>
        </w:tc>
      </w:tr>
      <w:tr w:rsidR="00A310F7" w:rsidRPr="00E43E81" w14:paraId="463656D3" w14:textId="77777777" w:rsidTr="007A3C43">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893" w:type="dxa"/>
          </w:tcPr>
          <w:p w14:paraId="13FDE255" w14:textId="77777777" w:rsidR="00A310F7" w:rsidRPr="000D5031" w:rsidRDefault="00A310F7" w:rsidP="00A310F7">
            <w:pPr>
              <w:pStyle w:val="NoSpacing"/>
              <w:rPr>
                <w:rFonts w:ascii="Arial" w:hAnsi="Arial" w:cs="Arial"/>
                <w:b w:val="0"/>
                <w:color w:val="215868" w:themeColor="accent5" w:themeShade="80"/>
                <w:sz w:val="18"/>
                <w:szCs w:val="20"/>
              </w:rPr>
            </w:pPr>
            <w:r w:rsidRPr="000D5031">
              <w:rPr>
                <w:rFonts w:ascii="Arial" w:hAnsi="Arial" w:cs="Arial"/>
                <w:b w:val="0"/>
                <w:color w:val="215868" w:themeColor="accent5" w:themeShade="80"/>
                <w:sz w:val="18"/>
                <w:szCs w:val="20"/>
              </w:rPr>
              <w:t>Fresh produce department</w:t>
            </w:r>
          </w:p>
        </w:tc>
        <w:tc>
          <w:tcPr>
            <w:tcW w:w="1552" w:type="dxa"/>
            <w:vAlign w:val="center"/>
          </w:tcPr>
          <w:p w14:paraId="0DE08437" w14:textId="35819078" w:rsidR="00A310F7" w:rsidRPr="000D5031" w:rsidRDefault="00A310F7" w:rsidP="00A310F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sidRPr="00361BCC">
              <w:rPr>
                <w:rFonts w:ascii="Arial" w:hAnsi="Arial" w:cs="Arial"/>
                <w:b/>
                <w:bCs/>
                <w:color w:val="215868" w:themeColor="accent5" w:themeShade="80"/>
                <w:sz w:val="18"/>
                <w:szCs w:val="20"/>
              </w:rPr>
              <w:t>$</w:t>
            </w:r>
            <w:r w:rsidR="008F0972">
              <w:rPr>
                <w:rFonts w:ascii="Arial" w:hAnsi="Arial" w:cs="Arial"/>
                <w:b/>
                <w:bCs/>
                <w:color w:val="215868" w:themeColor="accent5" w:themeShade="80"/>
                <w:sz w:val="18"/>
                <w:szCs w:val="20"/>
              </w:rPr>
              <w:t>5.26</w:t>
            </w:r>
            <w:r w:rsidRPr="00361BCC">
              <w:rPr>
                <w:rFonts w:ascii="Arial" w:hAnsi="Arial" w:cs="Arial"/>
                <w:b/>
                <w:bCs/>
                <w:color w:val="215868" w:themeColor="accent5" w:themeShade="80"/>
                <w:sz w:val="18"/>
                <w:szCs w:val="20"/>
              </w:rPr>
              <w:t>B</w:t>
            </w:r>
          </w:p>
        </w:tc>
        <w:tc>
          <w:tcPr>
            <w:tcW w:w="1643" w:type="dxa"/>
            <w:vAlign w:val="center"/>
          </w:tcPr>
          <w:p w14:paraId="793CE155" w14:textId="55087E7E" w:rsidR="00A310F7" w:rsidRPr="000D5031" w:rsidRDefault="00E86435" w:rsidP="00A310F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Pr>
                <w:rFonts w:ascii="Arial" w:hAnsi="Arial" w:cs="Arial"/>
                <w:b/>
                <w:bCs/>
                <w:color w:val="215868" w:themeColor="accent5" w:themeShade="80"/>
                <w:sz w:val="18"/>
                <w:szCs w:val="20"/>
              </w:rPr>
              <w:t>+</w:t>
            </w:r>
            <w:r w:rsidR="008F0972">
              <w:rPr>
                <w:rFonts w:ascii="Arial" w:hAnsi="Arial" w:cs="Arial"/>
                <w:b/>
                <w:bCs/>
                <w:color w:val="215868" w:themeColor="accent5" w:themeShade="80"/>
                <w:sz w:val="18"/>
                <w:szCs w:val="20"/>
              </w:rPr>
              <w:t>4.0</w:t>
            </w:r>
            <w:r w:rsidR="00A310F7" w:rsidRPr="00361BCC">
              <w:rPr>
                <w:rFonts w:ascii="Arial" w:hAnsi="Arial" w:cs="Arial"/>
                <w:b/>
                <w:bCs/>
                <w:color w:val="215868" w:themeColor="accent5" w:themeShade="80"/>
                <w:sz w:val="18"/>
                <w:szCs w:val="20"/>
              </w:rPr>
              <w:t>%</w:t>
            </w:r>
          </w:p>
        </w:tc>
        <w:tc>
          <w:tcPr>
            <w:tcW w:w="1759" w:type="dxa"/>
            <w:vAlign w:val="center"/>
          </w:tcPr>
          <w:p w14:paraId="2F9D724A" w14:textId="7898D6A6" w:rsidR="00A310F7" w:rsidRPr="000D5031" w:rsidRDefault="00A310F7" w:rsidP="00A310F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rPr>
            </w:pPr>
            <w:r w:rsidRPr="00361BCC">
              <w:rPr>
                <w:rFonts w:ascii="Arial" w:hAnsi="Arial" w:cs="Arial"/>
                <w:b/>
                <w:bCs/>
                <w:color w:val="215868" w:themeColor="accent5" w:themeShade="80"/>
                <w:sz w:val="18"/>
                <w:szCs w:val="20"/>
              </w:rPr>
              <w:t>+</w:t>
            </w:r>
            <w:r w:rsidR="008F0972">
              <w:rPr>
                <w:rFonts w:ascii="Arial" w:hAnsi="Arial" w:cs="Arial"/>
                <w:b/>
                <w:bCs/>
                <w:color w:val="215868" w:themeColor="accent5" w:themeShade="80"/>
                <w:sz w:val="18"/>
                <w:szCs w:val="20"/>
              </w:rPr>
              <w:t>16.0</w:t>
            </w:r>
            <w:r w:rsidRPr="00361BCC">
              <w:rPr>
                <w:rFonts w:ascii="Arial" w:hAnsi="Arial" w:cs="Arial"/>
                <w:b/>
                <w:bCs/>
                <w:color w:val="215868" w:themeColor="accent5" w:themeShade="80"/>
                <w:sz w:val="18"/>
                <w:szCs w:val="20"/>
              </w:rPr>
              <w:t>%</w:t>
            </w:r>
          </w:p>
        </w:tc>
      </w:tr>
      <w:tr w:rsidR="00926C6E" w:rsidRPr="00E43E81" w14:paraId="36463737" w14:textId="77777777" w:rsidTr="00042FD2">
        <w:trPr>
          <w:trHeight w:val="227"/>
        </w:trPr>
        <w:tc>
          <w:tcPr>
            <w:cnfStyle w:val="001000000000" w:firstRow="0" w:lastRow="0" w:firstColumn="1" w:lastColumn="0" w:oddVBand="0" w:evenVBand="0" w:oddHBand="0" w:evenHBand="0" w:firstRowFirstColumn="0" w:firstRowLastColumn="0" w:lastRowFirstColumn="0" w:lastRowLastColumn="0"/>
            <w:tcW w:w="5893" w:type="dxa"/>
          </w:tcPr>
          <w:p w14:paraId="2DADC39B" w14:textId="77777777" w:rsidR="00926C6E" w:rsidRPr="000D5031" w:rsidRDefault="00926C6E" w:rsidP="00042FD2">
            <w:pPr>
              <w:rPr>
                <w:rFonts w:ascii="Arial" w:hAnsi="Arial" w:cs="Arial"/>
                <w:b w:val="0"/>
                <w:color w:val="215868" w:themeColor="accent5" w:themeShade="80"/>
                <w:sz w:val="18"/>
                <w:szCs w:val="20"/>
              </w:rPr>
            </w:pPr>
            <w:r w:rsidRPr="000D5031">
              <w:rPr>
                <w:rFonts w:ascii="Arial" w:hAnsi="Arial" w:cs="Arial"/>
                <w:b w:val="0"/>
                <w:color w:val="215868" w:themeColor="accent5" w:themeShade="80"/>
                <w:sz w:val="18"/>
                <w:szCs w:val="20"/>
              </w:rPr>
              <w:t xml:space="preserve">Shelf stable fruits </w:t>
            </w:r>
          </w:p>
        </w:tc>
        <w:tc>
          <w:tcPr>
            <w:tcW w:w="1552" w:type="dxa"/>
          </w:tcPr>
          <w:p w14:paraId="7E35DACF" w14:textId="2533FD79" w:rsidR="00926C6E" w:rsidRPr="000D5031" w:rsidRDefault="00CD25A6" w:rsidP="00042FD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w:t>
            </w:r>
            <w:r w:rsidR="008F0972">
              <w:rPr>
                <w:rFonts w:ascii="Arial" w:hAnsi="Arial" w:cs="Arial"/>
                <w:color w:val="215868" w:themeColor="accent5" w:themeShade="80"/>
                <w:sz w:val="18"/>
                <w:szCs w:val="20"/>
              </w:rPr>
              <w:t>298.7</w:t>
            </w:r>
            <w:r w:rsidR="008111C0">
              <w:rPr>
                <w:rFonts w:ascii="Arial" w:hAnsi="Arial" w:cs="Arial"/>
                <w:color w:val="215868" w:themeColor="accent5" w:themeShade="80"/>
                <w:sz w:val="18"/>
                <w:szCs w:val="20"/>
              </w:rPr>
              <w:t>M</w:t>
            </w:r>
          </w:p>
        </w:tc>
        <w:tc>
          <w:tcPr>
            <w:tcW w:w="1643" w:type="dxa"/>
          </w:tcPr>
          <w:p w14:paraId="73183EAB" w14:textId="6E75E49E" w:rsidR="00926C6E" w:rsidRPr="000D5031" w:rsidRDefault="00CD25A6" w:rsidP="00042FD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w:t>
            </w:r>
            <w:r w:rsidR="008F0972">
              <w:rPr>
                <w:rFonts w:ascii="Arial" w:hAnsi="Arial" w:cs="Arial"/>
                <w:color w:val="215868" w:themeColor="accent5" w:themeShade="80"/>
                <w:sz w:val="18"/>
                <w:szCs w:val="20"/>
              </w:rPr>
              <w:t>3.7</w:t>
            </w:r>
            <w:r w:rsidR="00926C6E" w:rsidRPr="000D5031">
              <w:rPr>
                <w:rFonts w:ascii="Arial" w:hAnsi="Arial" w:cs="Arial"/>
                <w:color w:val="215868" w:themeColor="accent5" w:themeShade="80"/>
                <w:sz w:val="18"/>
                <w:szCs w:val="20"/>
              </w:rPr>
              <w:t>%</w:t>
            </w:r>
          </w:p>
        </w:tc>
        <w:tc>
          <w:tcPr>
            <w:tcW w:w="1759" w:type="dxa"/>
          </w:tcPr>
          <w:p w14:paraId="04290F8D" w14:textId="24C28254" w:rsidR="00926C6E" w:rsidRPr="000D5031" w:rsidRDefault="00CD25A6" w:rsidP="00042FD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highlight w:val="red"/>
              </w:rPr>
            </w:pPr>
            <w:r>
              <w:rPr>
                <w:rFonts w:ascii="Arial" w:hAnsi="Arial" w:cs="Arial"/>
                <w:color w:val="215868" w:themeColor="accent5" w:themeShade="80"/>
                <w:sz w:val="18"/>
                <w:szCs w:val="20"/>
              </w:rPr>
              <w:t>+</w:t>
            </w:r>
            <w:r w:rsidR="008F0972">
              <w:rPr>
                <w:rFonts w:ascii="Arial" w:hAnsi="Arial" w:cs="Arial"/>
                <w:color w:val="215868" w:themeColor="accent5" w:themeShade="80"/>
                <w:sz w:val="18"/>
                <w:szCs w:val="20"/>
              </w:rPr>
              <w:t>12.8</w:t>
            </w:r>
            <w:r w:rsidR="00926C6E" w:rsidRPr="000D5031">
              <w:rPr>
                <w:rFonts w:ascii="Arial" w:hAnsi="Arial" w:cs="Arial"/>
                <w:color w:val="215868" w:themeColor="accent5" w:themeShade="80"/>
                <w:sz w:val="18"/>
                <w:szCs w:val="20"/>
              </w:rPr>
              <w:t>%</w:t>
            </w:r>
          </w:p>
        </w:tc>
      </w:tr>
      <w:tr w:rsidR="00926C6E" w:rsidRPr="00E43E81" w14:paraId="2FDC4A61" w14:textId="77777777" w:rsidTr="00042FD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893" w:type="dxa"/>
          </w:tcPr>
          <w:p w14:paraId="3EC10C27" w14:textId="77777777" w:rsidR="00926C6E" w:rsidRPr="000D5031" w:rsidRDefault="00926C6E" w:rsidP="00042FD2">
            <w:pPr>
              <w:rPr>
                <w:rFonts w:ascii="Arial" w:hAnsi="Arial" w:cs="Arial"/>
                <w:b w:val="0"/>
                <w:color w:val="215868" w:themeColor="accent5" w:themeShade="80"/>
                <w:sz w:val="18"/>
                <w:szCs w:val="20"/>
              </w:rPr>
            </w:pPr>
            <w:r w:rsidRPr="000D5031">
              <w:rPr>
                <w:rFonts w:ascii="Arial" w:hAnsi="Arial" w:cs="Arial"/>
                <w:b w:val="0"/>
                <w:color w:val="215868" w:themeColor="accent5" w:themeShade="80"/>
                <w:sz w:val="18"/>
                <w:szCs w:val="20"/>
              </w:rPr>
              <w:t>Shelf stable vegetables</w:t>
            </w:r>
          </w:p>
        </w:tc>
        <w:tc>
          <w:tcPr>
            <w:tcW w:w="1552" w:type="dxa"/>
          </w:tcPr>
          <w:p w14:paraId="0EFBFF79" w14:textId="4238E7B4" w:rsidR="00926C6E" w:rsidRPr="000D5031" w:rsidRDefault="008D7B46" w:rsidP="00042FD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w:t>
            </w:r>
            <w:r w:rsidR="008F0972">
              <w:rPr>
                <w:rFonts w:ascii="Arial" w:hAnsi="Arial" w:cs="Arial"/>
                <w:color w:val="215868" w:themeColor="accent5" w:themeShade="80"/>
                <w:sz w:val="18"/>
                <w:szCs w:val="20"/>
              </w:rPr>
              <w:t>407.1</w:t>
            </w:r>
            <w:r w:rsidR="00926C6E" w:rsidRPr="000D5031">
              <w:rPr>
                <w:rFonts w:ascii="Arial" w:hAnsi="Arial" w:cs="Arial"/>
                <w:color w:val="215868" w:themeColor="accent5" w:themeShade="80"/>
                <w:sz w:val="18"/>
                <w:szCs w:val="20"/>
              </w:rPr>
              <w:t>M</w:t>
            </w:r>
          </w:p>
        </w:tc>
        <w:tc>
          <w:tcPr>
            <w:tcW w:w="1643" w:type="dxa"/>
          </w:tcPr>
          <w:p w14:paraId="74848D7C" w14:textId="09C55D00" w:rsidR="00926C6E" w:rsidRPr="000D5031" w:rsidRDefault="006E5601" w:rsidP="00042FD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-2.0</w:t>
            </w:r>
            <w:r w:rsidR="00926C6E" w:rsidRPr="000D5031">
              <w:rPr>
                <w:rFonts w:ascii="Arial" w:hAnsi="Arial" w:cs="Arial"/>
                <w:color w:val="215868" w:themeColor="accent5" w:themeShade="80"/>
                <w:sz w:val="18"/>
                <w:szCs w:val="20"/>
              </w:rPr>
              <w:t>%</w:t>
            </w:r>
          </w:p>
        </w:tc>
        <w:tc>
          <w:tcPr>
            <w:tcW w:w="1759" w:type="dxa"/>
          </w:tcPr>
          <w:p w14:paraId="1C34C7A8" w14:textId="78028951" w:rsidR="00926C6E" w:rsidRPr="000D5031" w:rsidRDefault="00CD25A6" w:rsidP="00042FD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highlight w:val="red"/>
              </w:rPr>
            </w:pPr>
            <w:r>
              <w:rPr>
                <w:rFonts w:ascii="Arial" w:hAnsi="Arial" w:cs="Arial"/>
                <w:color w:val="215868" w:themeColor="accent5" w:themeShade="80"/>
                <w:sz w:val="18"/>
                <w:szCs w:val="20"/>
              </w:rPr>
              <w:t>+</w:t>
            </w:r>
            <w:r w:rsidR="006E5601">
              <w:rPr>
                <w:rFonts w:ascii="Arial" w:hAnsi="Arial" w:cs="Arial"/>
                <w:color w:val="215868" w:themeColor="accent5" w:themeShade="80"/>
                <w:sz w:val="18"/>
                <w:szCs w:val="20"/>
              </w:rPr>
              <w:t>12.8</w:t>
            </w:r>
            <w:r w:rsidR="00926C6E" w:rsidRPr="000D5031">
              <w:rPr>
                <w:rFonts w:ascii="Arial" w:hAnsi="Arial" w:cs="Arial"/>
                <w:color w:val="215868" w:themeColor="accent5" w:themeShade="80"/>
                <w:sz w:val="18"/>
                <w:szCs w:val="20"/>
              </w:rPr>
              <w:t>%</w:t>
            </w:r>
          </w:p>
        </w:tc>
      </w:tr>
      <w:tr w:rsidR="005C201D" w:rsidRPr="00E43E81" w14:paraId="751361CF" w14:textId="77777777" w:rsidTr="00B920A9">
        <w:trPr>
          <w:trHeight w:val="227"/>
        </w:trPr>
        <w:tc>
          <w:tcPr>
            <w:cnfStyle w:val="001000000000" w:firstRow="0" w:lastRow="0" w:firstColumn="1" w:lastColumn="0" w:oddVBand="0" w:evenVBand="0" w:oddHBand="0" w:evenHBand="0" w:firstRowFirstColumn="0" w:firstRowLastColumn="0" w:lastRowFirstColumn="0" w:lastRowLastColumn="0"/>
            <w:tcW w:w="5893" w:type="dxa"/>
          </w:tcPr>
          <w:p w14:paraId="311E369E" w14:textId="77777777" w:rsidR="005C201D" w:rsidRPr="000D5031" w:rsidRDefault="005C201D" w:rsidP="00042FD2">
            <w:pPr>
              <w:rPr>
                <w:rFonts w:ascii="Arial" w:hAnsi="Arial" w:cs="Arial"/>
                <w:b w:val="0"/>
                <w:color w:val="215868" w:themeColor="accent5" w:themeShade="80"/>
                <w:sz w:val="18"/>
                <w:szCs w:val="20"/>
              </w:rPr>
            </w:pPr>
            <w:r w:rsidRPr="000D5031">
              <w:rPr>
                <w:rFonts w:ascii="Arial" w:hAnsi="Arial" w:cs="Arial"/>
                <w:b w:val="0"/>
                <w:color w:val="215868" w:themeColor="accent5" w:themeShade="80"/>
                <w:sz w:val="18"/>
                <w:szCs w:val="20"/>
              </w:rPr>
              <w:t>Frozen fruits and vegetables</w:t>
            </w:r>
          </w:p>
        </w:tc>
        <w:tc>
          <w:tcPr>
            <w:tcW w:w="1552" w:type="dxa"/>
          </w:tcPr>
          <w:p w14:paraId="6F221AE5" w14:textId="34ADEC30" w:rsidR="005C201D" w:rsidRPr="000D5031" w:rsidRDefault="00CD25A6" w:rsidP="00042FD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eastAsia="Times New Roman" w:hAnsi="Arial" w:cs="Arial"/>
                <w:color w:val="215868" w:themeColor="accent5" w:themeShade="80"/>
                <w:sz w:val="18"/>
                <w:szCs w:val="18"/>
              </w:rPr>
              <w:t>$</w:t>
            </w:r>
            <w:r w:rsidR="008F0972">
              <w:rPr>
                <w:rFonts w:ascii="Arial" w:eastAsia="Times New Roman" w:hAnsi="Arial" w:cs="Arial"/>
                <w:color w:val="215868" w:themeColor="accent5" w:themeShade="80"/>
                <w:sz w:val="18"/>
                <w:szCs w:val="18"/>
              </w:rPr>
              <w:t>546.9</w:t>
            </w:r>
            <w:r w:rsidR="005C201D" w:rsidRPr="000D5031">
              <w:rPr>
                <w:rFonts w:ascii="Arial" w:eastAsia="Times New Roman" w:hAnsi="Arial" w:cs="Arial"/>
                <w:color w:val="215868" w:themeColor="accent5" w:themeShade="80"/>
                <w:sz w:val="18"/>
                <w:szCs w:val="18"/>
              </w:rPr>
              <w:t>M</w:t>
            </w:r>
          </w:p>
        </w:tc>
        <w:tc>
          <w:tcPr>
            <w:tcW w:w="1643" w:type="dxa"/>
          </w:tcPr>
          <w:p w14:paraId="0A6EB8AF" w14:textId="0A22118F" w:rsidR="005C201D" w:rsidRPr="000D5031" w:rsidRDefault="00CD25A6" w:rsidP="00042FD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eastAsia="Times New Roman" w:hAnsi="Arial" w:cs="Arial"/>
                <w:color w:val="215868" w:themeColor="accent5" w:themeShade="80"/>
                <w:sz w:val="18"/>
                <w:szCs w:val="18"/>
              </w:rPr>
              <w:t>-</w:t>
            </w:r>
            <w:r w:rsidR="008F0972">
              <w:rPr>
                <w:rFonts w:ascii="Arial" w:eastAsia="Times New Roman" w:hAnsi="Arial" w:cs="Arial"/>
                <w:color w:val="215868" w:themeColor="accent5" w:themeShade="80"/>
                <w:sz w:val="18"/>
                <w:szCs w:val="18"/>
              </w:rPr>
              <w:t>3.5</w:t>
            </w:r>
            <w:r w:rsidR="005C201D" w:rsidRPr="000D5031">
              <w:rPr>
                <w:rFonts w:ascii="Arial" w:eastAsia="Times New Roman" w:hAnsi="Arial" w:cs="Arial"/>
                <w:color w:val="215868" w:themeColor="accent5" w:themeShade="80"/>
                <w:sz w:val="18"/>
                <w:szCs w:val="18"/>
              </w:rPr>
              <w:t>%</w:t>
            </w:r>
          </w:p>
        </w:tc>
        <w:tc>
          <w:tcPr>
            <w:tcW w:w="1759" w:type="dxa"/>
          </w:tcPr>
          <w:p w14:paraId="54AFBDDB" w14:textId="73D21EBB" w:rsidR="005C201D" w:rsidRPr="000D5031" w:rsidRDefault="005C201D" w:rsidP="00042FD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sidRPr="000D5031">
              <w:rPr>
                <w:rFonts w:ascii="Arial" w:eastAsia="Times New Roman" w:hAnsi="Arial" w:cs="Arial"/>
                <w:color w:val="215868" w:themeColor="accent5" w:themeShade="80"/>
                <w:sz w:val="18"/>
                <w:szCs w:val="18"/>
              </w:rPr>
              <w:t>+</w:t>
            </w:r>
            <w:r w:rsidR="008F0972">
              <w:rPr>
                <w:rFonts w:ascii="Arial" w:eastAsia="Times New Roman" w:hAnsi="Arial" w:cs="Arial"/>
                <w:color w:val="215868" w:themeColor="accent5" w:themeShade="80"/>
                <w:sz w:val="18"/>
                <w:szCs w:val="18"/>
              </w:rPr>
              <w:t>12.1</w:t>
            </w:r>
            <w:r w:rsidRPr="000D5031">
              <w:rPr>
                <w:rFonts w:ascii="Arial" w:eastAsia="Times New Roman" w:hAnsi="Arial" w:cs="Arial"/>
                <w:color w:val="215868" w:themeColor="accent5" w:themeShade="80"/>
                <w:sz w:val="18"/>
                <w:szCs w:val="18"/>
              </w:rPr>
              <w:t>%</w:t>
            </w:r>
          </w:p>
        </w:tc>
      </w:tr>
    </w:tbl>
    <w:p w14:paraId="039C2795" w14:textId="77777777" w:rsidR="0053257C" w:rsidRPr="00B265F0" w:rsidRDefault="0053257C" w:rsidP="0053257C">
      <w:pPr>
        <w:pStyle w:val="NoSpacing"/>
        <w:rPr>
          <w:rFonts w:ascii="Arial" w:hAnsi="Arial" w:cs="Arial"/>
          <w:sz w:val="10"/>
          <w:szCs w:val="10"/>
        </w:rPr>
      </w:pPr>
    </w:p>
    <w:p w14:paraId="18A72977" w14:textId="77777777" w:rsidR="0053257C" w:rsidRPr="00B35CE9" w:rsidRDefault="0053257C" w:rsidP="0053257C">
      <w:pPr>
        <w:pStyle w:val="NoSpacing"/>
        <w:rPr>
          <w:rFonts w:ascii="Arial" w:hAnsi="Arial" w:cs="Arial"/>
          <w:sz w:val="16"/>
          <w:szCs w:val="16"/>
        </w:rPr>
      </w:pPr>
      <w:r w:rsidRPr="00B265F0">
        <w:rPr>
          <w:rFonts w:ascii="Arial" w:hAnsi="Arial" w:cs="Arial"/>
          <w:sz w:val="16"/>
          <w:szCs w:val="16"/>
        </w:rPr>
        <w:t>Source: IRI</w:t>
      </w:r>
      <w:r>
        <w:rPr>
          <w:rFonts w:ascii="Arial" w:hAnsi="Arial" w:cs="Arial"/>
          <w:sz w:val="16"/>
          <w:szCs w:val="16"/>
        </w:rPr>
        <w:t xml:space="preserve"> Integrated Fresh, </w:t>
      </w:r>
      <w:r w:rsidRPr="00B265F0">
        <w:rPr>
          <w:rFonts w:ascii="Arial" w:hAnsi="Arial" w:cs="Arial"/>
          <w:sz w:val="16"/>
          <w:szCs w:val="16"/>
        </w:rPr>
        <w:t xml:space="preserve">Total US, MULO, % dollar growth vs. </w:t>
      </w:r>
      <w:r>
        <w:rPr>
          <w:rFonts w:ascii="Arial" w:hAnsi="Arial" w:cs="Arial"/>
          <w:sz w:val="16"/>
          <w:szCs w:val="16"/>
        </w:rPr>
        <w:t xml:space="preserve">1 and 2 </w:t>
      </w:r>
      <w:r w:rsidRPr="00B265F0">
        <w:rPr>
          <w:rFonts w:ascii="Arial" w:hAnsi="Arial" w:cs="Arial"/>
          <w:sz w:val="16"/>
          <w:szCs w:val="16"/>
        </w:rPr>
        <w:t>year</w:t>
      </w:r>
      <w:r>
        <w:rPr>
          <w:rFonts w:ascii="Arial" w:hAnsi="Arial" w:cs="Arial"/>
          <w:sz w:val="16"/>
          <w:szCs w:val="16"/>
        </w:rPr>
        <w:t>s</w:t>
      </w:r>
      <w:r w:rsidRPr="00B265F0">
        <w:rPr>
          <w:rFonts w:ascii="Arial" w:hAnsi="Arial" w:cs="Arial"/>
          <w:sz w:val="16"/>
          <w:szCs w:val="16"/>
        </w:rPr>
        <w:t xml:space="preserve"> ago</w:t>
      </w:r>
      <w:r w:rsidRPr="00B35CE9">
        <w:rPr>
          <w:rFonts w:ascii="Arial" w:hAnsi="Arial" w:cs="Arial"/>
          <w:sz w:val="16"/>
          <w:szCs w:val="16"/>
        </w:rPr>
        <w:t xml:space="preserve"> </w:t>
      </w:r>
    </w:p>
    <w:p w14:paraId="5FEE85C2" w14:textId="77777777" w:rsidR="0053257C" w:rsidRDefault="0053257C" w:rsidP="0053257C">
      <w:pPr>
        <w:pStyle w:val="NoSpacing"/>
        <w:rPr>
          <w:rFonts w:ascii="Arial" w:hAnsi="Arial" w:cs="Arial"/>
          <w:sz w:val="20"/>
          <w:szCs w:val="20"/>
        </w:rPr>
      </w:pPr>
    </w:p>
    <w:p w14:paraId="5C8E40E9" w14:textId="77777777" w:rsidR="00FA1373" w:rsidRDefault="00FA1373" w:rsidP="006069A6">
      <w:pPr>
        <w:pStyle w:val="NoSpacing"/>
        <w:rPr>
          <w:rFonts w:ascii="Arial" w:hAnsi="Arial" w:cs="Arial"/>
          <w:b/>
          <w:color w:val="595959" w:themeColor="text1" w:themeTint="A6"/>
          <w:sz w:val="24"/>
          <w:szCs w:val="24"/>
        </w:rPr>
      </w:pPr>
    </w:p>
    <w:p w14:paraId="585D17E4" w14:textId="77777777" w:rsidR="002137F5" w:rsidRPr="00CF309B" w:rsidRDefault="006C3FCE" w:rsidP="006069A6">
      <w:pPr>
        <w:pStyle w:val="NoSpacing"/>
        <w:rPr>
          <w:rFonts w:ascii="Arial" w:hAnsi="Arial" w:cs="Arial"/>
          <w:b/>
          <w:color w:val="595959" w:themeColor="text1" w:themeTint="A6"/>
          <w:sz w:val="24"/>
          <w:szCs w:val="24"/>
        </w:rPr>
      </w:pPr>
      <w:r w:rsidRPr="00CF309B">
        <w:rPr>
          <w:rFonts w:ascii="Arial" w:hAnsi="Arial" w:cs="Arial"/>
          <w:b/>
          <w:color w:val="595959" w:themeColor="text1" w:themeTint="A6"/>
          <w:sz w:val="24"/>
          <w:szCs w:val="24"/>
        </w:rPr>
        <w:t xml:space="preserve">Fresh Produce </w:t>
      </w:r>
      <w:r w:rsidR="002137F5" w:rsidRPr="00CF309B">
        <w:rPr>
          <w:rFonts w:ascii="Arial" w:hAnsi="Arial" w:cs="Arial"/>
          <w:b/>
          <w:color w:val="595959" w:themeColor="text1" w:themeTint="A6"/>
          <w:sz w:val="24"/>
          <w:szCs w:val="24"/>
        </w:rPr>
        <w:t>Dollars versus Volume</w:t>
      </w:r>
    </w:p>
    <w:p w14:paraId="066A593A" w14:textId="269682F7" w:rsidR="0005157F" w:rsidRDefault="005D3C9F" w:rsidP="006069A6">
      <w:pPr>
        <w:pStyle w:val="NoSpacing"/>
        <w:rPr>
          <w:rFonts w:ascii="Arial" w:hAnsi="Arial" w:cs="Arial"/>
          <w:sz w:val="20"/>
          <w:szCs w:val="20"/>
        </w:rPr>
      </w:pPr>
      <w:r>
        <w:rPr>
          <w:rFonts w:ascii="Arial" w:hAnsi="Arial" w:cs="Arial"/>
          <w:sz w:val="20"/>
          <w:szCs w:val="20"/>
        </w:rPr>
        <w:t xml:space="preserve">September was the </w:t>
      </w:r>
      <w:proofErr w:type="gramStart"/>
      <w:r>
        <w:rPr>
          <w:rFonts w:ascii="Arial" w:hAnsi="Arial" w:cs="Arial"/>
          <w:sz w:val="20"/>
          <w:szCs w:val="20"/>
        </w:rPr>
        <w:t>high water</w:t>
      </w:r>
      <w:proofErr w:type="gramEnd"/>
      <w:r>
        <w:rPr>
          <w:rFonts w:ascii="Arial" w:hAnsi="Arial" w:cs="Arial"/>
          <w:sz w:val="20"/>
          <w:szCs w:val="20"/>
        </w:rPr>
        <w:t xml:space="preserve"> mark for volume sales when pounds </w:t>
      </w:r>
      <w:r w:rsidR="001946FE">
        <w:rPr>
          <w:rFonts w:ascii="Arial" w:hAnsi="Arial" w:cs="Arial"/>
          <w:sz w:val="20"/>
          <w:szCs w:val="20"/>
        </w:rPr>
        <w:t>came within 2.5 points of last year’s level</w:t>
      </w:r>
      <w:r>
        <w:rPr>
          <w:rFonts w:ascii="Arial" w:hAnsi="Arial" w:cs="Arial"/>
          <w:sz w:val="20"/>
          <w:szCs w:val="20"/>
        </w:rPr>
        <w:t>s</w:t>
      </w:r>
      <w:r w:rsidR="001946FE">
        <w:rPr>
          <w:rFonts w:ascii="Arial" w:hAnsi="Arial" w:cs="Arial"/>
          <w:sz w:val="20"/>
          <w:szCs w:val="20"/>
        </w:rPr>
        <w:t>. In</w:t>
      </w:r>
      <w:r>
        <w:rPr>
          <w:rFonts w:ascii="Arial" w:hAnsi="Arial" w:cs="Arial"/>
          <w:sz w:val="20"/>
          <w:szCs w:val="20"/>
        </w:rPr>
        <w:t xml:space="preserve"> November, </w:t>
      </w:r>
      <w:r w:rsidR="001946FE">
        <w:rPr>
          <w:rFonts w:ascii="Arial" w:hAnsi="Arial" w:cs="Arial"/>
          <w:sz w:val="20"/>
          <w:szCs w:val="20"/>
        </w:rPr>
        <w:t xml:space="preserve">volume </w:t>
      </w:r>
      <w:r>
        <w:rPr>
          <w:rFonts w:ascii="Arial" w:hAnsi="Arial" w:cs="Arial"/>
          <w:sz w:val="20"/>
          <w:szCs w:val="20"/>
        </w:rPr>
        <w:t>retreated further, at -4.4% versus year ago levels.</w:t>
      </w:r>
      <w:r w:rsidR="001946FE">
        <w:rPr>
          <w:rFonts w:ascii="Arial" w:hAnsi="Arial" w:cs="Arial"/>
          <w:sz w:val="20"/>
          <w:szCs w:val="20"/>
        </w:rPr>
        <w:t xml:space="preserve"> Pound sales are still </w:t>
      </w:r>
      <w:r>
        <w:rPr>
          <w:rFonts w:ascii="Arial" w:hAnsi="Arial" w:cs="Arial"/>
          <w:sz w:val="20"/>
          <w:szCs w:val="20"/>
        </w:rPr>
        <w:t>4</w:t>
      </w:r>
      <w:r w:rsidR="001946FE">
        <w:rPr>
          <w:rFonts w:ascii="Arial" w:hAnsi="Arial" w:cs="Arial"/>
          <w:sz w:val="20"/>
          <w:szCs w:val="20"/>
        </w:rPr>
        <w:t xml:space="preserve">.4% ahead of the pre-pandemic normal. </w:t>
      </w:r>
      <w:r>
        <w:rPr>
          <w:rFonts w:ascii="Arial" w:hAnsi="Arial" w:cs="Arial"/>
          <w:sz w:val="20"/>
          <w:szCs w:val="20"/>
        </w:rPr>
        <w:t xml:space="preserve">This is down from a high of 9.6% in September. </w:t>
      </w:r>
    </w:p>
    <w:p w14:paraId="38EDBFEA" w14:textId="77777777" w:rsidR="00CB76FB" w:rsidRDefault="00CB76FB" w:rsidP="006069A6">
      <w:pPr>
        <w:pStyle w:val="NoSpacing"/>
        <w:rPr>
          <w:rFonts w:ascii="Arial" w:hAnsi="Arial" w:cs="Arial"/>
          <w:sz w:val="20"/>
          <w:szCs w:val="20"/>
        </w:rPr>
      </w:pPr>
    </w:p>
    <w:p w14:paraId="13E8568B" w14:textId="13AB70FE" w:rsidR="00AC478B" w:rsidRPr="009D1A60" w:rsidRDefault="005D3C9F" w:rsidP="009D1A60">
      <w:pPr>
        <w:pStyle w:val="NoSpacing"/>
      </w:pPr>
      <w:r>
        <w:rPr>
          <w:noProof/>
        </w:rPr>
        <w:drawing>
          <wp:inline distT="0" distB="0" distL="0" distR="0" wp14:anchorId="331A8429" wp14:editId="5B9BFD50">
            <wp:extent cx="6750685" cy="3866515"/>
            <wp:effectExtent l="0" t="0" r="0" b="0"/>
            <wp:docPr id="14" name="Chart 14">
              <a:extLst xmlns:a="http://schemas.openxmlformats.org/drawingml/2006/main">
                <a:ext uri="{FF2B5EF4-FFF2-40B4-BE49-F238E27FC236}">
                  <a16:creationId xmlns:a16="http://schemas.microsoft.com/office/drawing/2014/main" id="{00000000-0008-0000-00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34CC080" w14:textId="77777777" w:rsidR="00912E70" w:rsidRPr="009D1A60" w:rsidRDefault="00912E70" w:rsidP="009D1A60">
      <w:pPr>
        <w:pStyle w:val="NoSpacing"/>
        <w:rPr>
          <w:sz w:val="6"/>
          <w:szCs w:val="6"/>
        </w:rPr>
      </w:pPr>
    </w:p>
    <w:p w14:paraId="4281DC92" w14:textId="1712F545" w:rsidR="00441E8F" w:rsidRPr="00CF309B" w:rsidRDefault="00441E8F" w:rsidP="00441E8F">
      <w:pPr>
        <w:pStyle w:val="NoSpacing"/>
        <w:rPr>
          <w:rFonts w:ascii="Arial" w:hAnsi="Arial" w:cs="Arial"/>
          <w:sz w:val="16"/>
          <w:szCs w:val="16"/>
        </w:rPr>
      </w:pPr>
      <w:r w:rsidRPr="00CF309B">
        <w:rPr>
          <w:rFonts w:ascii="Arial" w:hAnsi="Arial" w:cs="Arial"/>
          <w:sz w:val="16"/>
          <w:szCs w:val="16"/>
        </w:rPr>
        <w:t>Source: Source: IRI</w:t>
      </w:r>
      <w:r w:rsidR="00906C46">
        <w:rPr>
          <w:rFonts w:ascii="Arial" w:hAnsi="Arial" w:cs="Arial"/>
          <w:sz w:val="16"/>
          <w:szCs w:val="16"/>
        </w:rPr>
        <w:t xml:space="preserve"> Integrated Fresh</w:t>
      </w:r>
      <w:r w:rsidRPr="00CF309B">
        <w:rPr>
          <w:rFonts w:ascii="Arial" w:hAnsi="Arial" w:cs="Arial"/>
          <w:sz w:val="16"/>
          <w:szCs w:val="16"/>
        </w:rPr>
        <w:t xml:space="preserve">, Total U.S., MULO, 1 </w:t>
      </w:r>
      <w:r w:rsidR="00070D2B">
        <w:rPr>
          <w:rFonts w:ascii="Arial" w:hAnsi="Arial" w:cs="Arial"/>
          <w:sz w:val="16"/>
          <w:szCs w:val="16"/>
        </w:rPr>
        <w:t xml:space="preserve">month </w:t>
      </w:r>
      <w:r w:rsidRPr="00CF309B">
        <w:rPr>
          <w:rFonts w:ascii="Arial" w:hAnsi="Arial" w:cs="Arial"/>
          <w:sz w:val="16"/>
          <w:szCs w:val="16"/>
        </w:rPr>
        <w:t>% change vs. YA</w:t>
      </w:r>
      <w:r w:rsidR="00AA6AEB">
        <w:rPr>
          <w:rFonts w:ascii="Arial" w:hAnsi="Arial" w:cs="Arial"/>
          <w:sz w:val="16"/>
          <w:szCs w:val="16"/>
        </w:rPr>
        <w:t xml:space="preserve"> and vs. 2019 </w:t>
      </w:r>
    </w:p>
    <w:p w14:paraId="0AF7A05D" w14:textId="77777777" w:rsidR="00043B43" w:rsidRPr="00CF309B" w:rsidRDefault="00043B43" w:rsidP="006069A6">
      <w:pPr>
        <w:pStyle w:val="NoSpacing"/>
        <w:rPr>
          <w:rFonts w:ascii="Arial" w:hAnsi="Arial" w:cs="Arial"/>
          <w:sz w:val="20"/>
          <w:szCs w:val="20"/>
        </w:rPr>
      </w:pPr>
    </w:p>
    <w:p w14:paraId="58CFC2A9" w14:textId="77777777" w:rsidR="00634631" w:rsidRDefault="00634631" w:rsidP="006069A6">
      <w:pPr>
        <w:pStyle w:val="NoSpacing"/>
        <w:rPr>
          <w:rFonts w:ascii="Arial" w:hAnsi="Arial" w:cs="Arial"/>
          <w:color w:val="000000" w:themeColor="text1"/>
          <w:sz w:val="20"/>
          <w:szCs w:val="18"/>
          <w:shd w:val="clear" w:color="auto" w:fill="FFFFFF"/>
        </w:rPr>
      </w:pPr>
    </w:p>
    <w:p w14:paraId="356BB40C" w14:textId="4F5897A9" w:rsidR="00EF0B26" w:rsidRDefault="00200C0F" w:rsidP="006069A6">
      <w:pPr>
        <w:pStyle w:val="NoSpacing"/>
        <w:rPr>
          <w:rFonts w:ascii="Arial" w:hAnsi="Arial" w:cs="Arial"/>
          <w:color w:val="000000" w:themeColor="text1"/>
          <w:sz w:val="20"/>
          <w:szCs w:val="18"/>
          <w:shd w:val="clear" w:color="auto" w:fill="FFFFFF"/>
        </w:rPr>
      </w:pPr>
      <w:r>
        <w:rPr>
          <w:rFonts w:ascii="Arial" w:hAnsi="Arial" w:cs="Arial"/>
          <w:color w:val="000000" w:themeColor="text1"/>
          <w:sz w:val="20"/>
          <w:szCs w:val="18"/>
          <w:shd w:val="clear" w:color="auto" w:fill="FFFFFF"/>
        </w:rPr>
        <w:t xml:space="preserve">Comparing </w:t>
      </w:r>
      <w:r w:rsidR="005D3C9F">
        <w:rPr>
          <w:rFonts w:ascii="Arial" w:hAnsi="Arial" w:cs="Arial"/>
          <w:color w:val="000000" w:themeColor="text1"/>
          <w:sz w:val="20"/>
          <w:szCs w:val="18"/>
          <w:shd w:val="clear" w:color="auto" w:fill="FFFFFF"/>
        </w:rPr>
        <w:t xml:space="preserve">November </w:t>
      </w:r>
      <w:r w:rsidR="001946FE">
        <w:rPr>
          <w:rFonts w:ascii="Arial" w:hAnsi="Arial" w:cs="Arial"/>
          <w:color w:val="000000" w:themeColor="text1"/>
          <w:sz w:val="20"/>
          <w:szCs w:val="18"/>
          <w:shd w:val="clear" w:color="auto" w:fill="FFFFFF"/>
        </w:rPr>
        <w:t xml:space="preserve">fruit </w:t>
      </w:r>
      <w:r>
        <w:rPr>
          <w:rFonts w:ascii="Arial" w:hAnsi="Arial" w:cs="Arial"/>
          <w:color w:val="000000" w:themeColor="text1"/>
          <w:sz w:val="20"/>
          <w:szCs w:val="18"/>
          <w:shd w:val="clear" w:color="auto" w:fill="FFFFFF"/>
        </w:rPr>
        <w:t xml:space="preserve">pound sales versus the pre-pandemic 2019 normal </w:t>
      </w:r>
      <w:r w:rsidR="005D3C9F">
        <w:rPr>
          <w:rFonts w:ascii="Arial" w:hAnsi="Arial" w:cs="Arial"/>
          <w:color w:val="000000" w:themeColor="text1"/>
          <w:sz w:val="20"/>
          <w:szCs w:val="18"/>
          <w:shd w:val="clear" w:color="auto" w:fill="FFFFFF"/>
        </w:rPr>
        <w:t xml:space="preserve">shows that the industry is still moving many more pounds through the system. </w:t>
      </w:r>
      <w:r>
        <w:rPr>
          <w:rFonts w:ascii="Arial" w:hAnsi="Arial" w:cs="Arial"/>
          <w:color w:val="000000" w:themeColor="text1"/>
          <w:sz w:val="20"/>
          <w:szCs w:val="18"/>
          <w:shd w:val="clear" w:color="auto" w:fill="FFFFFF"/>
        </w:rPr>
        <w:t xml:space="preserve">Free and clear of the effect of inflation, it shows that U.S. retailers sold </w:t>
      </w:r>
      <w:r w:rsidR="005D3C9F">
        <w:rPr>
          <w:rFonts w:ascii="Arial" w:hAnsi="Arial" w:cs="Arial"/>
          <w:color w:val="000000" w:themeColor="text1"/>
          <w:sz w:val="20"/>
          <w:szCs w:val="18"/>
          <w:shd w:val="clear" w:color="auto" w:fill="FFFFFF"/>
        </w:rPr>
        <w:t>5.9</w:t>
      </w:r>
      <w:r w:rsidR="004B5E72">
        <w:rPr>
          <w:rFonts w:ascii="Arial" w:hAnsi="Arial" w:cs="Arial"/>
          <w:color w:val="000000" w:themeColor="text1"/>
          <w:sz w:val="20"/>
          <w:szCs w:val="18"/>
          <w:shd w:val="clear" w:color="auto" w:fill="FFFFFF"/>
        </w:rPr>
        <w:t xml:space="preserve">% more pounds of fruit </w:t>
      </w:r>
      <w:r w:rsidR="001946FE">
        <w:rPr>
          <w:rFonts w:ascii="Arial" w:hAnsi="Arial" w:cs="Arial"/>
          <w:color w:val="000000" w:themeColor="text1"/>
          <w:sz w:val="20"/>
          <w:szCs w:val="18"/>
          <w:shd w:val="clear" w:color="auto" w:fill="FFFFFF"/>
        </w:rPr>
        <w:t xml:space="preserve">versus </w:t>
      </w:r>
      <w:r w:rsidR="005D3C9F">
        <w:rPr>
          <w:rFonts w:ascii="Arial" w:hAnsi="Arial" w:cs="Arial"/>
          <w:color w:val="000000" w:themeColor="text1"/>
          <w:sz w:val="20"/>
          <w:szCs w:val="18"/>
          <w:shd w:val="clear" w:color="auto" w:fill="FFFFFF"/>
        </w:rPr>
        <w:t>3.3</w:t>
      </w:r>
      <w:r>
        <w:rPr>
          <w:rFonts w:ascii="Arial" w:hAnsi="Arial" w:cs="Arial"/>
          <w:color w:val="000000" w:themeColor="text1"/>
          <w:sz w:val="20"/>
          <w:szCs w:val="18"/>
          <w:shd w:val="clear" w:color="auto" w:fill="FFFFFF"/>
        </w:rPr>
        <w:t>% more pounds</w:t>
      </w:r>
      <w:r w:rsidR="005E2F61">
        <w:rPr>
          <w:rFonts w:ascii="Arial" w:hAnsi="Arial" w:cs="Arial"/>
          <w:color w:val="000000" w:themeColor="text1"/>
          <w:sz w:val="20"/>
          <w:szCs w:val="18"/>
          <w:shd w:val="clear" w:color="auto" w:fill="FFFFFF"/>
        </w:rPr>
        <w:t xml:space="preserve"> of vegetables</w:t>
      </w:r>
      <w:r>
        <w:rPr>
          <w:rFonts w:ascii="Arial" w:hAnsi="Arial" w:cs="Arial"/>
          <w:color w:val="000000" w:themeColor="text1"/>
          <w:sz w:val="20"/>
          <w:szCs w:val="18"/>
          <w:shd w:val="clear" w:color="auto" w:fill="FFFFFF"/>
        </w:rPr>
        <w:t xml:space="preserve"> in </w:t>
      </w:r>
      <w:r w:rsidR="005D3C9F">
        <w:rPr>
          <w:rFonts w:ascii="Arial" w:hAnsi="Arial" w:cs="Arial"/>
          <w:color w:val="000000" w:themeColor="text1"/>
          <w:sz w:val="20"/>
          <w:szCs w:val="18"/>
          <w:shd w:val="clear" w:color="auto" w:fill="FFFFFF"/>
        </w:rPr>
        <w:t xml:space="preserve">November </w:t>
      </w:r>
      <w:r>
        <w:rPr>
          <w:rFonts w:ascii="Arial" w:hAnsi="Arial" w:cs="Arial"/>
          <w:color w:val="000000" w:themeColor="text1"/>
          <w:sz w:val="20"/>
          <w:szCs w:val="18"/>
          <w:shd w:val="clear" w:color="auto" w:fill="FFFFFF"/>
        </w:rPr>
        <w:t>2021 than the same month in 2019</w:t>
      </w:r>
      <w:r w:rsidR="0064192B">
        <w:rPr>
          <w:rFonts w:ascii="Arial" w:hAnsi="Arial" w:cs="Arial"/>
          <w:color w:val="000000" w:themeColor="text1"/>
          <w:sz w:val="20"/>
          <w:szCs w:val="18"/>
          <w:shd w:val="clear" w:color="auto" w:fill="FFFFFF"/>
        </w:rPr>
        <w:t>.</w:t>
      </w:r>
      <w:r>
        <w:rPr>
          <w:rFonts w:ascii="Arial" w:hAnsi="Arial" w:cs="Arial"/>
          <w:color w:val="000000" w:themeColor="text1"/>
          <w:sz w:val="20"/>
          <w:szCs w:val="18"/>
          <w:shd w:val="clear" w:color="auto" w:fill="FFFFFF"/>
        </w:rPr>
        <w:t xml:space="preserve"> </w:t>
      </w:r>
      <w:r w:rsidR="00474357">
        <w:rPr>
          <w:rFonts w:ascii="Arial" w:hAnsi="Arial" w:cs="Arial"/>
          <w:color w:val="000000" w:themeColor="text1"/>
          <w:sz w:val="20"/>
          <w:szCs w:val="18"/>
          <w:shd w:val="clear" w:color="auto" w:fill="FFFFFF"/>
        </w:rPr>
        <w:t xml:space="preserve">While volume is down year-over-year, it shows that the home-centric meal consumption is still driving robust demand for produce at retail. </w:t>
      </w:r>
      <w:r w:rsidR="0064192B">
        <w:rPr>
          <w:rFonts w:ascii="Arial" w:hAnsi="Arial" w:cs="Arial"/>
          <w:color w:val="000000" w:themeColor="text1"/>
          <w:sz w:val="20"/>
          <w:szCs w:val="18"/>
          <w:shd w:val="clear" w:color="auto" w:fill="FFFFFF"/>
        </w:rPr>
        <w:t xml:space="preserve"> </w:t>
      </w:r>
    </w:p>
    <w:p w14:paraId="7FE7045A" w14:textId="772B1073" w:rsidR="005D3C9F" w:rsidRDefault="005D3C9F">
      <w:pPr>
        <w:rPr>
          <w:rFonts w:ascii="Arial" w:hAnsi="Arial" w:cs="Arial"/>
          <w:sz w:val="16"/>
          <w:szCs w:val="16"/>
        </w:rPr>
      </w:pPr>
      <w:r>
        <w:rPr>
          <w:rFonts w:ascii="Arial" w:hAnsi="Arial" w:cs="Arial"/>
          <w:sz w:val="16"/>
          <w:szCs w:val="16"/>
        </w:rPr>
        <w:br w:type="page"/>
      </w:r>
    </w:p>
    <w:p w14:paraId="4A22F9FF" w14:textId="77777777" w:rsidR="000F7932" w:rsidRPr="002E09F5" w:rsidRDefault="000F7932" w:rsidP="006069A6">
      <w:pPr>
        <w:pStyle w:val="NoSpacing"/>
        <w:rPr>
          <w:rFonts w:ascii="Arial" w:hAnsi="Arial" w:cs="Arial"/>
          <w:sz w:val="16"/>
          <w:szCs w:val="16"/>
        </w:rPr>
      </w:pPr>
    </w:p>
    <w:tbl>
      <w:tblPr>
        <w:tblStyle w:val="LightShading-Accent5"/>
        <w:tblW w:w="10739" w:type="dxa"/>
        <w:tblInd w:w="108" w:type="dxa"/>
        <w:tblBorders>
          <w:top w:val="none" w:sz="0" w:space="0" w:color="auto"/>
          <w:bottom w:val="none" w:sz="0" w:space="0" w:color="auto"/>
        </w:tblBorders>
        <w:tblLook w:val="04A0" w:firstRow="1" w:lastRow="0" w:firstColumn="1" w:lastColumn="0" w:noHBand="0" w:noVBand="1"/>
      </w:tblPr>
      <w:tblGrid>
        <w:gridCol w:w="892"/>
        <w:gridCol w:w="467"/>
        <w:gridCol w:w="465"/>
        <w:gridCol w:w="495"/>
        <w:gridCol w:w="960"/>
        <w:gridCol w:w="960"/>
        <w:gridCol w:w="960"/>
        <w:gridCol w:w="910"/>
        <w:gridCol w:w="859"/>
        <w:gridCol w:w="763"/>
        <w:gridCol w:w="824"/>
        <w:gridCol w:w="898"/>
        <w:gridCol w:w="1286"/>
      </w:tblGrid>
      <w:tr w:rsidR="00634631" w:rsidRPr="00CF309B" w14:paraId="23EC888E" w14:textId="77777777" w:rsidTr="004B5E72">
        <w:trPr>
          <w:cnfStyle w:val="100000000000" w:firstRow="1" w:lastRow="0" w:firstColumn="0" w:lastColumn="0" w:oddVBand="0" w:evenVBand="0" w:oddHBand="0"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892" w:type="dxa"/>
            <w:tcBorders>
              <w:top w:val="none" w:sz="0" w:space="0" w:color="auto"/>
              <w:left w:val="none" w:sz="0" w:space="0" w:color="auto"/>
              <w:bottom w:val="none" w:sz="0" w:space="0" w:color="auto"/>
              <w:right w:val="none" w:sz="0" w:space="0" w:color="auto"/>
            </w:tcBorders>
            <w:shd w:val="clear" w:color="auto" w:fill="17365D" w:themeFill="text2" w:themeFillShade="BF"/>
          </w:tcPr>
          <w:p w14:paraId="5C9EE249" w14:textId="77777777" w:rsidR="00634631" w:rsidRPr="00CF309B" w:rsidRDefault="00634631" w:rsidP="007E5948">
            <w:pPr>
              <w:pStyle w:val="NoSpacing"/>
              <w:jc w:val="center"/>
              <w:rPr>
                <w:rFonts w:ascii="Arial" w:hAnsi="Arial" w:cs="Arial"/>
                <w:color w:val="FFFFFF" w:themeColor="background1"/>
                <w:sz w:val="18"/>
                <w:szCs w:val="18"/>
              </w:rPr>
            </w:pPr>
          </w:p>
        </w:tc>
        <w:tc>
          <w:tcPr>
            <w:tcW w:w="932" w:type="dxa"/>
            <w:gridSpan w:val="2"/>
            <w:tcBorders>
              <w:top w:val="none" w:sz="0" w:space="0" w:color="auto"/>
              <w:left w:val="none" w:sz="0" w:space="0" w:color="auto"/>
              <w:bottom w:val="none" w:sz="0" w:space="0" w:color="auto"/>
              <w:right w:val="none" w:sz="0" w:space="0" w:color="auto"/>
            </w:tcBorders>
            <w:shd w:val="clear" w:color="auto" w:fill="17365D" w:themeFill="text2" w:themeFillShade="BF"/>
          </w:tcPr>
          <w:p w14:paraId="565BF272" w14:textId="77777777" w:rsidR="00634631" w:rsidRPr="00CF309B" w:rsidRDefault="00634631" w:rsidP="00EC62BA">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p>
        </w:tc>
        <w:tc>
          <w:tcPr>
            <w:tcW w:w="8915" w:type="dxa"/>
            <w:gridSpan w:val="10"/>
            <w:tcBorders>
              <w:top w:val="none" w:sz="0" w:space="0" w:color="auto"/>
              <w:left w:val="none" w:sz="0" w:space="0" w:color="auto"/>
              <w:bottom w:val="none" w:sz="0" w:space="0" w:color="auto"/>
              <w:right w:val="none" w:sz="0" w:space="0" w:color="auto"/>
            </w:tcBorders>
            <w:shd w:val="clear" w:color="auto" w:fill="17365D" w:themeFill="text2" w:themeFillShade="BF"/>
          </w:tcPr>
          <w:p w14:paraId="2070D6C8" w14:textId="77777777" w:rsidR="00634631" w:rsidRPr="00CF309B" w:rsidRDefault="00634631" w:rsidP="00EC62BA">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CF309B">
              <w:rPr>
                <w:rFonts w:ascii="Arial" w:hAnsi="Arial" w:cs="Arial"/>
                <w:color w:val="FFFFFF" w:themeColor="background1"/>
                <w:sz w:val="18"/>
                <w:szCs w:val="18"/>
              </w:rPr>
              <w:t>Growth over comparable period</w:t>
            </w:r>
          </w:p>
        </w:tc>
      </w:tr>
      <w:tr w:rsidR="00634631" w:rsidRPr="00CF309B" w14:paraId="64354C6D" w14:textId="77777777" w:rsidTr="004B5E72">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359" w:type="dxa"/>
            <w:gridSpan w:val="2"/>
            <w:tcBorders>
              <w:left w:val="none" w:sz="0" w:space="0" w:color="auto"/>
              <w:right w:val="none" w:sz="0" w:space="0" w:color="auto"/>
            </w:tcBorders>
            <w:shd w:val="clear" w:color="auto" w:fill="17365D" w:themeFill="text2" w:themeFillShade="BF"/>
          </w:tcPr>
          <w:p w14:paraId="443F7784" w14:textId="77777777" w:rsidR="00634631" w:rsidRPr="00CF309B" w:rsidRDefault="00634631" w:rsidP="00CF61E8">
            <w:pPr>
              <w:pStyle w:val="NoSpacing"/>
              <w:rPr>
                <w:rFonts w:ascii="Arial" w:hAnsi="Arial" w:cs="Arial"/>
                <w:color w:val="FFFFFF" w:themeColor="background1"/>
                <w:sz w:val="18"/>
                <w:szCs w:val="18"/>
              </w:rPr>
            </w:pPr>
          </w:p>
        </w:tc>
        <w:tc>
          <w:tcPr>
            <w:tcW w:w="960" w:type="dxa"/>
            <w:gridSpan w:val="2"/>
            <w:tcBorders>
              <w:left w:val="none" w:sz="0" w:space="0" w:color="auto"/>
              <w:right w:val="none" w:sz="0" w:space="0" w:color="auto"/>
            </w:tcBorders>
            <w:shd w:val="clear" w:color="auto" w:fill="17365D" w:themeFill="text2" w:themeFillShade="BF"/>
            <w:vAlign w:val="bottom"/>
          </w:tcPr>
          <w:p w14:paraId="51D8EB2D" w14:textId="77777777" w:rsidR="00634631" w:rsidRPr="003C245B" w:rsidRDefault="00634631" w:rsidP="00B63160">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color w:val="FFFFFF" w:themeColor="background1"/>
                <w:sz w:val="18"/>
                <w:szCs w:val="18"/>
              </w:rPr>
              <w:t>Q1 ‘20</w:t>
            </w:r>
          </w:p>
        </w:tc>
        <w:tc>
          <w:tcPr>
            <w:tcW w:w="960" w:type="dxa"/>
            <w:tcBorders>
              <w:left w:val="none" w:sz="0" w:space="0" w:color="auto"/>
              <w:right w:val="none" w:sz="0" w:space="0" w:color="auto"/>
            </w:tcBorders>
            <w:shd w:val="clear" w:color="auto" w:fill="17365D" w:themeFill="text2" w:themeFillShade="BF"/>
            <w:vAlign w:val="bottom"/>
          </w:tcPr>
          <w:p w14:paraId="09C31097" w14:textId="77777777" w:rsidR="00634631" w:rsidRPr="003C245B" w:rsidRDefault="00634631" w:rsidP="00B6316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Q2 ‘20</w:t>
            </w:r>
          </w:p>
        </w:tc>
        <w:tc>
          <w:tcPr>
            <w:tcW w:w="960" w:type="dxa"/>
            <w:tcBorders>
              <w:left w:val="none" w:sz="0" w:space="0" w:color="auto"/>
              <w:right w:val="none" w:sz="0" w:space="0" w:color="auto"/>
            </w:tcBorders>
            <w:shd w:val="clear" w:color="auto" w:fill="17365D" w:themeFill="text2" w:themeFillShade="BF"/>
            <w:vAlign w:val="bottom"/>
          </w:tcPr>
          <w:p w14:paraId="1B603245" w14:textId="77777777" w:rsidR="00634631" w:rsidRPr="003C245B" w:rsidRDefault="00634631" w:rsidP="00B6316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Q3 ‘20</w:t>
            </w:r>
          </w:p>
        </w:tc>
        <w:tc>
          <w:tcPr>
            <w:tcW w:w="960" w:type="dxa"/>
            <w:tcBorders>
              <w:left w:val="none" w:sz="0" w:space="0" w:color="auto"/>
              <w:right w:val="none" w:sz="0" w:space="0" w:color="auto"/>
            </w:tcBorders>
            <w:shd w:val="clear" w:color="auto" w:fill="17365D" w:themeFill="text2" w:themeFillShade="BF"/>
            <w:vAlign w:val="bottom"/>
          </w:tcPr>
          <w:p w14:paraId="54754A7F" w14:textId="77777777" w:rsidR="00634631" w:rsidRPr="003C245B" w:rsidRDefault="00634631" w:rsidP="00B6316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Q4 ‘20</w:t>
            </w:r>
          </w:p>
        </w:tc>
        <w:tc>
          <w:tcPr>
            <w:tcW w:w="910" w:type="dxa"/>
            <w:tcBorders>
              <w:left w:val="none" w:sz="0" w:space="0" w:color="auto"/>
              <w:right w:val="none" w:sz="0" w:space="0" w:color="auto"/>
            </w:tcBorders>
            <w:shd w:val="clear" w:color="auto" w:fill="17365D" w:themeFill="text2" w:themeFillShade="BF"/>
            <w:vAlign w:val="bottom"/>
          </w:tcPr>
          <w:p w14:paraId="32B7C447" w14:textId="77777777" w:rsidR="00634631" w:rsidRDefault="00634631" w:rsidP="00B6316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Q1 ‘21</w:t>
            </w:r>
          </w:p>
        </w:tc>
        <w:tc>
          <w:tcPr>
            <w:tcW w:w="859" w:type="dxa"/>
            <w:tcBorders>
              <w:left w:val="none" w:sz="0" w:space="0" w:color="auto"/>
              <w:right w:val="none" w:sz="0" w:space="0" w:color="auto"/>
            </w:tcBorders>
            <w:shd w:val="clear" w:color="auto" w:fill="17365D" w:themeFill="text2" w:themeFillShade="BF"/>
            <w:vAlign w:val="bottom"/>
          </w:tcPr>
          <w:p w14:paraId="4EF19EF9" w14:textId="77777777" w:rsidR="00634631" w:rsidRDefault="00634631" w:rsidP="00B6316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Q2 ‘21</w:t>
            </w:r>
          </w:p>
        </w:tc>
        <w:tc>
          <w:tcPr>
            <w:tcW w:w="763" w:type="dxa"/>
            <w:tcBorders>
              <w:left w:val="none" w:sz="0" w:space="0" w:color="auto"/>
              <w:right w:val="none" w:sz="0" w:space="0" w:color="auto"/>
            </w:tcBorders>
            <w:shd w:val="clear" w:color="auto" w:fill="17365D" w:themeFill="text2" w:themeFillShade="BF"/>
            <w:vAlign w:val="bottom"/>
          </w:tcPr>
          <w:p w14:paraId="266CA5BA" w14:textId="77777777" w:rsidR="00634631" w:rsidRDefault="00634631" w:rsidP="00B6316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Q3 ‘21</w:t>
            </w:r>
          </w:p>
        </w:tc>
        <w:tc>
          <w:tcPr>
            <w:tcW w:w="824" w:type="dxa"/>
            <w:tcBorders>
              <w:left w:val="none" w:sz="0" w:space="0" w:color="auto"/>
              <w:right w:val="none" w:sz="0" w:space="0" w:color="auto"/>
            </w:tcBorders>
            <w:shd w:val="clear" w:color="auto" w:fill="17365D" w:themeFill="text2" w:themeFillShade="BF"/>
          </w:tcPr>
          <w:p w14:paraId="311EA04C" w14:textId="77777777" w:rsidR="00634631" w:rsidRDefault="008D7B46" w:rsidP="00B6316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Nov</w:t>
            </w:r>
            <w:r w:rsidR="00634631">
              <w:rPr>
                <w:rFonts w:ascii="Arial" w:hAnsi="Arial" w:cs="Arial"/>
                <w:b/>
                <w:color w:val="FFFFFF" w:themeColor="background1"/>
                <w:sz w:val="18"/>
                <w:szCs w:val="18"/>
              </w:rPr>
              <w:t xml:space="preserve"> ‘21</w:t>
            </w:r>
          </w:p>
        </w:tc>
        <w:tc>
          <w:tcPr>
            <w:tcW w:w="898" w:type="dxa"/>
            <w:tcBorders>
              <w:left w:val="none" w:sz="0" w:space="0" w:color="auto"/>
              <w:right w:val="none" w:sz="0" w:space="0" w:color="auto"/>
            </w:tcBorders>
            <w:shd w:val="clear" w:color="auto" w:fill="17365D" w:themeFill="text2" w:themeFillShade="BF"/>
            <w:vAlign w:val="bottom"/>
          </w:tcPr>
          <w:p w14:paraId="7EF84146" w14:textId="77777777" w:rsidR="00634631" w:rsidRDefault="008D7B46" w:rsidP="00B6316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Nov</w:t>
            </w:r>
            <w:r w:rsidR="00634631">
              <w:rPr>
                <w:rFonts w:ascii="Arial" w:hAnsi="Arial" w:cs="Arial"/>
                <w:b/>
                <w:color w:val="FFFFFF" w:themeColor="background1"/>
                <w:sz w:val="18"/>
                <w:szCs w:val="18"/>
              </w:rPr>
              <w:t xml:space="preserve"> ‘21 vs 2020</w:t>
            </w:r>
          </w:p>
        </w:tc>
        <w:tc>
          <w:tcPr>
            <w:tcW w:w="1286" w:type="dxa"/>
            <w:tcBorders>
              <w:left w:val="none" w:sz="0" w:space="0" w:color="auto"/>
              <w:right w:val="none" w:sz="0" w:space="0" w:color="auto"/>
            </w:tcBorders>
            <w:shd w:val="clear" w:color="auto" w:fill="17365D" w:themeFill="text2" w:themeFillShade="BF"/>
            <w:vAlign w:val="bottom"/>
          </w:tcPr>
          <w:p w14:paraId="14ED0714" w14:textId="77777777" w:rsidR="00634631" w:rsidRDefault="008D7B46" w:rsidP="00B6316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Nov</w:t>
            </w:r>
            <w:r w:rsidR="00634631">
              <w:rPr>
                <w:rFonts w:ascii="Arial" w:hAnsi="Arial" w:cs="Arial"/>
                <w:b/>
                <w:color w:val="FFFFFF" w:themeColor="background1"/>
                <w:sz w:val="18"/>
                <w:szCs w:val="18"/>
              </w:rPr>
              <w:t xml:space="preserve"> ’21 vs 2019</w:t>
            </w:r>
          </w:p>
        </w:tc>
      </w:tr>
      <w:tr w:rsidR="00634631" w:rsidRPr="00E43E81" w14:paraId="467B0464" w14:textId="77777777" w:rsidTr="00634631">
        <w:trPr>
          <w:trHeight w:val="140"/>
        </w:trPr>
        <w:tc>
          <w:tcPr>
            <w:cnfStyle w:val="001000000000" w:firstRow="0" w:lastRow="0" w:firstColumn="1" w:lastColumn="0" w:oddVBand="0" w:evenVBand="0" w:oddHBand="0" w:evenHBand="0" w:firstRowFirstColumn="0" w:firstRowLastColumn="0" w:lastRowFirstColumn="0" w:lastRowLastColumn="0"/>
            <w:tcW w:w="1359" w:type="dxa"/>
            <w:gridSpan w:val="2"/>
            <w:vAlign w:val="center"/>
          </w:tcPr>
          <w:p w14:paraId="6BC1DA58" w14:textId="77777777" w:rsidR="00634631" w:rsidRPr="00E43E81" w:rsidRDefault="00634631" w:rsidP="003A7E92">
            <w:pPr>
              <w:rPr>
                <w:rFonts w:ascii="Arial" w:hAnsi="Arial" w:cs="Arial"/>
                <w:color w:val="215868" w:themeColor="accent5" w:themeShade="80"/>
                <w:sz w:val="18"/>
                <w:szCs w:val="18"/>
              </w:rPr>
            </w:pPr>
            <w:r w:rsidRPr="00E43E81">
              <w:rPr>
                <w:rFonts w:ascii="Arial" w:hAnsi="Arial" w:cs="Arial"/>
                <w:color w:val="215868" w:themeColor="accent5" w:themeShade="80"/>
                <w:sz w:val="18"/>
                <w:szCs w:val="18"/>
              </w:rPr>
              <w:t>Fruit</w:t>
            </w:r>
          </w:p>
        </w:tc>
        <w:tc>
          <w:tcPr>
            <w:tcW w:w="960" w:type="dxa"/>
            <w:gridSpan w:val="2"/>
            <w:vAlign w:val="center"/>
          </w:tcPr>
          <w:p w14:paraId="06E25FA1" w14:textId="77777777" w:rsidR="00634631" w:rsidRPr="00E43E81" w:rsidRDefault="00634631"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960" w:type="dxa"/>
            <w:vAlign w:val="center"/>
          </w:tcPr>
          <w:p w14:paraId="357B4821" w14:textId="77777777" w:rsidR="00634631" w:rsidRPr="00E43E81" w:rsidRDefault="00634631"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960" w:type="dxa"/>
            <w:vAlign w:val="center"/>
          </w:tcPr>
          <w:p w14:paraId="558AED02" w14:textId="77777777" w:rsidR="00634631" w:rsidRPr="00E43E81" w:rsidRDefault="00634631"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960" w:type="dxa"/>
            <w:vAlign w:val="center"/>
          </w:tcPr>
          <w:p w14:paraId="4DB34975" w14:textId="77777777" w:rsidR="00634631" w:rsidRPr="00E43E81" w:rsidRDefault="00634631"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910" w:type="dxa"/>
            <w:vAlign w:val="center"/>
          </w:tcPr>
          <w:p w14:paraId="7215DE46" w14:textId="77777777" w:rsidR="00634631" w:rsidRPr="00E43E81" w:rsidRDefault="00634631"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859" w:type="dxa"/>
          </w:tcPr>
          <w:p w14:paraId="4BFD1C4A" w14:textId="77777777" w:rsidR="00634631" w:rsidRPr="00E43E81" w:rsidRDefault="00634631"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763" w:type="dxa"/>
          </w:tcPr>
          <w:p w14:paraId="48331C46" w14:textId="77777777" w:rsidR="00634631" w:rsidRPr="00E43E81" w:rsidRDefault="00634631"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824" w:type="dxa"/>
          </w:tcPr>
          <w:p w14:paraId="6BD077A7" w14:textId="77777777" w:rsidR="00634631" w:rsidRPr="00E43E81" w:rsidRDefault="00634631"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898" w:type="dxa"/>
          </w:tcPr>
          <w:p w14:paraId="378B33C9" w14:textId="77777777" w:rsidR="00634631" w:rsidRPr="00E43E81" w:rsidRDefault="00634631"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1286" w:type="dxa"/>
          </w:tcPr>
          <w:p w14:paraId="724E7212" w14:textId="77777777" w:rsidR="00634631" w:rsidRPr="00E43E81" w:rsidRDefault="00634631"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r>
      <w:tr w:rsidR="00634631" w:rsidRPr="00E43E81" w14:paraId="1323422E" w14:textId="77777777" w:rsidTr="004B5E72">
        <w:trPr>
          <w:cnfStyle w:val="000000100000" w:firstRow="0" w:lastRow="0" w:firstColumn="0" w:lastColumn="0" w:oddVBand="0" w:evenVBand="0" w:oddHBand="1"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1359" w:type="dxa"/>
            <w:gridSpan w:val="2"/>
            <w:tcBorders>
              <w:left w:val="none" w:sz="0" w:space="0" w:color="auto"/>
              <w:right w:val="none" w:sz="0" w:space="0" w:color="auto"/>
            </w:tcBorders>
            <w:vAlign w:val="center"/>
          </w:tcPr>
          <w:p w14:paraId="786440DF" w14:textId="77777777" w:rsidR="00634631" w:rsidRPr="00E43E81" w:rsidRDefault="00634631" w:rsidP="003A7E92">
            <w:pPr>
              <w:pStyle w:val="NoSpacing"/>
              <w:jc w:val="right"/>
              <w:rPr>
                <w:rFonts w:ascii="Arial" w:hAnsi="Arial" w:cs="Arial"/>
                <w:b w:val="0"/>
                <w:color w:val="215868" w:themeColor="accent5" w:themeShade="80"/>
                <w:sz w:val="18"/>
                <w:szCs w:val="18"/>
              </w:rPr>
            </w:pPr>
            <w:r w:rsidRPr="00E43E81">
              <w:rPr>
                <w:rFonts w:ascii="Arial" w:hAnsi="Arial" w:cs="Arial"/>
                <w:b w:val="0"/>
                <w:color w:val="215868" w:themeColor="accent5" w:themeShade="80"/>
                <w:sz w:val="18"/>
                <w:szCs w:val="18"/>
              </w:rPr>
              <w:t xml:space="preserve">   Dollars</w:t>
            </w:r>
          </w:p>
        </w:tc>
        <w:tc>
          <w:tcPr>
            <w:tcW w:w="960" w:type="dxa"/>
            <w:gridSpan w:val="2"/>
            <w:tcBorders>
              <w:left w:val="none" w:sz="0" w:space="0" w:color="auto"/>
              <w:right w:val="none" w:sz="0" w:space="0" w:color="auto"/>
            </w:tcBorders>
            <w:vAlign w:val="center"/>
          </w:tcPr>
          <w:p w14:paraId="3919B555" w14:textId="77777777" w:rsidR="00634631" w:rsidRPr="00E43E81" w:rsidRDefault="00634631" w:rsidP="00A128E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E43E81">
              <w:rPr>
                <w:rFonts w:ascii="Arial" w:hAnsi="Arial" w:cs="Arial"/>
                <w:color w:val="215868" w:themeColor="accent5" w:themeShade="80"/>
                <w:sz w:val="18"/>
                <w:szCs w:val="18"/>
              </w:rPr>
              <w:t>+5.3%</w:t>
            </w:r>
          </w:p>
        </w:tc>
        <w:tc>
          <w:tcPr>
            <w:tcW w:w="960" w:type="dxa"/>
            <w:tcBorders>
              <w:left w:val="none" w:sz="0" w:space="0" w:color="auto"/>
              <w:right w:val="none" w:sz="0" w:space="0" w:color="auto"/>
            </w:tcBorders>
            <w:vAlign w:val="center"/>
          </w:tcPr>
          <w:p w14:paraId="2A4E3D58" w14:textId="77777777" w:rsidR="00634631" w:rsidRPr="00E43E81" w:rsidRDefault="00634631" w:rsidP="00A128E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E43E81">
              <w:rPr>
                <w:rFonts w:ascii="Arial" w:hAnsi="Arial" w:cs="Arial"/>
                <w:color w:val="215868" w:themeColor="accent5" w:themeShade="80"/>
                <w:sz w:val="18"/>
                <w:szCs w:val="18"/>
              </w:rPr>
              <w:t>+10.6%</w:t>
            </w:r>
          </w:p>
        </w:tc>
        <w:tc>
          <w:tcPr>
            <w:tcW w:w="960" w:type="dxa"/>
            <w:tcBorders>
              <w:left w:val="none" w:sz="0" w:space="0" w:color="auto"/>
              <w:right w:val="none" w:sz="0" w:space="0" w:color="auto"/>
            </w:tcBorders>
            <w:vAlign w:val="center"/>
          </w:tcPr>
          <w:p w14:paraId="16942D0B" w14:textId="77777777" w:rsidR="00634631" w:rsidRPr="00E43E81" w:rsidRDefault="00634631" w:rsidP="00A128E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E43E81">
              <w:rPr>
                <w:rFonts w:ascii="Arial" w:hAnsi="Arial" w:cs="Arial"/>
                <w:color w:val="215868" w:themeColor="accent5" w:themeShade="80"/>
                <w:sz w:val="18"/>
                <w:szCs w:val="18"/>
              </w:rPr>
              <w:t>+9.5%</w:t>
            </w:r>
          </w:p>
        </w:tc>
        <w:tc>
          <w:tcPr>
            <w:tcW w:w="960" w:type="dxa"/>
            <w:tcBorders>
              <w:left w:val="none" w:sz="0" w:space="0" w:color="auto"/>
              <w:right w:val="none" w:sz="0" w:space="0" w:color="auto"/>
            </w:tcBorders>
            <w:vAlign w:val="center"/>
          </w:tcPr>
          <w:p w14:paraId="4D90AAD4" w14:textId="77777777" w:rsidR="00634631" w:rsidRPr="00E43E81" w:rsidRDefault="00634631" w:rsidP="00A128E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E43E81">
              <w:rPr>
                <w:rFonts w:ascii="Arial" w:hAnsi="Arial" w:cs="Arial"/>
                <w:color w:val="215868" w:themeColor="accent5" w:themeShade="80"/>
                <w:sz w:val="18"/>
                <w:szCs w:val="18"/>
              </w:rPr>
              <w:t>+8.7%</w:t>
            </w:r>
          </w:p>
        </w:tc>
        <w:tc>
          <w:tcPr>
            <w:tcW w:w="910" w:type="dxa"/>
            <w:tcBorders>
              <w:left w:val="none" w:sz="0" w:space="0" w:color="auto"/>
              <w:right w:val="none" w:sz="0" w:space="0" w:color="auto"/>
            </w:tcBorders>
            <w:vAlign w:val="center"/>
          </w:tcPr>
          <w:p w14:paraId="41F66AD2" w14:textId="77777777" w:rsidR="00634631" w:rsidRPr="00E43E81" w:rsidRDefault="00634631" w:rsidP="009D410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+5.0</w:t>
            </w:r>
            <w:r w:rsidRPr="00E43E81">
              <w:rPr>
                <w:rFonts w:ascii="Arial" w:hAnsi="Arial" w:cs="Arial"/>
                <w:color w:val="215868" w:themeColor="accent5" w:themeShade="80"/>
                <w:sz w:val="18"/>
                <w:szCs w:val="18"/>
              </w:rPr>
              <w:t>%</w:t>
            </w:r>
          </w:p>
        </w:tc>
        <w:tc>
          <w:tcPr>
            <w:tcW w:w="859" w:type="dxa"/>
            <w:tcBorders>
              <w:left w:val="none" w:sz="0" w:space="0" w:color="auto"/>
              <w:right w:val="none" w:sz="0" w:space="0" w:color="auto"/>
            </w:tcBorders>
          </w:tcPr>
          <w:p w14:paraId="256CD208" w14:textId="77777777" w:rsidR="00634631" w:rsidRPr="00E43E81" w:rsidRDefault="00634631" w:rsidP="00EF0B26">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+3.4</w:t>
            </w:r>
            <w:r w:rsidRPr="00E43E81">
              <w:rPr>
                <w:rFonts w:ascii="Arial" w:hAnsi="Arial" w:cs="Arial"/>
                <w:color w:val="215868" w:themeColor="accent5" w:themeShade="80"/>
                <w:sz w:val="18"/>
                <w:szCs w:val="18"/>
              </w:rPr>
              <w:t>%</w:t>
            </w:r>
          </w:p>
        </w:tc>
        <w:tc>
          <w:tcPr>
            <w:tcW w:w="763" w:type="dxa"/>
            <w:tcBorders>
              <w:left w:val="none" w:sz="0" w:space="0" w:color="auto"/>
              <w:right w:val="none" w:sz="0" w:space="0" w:color="auto"/>
            </w:tcBorders>
          </w:tcPr>
          <w:p w14:paraId="5AC24B48" w14:textId="77777777" w:rsidR="00634631" w:rsidRDefault="00466D79" w:rsidP="00AA6AE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+5.6%</w:t>
            </w:r>
          </w:p>
        </w:tc>
        <w:tc>
          <w:tcPr>
            <w:tcW w:w="824" w:type="dxa"/>
            <w:tcBorders>
              <w:left w:val="none" w:sz="0" w:space="0" w:color="auto"/>
              <w:right w:val="none" w:sz="0" w:space="0" w:color="auto"/>
            </w:tcBorders>
          </w:tcPr>
          <w:p w14:paraId="6ACEE2D8" w14:textId="24D4C8BB" w:rsidR="00634631" w:rsidRDefault="00340AA9" w:rsidP="00AA6AE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5D3C9F">
              <w:rPr>
                <w:rFonts w:ascii="Arial" w:hAnsi="Arial" w:cs="Arial"/>
                <w:color w:val="215868" w:themeColor="accent5" w:themeShade="80"/>
                <w:sz w:val="18"/>
                <w:szCs w:val="18"/>
              </w:rPr>
              <w:t>2.4</w:t>
            </w:r>
            <w:r w:rsidR="00634631">
              <w:rPr>
                <w:rFonts w:ascii="Arial" w:hAnsi="Arial" w:cs="Arial"/>
                <w:color w:val="215868" w:themeColor="accent5" w:themeShade="80"/>
                <w:sz w:val="18"/>
                <w:szCs w:val="18"/>
              </w:rPr>
              <w:t>B</w:t>
            </w:r>
          </w:p>
        </w:tc>
        <w:tc>
          <w:tcPr>
            <w:tcW w:w="898" w:type="dxa"/>
            <w:tcBorders>
              <w:left w:val="none" w:sz="0" w:space="0" w:color="auto"/>
              <w:right w:val="none" w:sz="0" w:space="0" w:color="auto"/>
            </w:tcBorders>
          </w:tcPr>
          <w:p w14:paraId="1DE16292" w14:textId="0DAE69F0" w:rsidR="00634631" w:rsidRPr="00E43E81" w:rsidRDefault="00340AA9" w:rsidP="00AA6AE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5D3C9F">
              <w:rPr>
                <w:rFonts w:ascii="Arial" w:hAnsi="Arial" w:cs="Arial"/>
                <w:color w:val="215868" w:themeColor="accent5" w:themeShade="80"/>
                <w:sz w:val="18"/>
                <w:szCs w:val="18"/>
              </w:rPr>
              <w:t>8.5</w:t>
            </w:r>
            <w:r w:rsidR="00634631" w:rsidRPr="00E43E81">
              <w:rPr>
                <w:rFonts w:ascii="Arial" w:hAnsi="Arial" w:cs="Arial"/>
                <w:color w:val="215868" w:themeColor="accent5" w:themeShade="80"/>
                <w:sz w:val="18"/>
                <w:szCs w:val="18"/>
              </w:rPr>
              <w:t>%</w:t>
            </w:r>
          </w:p>
        </w:tc>
        <w:tc>
          <w:tcPr>
            <w:tcW w:w="1286" w:type="dxa"/>
            <w:tcBorders>
              <w:left w:val="none" w:sz="0" w:space="0" w:color="auto"/>
              <w:right w:val="none" w:sz="0" w:space="0" w:color="auto"/>
            </w:tcBorders>
          </w:tcPr>
          <w:p w14:paraId="6A8F364E" w14:textId="2EB1ACD6" w:rsidR="00634631" w:rsidRPr="00E43E81" w:rsidRDefault="00340AA9" w:rsidP="00A128E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5D3C9F">
              <w:rPr>
                <w:rFonts w:ascii="Arial" w:hAnsi="Arial" w:cs="Arial"/>
                <w:color w:val="215868" w:themeColor="accent5" w:themeShade="80"/>
                <w:sz w:val="18"/>
                <w:szCs w:val="18"/>
              </w:rPr>
              <w:t>18.5</w:t>
            </w:r>
            <w:r w:rsidR="00634631" w:rsidRPr="00E43E81">
              <w:rPr>
                <w:rFonts w:ascii="Arial" w:hAnsi="Arial" w:cs="Arial"/>
                <w:color w:val="215868" w:themeColor="accent5" w:themeShade="80"/>
                <w:sz w:val="18"/>
                <w:szCs w:val="18"/>
              </w:rPr>
              <w:t>%</w:t>
            </w:r>
          </w:p>
        </w:tc>
      </w:tr>
      <w:tr w:rsidR="00634631" w:rsidRPr="00E43E81" w14:paraId="02712878" w14:textId="77777777" w:rsidTr="00634631">
        <w:trPr>
          <w:trHeight w:val="140"/>
        </w:trPr>
        <w:tc>
          <w:tcPr>
            <w:cnfStyle w:val="001000000000" w:firstRow="0" w:lastRow="0" w:firstColumn="1" w:lastColumn="0" w:oddVBand="0" w:evenVBand="0" w:oddHBand="0" w:evenHBand="0" w:firstRowFirstColumn="0" w:firstRowLastColumn="0" w:lastRowFirstColumn="0" w:lastRowLastColumn="0"/>
            <w:tcW w:w="1359" w:type="dxa"/>
            <w:gridSpan w:val="2"/>
            <w:vAlign w:val="center"/>
          </w:tcPr>
          <w:p w14:paraId="4AAE8B25" w14:textId="77777777" w:rsidR="00634631" w:rsidRPr="00E43E81" w:rsidRDefault="00634631" w:rsidP="003A7E92">
            <w:pPr>
              <w:pStyle w:val="NoSpacing"/>
              <w:jc w:val="right"/>
              <w:rPr>
                <w:rFonts w:ascii="Arial" w:hAnsi="Arial" w:cs="Arial"/>
                <w:b w:val="0"/>
                <w:color w:val="215868" w:themeColor="accent5" w:themeShade="80"/>
                <w:sz w:val="18"/>
                <w:szCs w:val="18"/>
              </w:rPr>
            </w:pPr>
            <w:r w:rsidRPr="00E43E81">
              <w:rPr>
                <w:rFonts w:ascii="Arial" w:hAnsi="Arial" w:cs="Arial"/>
                <w:b w:val="0"/>
                <w:color w:val="215868" w:themeColor="accent5" w:themeShade="80"/>
                <w:sz w:val="18"/>
                <w:szCs w:val="18"/>
              </w:rPr>
              <w:t xml:space="preserve">   Volume</w:t>
            </w:r>
          </w:p>
        </w:tc>
        <w:tc>
          <w:tcPr>
            <w:tcW w:w="960" w:type="dxa"/>
            <w:gridSpan w:val="2"/>
            <w:vAlign w:val="center"/>
          </w:tcPr>
          <w:p w14:paraId="251CD945" w14:textId="77777777" w:rsidR="00634631" w:rsidRPr="00E43E81" w:rsidRDefault="00634631"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E43E81">
              <w:rPr>
                <w:rFonts w:ascii="Arial" w:hAnsi="Arial" w:cs="Arial"/>
                <w:color w:val="215868" w:themeColor="accent5" w:themeShade="80"/>
                <w:sz w:val="18"/>
                <w:szCs w:val="18"/>
              </w:rPr>
              <w:t>+8.4%</w:t>
            </w:r>
          </w:p>
        </w:tc>
        <w:tc>
          <w:tcPr>
            <w:tcW w:w="960" w:type="dxa"/>
            <w:vAlign w:val="center"/>
          </w:tcPr>
          <w:p w14:paraId="5EC7E2D6" w14:textId="77777777" w:rsidR="00634631" w:rsidRPr="00E43E81" w:rsidRDefault="00634631"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E43E81">
              <w:rPr>
                <w:rFonts w:ascii="Arial" w:hAnsi="Arial" w:cs="Arial"/>
                <w:color w:val="215868" w:themeColor="accent5" w:themeShade="80"/>
                <w:sz w:val="18"/>
                <w:szCs w:val="18"/>
              </w:rPr>
              <w:t>+10.7%</w:t>
            </w:r>
          </w:p>
        </w:tc>
        <w:tc>
          <w:tcPr>
            <w:tcW w:w="960" w:type="dxa"/>
            <w:vAlign w:val="center"/>
          </w:tcPr>
          <w:p w14:paraId="3556237B" w14:textId="77777777" w:rsidR="00634631" w:rsidRPr="00E43E81" w:rsidRDefault="00634631"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E43E81">
              <w:rPr>
                <w:rFonts w:ascii="Arial" w:hAnsi="Arial" w:cs="Arial"/>
                <w:color w:val="215868" w:themeColor="accent5" w:themeShade="80"/>
                <w:sz w:val="18"/>
                <w:szCs w:val="18"/>
              </w:rPr>
              <w:t>+7.6%</w:t>
            </w:r>
          </w:p>
        </w:tc>
        <w:tc>
          <w:tcPr>
            <w:tcW w:w="960" w:type="dxa"/>
            <w:vAlign w:val="center"/>
          </w:tcPr>
          <w:p w14:paraId="449BE333" w14:textId="77777777" w:rsidR="00634631" w:rsidRPr="00E43E81" w:rsidRDefault="00634631"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E43E81">
              <w:rPr>
                <w:rFonts w:ascii="Arial" w:hAnsi="Arial" w:cs="Arial"/>
                <w:color w:val="215868" w:themeColor="accent5" w:themeShade="80"/>
                <w:sz w:val="18"/>
                <w:szCs w:val="18"/>
              </w:rPr>
              <w:t>+8.8%</w:t>
            </w:r>
          </w:p>
        </w:tc>
        <w:tc>
          <w:tcPr>
            <w:tcW w:w="910" w:type="dxa"/>
            <w:vAlign w:val="center"/>
          </w:tcPr>
          <w:p w14:paraId="2B67FA3D" w14:textId="77777777" w:rsidR="00634631" w:rsidRPr="00E43E81" w:rsidRDefault="00634631" w:rsidP="009D410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-0.6</w:t>
            </w:r>
            <w:r w:rsidRPr="00E43E81">
              <w:rPr>
                <w:rFonts w:ascii="Arial" w:hAnsi="Arial" w:cs="Arial"/>
                <w:color w:val="215868" w:themeColor="accent5" w:themeShade="80"/>
                <w:sz w:val="18"/>
                <w:szCs w:val="18"/>
              </w:rPr>
              <w:t>%</w:t>
            </w:r>
          </w:p>
        </w:tc>
        <w:tc>
          <w:tcPr>
            <w:tcW w:w="859" w:type="dxa"/>
          </w:tcPr>
          <w:p w14:paraId="4EF7C06A" w14:textId="77777777" w:rsidR="00634631" w:rsidRPr="00E43E81" w:rsidRDefault="00634631" w:rsidP="00EF0B26">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-6.2</w:t>
            </w:r>
            <w:r w:rsidRPr="00E43E81">
              <w:rPr>
                <w:rFonts w:ascii="Arial" w:hAnsi="Arial" w:cs="Arial"/>
                <w:color w:val="215868" w:themeColor="accent5" w:themeShade="80"/>
                <w:sz w:val="18"/>
                <w:szCs w:val="18"/>
              </w:rPr>
              <w:t>%</w:t>
            </w:r>
          </w:p>
        </w:tc>
        <w:tc>
          <w:tcPr>
            <w:tcW w:w="763" w:type="dxa"/>
          </w:tcPr>
          <w:p w14:paraId="119D7C93" w14:textId="77777777" w:rsidR="00634631" w:rsidRDefault="00466D79" w:rsidP="00AA6AE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-0.9%</w:t>
            </w:r>
          </w:p>
        </w:tc>
        <w:tc>
          <w:tcPr>
            <w:tcW w:w="824" w:type="dxa"/>
          </w:tcPr>
          <w:p w14:paraId="61C0D39D" w14:textId="05544199" w:rsidR="00634631" w:rsidRDefault="005D3C9F" w:rsidP="00AA6AE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1.4</w:t>
            </w:r>
            <w:r w:rsidR="00634631">
              <w:rPr>
                <w:rFonts w:ascii="Arial" w:hAnsi="Arial" w:cs="Arial"/>
                <w:color w:val="215868" w:themeColor="accent5" w:themeShade="80"/>
                <w:sz w:val="18"/>
                <w:szCs w:val="18"/>
              </w:rPr>
              <w:t>B</w:t>
            </w:r>
          </w:p>
        </w:tc>
        <w:tc>
          <w:tcPr>
            <w:tcW w:w="898" w:type="dxa"/>
          </w:tcPr>
          <w:p w14:paraId="3D83216D" w14:textId="2F1D89AF" w:rsidR="00634631" w:rsidRPr="00E43E81" w:rsidRDefault="00340AA9" w:rsidP="00AA6AE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5D3C9F">
              <w:rPr>
                <w:rFonts w:ascii="Arial" w:hAnsi="Arial" w:cs="Arial"/>
                <w:color w:val="215868" w:themeColor="accent5" w:themeShade="80"/>
                <w:sz w:val="18"/>
                <w:szCs w:val="18"/>
              </w:rPr>
              <w:t>2.6</w:t>
            </w:r>
            <w:r w:rsidR="00634631" w:rsidRPr="00E43E81">
              <w:rPr>
                <w:rFonts w:ascii="Arial" w:hAnsi="Arial" w:cs="Arial"/>
                <w:color w:val="215868" w:themeColor="accent5" w:themeShade="80"/>
                <w:sz w:val="18"/>
                <w:szCs w:val="18"/>
              </w:rPr>
              <w:t>%</w:t>
            </w:r>
          </w:p>
        </w:tc>
        <w:tc>
          <w:tcPr>
            <w:tcW w:w="1286" w:type="dxa"/>
          </w:tcPr>
          <w:p w14:paraId="6AA621F2" w14:textId="76C1F324" w:rsidR="00634631" w:rsidRPr="00E43E81" w:rsidRDefault="00340AA9"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5D3C9F">
              <w:rPr>
                <w:rFonts w:ascii="Arial" w:hAnsi="Arial" w:cs="Arial"/>
                <w:color w:val="215868" w:themeColor="accent5" w:themeShade="80"/>
                <w:sz w:val="18"/>
                <w:szCs w:val="18"/>
              </w:rPr>
              <w:t>5.9</w:t>
            </w:r>
            <w:r w:rsidR="00634631" w:rsidRPr="00E43E81">
              <w:rPr>
                <w:rFonts w:ascii="Arial" w:hAnsi="Arial" w:cs="Arial"/>
                <w:color w:val="215868" w:themeColor="accent5" w:themeShade="80"/>
                <w:sz w:val="18"/>
                <w:szCs w:val="18"/>
              </w:rPr>
              <w:t>%</w:t>
            </w:r>
          </w:p>
        </w:tc>
      </w:tr>
      <w:tr w:rsidR="00634631" w:rsidRPr="00E43E81" w14:paraId="4EB6B607" w14:textId="77777777" w:rsidTr="004B5E72">
        <w:trPr>
          <w:cnfStyle w:val="000000100000" w:firstRow="0" w:lastRow="0" w:firstColumn="0" w:lastColumn="0" w:oddVBand="0" w:evenVBand="0" w:oddHBand="1"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1359" w:type="dxa"/>
            <w:gridSpan w:val="2"/>
            <w:tcBorders>
              <w:left w:val="none" w:sz="0" w:space="0" w:color="auto"/>
              <w:right w:val="none" w:sz="0" w:space="0" w:color="auto"/>
            </w:tcBorders>
            <w:vAlign w:val="center"/>
          </w:tcPr>
          <w:p w14:paraId="4A2A381E" w14:textId="77777777" w:rsidR="00634631" w:rsidRPr="00E43E81" w:rsidRDefault="00634631" w:rsidP="003A7E92">
            <w:pPr>
              <w:pStyle w:val="NoSpacing"/>
              <w:rPr>
                <w:rFonts w:ascii="Arial" w:hAnsi="Arial" w:cs="Arial"/>
                <w:color w:val="215868" w:themeColor="accent5" w:themeShade="80"/>
                <w:sz w:val="18"/>
                <w:szCs w:val="18"/>
              </w:rPr>
            </w:pPr>
            <w:r w:rsidRPr="00E43E81">
              <w:rPr>
                <w:rFonts w:ascii="Arial" w:hAnsi="Arial" w:cs="Arial"/>
                <w:color w:val="215868" w:themeColor="accent5" w:themeShade="80"/>
                <w:sz w:val="18"/>
                <w:szCs w:val="18"/>
              </w:rPr>
              <w:t>Vegetables</w:t>
            </w:r>
          </w:p>
        </w:tc>
        <w:tc>
          <w:tcPr>
            <w:tcW w:w="960" w:type="dxa"/>
            <w:gridSpan w:val="2"/>
            <w:tcBorders>
              <w:left w:val="none" w:sz="0" w:space="0" w:color="auto"/>
              <w:right w:val="none" w:sz="0" w:space="0" w:color="auto"/>
            </w:tcBorders>
            <w:vAlign w:val="center"/>
          </w:tcPr>
          <w:p w14:paraId="50B7BD67" w14:textId="77777777" w:rsidR="00634631" w:rsidRPr="00E43E81" w:rsidRDefault="00634631" w:rsidP="00A128E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960" w:type="dxa"/>
            <w:tcBorders>
              <w:left w:val="none" w:sz="0" w:space="0" w:color="auto"/>
              <w:right w:val="none" w:sz="0" w:space="0" w:color="auto"/>
            </w:tcBorders>
            <w:vAlign w:val="center"/>
          </w:tcPr>
          <w:p w14:paraId="33E9F57B" w14:textId="77777777" w:rsidR="00634631" w:rsidRPr="00E43E81" w:rsidRDefault="00634631" w:rsidP="00A128E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960" w:type="dxa"/>
            <w:tcBorders>
              <w:left w:val="none" w:sz="0" w:space="0" w:color="auto"/>
              <w:right w:val="none" w:sz="0" w:space="0" w:color="auto"/>
            </w:tcBorders>
            <w:vAlign w:val="center"/>
          </w:tcPr>
          <w:p w14:paraId="317B3A17" w14:textId="77777777" w:rsidR="00634631" w:rsidRPr="00E43E81" w:rsidRDefault="00634631" w:rsidP="00A128E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960" w:type="dxa"/>
            <w:tcBorders>
              <w:left w:val="none" w:sz="0" w:space="0" w:color="auto"/>
              <w:right w:val="none" w:sz="0" w:space="0" w:color="auto"/>
            </w:tcBorders>
            <w:vAlign w:val="center"/>
          </w:tcPr>
          <w:p w14:paraId="5F7045FE" w14:textId="77777777" w:rsidR="00634631" w:rsidRPr="00E43E81" w:rsidRDefault="00634631" w:rsidP="00A128E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910" w:type="dxa"/>
            <w:tcBorders>
              <w:left w:val="none" w:sz="0" w:space="0" w:color="auto"/>
              <w:right w:val="none" w:sz="0" w:space="0" w:color="auto"/>
            </w:tcBorders>
            <w:vAlign w:val="center"/>
          </w:tcPr>
          <w:p w14:paraId="7139FF9B" w14:textId="77777777" w:rsidR="00634631" w:rsidRPr="00E43E81" w:rsidRDefault="00634631" w:rsidP="00A128E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9" w:type="dxa"/>
            <w:tcBorders>
              <w:left w:val="none" w:sz="0" w:space="0" w:color="auto"/>
              <w:right w:val="none" w:sz="0" w:space="0" w:color="auto"/>
            </w:tcBorders>
          </w:tcPr>
          <w:p w14:paraId="590FD172" w14:textId="77777777" w:rsidR="00634631" w:rsidRPr="00E43E81" w:rsidRDefault="00634631" w:rsidP="000375A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763" w:type="dxa"/>
            <w:tcBorders>
              <w:left w:val="none" w:sz="0" w:space="0" w:color="auto"/>
              <w:right w:val="none" w:sz="0" w:space="0" w:color="auto"/>
            </w:tcBorders>
          </w:tcPr>
          <w:p w14:paraId="4EE2F13B" w14:textId="77777777" w:rsidR="00634631" w:rsidRPr="00E43E81" w:rsidRDefault="00634631" w:rsidP="00CD25A6">
            <w:pP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24" w:type="dxa"/>
            <w:tcBorders>
              <w:left w:val="none" w:sz="0" w:space="0" w:color="auto"/>
              <w:right w:val="none" w:sz="0" w:space="0" w:color="auto"/>
            </w:tcBorders>
          </w:tcPr>
          <w:p w14:paraId="734D5712" w14:textId="77777777" w:rsidR="00634631" w:rsidRPr="00E43E81" w:rsidRDefault="00634631" w:rsidP="00CD25A6">
            <w:pP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98" w:type="dxa"/>
            <w:tcBorders>
              <w:left w:val="none" w:sz="0" w:space="0" w:color="auto"/>
              <w:right w:val="none" w:sz="0" w:space="0" w:color="auto"/>
            </w:tcBorders>
          </w:tcPr>
          <w:p w14:paraId="79124A4B" w14:textId="77777777" w:rsidR="00634631" w:rsidRPr="00E43E81" w:rsidRDefault="00634631" w:rsidP="00CD25A6">
            <w:pP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1286" w:type="dxa"/>
            <w:tcBorders>
              <w:left w:val="none" w:sz="0" w:space="0" w:color="auto"/>
              <w:right w:val="none" w:sz="0" w:space="0" w:color="auto"/>
            </w:tcBorders>
          </w:tcPr>
          <w:p w14:paraId="4DB909B8" w14:textId="77777777" w:rsidR="00634631" w:rsidRPr="00E43E81" w:rsidRDefault="00634631" w:rsidP="00B63160">
            <w:pP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r>
      <w:tr w:rsidR="00634631" w:rsidRPr="00E43E81" w14:paraId="65F82E5F" w14:textId="77777777" w:rsidTr="00634631">
        <w:trPr>
          <w:trHeight w:val="140"/>
        </w:trPr>
        <w:tc>
          <w:tcPr>
            <w:cnfStyle w:val="001000000000" w:firstRow="0" w:lastRow="0" w:firstColumn="1" w:lastColumn="0" w:oddVBand="0" w:evenVBand="0" w:oddHBand="0" w:evenHBand="0" w:firstRowFirstColumn="0" w:firstRowLastColumn="0" w:lastRowFirstColumn="0" w:lastRowLastColumn="0"/>
            <w:tcW w:w="1359" w:type="dxa"/>
            <w:gridSpan w:val="2"/>
            <w:vAlign w:val="center"/>
          </w:tcPr>
          <w:p w14:paraId="527210BF" w14:textId="77777777" w:rsidR="00634631" w:rsidRPr="00E43E81" w:rsidRDefault="00634631" w:rsidP="003A7E92">
            <w:pPr>
              <w:pStyle w:val="NoSpacing"/>
              <w:jc w:val="right"/>
              <w:rPr>
                <w:rFonts w:ascii="Arial" w:hAnsi="Arial" w:cs="Arial"/>
                <w:b w:val="0"/>
                <w:color w:val="215868" w:themeColor="accent5" w:themeShade="80"/>
                <w:sz w:val="18"/>
                <w:szCs w:val="18"/>
              </w:rPr>
            </w:pPr>
            <w:r w:rsidRPr="00E43E81">
              <w:rPr>
                <w:rFonts w:ascii="Arial" w:hAnsi="Arial" w:cs="Arial"/>
                <w:b w:val="0"/>
                <w:color w:val="215868" w:themeColor="accent5" w:themeShade="80"/>
                <w:sz w:val="18"/>
                <w:szCs w:val="18"/>
              </w:rPr>
              <w:t xml:space="preserve">   Dollars</w:t>
            </w:r>
          </w:p>
        </w:tc>
        <w:tc>
          <w:tcPr>
            <w:tcW w:w="960" w:type="dxa"/>
            <w:gridSpan w:val="2"/>
            <w:vAlign w:val="center"/>
          </w:tcPr>
          <w:p w14:paraId="7CF93FEE" w14:textId="77777777" w:rsidR="00634631" w:rsidRPr="00E43E81" w:rsidRDefault="00634631"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rPr>
            </w:pPr>
            <w:r w:rsidRPr="00E43E81">
              <w:rPr>
                <w:rFonts w:ascii="Arial" w:hAnsi="Arial" w:cs="Arial"/>
                <w:color w:val="215868" w:themeColor="accent5" w:themeShade="80"/>
                <w:sz w:val="18"/>
              </w:rPr>
              <w:t>+8.4%</w:t>
            </w:r>
          </w:p>
        </w:tc>
        <w:tc>
          <w:tcPr>
            <w:tcW w:w="960" w:type="dxa"/>
            <w:vAlign w:val="center"/>
          </w:tcPr>
          <w:p w14:paraId="011697C8" w14:textId="77777777" w:rsidR="00634631" w:rsidRPr="00E43E81" w:rsidRDefault="00634631"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rPr>
            </w:pPr>
            <w:r w:rsidRPr="00E43E81">
              <w:rPr>
                <w:rFonts w:ascii="Arial" w:hAnsi="Arial" w:cs="Arial"/>
                <w:color w:val="215868" w:themeColor="accent5" w:themeShade="80"/>
                <w:sz w:val="18"/>
              </w:rPr>
              <w:t>+20.7%</w:t>
            </w:r>
          </w:p>
        </w:tc>
        <w:tc>
          <w:tcPr>
            <w:tcW w:w="960" w:type="dxa"/>
            <w:vAlign w:val="center"/>
          </w:tcPr>
          <w:p w14:paraId="5AC9931F" w14:textId="77777777" w:rsidR="00634631" w:rsidRPr="00E43E81" w:rsidRDefault="00634631"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rPr>
            </w:pPr>
            <w:r w:rsidRPr="00E43E81">
              <w:rPr>
                <w:rFonts w:ascii="Arial" w:hAnsi="Arial" w:cs="Arial"/>
                <w:color w:val="215868" w:themeColor="accent5" w:themeShade="80"/>
                <w:sz w:val="18"/>
              </w:rPr>
              <w:t>+15.1%</w:t>
            </w:r>
          </w:p>
        </w:tc>
        <w:tc>
          <w:tcPr>
            <w:tcW w:w="960" w:type="dxa"/>
            <w:vAlign w:val="center"/>
          </w:tcPr>
          <w:p w14:paraId="021DE056" w14:textId="77777777" w:rsidR="00634631" w:rsidRPr="00E43E81" w:rsidRDefault="00634631"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rPr>
            </w:pPr>
            <w:r w:rsidRPr="00E43E81">
              <w:rPr>
                <w:rFonts w:ascii="Arial" w:hAnsi="Arial" w:cs="Arial"/>
                <w:color w:val="215868" w:themeColor="accent5" w:themeShade="80"/>
                <w:sz w:val="18"/>
              </w:rPr>
              <w:t>+14.8%</w:t>
            </w:r>
          </w:p>
        </w:tc>
        <w:tc>
          <w:tcPr>
            <w:tcW w:w="910" w:type="dxa"/>
            <w:vAlign w:val="center"/>
          </w:tcPr>
          <w:p w14:paraId="4F33FA8A" w14:textId="77777777" w:rsidR="00634631" w:rsidRPr="00E43E81" w:rsidRDefault="00634631"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rPr>
            </w:pPr>
            <w:r>
              <w:rPr>
                <w:rFonts w:ascii="Arial" w:hAnsi="Arial" w:cs="Arial"/>
                <w:color w:val="215868" w:themeColor="accent5" w:themeShade="80"/>
                <w:sz w:val="18"/>
              </w:rPr>
              <w:t>+4.6</w:t>
            </w:r>
            <w:r w:rsidRPr="00E43E81">
              <w:rPr>
                <w:rFonts w:ascii="Arial" w:hAnsi="Arial" w:cs="Arial"/>
                <w:color w:val="215868" w:themeColor="accent5" w:themeShade="80"/>
                <w:sz w:val="18"/>
              </w:rPr>
              <w:t>%</w:t>
            </w:r>
          </w:p>
        </w:tc>
        <w:tc>
          <w:tcPr>
            <w:tcW w:w="859" w:type="dxa"/>
          </w:tcPr>
          <w:p w14:paraId="181F5BED" w14:textId="77777777" w:rsidR="00634631" w:rsidRPr="00E43E81" w:rsidRDefault="00634631" w:rsidP="00EF0B26">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rPr>
            </w:pPr>
            <w:r>
              <w:rPr>
                <w:rFonts w:ascii="Arial" w:hAnsi="Arial" w:cs="Arial"/>
                <w:color w:val="215868" w:themeColor="accent5" w:themeShade="80"/>
                <w:sz w:val="18"/>
              </w:rPr>
              <w:t>-7.4</w:t>
            </w:r>
            <w:r w:rsidRPr="00E43E81">
              <w:rPr>
                <w:rFonts w:ascii="Arial" w:hAnsi="Arial" w:cs="Arial"/>
                <w:color w:val="215868" w:themeColor="accent5" w:themeShade="80"/>
                <w:sz w:val="18"/>
              </w:rPr>
              <w:t>%</w:t>
            </w:r>
          </w:p>
        </w:tc>
        <w:tc>
          <w:tcPr>
            <w:tcW w:w="763" w:type="dxa"/>
          </w:tcPr>
          <w:p w14:paraId="06164AC6" w14:textId="77777777" w:rsidR="00634631" w:rsidRDefault="00466D79" w:rsidP="00AA6AE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rPr>
            </w:pPr>
            <w:r>
              <w:rPr>
                <w:rFonts w:ascii="Arial" w:hAnsi="Arial" w:cs="Arial"/>
                <w:color w:val="215868" w:themeColor="accent5" w:themeShade="80"/>
                <w:sz w:val="18"/>
              </w:rPr>
              <w:t>-2.6%</w:t>
            </w:r>
          </w:p>
        </w:tc>
        <w:tc>
          <w:tcPr>
            <w:tcW w:w="824" w:type="dxa"/>
          </w:tcPr>
          <w:p w14:paraId="203F3FD6" w14:textId="04B3A176" w:rsidR="00634631" w:rsidRDefault="00340AA9" w:rsidP="00AA6AE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rPr>
            </w:pPr>
            <w:r>
              <w:rPr>
                <w:rFonts w:ascii="Arial" w:hAnsi="Arial" w:cs="Arial"/>
                <w:color w:val="215868" w:themeColor="accent5" w:themeShade="80"/>
                <w:sz w:val="18"/>
              </w:rPr>
              <w:t>$</w:t>
            </w:r>
            <w:r w:rsidR="005D3C9F">
              <w:rPr>
                <w:rFonts w:ascii="Arial" w:hAnsi="Arial" w:cs="Arial"/>
                <w:color w:val="215868" w:themeColor="accent5" w:themeShade="80"/>
                <w:sz w:val="18"/>
              </w:rPr>
              <w:t>2.8</w:t>
            </w:r>
            <w:r w:rsidR="00634631">
              <w:rPr>
                <w:rFonts w:ascii="Arial" w:hAnsi="Arial" w:cs="Arial"/>
                <w:color w:val="215868" w:themeColor="accent5" w:themeShade="80"/>
                <w:sz w:val="18"/>
              </w:rPr>
              <w:t>B</w:t>
            </w:r>
          </w:p>
        </w:tc>
        <w:tc>
          <w:tcPr>
            <w:tcW w:w="898" w:type="dxa"/>
          </w:tcPr>
          <w:p w14:paraId="3580A72B" w14:textId="578C99BE" w:rsidR="00634631" w:rsidRPr="00E43E81" w:rsidRDefault="005D3C9F" w:rsidP="00AA6AE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rPr>
            </w:pPr>
            <w:r>
              <w:rPr>
                <w:rFonts w:ascii="Arial" w:hAnsi="Arial" w:cs="Arial"/>
                <w:color w:val="215868" w:themeColor="accent5" w:themeShade="80"/>
                <w:sz w:val="18"/>
              </w:rPr>
              <w:t>+0.1</w:t>
            </w:r>
            <w:r w:rsidR="00634631" w:rsidRPr="00E43E81">
              <w:rPr>
                <w:rFonts w:ascii="Arial" w:hAnsi="Arial" w:cs="Arial"/>
                <w:color w:val="215868" w:themeColor="accent5" w:themeShade="80"/>
                <w:sz w:val="18"/>
              </w:rPr>
              <w:t>%</w:t>
            </w:r>
          </w:p>
        </w:tc>
        <w:tc>
          <w:tcPr>
            <w:tcW w:w="1286" w:type="dxa"/>
          </w:tcPr>
          <w:p w14:paraId="2399FFD4" w14:textId="153A2473" w:rsidR="00634631" w:rsidRPr="00E43E81" w:rsidRDefault="00340AA9"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rPr>
            </w:pPr>
            <w:r>
              <w:rPr>
                <w:rFonts w:ascii="Arial" w:hAnsi="Arial" w:cs="Arial"/>
                <w:color w:val="215868" w:themeColor="accent5" w:themeShade="80"/>
                <w:sz w:val="18"/>
              </w:rPr>
              <w:t>+</w:t>
            </w:r>
            <w:r w:rsidR="005D3C9F">
              <w:rPr>
                <w:rFonts w:ascii="Arial" w:hAnsi="Arial" w:cs="Arial"/>
                <w:color w:val="215868" w:themeColor="accent5" w:themeShade="80"/>
                <w:sz w:val="18"/>
              </w:rPr>
              <w:t>14.1</w:t>
            </w:r>
            <w:r w:rsidR="00634631" w:rsidRPr="00E43E81">
              <w:rPr>
                <w:rFonts w:ascii="Arial" w:hAnsi="Arial" w:cs="Arial"/>
                <w:color w:val="215868" w:themeColor="accent5" w:themeShade="80"/>
                <w:sz w:val="18"/>
              </w:rPr>
              <w:t>%</w:t>
            </w:r>
          </w:p>
        </w:tc>
      </w:tr>
      <w:tr w:rsidR="00634631" w:rsidRPr="00E43E81" w14:paraId="7C6F6AB9" w14:textId="77777777" w:rsidTr="004B5E72">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1359" w:type="dxa"/>
            <w:gridSpan w:val="2"/>
            <w:tcBorders>
              <w:left w:val="none" w:sz="0" w:space="0" w:color="auto"/>
              <w:right w:val="none" w:sz="0" w:space="0" w:color="auto"/>
            </w:tcBorders>
            <w:vAlign w:val="center"/>
          </w:tcPr>
          <w:p w14:paraId="7D17E1DA" w14:textId="77777777" w:rsidR="00634631" w:rsidRPr="00E43E81" w:rsidRDefault="00634631" w:rsidP="003A7E92">
            <w:pPr>
              <w:pStyle w:val="NoSpacing"/>
              <w:jc w:val="right"/>
              <w:rPr>
                <w:rFonts w:ascii="Arial" w:hAnsi="Arial" w:cs="Arial"/>
                <w:b w:val="0"/>
                <w:color w:val="215868" w:themeColor="accent5" w:themeShade="80"/>
                <w:sz w:val="18"/>
                <w:szCs w:val="18"/>
              </w:rPr>
            </w:pPr>
            <w:r w:rsidRPr="00E43E81">
              <w:rPr>
                <w:rFonts w:ascii="Arial" w:hAnsi="Arial" w:cs="Arial"/>
                <w:b w:val="0"/>
                <w:color w:val="215868" w:themeColor="accent5" w:themeShade="80"/>
                <w:sz w:val="18"/>
                <w:szCs w:val="18"/>
              </w:rPr>
              <w:t xml:space="preserve">   Volume</w:t>
            </w:r>
          </w:p>
        </w:tc>
        <w:tc>
          <w:tcPr>
            <w:tcW w:w="960" w:type="dxa"/>
            <w:gridSpan w:val="2"/>
            <w:tcBorders>
              <w:left w:val="none" w:sz="0" w:space="0" w:color="auto"/>
              <w:right w:val="none" w:sz="0" w:space="0" w:color="auto"/>
            </w:tcBorders>
            <w:vAlign w:val="center"/>
          </w:tcPr>
          <w:p w14:paraId="18406541" w14:textId="77777777" w:rsidR="00634631" w:rsidRPr="00E43E81" w:rsidRDefault="00634631" w:rsidP="00A128E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rPr>
            </w:pPr>
            <w:r w:rsidRPr="00E43E81">
              <w:rPr>
                <w:rFonts w:ascii="Arial" w:hAnsi="Arial" w:cs="Arial"/>
                <w:color w:val="215868" w:themeColor="accent5" w:themeShade="80"/>
                <w:sz w:val="18"/>
              </w:rPr>
              <w:t>+11.1%</w:t>
            </w:r>
          </w:p>
        </w:tc>
        <w:tc>
          <w:tcPr>
            <w:tcW w:w="960" w:type="dxa"/>
            <w:tcBorders>
              <w:left w:val="none" w:sz="0" w:space="0" w:color="auto"/>
              <w:right w:val="none" w:sz="0" w:space="0" w:color="auto"/>
            </w:tcBorders>
            <w:vAlign w:val="center"/>
          </w:tcPr>
          <w:p w14:paraId="7979283B" w14:textId="77777777" w:rsidR="00634631" w:rsidRPr="00E43E81" w:rsidRDefault="00634631" w:rsidP="00A128E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rPr>
            </w:pPr>
            <w:r w:rsidRPr="00E43E81">
              <w:rPr>
                <w:rFonts w:ascii="Arial" w:hAnsi="Arial" w:cs="Arial"/>
                <w:color w:val="215868" w:themeColor="accent5" w:themeShade="80"/>
                <w:sz w:val="18"/>
              </w:rPr>
              <w:t>+21.9%</w:t>
            </w:r>
          </w:p>
        </w:tc>
        <w:tc>
          <w:tcPr>
            <w:tcW w:w="960" w:type="dxa"/>
            <w:tcBorders>
              <w:left w:val="none" w:sz="0" w:space="0" w:color="auto"/>
              <w:right w:val="none" w:sz="0" w:space="0" w:color="auto"/>
            </w:tcBorders>
            <w:vAlign w:val="center"/>
          </w:tcPr>
          <w:p w14:paraId="3809536C" w14:textId="77777777" w:rsidR="00634631" w:rsidRPr="00E43E81" w:rsidRDefault="00634631" w:rsidP="00A128E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rPr>
            </w:pPr>
            <w:r w:rsidRPr="00E43E81">
              <w:rPr>
                <w:rFonts w:ascii="Arial" w:hAnsi="Arial" w:cs="Arial"/>
                <w:color w:val="215868" w:themeColor="accent5" w:themeShade="80"/>
                <w:sz w:val="18"/>
              </w:rPr>
              <w:t>+12.8%</w:t>
            </w:r>
          </w:p>
        </w:tc>
        <w:tc>
          <w:tcPr>
            <w:tcW w:w="960" w:type="dxa"/>
            <w:tcBorders>
              <w:left w:val="none" w:sz="0" w:space="0" w:color="auto"/>
              <w:right w:val="none" w:sz="0" w:space="0" w:color="auto"/>
            </w:tcBorders>
            <w:vAlign w:val="center"/>
          </w:tcPr>
          <w:p w14:paraId="58D236F7" w14:textId="77777777" w:rsidR="00634631" w:rsidRPr="00E43E81" w:rsidRDefault="00634631" w:rsidP="00A128E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rPr>
            </w:pPr>
            <w:r w:rsidRPr="00E43E81">
              <w:rPr>
                <w:rFonts w:ascii="Arial" w:hAnsi="Arial" w:cs="Arial"/>
                <w:color w:val="215868" w:themeColor="accent5" w:themeShade="80"/>
                <w:sz w:val="18"/>
              </w:rPr>
              <w:t>+11.2%</w:t>
            </w:r>
          </w:p>
        </w:tc>
        <w:tc>
          <w:tcPr>
            <w:tcW w:w="910" w:type="dxa"/>
            <w:tcBorders>
              <w:left w:val="none" w:sz="0" w:space="0" w:color="auto"/>
              <w:right w:val="none" w:sz="0" w:space="0" w:color="auto"/>
            </w:tcBorders>
            <w:vAlign w:val="center"/>
          </w:tcPr>
          <w:p w14:paraId="13938EAE" w14:textId="77777777" w:rsidR="00634631" w:rsidRPr="00E43E81" w:rsidRDefault="00634631" w:rsidP="00A128E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rPr>
            </w:pPr>
            <w:r>
              <w:rPr>
                <w:rFonts w:ascii="Arial" w:hAnsi="Arial" w:cs="Arial"/>
                <w:color w:val="215868" w:themeColor="accent5" w:themeShade="80"/>
                <w:sz w:val="18"/>
              </w:rPr>
              <w:t>+0.3</w:t>
            </w:r>
            <w:r w:rsidRPr="00E43E81">
              <w:rPr>
                <w:rFonts w:ascii="Arial" w:hAnsi="Arial" w:cs="Arial"/>
                <w:color w:val="215868" w:themeColor="accent5" w:themeShade="80"/>
                <w:sz w:val="18"/>
              </w:rPr>
              <w:t>%</w:t>
            </w:r>
          </w:p>
        </w:tc>
        <w:tc>
          <w:tcPr>
            <w:tcW w:w="859" w:type="dxa"/>
            <w:tcBorders>
              <w:left w:val="none" w:sz="0" w:space="0" w:color="auto"/>
              <w:right w:val="none" w:sz="0" w:space="0" w:color="auto"/>
            </w:tcBorders>
          </w:tcPr>
          <w:p w14:paraId="1ED560BC" w14:textId="77777777" w:rsidR="00634631" w:rsidRPr="00E43E81" w:rsidRDefault="00634631" w:rsidP="00EF0B26">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rPr>
            </w:pPr>
            <w:r>
              <w:rPr>
                <w:rFonts w:ascii="Arial" w:hAnsi="Arial" w:cs="Arial"/>
                <w:color w:val="215868" w:themeColor="accent5" w:themeShade="80"/>
                <w:sz w:val="18"/>
              </w:rPr>
              <w:t>-12.0</w:t>
            </w:r>
            <w:r w:rsidRPr="00E43E81">
              <w:rPr>
                <w:rFonts w:ascii="Arial" w:hAnsi="Arial" w:cs="Arial"/>
                <w:color w:val="215868" w:themeColor="accent5" w:themeShade="80"/>
                <w:sz w:val="18"/>
              </w:rPr>
              <w:t>%</w:t>
            </w:r>
          </w:p>
        </w:tc>
        <w:tc>
          <w:tcPr>
            <w:tcW w:w="763" w:type="dxa"/>
            <w:tcBorders>
              <w:left w:val="none" w:sz="0" w:space="0" w:color="auto"/>
              <w:right w:val="none" w:sz="0" w:space="0" w:color="auto"/>
            </w:tcBorders>
          </w:tcPr>
          <w:p w14:paraId="7AECD69F" w14:textId="77777777" w:rsidR="00634631" w:rsidRDefault="00466D79" w:rsidP="00A128E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rPr>
            </w:pPr>
            <w:r>
              <w:rPr>
                <w:rFonts w:ascii="Arial" w:hAnsi="Arial" w:cs="Arial"/>
                <w:color w:val="215868" w:themeColor="accent5" w:themeShade="80"/>
                <w:sz w:val="18"/>
              </w:rPr>
              <w:t>-5.6%</w:t>
            </w:r>
          </w:p>
        </w:tc>
        <w:tc>
          <w:tcPr>
            <w:tcW w:w="824" w:type="dxa"/>
            <w:tcBorders>
              <w:left w:val="none" w:sz="0" w:space="0" w:color="auto"/>
              <w:right w:val="none" w:sz="0" w:space="0" w:color="auto"/>
            </w:tcBorders>
          </w:tcPr>
          <w:p w14:paraId="6AF29928" w14:textId="398F842A" w:rsidR="00634631" w:rsidRDefault="005D3C9F" w:rsidP="00A128E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rPr>
            </w:pPr>
            <w:r>
              <w:rPr>
                <w:rFonts w:ascii="Arial" w:hAnsi="Arial" w:cs="Arial"/>
                <w:color w:val="215868" w:themeColor="accent5" w:themeShade="80"/>
                <w:sz w:val="18"/>
              </w:rPr>
              <w:t>1.6</w:t>
            </w:r>
            <w:r w:rsidR="00634631">
              <w:rPr>
                <w:rFonts w:ascii="Arial" w:hAnsi="Arial" w:cs="Arial"/>
                <w:color w:val="215868" w:themeColor="accent5" w:themeShade="80"/>
                <w:sz w:val="18"/>
              </w:rPr>
              <w:t>B</w:t>
            </w:r>
          </w:p>
        </w:tc>
        <w:tc>
          <w:tcPr>
            <w:tcW w:w="898" w:type="dxa"/>
            <w:tcBorders>
              <w:left w:val="none" w:sz="0" w:space="0" w:color="auto"/>
              <w:right w:val="none" w:sz="0" w:space="0" w:color="auto"/>
            </w:tcBorders>
          </w:tcPr>
          <w:p w14:paraId="77EA760F" w14:textId="334A9E22" w:rsidR="00634631" w:rsidRPr="00E43E81" w:rsidRDefault="00340AA9" w:rsidP="00A128E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rPr>
            </w:pPr>
            <w:r>
              <w:rPr>
                <w:rFonts w:ascii="Arial" w:hAnsi="Arial" w:cs="Arial"/>
                <w:color w:val="215868" w:themeColor="accent5" w:themeShade="80"/>
                <w:sz w:val="18"/>
              </w:rPr>
              <w:t>-</w:t>
            </w:r>
            <w:r w:rsidR="005D3C9F">
              <w:rPr>
                <w:rFonts w:ascii="Arial" w:hAnsi="Arial" w:cs="Arial"/>
                <w:color w:val="215868" w:themeColor="accent5" w:themeShade="80"/>
                <w:sz w:val="18"/>
              </w:rPr>
              <w:t>5.9</w:t>
            </w:r>
            <w:r w:rsidR="00634631" w:rsidRPr="00E43E81">
              <w:rPr>
                <w:rFonts w:ascii="Arial" w:hAnsi="Arial" w:cs="Arial"/>
                <w:color w:val="215868" w:themeColor="accent5" w:themeShade="80"/>
                <w:sz w:val="18"/>
              </w:rPr>
              <w:t>%</w:t>
            </w:r>
          </w:p>
        </w:tc>
        <w:tc>
          <w:tcPr>
            <w:tcW w:w="1286" w:type="dxa"/>
            <w:tcBorders>
              <w:left w:val="none" w:sz="0" w:space="0" w:color="auto"/>
              <w:right w:val="none" w:sz="0" w:space="0" w:color="auto"/>
            </w:tcBorders>
          </w:tcPr>
          <w:p w14:paraId="78C01841" w14:textId="3754B981" w:rsidR="00634631" w:rsidRPr="00E43E81" w:rsidRDefault="00340AA9" w:rsidP="00A128E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rPr>
            </w:pPr>
            <w:r>
              <w:rPr>
                <w:rFonts w:ascii="Arial" w:hAnsi="Arial" w:cs="Arial"/>
                <w:color w:val="215868" w:themeColor="accent5" w:themeShade="80"/>
                <w:sz w:val="18"/>
              </w:rPr>
              <w:t>+</w:t>
            </w:r>
            <w:r w:rsidR="005D3C9F">
              <w:rPr>
                <w:rFonts w:ascii="Arial" w:hAnsi="Arial" w:cs="Arial"/>
                <w:color w:val="215868" w:themeColor="accent5" w:themeShade="80"/>
                <w:sz w:val="18"/>
              </w:rPr>
              <w:t>3.3</w:t>
            </w:r>
            <w:r w:rsidR="00634631" w:rsidRPr="00E43E81">
              <w:rPr>
                <w:rFonts w:ascii="Arial" w:hAnsi="Arial" w:cs="Arial"/>
                <w:color w:val="215868" w:themeColor="accent5" w:themeShade="80"/>
                <w:sz w:val="18"/>
              </w:rPr>
              <w:t>%</w:t>
            </w:r>
          </w:p>
        </w:tc>
      </w:tr>
    </w:tbl>
    <w:p w14:paraId="595E37D0" w14:textId="77777777" w:rsidR="00315642" w:rsidRPr="002E09F5" w:rsidRDefault="00FE5D0F" w:rsidP="006069A6">
      <w:pPr>
        <w:pStyle w:val="NoSpacing"/>
        <w:rPr>
          <w:rFonts w:ascii="Arial" w:hAnsi="Arial" w:cs="Arial"/>
          <w:sz w:val="6"/>
          <w:szCs w:val="10"/>
        </w:rPr>
      </w:pPr>
      <w:r w:rsidRPr="002E09F5">
        <w:rPr>
          <w:rFonts w:ascii="Arial" w:hAnsi="Arial" w:cs="Arial"/>
          <w:sz w:val="6"/>
          <w:szCs w:val="10"/>
        </w:rPr>
        <w:t xml:space="preserve"> </w:t>
      </w:r>
    </w:p>
    <w:p w14:paraId="0E90031A" w14:textId="77777777" w:rsidR="00441E8F" w:rsidRDefault="00441E8F" w:rsidP="00441E8F">
      <w:pPr>
        <w:pStyle w:val="NoSpacing"/>
        <w:rPr>
          <w:rFonts w:ascii="Arial" w:hAnsi="Arial" w:cs="Arial"/>
          <w:sz w:val="16"/>
          <w:szCs w:val="16"/>
        </w:rPr>
      </w:pPr>
      <w:r w:rsidRPr="00CF309B">
        <w:rPr>
          <w:rFonts w:ascii="Arial" w:hAnsi="Arial" w:cs="Arial"/>
          <w:sz w:val="16"/>
          <w:szCs w:val="16"/>
        </w:rPr>
        <w:t>Source:</w:t>
      </w:r>
      <w:r w:rsidR="00BA516E" w:rsidRPr="00CF309B">
        <w:rPr>
          <w:rFonts w:ascii="Arial" w:hAnsi="Arial" w:cs="Arial"/>
          <w:sz w:val="16"/>
          <w:szCs w:val="16"/>
        </w:rPr>
        <w:t xml:space="preserve"> IRI</w:t>
      </w:r>
      <w:r w:rsidR="00906C46">
        <w:rPr>
          <w:rFonts w:ascii="Arial" w:hAnsi="Arial" w:cs="Arial"/>
          <w:sz w:val="16"/>
          <w:szCs w:val="16"/>
        </w:rPr>
        <w:t xml:space="preserve"> Integrated Fresh,</w:t>
      </w:r>
      <w:r w:rsidR="00BA516E" w:rsidRPr="00CF309B">
        <w:rPr>
          <w:rFonts w:ascii="Arial" w:hAnsi="Arial" w:cs="Arial"/>
          <w:sz w:val="16"/>
          <w:szCs w:val="16"/>
        </w:rPr>
        <w:t xml:space="preserve"> Total U.S., MULO, </w:t>
      </w:r>
      <w:r w:rsidRPr="00CF309B">
        <w:rPr>
          <w:rFonts w:ascii="Arial" w:hAnsi="Arial" w:cs="Arial"/>
          <w:sz w:val="16"/>
          <w:szCs w:val="16"/>
        </w:rPr>
        <w:t>% change vs. YA</w:t>
      </w:r>
    </w:p>
    <w:p w14:paraId="45D3BC6F" w14:textId="640B339C" w:rsidR="00517D7F" w:rsidRDefault="00517D7F" w:rsidP="00CB6454">
      <w:pPr>
        <w:pStyle w:val="NoSpacing"/>
        <w:rPr>
          <w:rFonts w:ascii="Arial" w:hAnsi="Arial" w:cs="Arial"/>
          <w:b/>
          <w:color w:val="595959" w:themeColor="text1" w:themeTint="A6"/>
          <w:sz w:val="24"/>
          <w:szCs w:val="24"/>
        </w:rPr>
      </w:pPr>
    </w:p>
    <w:p w14:paraId="1CC7CA48" w14:textId="77777777" w:rsidR="00683F16" w:rsidRDefault="00683F16" w:rsidP="00CB6454">
      <w:pPr>
        <w:pStyle w:val="NoSpacing"/>
        <w:rPr>
          <w:rFonts w:ascii="Arial" w:hAnsi="Arial" w:cs="Arial"/>
          <w:b/>
          <w:color w:val="595959" w:themeColor="text1" w:themeTint="A6"/>
          <w:sz w:val="24"/>
          <w:szCs w:val="24"/>
        </w:rPr>
      </w:pPr>
    </w:p>
    <w:p w14:paraId="66F0CCCF" w14:textId="7A56ADD2" w:rsidR="00CB6454" w:rsidRPr="00B34F5D" w:rsidRDefault="00CB6454" w:rsidP="00CB6454">
      <w:pPr>
        <w:pStyle w:val="NoSpacing"/>
        <w:rPr>
          <w:rFonts w:ascii="Arial" w:hAnsi="Arial" w:cs="Arial"/>
          <w:b/>
          <w:color w:val="595959" w:themeColor="text1" w:themeTint="A6"/>
          <w:sz w:val="24"/>
          <w:szCs w:val="24"/>
        </w:rPr>
      </w:pPr>
      <w:r w:rsidRPr="00B34F5D">
        <w:rPr>
          <w:rFonts w:ascii="Arial" w:hAnsi="Arial" w:cs="Arial"/>
          <w:b/>
          <w:color w:val="595959" w:themeColor="text1" w:themeTint="A6"/>
          <w:sz w:val="24"/>
          <w:szCs w:val="24"/>
        </w:rPr>
        <w:t>Fresh Fruit</w:t>
      </w:r>
      <w:r w:rsidR="00EB33CE">
        <w:rPr>
          <w:rFonts w:ascii="Arial" w:hAnsi="Arial" w:cs="Arial"/>
          <w:b/>
          <w:color w:val="595959" w:themeColor="text1" w:themeTint="A6"/>
          <w:sz w:val="24"/>
          <w:szCs w:val="24"/>
        </w:rPr>
        <w:t xml:space="preserve"> Sales in </w:t>
      </w:r>
      <w:r w:rsidR="00F85733">
        <w:rPr>
          <w:rFonts w:ascii="Arial" w:hAnsi="Arial" w:cs="Arial"/>
          <w:b/>
          <w:color w:val="595959" w:themeColor="text1" w:themeTint="A6"/>
          <w:sz w:val="24"/>
          <w:szCs w:val="24"/>
        </w:rPr>
        <w:t>November</w:t>
      </w:r>
    </w:p>
    <w:p w14:paraId="3EEDFCE9" w14:textId="572810CF" w:rsidR="0006645D" w:rsidRDefault="00CB6454" w:rsidP="00CB6454">
      <w:pPr>
        <w:pStyle w:val="NoSpacing"/>
        <w:rPr>
          <w:rFonts w:ascii="Arial" w:hAnsi="Arial" w:cs="Arial"/>
          <w:sz w:val="20"/>
          <w:szCs w:val="20"/>
        </w:rPr>
      </w:pPr>
      <w:r>
        <w:rPr>
          <w:rFonts w:ascii="Arial" w:hAnsi="Arial" w:cs="Arial"/>
          <w:sz w:val="20"/>
          <w:szCs w:val="20"/>
        </w:rPr>
        <w:t>“</w:t>
      </w:r>
      <w:r w:rsidR="00576207">
        <w:rPr>
          <w:rFonts w:ascii="Arial" w:hAnsi="Arial" w:cs="Arial"/>
          <w:sz w:val="20"/>
          <w:szCs w:val="20"/>
        </w:rPr>
        <w:t xml:space="preserve">On the fruit side, </w:t>
      </w:r>
      <w:r w:rsidR="00946FA4">
        <w:rPr>
          <w:rFonts w:ascii="Arial" w:hAnsi="Arial" w:cs="Arial"/>
          <w:sz w:val="20"/>
          <w:szCs w:val="20"/>
        </w:rPr>
        <w:t>all top 10 items gained versus year ago</w:t>
      </w:r>
      <w:r w:rsidRPr="00B35CE9">
        <w:rPr>
          <w:rFonts w:ascii="Arial" w:hAnsi="Arial" w:cs="Arial"/>
          <w:sz w:val="20"/>
          <w:szCs w:val="20"/>
        </w:rPr>
        <w:t>,” said</w:t>
      </w:r>
      <w:r w:rsidR="00EB33CE">
        <w:rPr>
          <w:rFonts w:ascii="Arial" w:hAnsi="Arial" w:cs="Arial"/>
          <w:sz w:val="20"/>
          <w:szCs w:val="20"/>
        </w:rPr>
        <w:t xml:space="preserve"> Parker</w:t>
      </w:r>
      <w:r w:rsidRPr="00B35CE9">
        <w:rPr>
          <w:rFonts w:ascii="Arial" w:hAnsi="Arial" w:cs="Arial"/>
          <w:sz w:val="20"/>
          <w:szCs w:val="20"/>
        </w:rPr>
        <w:t>. “</w:t>
      </w:r>
      <w:r w:rsidR="00576207">
        <w:rPr>
          <w:rFonts w:ascii="Arial" w:hAnsi="Arial" w:cs="Arial"/>
          <w:sz w:val="20"/>
          <w:szCs w:val="20"/>
        </w:rPr>
        <w:t xml:space="preserve">Berries </w:t>
      </w:r>
      <w:r w:rsidR="00946FA4">
        <w:rPr>
          <w:rFonts w:ascii="Arial" w:hAnsi="Arial" w:cs="Arial"/>
          <w:sz w:val="20"/>
          <w:szCs w:val="20"/>
        </w:rPr>
        <w:t>are by far the biggest fruit, yet still growing nearly 9% year-on-year. Three items reached double-digit gains: grapes, melons and mixed fruit</w:t>
      </w:r>
      <w:r w:rsidR="00576207">
        <w:rPr>
          <w:rFonts w:ascii="Arial" w:hAnsi="Arial" w:cs="Arial"/>
          <w:sz w:val="20"/>
          <w:szCs w:val="20"/>
        </w:rPr>
        <w:t>.</w:t>
      </w:r>
      <w:r w:rsidR="00946FA4">
        <w:rPr>
          <w:rFonts w:ascii="Arial" w:hAnsi="Arial" w:cs="Arial"/>
          <w:sz w:val="20"/>
          <w:szCs w:val="20"/>
        </w:rPr>
        <w:t xml:space="preserve"> Grapes had mostly a flat year in 2020 but sales have been accelerating since the third quarter of 2021.</w:t>
      </w:r>
      <w:r w:rsidRPr="00B35CE9">
        <w:rPr>
          <w:rFonts w:ascii="Arial" w:hAnsi="Arial" w:cs="Arial"/>
          <w:sz w:val="20"/>
          <w:szCs w:val="20"/>
        </w:rPr>
        <w:t xml:space="preserve">” </w:t>
      </w:r>
    </w:p>
    <w:p w14:paraId="4B0C5D12" w14:textId="77777777" w:rsidR="005E2F61" w:rsidRDefault="005E2F61" w:rsidP="00CB6454">
      <w:pPr>
        <w:pStyle w:val="NoSpacing"/>
        <w:rPr>
          <w:rFonts w:ascii="Arial" w:hAnsi="Arial" w:cs="Arial"/>
          <w:sz w:val="20"/>
          <w:szCs w:val="20"/>
        </w:rPr>
      </w:pPr>
    </w:p>
    <w:p w14:paraId="345B60FE" w14:textId="2EBFC6B8" w:rsidR="00CB6454" w:rsidRDefault="00946FA4" w:rsidP="00CB6454">
      <w:pPr>
        <w:pStyle w:val="NoSpacing"/>
        <w:rPr>
          <w:rFonts w:ascii="Arial" w:hAnsi="Arial" w:cs="Arial"/>
          <w:sz w:val="20"/>
          <w:szCs w:val="20"/>
        </w:rPr>
      </w:pPr>
      <w:r>
        <w:rPr>
          <w:rFonts w:ascii="Arial" w:hAnsi="Arial" w:cs="Arial"/>
          <w:sz w:val="20"/>
          <w:szCs w:val="20"/>
        </w:rPr>
        <w:t xml:space="preserve">Citrus fruits have a big representation between mandarins and oranges. Lemons fell just outside of the top 10 with $62 million and a gain of 3.3% versus 2020. </w:t>
      </w:r>
      <w:r w:rsidR="00576207">
        <w:rPr>
          <w:rFonts w:ascii="Arial" w:hAnsi="Arial" w:cs="Arial"/>
          <w:sz w:val="20"/>
          <w:szCs w:val="20"/>
        </w:rPr>
        <w:t xml:space="preserve"> </w:t>
      </w:r>
    </w:p>
    <w:p w14:paraId="30A4C7DE" w14:textId="77777777" w:rsidR="00470A5F" w:rsidRDefault="00470A5F" w:rsidP="00CB6454">
      <w:pPr>
        <w:pStyle w:val="NoSpacing"/>
        <w:rPr>
          <w:rFonts w:ascii="Arial" w:hAnsi="Arial" w:cs="Arial"/>
          <w:sz w:val="20"/>
          <w:szCs w:val="20"/>
        </w:rPr>
      </w:pPr>
    </w:p>
    <w:tbl>
      <w:tblPr>
        <w:tblStyle w:val="LightShading-Accent5"/>
        <w:tblW w:w="10350" w:type="dxa"/>
        <w:tblInd w:w="108" w:type="dxa"/>
        <w:tblBorders>
          <w:top w:val="none" w:sz="0" w:space="0" w:color="auto"/>
          <w:bottom w:val="none" w:sz="0" w:space="0" w:color="auto"/>
        </w:tblBorders>
        <w:tblLayout w:type="fixed"/>
        <w:tblLook w:val="04A0" w:firstRow="1" w:lastRow="0" w:firstColumn="1" w:lastColumn="0" w:noHBand="0" w:noVBand="1"/>
      </w:tblPr>
      <w:tblGrid>
        <w:gridCol w:w="1544"/>
        <w:gridCol w:w="880"/>
        <w:gridCol w:w="881"/>
        <w:gridCol w:w="880"/>
        <w:gridCol w:w="881"/>
        <w:gridCol w:w="881"/>
        <w:gridCol w:w="880"/>
        <w:gridCol w:w="881"/>
        <w:gridCol w:w="880"/>
        <w:gridCol w:w="881"/>
        <w:gridCol w:w="881"/>
      </w:tblGrid>
      <w:tr w:rsidR="00470A5F" w:rsidRPr="0003007F" w14:paraId="16417016" w14:textId="77777777" w:rsidTr="00340AA9">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1544" w:type="dxa"/>
            <w:shd w:val="clear" w:color="auto" w:fill="17365D" w:themeFill="text2" w:themeFillShade="BF"/>
          </w:tcPr>
          <w:p w14:paraId="3C945016" w14:textId="77777777" w:rsidR="00470A5F" w:rsidRPr="0003007F" w:rsidRDefault="00470A5F" w:rsidP="00F103B9">
            <w:pPr>
              <w:pStyle w:val="NoSpacing"/>
              <w:rPr>
                <w:rFonts w:ascii="Arial" w:hAnsi="Arial" w:cs="Arial"/>
                <w:color w:val="FFFFFF" w:themeColor="background1"/>
                <w:sz w:val="18"/>
                <w:szCs w:val="18"/>
              </w:rPr>
            </w:pPr>
            <w:r w:rsidRPr="00AB1306">
              <w:rPr>
                <w:rFonts w:ascii="Arial" w:hAnsi="Arial" w:cs="Arial"/>
                <w:color w:val="FFFFFF" w:themeColor="background1"/>
                <w:sz w:val="18"/>
                <w:szCs w:val="18"/>
              </w:rPr>
              <w:t>Top 10 in sales</w:t>
            </w:r>
          </w:p>
        </w:tc>
        <w:tc>
          <w:tcPr>
            <w:tcW w:w="8806" w:type="dxa"/>
            <w:gridSpan w:val="10"/>
            <w:shd w:val="clear" w:color="auto" w:fill="17365D" w:themeFill="text2" w:themeFillShade="BF"/>
          </w:tcPr>
          <w:p w14:paraId="20D13DED" w14:textId="77777777" w:rsidR="00470A5F" w:rsidRPr="0003007F" w:rsidRDefault="00470A5F" w:rsidP="00F103B9">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AB1306">
              <w:rPr>
                <w:rFonts w:ascii="Arial" w:hAnsi="Arial" w:cs="Arial"/>
                <w:color w:val="FFFFFF" w:themeColor="background1"/>
                <w:sz w:val="18"/>
                <w:szCs w:val="18"/>
              </w:rPr>
              <w:t>Dollar sal</w:t>
            </w:r>
            <w:r>
              <w:rPr>
                <w:rFonts w:ascii="Arial" w:hAnsi="Arial" w:cs="Arial"/>
                <w:color w:val="FFFFFF" w:themeColor="background1"/>
                <w:sz w:val="18"/>
                <w:szCs w:val="18"/>
              </w:rPr>
              <w:t>es increase over comparable period</w:t>
            </w:r>
            <w:r w:rsidRPr="00AB1306">
              <w:rPr>
                <w:rFonts w:ascii="Arial" w:hAnsi="Arial" w:cs="Arial"/>
                <w:color w:val="FFFFFF" w:themeColor="background1"/>
                <w:sz w:val="18"/>
                <w:szCs w:val="18"/>
              </w:rPr>
              <w:t xml:space="preserve"> in 2019</w:t>
            </w:r>
            <w:r>
              <w:rPr>
                <w:rFonts w:ascii="Arial" w:hAnsi="Arial" w:cs="Arial"/>
                <w:color w:val="FFFFFF" w:themeColor="background1"/>
                <w:sz w:val="18"/>
                <w:szCs w:val="18"/>
              </w:rPr>
              <w:t>/2020</w:t>
            </w:r>
          </w:p>
        </w:tc>
      </w:tr>
      <w:tr w:rsidR="00470A5F" w:rsidRPr="0003007F" w14:paraId="6A7E55AC" w14:textId="77777777" w:rsidTr="00470A5F">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1544" w:type="dxa"/>
            <w:shd w:val="clear" w:color="auto" w:fill="17365D" w:themeFill="text2" w:themeFillShade="BF"/>
          </w:tcPr>
          <w:p w14:paraId="6775BE4D" w14:textId="77777777" w:rsidR="00470A5F" w:rsidRPr="000F7932" w:rsidRDefault="00470A5F" w:rsidP="00F103B9">
            <w:pPr>
              <w:pStyle w:val="NoSpacing"/>
              <w:rPr>
                <w:rFonts w:ascii="Arial" w:hAnsi="Arial" w:cs="Arial"/>
                <w:color w:val="FFFFFF" w:themeColor="background1"/>
                <w:sz w:val="18"/>
                <w:szCs w:val="18"/>
              </w:rPr>
            </w:pPr>
          </w:p>
        </w:tc>
        <w:tc>
          <w:tcPr>
            <w:tcW w:w="880" w:type="dxa"/>
            <w:shd w:val="clear" w:color="auto" w:fill="17365D" w:themeFill="text2" w:themeFillShade="BF"/>
            <w:vAlign w:val="bottom"/>
          </w:tcPr>
          <w:p w14:paraId="2B1286A9" w14:textId="77777777" w:rsidR="00470A5F" w:rsidRPr="000F7932" w:rsidRDefault="00470A5F" w:rsidP="00470A5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0F7932">
              <w:rPr>
                <w:rFonts w:ascii="Arial" w:hAnsi="Arial" w:cs="Arial"/>
                <w:b/>
                <w:color w:val="FFFFFF" w:themeColor="background1"/>
                <w:sz w:val="18"/>
                <w:szCs w:val="18"/>
              </w:rPr>
              <w:t>Q1 ‘20</w:t>
            </w:r>
          </w:p>
        </w:tc>
        <w:tc>
          <w:tcPr>
            <w:tcW w:w="881" w:type="dxa"/>
            <w:shd w:val="clear" w:color="auto" w:fill="17365D" w:themeFill="text2" w:themeFillShade="BF"/>
            <w:vAlign w:val="bottom"/>
          </w:tcPr>
          <w:p w14:paraId="00C4D073" w14:textId="77777777" w:rsidR="00470A5F" w:rsidRPr="000F7932" w:rsidRDefault="00470A5F" w:rsidP="00470A5F">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sidRPr="000F7932">
              <w:rPr>
                <w:rFonts w:ascii="Arial" w:hAnsi="Arial" w:cs="Arial"/>
                <w:b/>
                <w:color w:val="FFFFFF" w:themeColor="background1"/>
                <w:sz w:val="18"/>
                <w:szCs w:val="18"/>
              </w:rPr>
              <w:t>Q2 ‘20</w:t>
            </w:r>
          </w:p>
        </w:tc>
        <w:tc>
          <w:tcPr>
            <w:tcW w:w="880" w:type="dxa"/>
            <w:shd w:val="clear" w:color="auto" w:fill="17365D" w:themeFill="text2" w:themeFillShade="BF"/>
            <w:vAlign w:val="bottom"/>
          </w:tcPr>
          <w:p w14:paraId="197D7118" w14:textId="77777777" w:rsidR="00470A5F" w:rsidRPr="000F7932" w:rsidRDefault="00470A5F" w:rsidP="00470A5F">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sidRPr="000F7932">
              <w:rPr>
                <w:rFonts w:ascii="Arial" w:hAnsi="Arial" w:cs="Arial"/>
                <w:b/>
                <w:color w:val="FFFFFF" w:themeColor="background1"/>
                <w:sz w:val="18"/>
                <w:szCs w:val="18"/>
              </w:rPr>
              <w:t>Q3 ‘20</w:t>
            </w:r>
          </w:p>
        </w:tc>
        <w:tc>
          <w:tcPr>
            <w:tcW w:w="881" w:type="dxa"/>
            <w:shd w:val="clear" w:color="auto" w:fill="17365D" w:themeFill="text2" w:themeFillShade="BF"/>
            <w:vAlign w:val="bottom"/>
          </w:tcPr>
          <w:p w14:paraId="7C686ABA" w14:textId="77777777" w:rsidR="00470A5F" w:rsidRPr="000F7932" w:rsidRDefault="00470A5F" w:rsidP="00470A5F">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sidRPr="000F7932">
              <w:rPr>
                <w:rFonts w:ascii="Arial" w:hAnsi="Arial" w:cs="Arial"/>
                <w:b/>
                <w:color w:val="FFFFFF" w:themeColor="background1"/>
                <w:sz w:val="18"/>
                <w:szCs w:val="18"/>
              </w:rPr>
              <w:t>Q4 ‘20</w:t>
            </w:r>
          </w:p>
        </w:tc>
        <w:tc>
          <w:tcPr>
            <w:tcW w:w="881" w:type="dxa"/>
            <w:shd w:val="clear" w:color="auto" w:fill="17365D" w:themeFill="text2" w:themeFillShade="BF"/>
            <w:vAlign w:val="bottom"/>
          </w:tcPr>
          <w:p w14:paraId="4CD35213" w14:textId="77777777" w:rsidR="00470A5F" w:rsidRPr="000F7932" w:rsidRDefault="00470A5F" w:rsidP="00470A5F">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sidRPr="000F7932">
              <w:rPr>
                <w:rFonts w:ascii="Arial" w:hAnsi="Arial" w:cs="Arial"/>
                <w:b/>
                <w:color w:val="FFFFFF" w:themeColor="background1"/>
                <w:sz w:val="18"/>
                <w:szCs w:val="18"/>
              </w:rPr>
              <w:t>Q1 ‘21</w:t>
            </w:r>
          </w:p>
        </w:tc>
        <w:tc>
          <w:tcPr>
            <w:tcW w:w="880" w:type="dxa"/>
            <w:shd w:val="clear" w:color="auto" w:fill="17365D" w:themeFill="text2" w:themeFillShade="BF"/>
            <w:vAlign w:val="bottom"/>
          </w:tcPr>
          <w:p w14:paraId="620085BB" w14:textId="77777777" w:rsidR="00470A5F" w:rsidRPr="000F7932" w:rsidRDefault="00470A5F" w:rsidP="00470A5F">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Q2</w:t>
            </w:r>
            <w:r w:rsidRPr="000F7932">
              <w:rPr>
                <w:rFonts w:ascii="Arial" w:hAnsi="Arial" w:cs="Arial"/>
                <w:b/>
                <w:color w:val="FFFFFF" w:themeColor="background1"/>
                <w:sz w:val="18"/>
                <w:szCs w:val="18"/>
              </w:rPr>
              <w:t xml:space="preserve"> ‘21</w:t>
            </w:r>
          </w:p>
        </w:tc>
        <w:tc>
          <w:tcPr>
            <w:tcW w:w="881" w:type="dxa"/>
            <w:shd w:val="clear" w:color="auto" w:fill="17365D" w:themeFill="text2" w:themeFillShade="BF"/>
            <w:vAlign w:val="bottom"/>
          </w:tcPr>
          <w:p w14:paraId="4917472D" w14:textId="77777777" w:rsidR="00470A5F" w:rsidRDefault="00470A5F" w:rsidP="00470A5F">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Q3 ‘21</w:t>
            </w:r>
          </w:p>
        </w:tc>
        <w:tc>
          <w:tcPr>
            <w:tcW w:w="880" w:type="dxa"/>
            <w:shd w:val="clear" w:color="auto" w:fill="17365D" w:themeFill="text2" w:themeFillShade="BF"/>
            <w:vAlign w:val="bottom"/>
          </w:tcPr>
          <w:p w14:paraId="1D1266F0" w14:textId="77777777" w:rsidR="00470A5F" w:rsidRPr="000F7932" w:rsidRDefault="00B51D47" w:rsidP="00470A5F">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Nov</w:t>
            </w:r>
            <w:r w:rsidR="00470A5F" w:rsidRPr="000F7932">
              <w:rPr>
                <w:rFonts w:ascii="Arial" w:hAnsi="Arial" w:cs="Arial"/>
                <w:b/>
                <w:color w:val="FFFFFF" w:themeColor="background1"/>
                <w:sz w:val="18"/>
                <w:szCs w:val="18"/>
              </w:rPr>
              <w:t xml:space="preserve"> ‘21</w:t>
            </w:r>
          </w:p>
        </w:tc>
        <w:tc>
          <w:tcPr>
            <w:tcW w:w="881" w:type="dxa"/>
            <w:shd w:val="clear" w:color="auto" w:fill="17365D" w:themeFill="text2" w:themeFillShade="BF"/>
            <w:vAlign w:val="bottom"/>
          </w:tcPr>
          <w:p w14:paraId="6603B3A4" w14:textId="77777777" w:rsidR="00470A5F" w:rsidRPr="000F7932" w:rsidRDefault="00B51D47" w:rsidP="00470A5F">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Nov</w:t>
            </w:r>
            <w:r w:rsidR="00470A5F" w:rsidRPr="000F7932">
              <w:rPr>
                <w:rFonts w:ascii="Arial" w:hAnsi="Arial" w:cs="Arial"/>
                <w:b/>
                <w:color w:val="FFFFFF" w:themeColor="background1"/>
                <w:sz w:val="18"/>
                <w:szCs w:val="18"/>
              </w:rPr>
              <w:t xml:space="preserve"> vs ‘</w:t>
            </w:r>
            <w:r w:rsidR="00470A5F">
              <w:rPr>
                <w:rFonts w:ascii="Arial" w:hAnsi="Arial" w:cs="Arial"/>
                <w:b/>
                <w:color w:val="FFFFFF" w:themeColor="background1"/>
                <w:sz w:val="18"/>
                <w:szCs w:val="18"/>
              </w:rPr>
              <w:t>20</w:t>
            </w:r>
          </w:p>
        </w:tc>
        <w:tc>
          <w:tcPr>
            <w:tcW w:w="881" w:type="dxa"/>
            <w:shd w:val="clear" w:color="auto" w:fill="17365D" w:themeFill="text2" w:themeFillShade="BF"/>
            <w:vAlign w:val="bottom"/>
          </w:tcPr>
          <w:p w14:paraId="370F8C18" w14:textId="77777777" w:rsidR="00470A5F" w:rsidRPr="000F7932" w:rsidRDefault="00B51D47" w:rsidP="00470A5F">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Nov</w:t>
            </w:r>
            <w:r w:rsidR="00470A5F" w:rsidRPr="000F7932">
              <w:rPr>
                <w:rFonts w:ascii="Arial" w:hAnsi="Arial" w:cs="Arial"/>
                <w:b/>
                <w:color w:val="FFFFFF" w:themeColor="background1"/>
                <w:sz w:val="18"/>
                <w:szCs w:val="18"/>
              </w:rPr>
              <w:t xml:space="preserve"> vs ‘</w:t>
            </w:r>
            <w:r w:rsidR="00470A5F">
              <w:rPr>
                <w:rFonts w:ascii="Arial" w:hAnsi="Arial" w:cs="Arial"/>
                <w:b/>
                <w:color w:val="FFFFFF" w:themeColor="background1"/>
                <w:sz w:val="18"/>
                <w:szCs w:val="18"/>
              </w:rPr>
              <w:t>19</w:t>
            </w:r>
          </w:p>
        </w:tc>
      </w:tr>
      <w:tr w:rsidR="00576207" w14:paraId="5F619CC4" w14:textId="77777777" w:rsidTr="00314EE1">
        <w:trPr>
          <w:trHeight w:val="298"/>
        </w:trPr>
        <w:tc>
          <w:tcPr>
            <w:cnfStyle w:val="001000000000" w:firstRow="0" w:lastRow="0" w:firstColumn="1" w:lastColumn="0" w:oddVBand="0" w:evenVBand="0" w:oddHBand="0" w:evenHBand="0" w:firstRowFirstColumn="0" w:firstRowLastColumn="0" w:lastRowFirstColumn="0" w:lastRowLastColumn="0"/>
            <w:tcW w:w="1544" w:type="dxa"/>
            <w:vAlign w:val="center"/>
          </w:tcPr>
          <w:p w14:paraId="0BA9A957" w14:textId="77777777" w:rsidR="00576207" w:rsidRPr="00E04507" w:rsidRDefault="00576207" w:rsidP="00576207">
            <w:pPr>
              <w:pStyle w:val="NoSpacing"/>
              <w:jc w:val="right"/>
              <w:rPr>
                <w:rFonts w:ascii="Arial" w:hAnsi="Arial" w:cs="Arial"/>
                <w:color w:val="0F243E" w:themeColor="text2" w:themeShade="80"/>
                <w:sz w:val="18"/>
                <w:szCs w:val="18"/>
              </w:rPr>
            </w:pPr>
            <w:r w:rsidRPr="00E04507">
              <w:rPr>
                <w:rFonts w:ascii="Arial" w:hAnsi="Arial" w:cs="Arial"/>
                <w:color w:val="0F243E" w:themeColor="text2" w:themeShade="80"/>
                <w:sz w:val="18"/>
                <w:szCs w:val="18"/>
              </w:rPr>
              <w:t>Fresh fruit</w:t>
            </w:r>
          </w:p>
        </w:tc>
        <w:tc>
          <w:tcPr>
            <w:tcW w:w="880" w:type="dxa"/>
            <w:vAlign w:val="center"/>
          </w:tcPr>
          <w:p w14:paraId="06D219C5" w14:textId="77777777" w:rsidR="00576207" w:rsidRPr="00E04507" w:rsidRDefault="00576207" w:rsidP="0057620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F243E" w:themeColor="text2" w:themeShade="80"/>
                <w:sz w:val="18"/>
                <w:szCs w:val="18"/>
              </w:rPr>
            </w:pPr>
            <w:r w:rsidRPr="00E04507">
              <w:rPr>
                <w:rFonts w:ascii="Arial" w:hAnsi="Arial" w:cs="Arial"/>
                <w:color w:val="0F243E" w:themeColor="text2" w:themeShade="80"/>
                <w:sz w:val="18"/>
                <w:szCs w:val="18"/>
              </w:rPr>
              <w:t>+5.3%</w:t>
            </w:r>
          </w:p>
        </w:tc>
        <w:tc>
          <w:tcPr>
            <w:tcW w:w="881" w:type="dxa"/>
            <w:vAlign w:val="center"/>
          </w:tcPr>
          <w:p w14:paraId="45333FA8" w14:textId="77777777" w:rsidR="00576207" w:rsidRPr="00E04507" w:rsidRDefault="00576207" w:rsidP="0057620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F243E" w:themeColor="text2" w:themeShade="80"/>
                <w:sz w:val="18"/>
                <w:szCs w:val="18"/>
              </w:rPr>
            </w:pPr>
            <w:r w:rsidRPr="00E04507">
              <w:rPr>
                <w:rFonts w:ascii="Arial" w:hAnsi="Arial" w:cs="Arial"/>
                <w:color w:val="0F243E" w:themeColor="text2" w:themeShade="80"/>
                <w:sz w:val="18"/>
                <w:szCs w:val="18"/>
              </w:rPr>
              <w:t>+10.6%</w:t>
            </w:r>
          </w:p>
        </w:tc>
        <w:tc>
          <w:tcPr>
            <w:tcW w:w="880" w:type="dxa"/>
            <w:vAlign w:val="center"/>
          </w:tcPr>
          <w:p w14:paraId="5A1DE67F" w14:textId="77777777" w:rsidR="00576207" w:rsidRPr="00E04507" w:rsidRDefault="00576207" w:rsidP="0057620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F243E" w:themeColor="text2" w:themeShade="80"/>
                <w:sz w:val="18"/>
                <w:szCs w:val="18"/>
              </w:rPr>
            </w:pPr>
            <w:r w:rsidRPr="00E04507">
              <w:rPr>
                <w:rFonts w:ascii="Arial" w:hAnsi="Arial" w:cs="Arial"/>
                <w:color w:val="0F243E" w:themeColor="text2" w:themeShade="80"/>
                <w:sz w:val="18"/>
                <w:szCs w:val="18"/>
              </w:rPr>
              <w:t>+9.5%</w:t>
            </w:r>
          </w:p>
        </w:tc>
        <w:tc>
          <w:tcPr>
            <w:tcW w:w="881" w:type="dxa"/>
            <w:vAlign w:val="center"/>
          </w:tcPr>
          <w:p w14:paraId="48208781" w14:textId="77777777" w:rsidR="00576207" w:rsidRPr="00E04507" w:rsidRDefault="00576207" w:rsidP="0057620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F243E" w:themeColor="text2" w:themeShade="80"/>
                <w:sz w:val="18"/>
                <w:szCs w:val="18"/>
              </w:rPr>
            </w:pPr>
            <w:r w:rsidRPr="00E04507">
              <w:rPr>
                <w:rFonts w:ascii="Arial" w:hAnsi="Arial" w:cs="Arial"/>
                <w:color w:val="0F243E" w:themeColor="text2" w:themeShade="80"/>
                <w:sz w:val="18"/>
                <w:szCs w:val="18"/>
              </w:rPr>
              <w:t>+8.7%</w:t>
            </w:r>
          </w:p>
        </w:tc>
        <w:tc>
          <w:tcPr>
            <w:tcW w:w="881" w:type="dxa"/>
            <w:vAlign w:val="center"/>
          </w:tcPr>
          <w:p w14:paraId="22FB32E3" w14:textId="77777777" w:rsidR="00576207" w:rsidRPr="00E04507" w:rsidRDefault="00576207" w:rsidP="0057620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F243E" w:themeColor="text2" w:themeShade="80"/>
                <w:sz w:val="18"/>
                <w:szCs w:val="18"/>
              </w:rPr>
            </w:pPr>
            <w:r w:rsidRPr="00E04507">
              <w:rPr>
                <w:rFonts w:ascii="Arial" w:hAnsi="Arial" w:cs="Arial"/>
                <w:color w:val="0F243E" w:themeColor="text2" w:themeShade="80"/>
                <w:sz w:val="18"/>
                <w:szCs w:val="18"/>
              </w:rPr>
              <w:t>+5.0%</w:t>
            </w:r>
          </w:p>
        </w:tc>
        <w:tc>
          <w:tcPr>
            <w:tcW w:w="880" w:type="dxa"/>
            <w:vAlign w:val="center"/>
          </w:tcPr>
          <w:p w14:paraId="19DBEBD5" w14:textId="77777777" w:rsidR="00576207" w:rsidRPr="00E04507" w:rsidRDefault="00576207" w:rsidP="0057620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F243E" w:themeColor="text2" w:themeShade="80"/>
                <w:sz w:val="18"/>
                <w:szCs w:val="18"/>
              </w:rPr>
            </w:pPr>
            <w:r w:rsidRPr="00E04507">
              <w:rPr>
                <w:rFonts w:ascii="Arial" w:hAnsi="Arial" w:cs="Arial"/>
                <w:bCs/>
                <w:color w:val="0F243E" w:themeColor="text2" w:themeShade="80"/>
                <w:sz w:val="18"/>
                <w:szCs w:val="18"/>
              </w:rPr>
              <w:t>+3.4%</w:t>
            </w:r>
          </w:p>
        </w:tc>
        <w:tc>
          <w:tcPr>
            <w:tcW w:w="881" w:type="dxa"/>
            <w:vAlign w:val="center"/>
          </w:tcPr>
          <w:p w14:paraId="24F31B27" w14:textId="77777777" w:rsidR="00576207" w:rsidRPr="00E04507" w:rsidRDefault="00576207" w:rsidP="00576207">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F243E" w:themeColor="text2" w:themeShade="80"/>
                <w:sz w:val="18"/>
                <w:szCs w:val="18"/>
              </w:rPr>
            </w:pPr>
            <w:r>
              <w:rPr>
                <w:rFonts w:ascii="Arial" w:hAnsi="Arial" w:cs="Arial"/>
                <w:bCs/>
                <w:color w:val="0F243E" w:themeColor="text2" w:themeShade="80"/>
                <w:sz w:val="18"/>
                <w:szCs w:val="18"/>
              </w:rPr>
              <w:t>+5.6%</w:t>
            </w:r>
          </w:p>
        </w:tc>
        <w:tc>
          <w:tcPr>
            <w:tcW w:w="880" w:type="dxa"/>
          </w:tcPr>
          <w:p w14:paraId="1D6579AB" w14:textId="075036F0" w:rsidR="00576207" w:rsidRPr="00E04507" w:rsidRDefault="00B51D47" w:rsidP="00576207">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F243E" w:themeColor="text2" w:themeShade="80"/>
                <w:sz w:val="18"/>
                <w:szCs w:val="18"/>
              </w:rPr>
            </w:pPr>
            <w:r>
              <w:rPr>
                <w:rFonts w:ascii="Arial" w:hAnsi="Arial" w:cs="Arial"/>
                <w:color w:val="215868" w:themeColor="accent5" w:themeShade="80"/>
                <w:sz w:val="18"/>
                <w:szCs w:val="18"/>
              </w:rPr>
              <w:t>$</w:t>
            </w:r>
            <w:r w:rsidR="002C7619">
              <w:rPr>
                <w:rFonts w:ascii="Arial" w:hAnsi="Arial" w:cs="Arial"/>
                <w:color w:val="215868" w:themeColor="accent5" w:themeShade="80"/>
                <w:sz w:val="18"/>
                <w:szCs w:val="18"/>
              </w:rPr>
              <w:t>2.4</w:t>
            </w:r>
            <w:r w:rsidR="00576207">
              <w:rPr>
                <w:rFonts w:ascii="Arial" w:hAnsi="Arial" w:cs="Arial"/>
                <w:color w:val="215868" w:themeColor="accent5" w:themeShade="80"/>
                <w:sz w:val="18"/>
                <w:szCs w:val="18"/>
              </w:rPr>
              <w:t>B</w:t>
            </w:r>
          </w:p>
        </w:tc>
        <w:tc>
          <w:tcPr>
            <w:tcW w:w="881" w:type="dxa"/>
          </w:tcPr>
          <w:p w14:paraId="58F94812" w14:textId="7314D431" w:rsidR="00576207" w:rsidRPr="00E04507" w:rsidRDefault="00B51D47" w:rsidP="0057620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F243E" w:themeColor="text2" w:themeShade="80"/>
                <w:sz w:val="18"/>
                <w:szCs w:val="18"/>
              </w:rPr>
            </w:pPr>
            <w:r>
              <w:rPr>
                <w:rFonts w:ascii="Arial" w:hAnsi="Arial" w:cs="Arial"/>
                <w:color w:val="215868" w:themeColor="accent5" w:themeShade="80"/>
                <w:sz w:val="18"/>
                <w:szCs w:val="18"/>
              </w:rPr>
              <w:t>+</w:t>
            </w:r>
            <w:r w:rsidR="002C7619">
              <w:rPr>
                <w:rFonts w:ascii="Arial" w:hAnsi="Arial" w:cs="Arial"/>
                <w:color w:val="215868" w:themeColor="accent5" w:themeShade="80"/>
                <w:sz w:val="18"/>
                <w:szCs w:val="18"/>
              </w:rPr>
              <w:t>8.5</w:t>
            </w:r>
            <w:r w:rsidR="00576207" w:rsidRPr="00E43E81">
              <w:rPr>
                <w:rFonts w:ascii="Arial" w:hAnsi="Arial" w:cs="Arial"/>
                <w:color w:val="215868" w:themeColor="accent5" w:themeShade="80"/>
                <w:sz w:val="18"/>
                <w:szCs w:val="18"/>
              </w:rPr>
              <w:t>%</w:t>
            </w:r>
          </w:p>
        </w:tc>
        <w:tc>
          <w:tcPr>
            <w:tcW w:w="881" w:type="dxa"/>
          </w:tcPr>
          <w:p w14:paraId="6E4EC828" w14:textId="11758C47" w:rsidR="00576207" w:rsidRPr="00E04507" w:rsidRDefault="00B51D47" w:rsidP="0057620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F243E" w:themeColor="text2" w:themeShade="80"/>
                <w:sz w:val="18"/>
                <w:szCs w:val="18"/>
              </w:rPr>
            </w:pPr>
            <w:r>
              <w:rPr>
                <w:rFonts w:ascii="Arial" w:hAnsi="Arial" w:cs="Arial"/>
                <w:color w:val="215868" w:themeColor="accent5" w:themeShade="80"/>
                <w:sz w:val="18"/>
                <w:szCs w:val="18"/>
              </w:rPr>
              <w:t>+</w:t>
            </w:r>
            <w:r w:rsidR="002C7619">
              <w:rPr>
                <w:rFonts w:ascii="Arial" w:hAnsi="Arial" w:cs="Arial"/>
                <w:color w:val="215868" w:themeColor="accent5" w:themeShade="80"/>
                <w:sz w:val="18"/>
                <w:szCs w:val="18"/>
              </w:rPr>
              <w:t>18.5</w:t>
            </w:r>
            <w:r w:rsidR="00576207" w:rsidRPr="00E43E81">
              <w:rPr>
                <w:rFonts w:ascii="Arial" w:hAnsi="Arial" w:cs="Arial"/>
                <w:color w:val="215868" w:themeColor="accent5" w:themeShade="80"/>
                <w:sz w:val="18"/>
                <w:szCs w:val="18"/>
              </w:rPr>
              <w:t>%</w:t>
            </w:r>
          </w:p>
        </w:tc>
      </w:tr>
      <w:tr w:rsidR="00474357" w14:paraId="046663C8" w14:textId="77777777" w:rsidTr="00470A5F">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544" w:type="dxa"/>
            <w:vAlign w:val="center"/>
          </w:tcPr>
          <w:p w14:paraId="3EC7FD52" w14:textId="77777777" w:rsidR="00474357" w:rsidRPr="00E04507" w:rsidRDefault="00474357" w:rsidP="00474357">
            <w:pPr>
              <w:pStyle w:val="NoSpacing"/>
              <w:jc w:val="right"/>
              <w:rPr>
                <w:rFonts w:ascii="Arial" w:hAnsi="Arial" w:cs="Arial"/>
                <w:b w:val="0"/>
                <w:color w:val="0F243E" w:themeColor="text2" w:themeShade="80"/>
                <w:sz w:val="18"/>
                <w:szCs w:val="18"/>
              </w:rPr>
            </w:pPr>
            <w:r w:rsidRPr="00E04507">
              <w:rPr>
                <w:rFonts w:ascii="Arial" w:hAnsi="Arial" w:cs="Arial"/>
                <w:b w:val="0"/>
                <w:color w:val="0F243E" w:themeColor="text2" w:themeShade="80"/>
                <w:sz w:val="18"/>
                <w:szCs w:val="18"/>
              </w:rPr>
              <w:t>Berries</w:t>
            </w:r>
          </w:p>
        </w:tc>
        <w:tc>
          <w:tcPr>
            <w:tcW w:w="880" w:type="dxa"/>
            <w:vAlign w:val="center"/>
          </w:tcPr>
          <w:p w14:paraId="194DFEC5" w14:textId="77777777" w:rsidR="00474357" w:rsidRPr="00E04507" w:rsidRDefault="00474357" w:rsidP="0047435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F243E" w:themeColor="text2" w:themeShade="80"/>
                <w:sz w:val="18"/>
                <w:szCs w:val="18"/>
              </w:rPr>
            </w:pPr>
            <w:r w:rsidRPr="00E04507">
              <w:rPr>
                <w:rFonts w:ascii="Arial" w:hAnsi="Arial" w:cs="Arial"/>
                <w:color w:val="0F243E" w:themeColor="text2" w:themeShade="80"/>
                <w:sz w:val="18"/>
                <w:szCs w:val="18"/>
              </w:rPr>
              <w:t>+11.0%</w:t>
            </w:r>
          </w:p>
        </w:tc>
        <w:tc>
          <w:tcPr>
            <w:tcW w:w="881" w:type="dxa"/>
            <w:vAlign w:val="center"/>
          </w:tcPr>
          <w:p w14:paraId="60338615" w14:textId="77777777" w:rsidR="00474357" w:rsidRPr="00E04507" w:rsidRDefault="00474357" w:rsidP="0047435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F243E" w:themeColor="text2" w:themeShade="80"/>
                <w:sz w:val="18"/>
                <w:szCs w:val="18"/>
              </w:rPr>
            </w:pPr>
            <w:r w:rsidRPr="00E04507">
              <w:rPr>
                <w:rFonts w:ascii="Arial" w:hAnsi="Arial" w:cs="Arial"/>
                <w:color w:val="0F243E" w:themeColor="text2" w:themeShade="80"/>
                <w:sz w:val="18"/>
                <w:szCs w:val="18"/>
              </w:rPr>
              <w:t>+15.3%</w:t>
            </w:r>
          </w:p>
        </w:tc>
        <w:tc>
          <w:tcPr>
            <w:tcW w:w="880" w:type="dxa"/>
            <w:vAlign w:val="center"/>
          </w:tcPr>
          <w:p w14:paraId="33ABCE83" w14:textId="77777777" w:rsidR="00474357" w:rsidRPr="00E04507" w:rsidRDefault="00474357" w:rsidP="0047435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F243E" w:themeColor="text2" w:themeShade="80"/>
                <w:sz w:val="18"/>
                <w:szCs w:val="18"/>
              </w:rPr>
            </w:pPr>
            <w:r w:rsidRPr="00E04507">
              <w:rPr>
                <w:rFonts w:ascii="Arial" w:hAnsi="Arial" w:cs="Arial"/>
                <w:color w:val="0F243E" w:themeColor="text2" w:themeShade="80"/>
                <w:sz w:val="18"/>
                <w:szCs w:val="18"/>
              </w:rPr>
              <w:t>+14.3%</w:t>
            </w:r>
          </w:p>
        </w:tc>
        <w:tc>
          <w:tcPr>
            <w:tcW w:w="881" w:type="dxa"/>
            <w:vAlign w:val="center"/>
          </w:tcPr>
          <w:p w14:paraId="611E4D3B" w14:textId="77777777" w:rsidR="00474357" w:rsidRPr="00E04507" w:rsidRDefault="00474357" w:rsidP="0047435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F243E" w:themeColor="text2" w:themeShade="80"/>
                <w:sz w:val="18"/>
                <w:szCs w:val="18"/>
              </w:rPr>
            </w:pPr>
            <w:r w:rsidRPr="00E04507">
              <w:rPr>
                <w:rFonts w:ascii="Arial" w:hAnsi="Arial" w:cs="Arial"/>
                <w:color w:val="0F243E" w:themeColor="text2" w:themeShade="80"/>
                <w:sz w:val="18"/>
                <w:szCs w:val="18"/>
              </w:rPr>
              <w:t>+16.2%</w:t>
            </w:r>
          </w:p>
        </w:tc>
        <w:tc>
          <w:tcPr>
            <w:tcW w:w="881" w:type="dxa"/>
            <w:vAlign w:val="center"/>
          </w:tcPr>
          <w:p w14:paraId="6285C1E0" w14:textId="77777777" w:rsidR="00474357" w:rsidRPr="00E04507" w:rsidRDefault="00474357" w:rsidP="0047435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F243E" w:themeColor="text2" w:themeShade="80"/>
                <w:sz w:val="18"/>
                <w:szCs w:val="18"/>
              </w:rPr>
            </w:pPr>
            <w:r w:rsidRPr="00E04507">
              <w:rPr>
                <w:rFonts w:ascii="Arial" w:hAnsi="Arial" w:cs="Arial"/>
                <w:color w:val="0F243E" w:themeColor="text2" w:themeShade="80"/>
                <w:sz w:val="18"/>
                <w:szCs w:val="18"/>
              </w:rPr>
              <w:t>+10.9%</w:t>
            </w:r>
          </w:p>
        </w:tc>
        <w:tc>
          <w:tcPr>
            <w:tcW w:w="880" w:type="dxa"/>
            <w:vAlign w:val="center"/>
          </w:tcPr>
          <w:p w14:paraId="406B885D" w14:textId="77777777" w:rsidR="00474357" w:rsidRPr="00E04507" w:rsidRDefault="00474357" w:rsidP="0047435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F243E" w:themeColor="text2" w:themeShade="80"/>
                <w:sz w:val="18"/>
                <w:szCs w:val="18"/>
              </w:rPr>
            </w:pPr>
            <w:r w:rsidRPr="00E04507">
              <w:rPr>
                <w:rFonts w:ascii="Arial" w:hAnsi="Arial" w:cs="Arial"/>
                <w:bCs/>
                <w:color w:val="0F243E" w:themeColor="text2" w:themeShade="80"/>
                <w:sz w:val="18"/>
                <w:szCs w:val="18"/>
              </w:rPr>
              <w:t>+8.5%</w:t>
            </w:r>
          </w:p>
        </w:tc>
        <w:tc>
          <w:tcPr>
            <w:tcW w:w="881" w:type="dxa"/>
            <w:vAlign w:val="center"/>
          </w:tcPr>
          <w:p w14:paraId="785B3764" w14:textId="77777777" w:rsidR="00474357" w:rsidRPr="00E04507" w:rsidRDefault="00474357" w:rsidP="00474357">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0F243E" w:themeColor="text2" w:themeShade="80"/>
                <w:sz w:val="18"/>
                <w:szCs w:val="18"/>
              </w:rPr>
            </w:pPr>
            <w:r>
              <w:rPr>
                <w:rFonts w:ascii="Arial" w:hAnsi="Arial" w:cs="Arial"/>
                <w:bCs/>
                <w:color w:val="0F243E" w:themeColor="text2" w:themeShade="80"/>
                <w:sz w:val="18"/>
                <w:szCs w:val="18"/>
              </w:rPr>
              <w:t>+11.0%</w:t>
            </w:r>
          </w:p>
        </w:tc>
        <w:tc>
          <w:tcPr>
            <w:tcW w:w="880" w:type="dxa"/>
            <w:vAlign w:val="center"/>
          </w:tcPr>
          <w:p w14:paraId="5E68EED6" w14:textId="4AE40BD5" w:rsidR="00474357" w:rsidRPr="00E04507" w:rsidRDefault="00474357" w:rsidP="00474357">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0F243E" w:themeColor="text2" w:themeShade="80"/>
                <w:sz w:val="18"/>
                <w:szCs w:val="18"/>
              </w:rPr>
            </w:pPr>
            <w:r w:rsidRPr="00E04507">
              <w:rPr>
                <w:rFonts w:ascii="Arial" w:hAnsi="Arial" w:cs="Arial"/>
                <w:bCs/>
                <w:color w:val="0F243E" w:themeColor="text2" w:themeShade="80"/>
                <w:sz w:val="18"/>
                <w:szCs w:val="18"/>
              </w:rPr>
              <w:t>$</w:t>
            </w:r>
            <w:r w:rsidR="002C7619">
              <w:rPr>
                <w:rFonts w:ascii="Arial" w:hAnsi="Arial" w:cs="Arial"/>
                <w:bCs/>
                <w:color w:val="0F243E" w:themeColor="text2" w:themeShade="80"/>
                <w:sz w:val="18"/>
                <w:szCs w:val="18"/>
              </w:rPr>
              <w:t>555</w:t>
            </w:r>
            <w:r>
              <w:rPr>
                <w:rFonts w:ascii="Arial" w:hAnsi="Arial" w:cs="Arial"/>
                <w:bCs/>
                <w:color w:val="0F243E" w:themeColor="text2" w:themeShade="80"/>
                <w:sz w:val="18"/>
                <w:szCs w:val="18"/>
              </w:rPr>
              <w:t>M</w:t>
            </w:r>
          </w:p>
        </w:tc>
        <w:tc>
          <w:tcPr>
            <w:tcW w:w="881" w:type="dxa"/>
            <w:vAlign w:val="center"/>
          </w:tcPr>
          <w:p w14:paraId="7A9F7D27" w14:textId="088C57B6" w:rsidR="00474357" w:rsidRPr="00E04507" w:rsidRDefault="00474357" w:rsidP="0047435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F243E" w:themeColor="text2" w:themeShade="80"/>
                <w:sz w:val="18"/>
                <w:szCs w:val="18"/>
              </w:rPr>
            </w:pPr>
            <w:r w:rsidRPr="00E04507">
              <w:rPr>
                <w:rFonts w:ascii="Arial" w:hAnsi="Arial" w:cs="Arial"/>
                <w:bCs/>
                <w:color w:val="0F243E" w:themeColor="text2" w:themeShade="80"/>
                <w:sz w:val="18"/>
                <w:szCs w:val="18"/>
              </w:rPr>
              <w:t>+</w:t>
            </w:r>
            <w:r w:rsidR="002C7619">
              <w:rPr>
                <w:rFonts w:ascii="Arial" w:hAnsi="Arial" w:cs="Arial"/>
                <w:bCs/>
                <w:color w:val="0F243E" w:themeColor="text2" w:themeShade="80"/>
                <w:sz w:val="18"/>
                <w:szCs w:val="18"/>
              </w:rPr>
              <w:t>8.5</w:t>
            </w:r>
            <w:r w:rsidRPr="00E04507">
              <w:rPr>
                <w:rFonts w:ascii="Arial" w:hAnsi="Arial" w:cs="Arial"/>
                <w:bCs/>
                <w:color w:val="0F243E" w:themeColor="text2" w:themeShade="80"/>
                <w:sz w:val="18"/>
                <w:szCs w:val="18"/>
              </w:rPr>
              <w:t>%</w:t>
            </w:r>
          </w:p>
        </w:tc>
        <w:tc>
          <w:tcPr>
            <w:tcW w:w="881" w:type="dxa"/>
            <w:vAlign w:val="center"/>
          </w:tcPr>
          <w:p w14:paraId="53913335" w14:textId="70D10CBE" w:rsidR="00474357" w:rsidRPr="00E04507" w:rsidRDefault="00474357" w:rsidP="0047435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F243E" w:themeColor="text2" w:themeShade="80"/>
                <w:sz w:val="18"/>
                <w:szCs w:val="18"/>
              </w:rPr>
            </w:pPr>
            <w:r w:rsidRPr="00E04507">
              <w:rPr>
                <w:rFonts w:ascii="Arial" w:hAnsi="Arial" w:cs="Arial"/>
                <w:bCs/>
                <w:color w:val="0F243E" w:themeColor="text2" w:themeShade="80"/>
                <w:sz w:val="18"/>
                <w:szCs w:val="18"/>
              </w:rPr>
              <w:t>+</w:t>
            </w:r>
            <w:r w:rsidR="002C7619">
              <w:rPr>
                <w:rFonts w:ascii="Arial" w:hAnsi="Arial" w:cs="Arial"/>
                <w:bCs/>
                <w:color w:val="0F243E" w:themeColor="text2" w:themeShade="80"/>
                <w:sz w:val="18"/>
                <w:szCs w:val="18"/>
              </w:rPr>
              <w:t>18.5</w:t>
            </w:r>
            <w:r w:rsidRPr="00E04507">
              <w:rPr>
                <w:rFonts w:ascii="Arial" w:hAnsi="Arial" w:cs="Arial"/>
                <w:bCs/>
                <w:color w:val="0F243E" w:themeColor="text2" w:themeShade="80"/>
                <w:sz w:val="18"/>
                <w:szCs w:val="18"/>
              </w:rPr>
              <w:t>%</w:t>
            </w:r>
          </w:p>
        </w:tc>
      </w:tr>
      <w:tr w:rsidR="001946FE" w14:paraId="318127E4" w14:textId="77777777" w:rsidTr="00107812">
        <w:trPr>
          <w:trHeight w:val="253"/>
        </w:trPr>
        <w:tc>
          <w:tcPr>
            <w:cnfStyle w:val="001000000000" w:firstRow="0" w:lastRow="0" w:firstColumn="1" w:lastColumn="0" w:oddVBand="0" w:evenVBand="0" w:oddHBand="0" w:evenHBand="0" w:firstRowFirstColumn="0" w:firstRowLastColumn="0" w:lastRowFirstColumn="0" w:lastRowLastColumn="0"/>
            <w:tcW w:w="1544" w:type="dxa"/>
            <w:vAlign w:val="center"/>
          </w:tcPr>
          <w:p w14:paraId="670E95DE" w14:textId="77777777" w:rsidR="001946FE" w:rsidRPr="00E04507" w:rsidRDefault="001946FE" w:rsidP="00107812">
            <w:pPr>
              <w:pStyle w:val="NoSpacing"/>
              <w:jc w:val="right"/>
              <w:rPr>
                <w:rFonts w:ascii="Arial" w:hAnsi="Arial" w:cs="Arial"/>
                <w:b w:val="0"/>
                <w:color w:val="0F243E" w:themeColor="text2" w:themeShade="80"/>
                <w:sz w:val="18"/>
                <w:szCs w:val="18"/>
              </w:rPr>
            </w:pPr>
            <w:r w:rsidRPr="00E04507">
              <w:rPr>
                <w:rFonts w:ascii="Arial" w:hAnsi="Arial" w:cs="Arial"/>
                <w:b w:val="0"/>
                <w:color w:val="0F243E" w:themeColor="text2" w:themeShade="80"/>
                <w:sz w:val="18"/>
                <w:szCs w:val="18"/>
              </w:rPr>
              <w:t xml:space="preserve">  Apples</w:t>
            </w:r>
          </w:p>
        </w:tc>
        <w:tc>
          <w:tcPr>
            <w:tcW w:w="880" w:type="dxa"/>
            <w:vAlign w:val="center"/>
          </w:tcPr>
          <w:p w14:paraId="359857EA" w14:textId="77777777" w:rsidR="001946FE" w:rsidRPr="00E04507" w:rsidRDefault="001946FE" w:rsidP="0010781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F243E" w:themeColor="text2" w:themeShade="80"/>
                <w:sz w:val="18"/>
                <w:szCs w:val="18"/>
              </w:rPr>
            </w:pPr>
            <w:r w:rsidRPr="00E04507">
              <w:rPr>
                <w:rFonts w:ascii="Arial" w:hAnsi="Arial" w:cs="Arial"/>
                <w:color w:val="0F243E" w:themeColor="text2" w:themeShade="80"/>
                <w:sz w:val="18"/>
                <w:szCs w:val="18"/>
              </w:rPr>
              <w:t>+2.2%</w:t>
            </w:r>
          </w:p>
        </w:tc>
        <w:tc>
          <w:tcPr>
            <w:tcW w:w="881" w:type="dxa"/>
            <w:vAlign w:val="center"/>
          </w:tcPr>
          <w:p w14:paraId="307185EC" w14:textId="77777777" w:rsidR="001946FE" w:rsidRPr="00E04507" w:rsidRDefault="001946FE" w:rsidP="0010781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F243E" w:themeColor="text2" w:themeShade="80"/>
                <w:sz w:val="18"/>
                <w:szCs w:val="18"/>
              </w:rPr>
            </w:pPr>
            <w:r w:rsidRPr="00E04507">
              <w:rPr>
                <w:rFonts w:ascii="Arial" w:hAnsi="Arial" w:cs="Arial"/>
                <w:color w:val="0F243E" w:themeColor="text2" w:themeShade="80"/>
                <w:sz w:val="18"/>
                <w:szCs w:val="18"/>
              </w:rPr>
              <w:t>+3.1%</w:t>
            </w:r>
          </w:p>
        </w:tc>
        <w:tc>
          <w:tcPr>
            <w:tcW w:w="880" w:type="dxa"/>
            <w:vAlign w:val="center"/>
          </w:tcPr>
          <w:p w14:paraId="0E2B8761" w14:textId="77777777" w:rsidR="001946FE" w:rsidRPr="00E04507" w:rsidRDefault="001946FE" w:rsidP="0010781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F243E" w:themeColor="text2" w:themeShade="80"/>
                <w:sz w:val="18"/>
                <w:szCs w:val="18"/>
              </w:rPr>
            </w:pPr>
            <w:r w:rsidRPr="00E04507">
              <w:rPr>
                <w:rFonts w:ascii="Arial" w:hAnsi="Arial" w:cs="Arial"/>
                <w:color w:val="0F243E" w:themeColor="text2" w:themeShade="80"/>
                <w:sz w:val="18"/>
                <w:szCs w:val="18"/>
              </w:rPr>
              <w:t>-0.1%</w:t>
            </w:r>
          </w:p>
        </w:tc>
        <w:tc>
          <w:tcPr>
            <w:tcW w:w="881" w:type="dxa"/>
            <w:vAlign w:val="center"/>
          </w:tcPr>
          <w:p w14:paraId="36F54325" w14:textId="77777777" w:rsidR="001946FE" w:rsidRPr="00E04507" w:rsidRDefault="001946FE" w:rsidP="0010781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F243E" w:themeColor="text2" w:themeShade="80"/>
                <w:sz w:val="18"/>
                <w:szCs w:val="18"/>
              </w:rPr>
            </w:pPr>
            <w:r w:rsidRPr="00E04507">
              <w:rPr>
                <w:rFonts w:ascii="Arial" w:hAnsi="Arial" w:cs="Arial"/>
                <w:color w:val="0F243E" w:themeColor="text2" w:themeShade="80"/>
                <w:sz w:val="18"/>
                <w:szCs w:val="18"/>
              </w:rPr>
              <w:t>+1.9%</w:t>
            </w:r>
          </w:p>
        </w:tc>
        <w:tc>
          <w:tcPr>
            <w:tcW w:w="881" w:type="dxa"/>
            <w:vAlign w:val="center"/>
          </w:tcPr>
          <w:p w14:paraId="7A1DB10A" w14:textId="77777777" w:rsidR="001946FE" w:rsidRPr="00E04507" w:rsidRDefault="001946FE" w:rsidP="0010781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F243E" w:themeColor="text2" w:themeShade="80"/>
                <w:sz w:val="18"/>
                <w:szCs w:val="18"/>
              </w:rPr>
            </w:pPr>
            <w:r w:rsidRPr="00E04507">
              <w:rPr>
                <w:rFonts w:ascii="Arial" w:hAnsi="Arial" w:cs="Arial"/>
                <w:color w:val="0F243E" w:themeColor="text2" w:themeShade="80"/>
                <w:sz w:val="18"/>
                <w:szCs w:val="18"/>
              </w:rPr>
              <w:t>-0.7%</w:t>
            </w:r>
          </w:p>
        </w:tc>
        <w:tc>
          <w:tcPr>
            <w:tcW w:w="880" w:type="dxa"/>
            <w:vAlign w:val="center"/>
          </w:tcPr>
          <w:p w14:paraId="601DBB3A" w14:textId="77777777" w:rsidR="001946FE" w:rsidRPr="00E04507" w:rsidRDefault="001946FE" w:rsidP="0010781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F243E" w:themeColor="text2" w:themeShade="80"/>
                <w:sz w:val="18"/>
                <w:szCs w:val="18"/>
              </w:rPr>
            </w:pPr>
            <w:r w:rsidRPr="00E04507">
              <w:rPr>
                <w:rFonts w:ascii="Arial" w:hAnsi="Arial" w:cs="Arial"/>
                <w:bCs/>
                <w:color w:val="0F243E" w:themeColor="text2" w:themeShade="80"/>
                <w:sz w:val="18"/>
                <w:szCs w:val="18"/>
              </w:rPr>
              <w:t>+3.2%</w:t>
            </w:r>
          </w:p>
        </w:tc>
        <w:tc>
          <w:tcPr>
            <w:tcW w:w="881" w:type="dxa"/>
            <w:vAlign w:val="center"/>
          </w:tcPr>
          <w:p w14:paraId="6FA47DCE" w14:textId="77777777" w:rsidR="001946FE" w:rsidRPr="00E04507" w:rsidRDefault="001946FE" w:rsidP="00107812">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F243E" w:themeColor="text2" w:themeShade="80"/>
                <w:sz w:val="18"/>
                <w:szCs w:val="18"/>
              </w:rPr>
            </w:pPr>
            <w:r>
              <w:rPr>
                <w:rFonts w:ascii="Arial" w:hAnsi="Arial" w:cs="Arial"/>
                <w:bCs/>
                <w:color w:val="0F243E" w:themeColor="text2" w:themeShade="80"/>
                <w:sz w:val="18"/>
                <w:szCs w:val="18"/>
              </w:rPr>
              <w:t>+8.0%</w:t>
            </w:r>
          </w:p>
        </w:tc>
        <w:tc>
          <w:tcPr>
            <w:tcW w:w="880" w:type="dxa"/>
          </w:tcPr>
          <w:p w14:paraId="147B2A98" w14:textId="1CB90B17" w:rsidR="001946FE" w:rsidRPr="00E04507" w:rsidRDefault="001946FE" w:rsidP="0010781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F243E" w:themeColor="text2" w:themeShade="80"/>
                <w:sz w:val="18"/>
                <w:szCs w:val="18"/>
              </w:rPr>
            </w:pPr>
            <w:r w:rsidRPr="00343E24">
              <w:rPr>
                <w:rFonts w:ascii="Arial" w:hAnsi="Arial" w:cs="Arial"/>
                <w:bCs/>
                <w:color w:val="0F243E" w:themeColor="text2" w:themeShade="80"/>
                <w:sz w:val="18"/>
                <w:szCs w:val="18"/>
              </w:rPr>
              <w:t>$</w:t>
            </w:r>
            <w:r w:rsidR="002C7619">
              <w:rPr>
                <w:rFonts w:ascii="Arial" w:hAnsi="Arial" w:cs="Arial"/>
                <w:bCs/>
                <w:color w:val="0F243E" w:themeColor="text2" w:themeShade="80"/>
                <w:sz w:val="18"/>
                <w:szCs w:val="18"/>
              </w:rPr>
              <w:t>361</w:t>
            </w:r>
            <w:r w:rsidRPr="00343E24">
              <w:rPr>
                <w:rFonts w:ascii="Arial" w:hAnsi="Arial" w:cs="Arial"/>
                <w:bCs/>
                <w:color w:val="0F243E" w:themeColor="text2" w:themeShade="80"/>
                <w:sz w:val="18"/>
                <w:szCs w:val="18"/>
              </w:rPr>
              <w:t>M</w:t>
            </w:r>
          </w:p>
        </w:tc>
        <w:tc>
          <w:tcPr>
            <w:tcW w:w="881" w:type="dxa"/>
            <w:vAlign w:val="center"/>
          </w:tcPr>
          <w:p w14:paraId="541DCC47" w14:textId="5645F0EE" w:rsidR="001946FE" w:rsidRPr="00E04507" w:rsidRDefault="001946FE" w:rsidP="0010781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F243E" w:themeColor="text2" w:themeShade="80"/>
                <w:sz w:val="18"/>
                <w:szCs w:val="18"/>
              </w:rPr>
            </w:pPr>
            <w:r w:rsidRPr="00E04507">
              <w:rPr>
                <w:rFonts w:ascii="Arial" w:hAnsi="Arial" w:cs="Arial"/>
                <w:bCs/>
                <w:color w:val="0F243E" w:themeColor="text2" w:themeShade="80"/>
                <w:sz w:val="18"/>
                <w:szCs w:val="18"/>
              </w:rPr>
              <w:t>+</w:t>
            </w:r>
            <w:r w:rsidR="002C7619">
              <w:rPr>
                <w:rFonts w:ascii="Arial" w:hAnsi="Arial" w:cs="Arial"/>
                <w:bCs/>
                <w:color w:val="0F243E" w:themeColor="text2" w:themeShade="80"/>
                <w:sz w:val="18"/>
                <w:szCs w:val="18"/>
              </w:rPr>
              <w:t>6.7</w:t>
            </w:r>
            <w:r w:rsidRPr="00E04507">
              <w:rPr>
                <w:rFonts w:ascii="Arial" w:hAnsi="Arial" w:cs="Arial"/>
                <w:bCs/>
                <w:color w:val="0F243E" w:themeColor="text2" w:themeShade="80"/>
                <w:sz w:val="18"/>
                <w:szCs w:val="18"/>
              </w:rPr>
              <w:t>%</w:t>
            </w:r>
          </w:p>
        </w:tc>
        <w:tc>
          <w:tcPr>
            <w:tcW w:w="881" w:type="dxa"/>
            <w:vAlign w:val="center"/>
          </w:tcPr>
          <w:p w14:paraId="1632AF70" w14:textId="0A6F24C9" w:rsidR="001946FE" w:rsidRPr="00E04507" w:rsidRDefault="001946FE" w:rsidP="0010781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F243E" w:themeColor="text2" w:themeShade="80"/>
                <w:sz w:val="18"/>
                <w:szCs w:val="18"/>
              </w:rPr>
            </w:pPr>
            <w:r w:rsidRPr="00E04507">
              <w:rPr>
                <w:rFonts w:ascii="Arial" w:hAnsi="Arial" w:cs="Arial"/>
                <w:bCs/>
                <w:color w:val="0F243E" w:themeColor="text2" w:themeShade="80"/>
                <w:sz w:val="18"/>
                <w:szCs w:val="18"/>
              </w:rPr>
              <w:t>+</w:t>
            </w:r>
            <w:r w:rsidR="002C7619">
              <w:rPr>
                <w:rFonts w:ascii="Arial" w:hAnsi="Arial" w:cs="Arial"/>
                <w:bCs/>
                <w:color w:val="0F243E" w:themeColor="text2" w:themeShade="80"/>
                <w:sz w:val="18"/>
                <w:szCs w:val="18"/>
              </w:rPr>
              <w:t>8.8</w:t>
            </w:r>
            <w:r w:rsidRPr="00E04507">
              <w:rPr>
                <w:rFonts w:ascii="Arial" w:hAnsi="Arial" w:cs="Arial"/>
                <w:bCs/>
                <w:color w:val="0F243E" w:themeColor="text2" w:themeShade="80"/>
                <w:sz w:val="18"/>
                <w:szCs w:val="18"/>
              </w:rPr>
              <w:t>%</w:t>
            </w:r>
          </w:p>
        </w:tc>
      </w:tr>
      <w:tr w:rsidR="00474357" w14:paraId="319CD0F7" w14:textId="77777777" w:rsidTr="00340AA9">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544" w:type="dxa"/>
            <w:vAlign w:val="center"/>
          </w:tcPr>
          <w:p w14:paraId="42E42541" w14:textId="77777777" w:rsidR="00474357" w:rsidRPr="00E04507" w:rsidRDefault="00474357" w:rsidP="00474357">
            <w:pPr>
              <w:pStyle w:val="NoSpacing"/>
              <w:jc w:val="right"/>
              <w:rPr>
                <w:rFonts w:ascii="Arial" w:hAnsi="Arial" w:cs="Arial"/>
                <w:b w:val="0"/>
                <w:color w:val="0F243E" w:themeColor="text2" w:themeShade="80"/>
                <w:sz w:val="18"/>
                <w:szCs w:val="18"/>
              </w:rPr>
            </w:pPr>
            <w:r w:rsidRPr="00E04507">
              <w:rPr>
                <w:rFonts w:ascii="Arial" w:hAnsi="Arial" w:cs="Arial"/>
                <w:b w:val="0"/>
                <w:color w:val="0F243E" w:themeColor="text2" w:themeShade="80"/>
                <w:sz w:val="18"/>
                <w:szCs w:val="18"/>
              </w:rPr>
              <w:t xml:space="preserve">  Grapes</w:t>
            </w:r>
          </w:p>
        </w:tc>
        <w:tc>
          <w:tcPr>
            <w:tcW w:w="880" w:type="dxa"/>
            <w:vAlign w:val="center"/>
          </w:tcPr>
          <w:p w14:paraId="4575F6C5" w14:textId="77777777" w:rsidR="00474357" w:rsidRPr="00E04507" w:rsidRDefault="00474357" w:rsidP="0047435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F243E" w:themeColor="text2" w:themeShade="80"/>
                <w:sz w:val="18"/>
                <w:szCs w:val="18"/>
              </w:rPr>
            </w:pPr>
            <w:r w:rsidRPr="00E04507">
              <w:rPr>
                <w:rFonts w:ascii="Arial" w:hAnsi="Arial" w:cs="Arial"/>
                <w:color w:val="0F243E" w:themeColor="text2" w:themeShade="80"/>
                <w:sz w:val="18"/>
                <w:szCs w:val="18"/>
              </w:rPr>
              <w:t>+1.9%</w:t>
            </w:r>
          </w:p>
        </w:tc>
        <w:tc>
          <w:tcPr>
            <w:tcW w:w="881" w:type="dxa"/>
            <w:vAlign w:val="center"/>
          </w:tcPr>
          <w:p w14:paraId="5988BA55" w14:textId="77777777" w:rsidR="00474357" w:rsidRPr="00E04507" w:rsidRDefault="00474357" w:rsidP="0047435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F243E" w:themeColor="text2" w:themeShade="80"/>
                <w:sz w:val="18"/>
                <w:szCs w:val="18"/>
              </w:rPr>
            </w:pPr>
            <w:r w:rsidRPr="00E04507">
              <w:rPr>
                <w:rFonts w:ascii="Arial" w:hAnsi="Arial" w:cs="Arial"/>
                <w:color w:val="0F243E" w:themeColor="text2" w:themeShade="80"/>
                <w:sz w:val="18"/>
                <w:szCs w:val="18"/>
              </w:rPr>
              <w:t>-1.1%</w:t>
            </w:r>
          </w:p>
        </w:tc>
        <w:tc>
          <w:tcPr>
            <w:tcW w:w="880" w:type="dxa"/>
            <w:vAlign w:val="center"/>
          </w:tcPr>
          <w:p w14:paraId="6D6135C1" w14:textId="77777777" w:rsidR="00474357" w:rsidRPr="00E04507" w:rsidRDefault="00474357" w:rsidP="0047435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F243E" w:themeColor="text2" w:themeShade="80"/>
                <w:sz w:val="18"/>
                <w:szCs w:val="18"/>
              </w:rPr>
            </w:pPr>
            <w:r w:rsidRPr="00E04507">
              <w:rPr>
                <w:rFonts w:ascii="Arial" w:hAnsi="Arial" w:cs="Arial"/>
                <w:color w:val="0F243E" w:themeColor="text2" w:themeShade="80"/>
                <w:sz w:val="18"/>
                <w:szCs w:val="18"/>
              </w:rPr>
              <w:t>-0.3%</w:t>
            </w:r>
          </w:p>
        </w:tc>
        <w:tc>
          <w:tcPr>
            <w:tcW w:w="881" w:type="dxa"/>
            <w:vAlign w:val="center"/>
          </w:tcPr>
          <w:p w14:paraId="45581603" w14:textId="77777777" w:rsidR="00474357" w:rsidRPr="00E04507" w:rsidRDefault="00474357" w:rsidP="0047435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F243E" w:themeColor="text2" w:themeShade="80"/>
                <w:sz w:val="18"/>
                <w:szCs w:val="18"/>
              </w:rPr>
            </w:pPr>
            <w:r w:rsidRPr="00E04507">
              <w:rPr>
                <w:rFonts w:ascii="Arial" w:hAnsi="Arial" w:cs="Arial"/>
                <w:color w:val="0F243E" w:themeColor="text2" w:themeShade="80"/>
                <w:sz w:val="18"/>
                <w:szCs w:val="18"/>
              </w:rPr>
              <w:t>-0.1%</w:t>
            </w:r>
          </w:p>
        </w:tc>
        <w:tc>
          <w:tcPr>
            <w:tcW w:w="881" w:type="dxa"/>
            <w:vAlign w:val="center"/>
          </w:tcPr>
          <w:p w14:paraId="5F515651" w14:textId="77777777" w:rsidR="00474357" w:rsidRPr="00E04507" w:rsidRDefault="00474357" w:rsidP="0047435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F243E" w:themeColor="text2" w:themeShade="80"/>
                <w:sz w:val="18"/>
                <w:szCs w:val="18"/>
              </w:rPr>
            </w:pPr>
            <w:r w:rsidRPr="00E04507">
              <w:rPr>
                <w:rFonts w:ascii="Arial" w:hAnsi="Arial" w:cs="Arial"/>
                <w:color w:val="0F243E" w:themeColor="text2" w:themeShade="80"/>
                <w:sz w:val="18"/>
                <w:szCs w:val="18"/>
              </w:rPr>
              <w:t>+2.7%</w:t>
            </w:r>
          </w:p>
        </w:tc>
        <w:tc>
          <w:tcPr>
            <w:tcW w:w="880" w:type="dxa"/>
            <w:vAlign w:val="center"/>
          </w:tcPr>
          <w:p w14:paraId="4E694A7A" w14:textId="77777777" w:rsidR="00474357" w:rsidRPr="00E04507" w:rsidRDefault="00474357" w:rsidP="0047435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F243E" w:themeColor="text2" w:themeShade="80"/>
                <w:sz w:val="18"/>
                <w:szCs w:val="18"/>
              </w:rPr>
            </w:pPr>
            <w:r w:rsidRPr="00E04507">
              <w:rPr>
                <w:rFonts w:ascii="Arial" w:hAnsi="Arial" w:cs="Arial"/>
                <w:bCs/>
                <w:color w:val="0F243E" w:themeColor="text2" w:themeShade="80"/>
                <w:sz w:val="18"/>
                <w:szCs w:val="18"/>
              </w:rPr>
              <w:t>-1.2%</w:t>
            </w:r>
          </w:p>
        </w:tc>
        <w:tc>
          <w:tcPr>
            <w:tcW w:w="881" w:type="dxa"/>
            <w:vAlign w:val="center"/>
          </w:tcPr>
          <w:p w14:paraId="385AF71F" w14:textId="77777777" w:rsidR="00474357" w:rsidRPr="00E04507" w:rsidRDefault="00474357" w:rsidP="00474357">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0F243E" w:themeColor="text2" w:themeShade="80"/>
                <w:sz w:val="18"/>
                <w:szCs w:val="18"/>
              </w:rPr>
            </w:pPr>
            <w:r>
              <w:rPr>
                <w:rFonts w:ascii="Arial" w:hAnsi="Arial" w:cs="Arial"/>
                <w:bCs/>
                <w:color w:val="0F243E" w:themeColor="text2" w:themeShade="80"/>
                <w:sz w:val="18"/>
                <w:szCs w:val="18"/>
              </w:rPr>
              <w:t>+4.4%</w:t>
            </w:r>
          </w:p>
        </w:tc>
        <w:tc>
          <w:tcPr>
            <w:tcW w:w="880" w:type="dxa"/>
          </w:tcPr>
          <w:p w14:paraId="14C74112" w14:textId="0B64BCBE" w:rsidR="00474357" w:rsidRPr="00E04507" w:rsidRDefault="00474357" w:rsidP="0047435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F243E" w:themeColor="text2" w:themeShade="80"/>
                <w:sz w:val="18"/>
                <w:szCs w:val="18"/>
              </w:rPr>
            </w:pPr>
            <w:r w:rsidRPr="00343E24">
              <w:rPr>
                <w:rFonts w:ascii="Arial" w:hAnsi="Arial" w:cs="Arial"/>
                <w:bCs/>
                <w:color w:val="0F243E" w:themeColor="text2" w:themeShade="80"/>
                <w:sz w:val="18"/>
                <w:szCs w:val="18"/>
              </w:rPr>
              <w:t>$</w:t>
            </w:r>
            <w:r w:rsidR="002C7619">
              <w:rPr>
                <w:rFonts w:ascii="Arial" w:hAnsi="Arial" w:cs="Arial"/>
                <w:bCs/>
                <w:color w:val="0F243E" w:themeColor="text2" w:themeShade="80"/>
                <w:sz w:val="18"/>
                <w:szCs w:val="18"/>
              </w:rPr>
              <w:t>290</w:t>
            </w:r>
            <w:r w:rsidRPr="00343E24">
              <w:rPr>
                <w:rFonts w:ascii="Arial" w:hAnsi="Arial" w:cs="Arial"/>
                <w:bCs/>
                <w:color w:val="0F243E" w:themeColor="text2" w:themeShade="80"/>
                <w:sz w:val="18"/>
                <w:szCs w:val="18"/>
              </w:rPr>
              <w:t>M</w:t>
            </w:r>
          </w:p>
        </w:tc>
        <w:tc>
          <w:tcPr>
            <w:tcW w:w="881" w:type="dxa"/>
            <w:vAlign w:val="center"/>
          </w:tcPr>
          <w:p w14:paraId="3B181D17" w14:textId="57C73B55" w:rsidR="00474357" w:rsidRPr="00E04507" w:rsidRDefault="00474357" w:rsidP="0047435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F243E" w:themeColor="text2" w:themeShade="80"/>
                <w:sz w:val="18"/>
                <w:szCs w:val="18"/>
              </w:rPr>
            </w:pPr>
            <w:r w:rsidRPr="00E04507">
              <w:rPr>
                <w:rFonts w:ascii="Arial" w:hAnsi="Arial" w:cs="Arial"/>
                <w:bCs/>
                <w:color w:val="0F243E" w:themeColor="text2" w:themeShade="80"/>
                <w:sz w:val="18"/>
                <w:szCs w:val="18"/>
              </w:rPr>
              <w:t>+</w:t>
            </w:r>
            <w:r w:rsidR="002C7619">
              <w:rPr>
                <w:rFonts w:ascii="Arial" w:hAnsi="Arial" w:cs="Arial"/>
                <w:bCs/>
                <w:color w:val="0F243E" w:themeColor="text2" w:themeShade="80"/>
                <w:sz w:val="18"/>
                <w:szCs w:val="18"/>
              </w:rPr>
              <w:t>10.6</w:t>
            </w:r>
            <w:r w:rsidRPr="00E04507">
              <w:rPr>
                <w:rFonts w:ascii="Arial" w:hAnsi="Arial" w:cs="Arial"/>
                <w:bCs/>
                <w:color w:val="0F243E" w:themeColor="text2" w:themeShade="80"/>
                <w:sz w:val="18"/>
                <w:szCs w:val="18"/>
              </w:rPr>
              <w:t>%</w:t>
            </w:r>
          </w:p>
        </w:tc>
        <w:tc>
          <w:tcPr>
            <w:tcW w:w="881" w:type="dxa"/>
            <w:vAlign w:val="center"/>
          </w:tcPr>
          <w:p w14:paraId="2720D51F" w14:textId="59F1660E" w:rsidR="00474357" w:rsidRPr="00E04507" w:rsidRDefault="00474357" w:rsidP="0047435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F243E" w:themeColor="text2" w:themeShade="80"/>
                <w:sz w:val="18"/>
                <w:szCs w:val="18"/>
              </w:rPr>
            </w:pPr>
            <w:r w:rsidRPr="00E04507">
              <w:rPr>
                <w:rFonts w:ascii="Arial" w:hAnsi="Arial" w:cs="Arial"/>
                <w:bCs/>
                <w:color w:val="0F243E" w:themeColor="text2" w:themeShade="80"/>
                <w:sz w:val="18"/>
                <w:szCs w:val="18"/>
              </w:rPr>
              <w:t>+</w:t>
            </w:r>
            <w:r w:rsidR="002C7619">
              <w:rPr>
                <w:rFonts w:ascii="Arial" w:hAnsi="Arial" w:cs="Arial"/>
                <w:bCs/>
                <w:color w:val="0F243E" w:themeColor="text2" w:themeShade="80"/>
                <w:sz w:val="18"/>
                <w:szCs w:val="18"/>
              </w:rPr>
              <w:t>10.4</w:t>
            </w:r>
            <w:r w:rsidRPr="00E04507">
              <w:rPr>
                <w:rFonts w:ascii="Arial" w:hAnsi="Arial" w:cs="Arial"/>
                <w:bCs/>
                <w:color w:val="0F243E" w:themeColor="text2" w:themeShade="80"/>
                <w:sz w:val="18"/>
                <w:szCs w:val="18"/>
              </w:rPr>
              <w:t>%</w:t>
            </w:r>
          </w:p>
        </w:tc>
      </w:tr>
      <w:tr w:rsidR="001946FE" w14:paraId="3FA91F06" w14:textId="77777777" w:rsidTr="00107812">
        <w:trPr>
          <w:trHeight w:val="253"/>
        </w:trPr>
        <w:tc>
          <w:tcPr>
            <w:cnfStyle w:val="001000000000" w:firstRow="0" w:lastRow="0" w:firstColumn="1" w:lastColumn="0" w:oddVBand="0" w:evenVBand="0" w:oddHBand="0" w:evenHBand="0" w:firstRowFirstColumn="0" w:firstRowLastColumn="0" w:lastRowFirstColumn="0" w:lastRowLastColumn="0"/>
            <w:tcW w:w="1544" w:type="dxa"/>
            <w:vAlign w:val="center"/>
          </w:tcPr>
          <w:p w14:paraId="6809713D" w14:textId="77777777" w:rsidR="001946FE" w:rsidRPr="00E04507" w:rsidRDefault="001946FE" w:rsidP="00107812">
            <w:pPr>
              <w:pStyle w:val="NoSpacing"/>
              <w:jc w:val="right"/>
              <w:rPr>
                <w:rFonts w:ascii="Arial" w:hAnsi="Arial" w:cs="Arial"/>
                <w:b w:val="0"/>
                <w:color w:val="0F243E" w:themeColor="text2" w:themeShade="80"/>
                <w:sz w:val="18"/>
                <w:szCs w:val="18"/>
              </w:rPr>
            </w:pPr>
            <w:r w:rsidRPr="00E04507">
              <w:rPr>
                <w:rFonts w:ascii="Arial" w:hAnsi="Arial" w:cs="Arial"/>
                <w:b w:val="0"/>
                <w:color w:val="0F243E" w:themeColor="text2" w:themeShade="80"/>
                <w:sz w:val="18"/>
                <w:szCs w:val="18"/>
              </w:rPr>
              <w:t xml:space="preserve">  Bananas</w:t>
            </w:r>
          </w:p>
        </w:tc>
        <w:tc>
          <w:tcPr>
            <w:tcW w:w="880" w:type="dxa"/>
            <w:vAlign w:val="center"/>
          </w:tcPr>
          <w:p w14:paraId="4D4A2560" w14:textId="77777777" w:rsidR="001946FE" w:rsidRPr="00E04507" w:rsidRDefault="001946FE" w:rsidP="0010781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F243E" w:themeColor="text2" w:themeShade="80"/>
                <w:sz w:val="18"/>
                <w:szCs w:val="18"/>
              </w:rPr>
            </w:pPr>
            <w:r w:rsidRPr="00E04507">
              <w:rPr>
                <w:rFonts w:ascii="Arial" w:hAnsi="Arial" w:cs="Arial"/>
                <w:color w:val="0F243E" w:themeColor="text2" w:themeShade="80"/>
                <w:sz w:val="18"/>
                <w:szCs w:val="18"/>
              </w:rPr>
              <w:t>+5.6%</w:t>
            </w:r>
          </w:p>
        </w:tc>
        <w:tc>
          <w:tcPr>
            <w:tcW w:w="881" w:type="dxa"/>
            <w:vAlign w:val="center"/>
          </w:tcPr>
          <w:p w14:paraId="3088A327" w14:textId="77777777" w:rsidR="001946FE" w:rsidRPr="00E04507" w:rsidRDefault="001946FE" w:rsidP="0010781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F243E" w:themeColor="text2" w:themeShade="80"/>
                <w:sz w:val="18"/>
                <w:szCs w:val="18"/>
              </w:rPr>
            </w:pPr>
            <w:r w:rsidRPr="00E04507">
              <w:rPr>
                <w:rFonts w:ascii="Arial" w:hAnsi="Arial" w:cs="Arial"/>
                <w:color w:val="0F243E" w:themeColor="text2" w:themeShade="80"/>
                <w:sz w:val="18"/>
                <w:szCs w:val="18"/>
              </w:rPr>
              <w:t>+6.2%</w:t>
            </w:r>
          </w:p>
        </w:tc>
        <w:tc>
          <w:tcPr>
            <w:tcW w:w="880" w:type="dxa"/>
            <w:vAlign w:val="center"/>
          </w:tcPr>
          <w:p w14:paraId="04E7C964" w14:textId="77777777" w:rsidR="001946FE" w:rsidRPr="00E04507" w:rsidRDefault="001946FE" w:rsidP="0010781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F243E" w:themeColor="text2" w:themeShade="80"/>
                <w:sz w:val="18"/>
                <w:szCs w:val="18"/>
              </w:rPr>
            </w:pPr>
            <w:r w:rsidRPr="00E04507">
              <w:rPr>
                <w:rFonts w:ascii="Arial" w:hAnsi="Arial" w:cs="Arial"/>
                <w:color w:val="0F243E" w:themeColor="text2" w:themeShade="80"/>
                <w:sz w:val="18"/>
                <w:szCs w:val="18"/>
              </w:rPr>
              <w:t>+0.5%</w:t>
            </w:r>
          </w:p>
        </w:tc>
        <w:tc>
          <w:tcPr>
            <w:tcW w:w="881" w:type="dxa"/>
            <w:vAlign w:val="center"/>
          </w:tcPr>
          <w:p w14:paraId="4B25B9F9" w14:textId="77777777" w:rsidR="001946FE" w:rsidRPr="00E04507" w:rsidRDefault="001946FE" w:rsidP="0010781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F243E" w:themeColor="text2" w:themeShade="80"/>
                <w:sz w:val="18"/>
                <w:szCs w:val="18"/>
              </w:rPr>
            </w:pPr>
            <w:r w:rsidRPr="00E04507">
              <w:rPr>
                <w:rFonts w:ascii="Arial" w:hAnsi="Arial" w:cs="Arial"/>
                <w:color w:val="0F243E" w:themeColor="text2" w:themeShade="80"/>
                <w:sz w:val="18"/>
                <w:szCs w:val="18"/>
              </w:rPr>
              <w:t>+1.9%</w:t>
            </w:r>
          </w:p>
        </w:tc>
        <w:tc>
          <w:tcPr>
            <w:tcW w:w="881" w:type="dxa"/>
            <w:vAlign w:val="center"/>
          </w:tcPr>
          <w:p w14:paraId="015C6B97" w14:textId="77777777" w:rsidR="001946FE" w:rsidRPr="00E04507" w:rsidRDefault="001946FE" w:rsidP="0010781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F243E" w:themeColor="text2" w:themeShade="80"/>
                <w:sz w:val="18"/>
                <w:szCs w:val="18"/>
              </w:rPr>
            </w:pPr>
            <w:r w:rsidRPr="00E04507">
              <w:rPr>
                <w:rFonts w:ascii="Arial" w:hAnsi="Arial" w:cs="Arial"/>
                <w:color w:val="0F243E" w:themeColor="text2" w:themeShade="80"/>
                <w:sz w:val="18"/>
                <w:szCs w:val="18"/>
              </w:rPr>
              <w:t>-0.6%</w:t>
            </w:r>
          </w:p>
        </w:tc>
        <w:tc>
          <w:tcPr>
            <w:tcW w:w="880" w:type="dxa"/>
            <w:vAlign w:val="center"/>
          </w:tcPr>
          <w:p w14:paraId="51982312" w14:textId="77777777" w:rsidR="001946FE" w:rsidRPr="00E04507" w:rsidRDefault="001946FE" w:rsidP="0010781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F243E" w:themeColor="text2" w:themeShade="80"/>
                <w:sz w:val="18"/>
                <w:szCs w:val="18"/>
              </w:rPr>
            </w:pPr>
            <w:r w:rsidRPr="00E04507">
              <w:rPr>
                <w:rFonts w:ascii="Arial" w:hAnsi="Arial" w:cs="Arial"/>
                <w:bCs/>
                <w:color w:val="0F243E" w:themeColor="text2" w:themeShade="80"/>
                <w:sz w:val="18"/>
                <w:szCs w:val="18"/>
              </w:rPr>
              <w:t>-1.8%</w:t>
            </w:r>
          </w:p>
        </w:tc>
        <w:tc>
          <w:tcPr>
            <w:tcW w:w="881" w:type="dxa"/>
            <w:vAlign w:val="center"/>
          </w:tcPr>
          <w:p w14:paraId="5486519D" w14:textId="77777777" w:rsidR="001946FE" w:rsidRPr="00E04507" w:rsidRDefault="001946FE" w:rsidP="00107812">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F243E" w:themeColor="text2" w:themeShade="80"/>
                <w:sz w:val="18"/>
                <w:szCs w:val="18"/>
              </w:rPr>
            </w:pPr>
            <w:r>
              <w:rPr>
                <w:rFonts w:ascii="Arial" w:hAnsi="Arial" w:cs="Arial"/>
                <w:bCs/>
                <w:color w:val="0F243E" w:themeColor="text2" w:themeShade="80"/>
                <w:sz w:val="18"/>
                <w:szCs w:val="18"/>
              </w:rPr>
              <w:t>+4.2%</w:t>
            </w:r>
          </w:p>
        </w:tc>
        <w:tc>
          <w:tcPr>
            <w:tcW w:w="880" w:type="dxa"/>
          </w:tcPr>
          <w:p w14:paraId="3FF5E4CD" w14:textId="570D5286" w:rsidR="001946FE" w:rsidRPr="00E04507" w:rsidRDefault="001946FE" w:rsidP="0010781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F243E" w:themeColor="text2" w:themeShade="80"/>
                <w:sz w:val="18"/>
                <w:szCs w:val="18"/>
              </w:rPr>
            </w:pPr>
            <w:r w:rsidRPr="00343E24">
              <w:rPr>
                <w:rFonts w:ascii="Arial" w:hAnsi="Arial" w:cs="Arial"/>
                <w:bCs/>
                <w:color w:val="0F243E" w:themeColor="text2" w:themeShade="80"/>
                <w:sz w:val="18"/>
                <w:szCs w:val="18"/>
              </w:rPr>
              <w:t>$</w:t>
            </w:r>
            <w:r w:rsidR="002C7619">
              <w:rPr>
                <w:rFonts w:ascii="Arial" w:hAnsi="Arial" w:cs="Arial"/>
                <w:bCs/>
                <w:color w:val="0F243E" w:themeColor="text2" w:themeShade="80"/>
                <w:sz w:val="18"/>
                <w:szCs w:val="18"/>
              </w:rPr>
              <w:t>235</w:t>
            </w:r>
            <w:r w:rsidRPr="00343E24">
              <w:rPr>
                <w:rFonts w:ascii="Arial" w:hAnsi="Arial" w:cs="Arial"/>
                <w:bCs/>
                <w:color w:val="0F243E" w:themeColor="text2" w:themeShade="80"/>
                <w:sz w:val="18"/>
                <w:szCs w:val="18"/>
              </w:rPr>
              <w:t>M</w:t>
            </w:r>
          </w:p>
        </w:tc>
        <w:tc>
          <w:tcPr>
            <w:tcW w:w="881" w:type="dxa"/>
            <w:vAlign w:val="center"/>
          </w:tcPr>
          <w:p w14:paraId="57577479" w14:textId="066D1615" w:rsidR="001946FE" w:rsidRPr="00E04507" w:rsidRDefault="001946FE" w:rsidP="0010781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F243E" w:themeColor="text2" w:themeShade="80"/>
                <w:sz w:val="18"/>
                <w:szCs w:val="18"/>
              </w:rPr>
            </w:pPr>
            <w:r w:rsidRPr="00E04507">
              <w:rPr>
                <w:rFonts w:ascii="Arial" w:hAnsi="Arial" w:cs="Arial"/>
                <w:bCs/>
                <w:color w:val="0F243E" w:themeColor="text2" w:themeShade="80"/>
                <w:sz w:val="18"/>
                <w:szCs w:val="18"/>
              </w:rPr>
              <w:t>+</w:t>
            </w:r>
            <w:r w:rsidR="002C7619">
              <w:rPr>
                <w:rFonts w:ascii="Arial" w:hAnsi="Arial" w:cs="Arial"/>
                <w:bCs/>
                <w:color w:val="0F243E" w:themeColor="text2" w:themeShade="80"/>
                <w:sz w:val="18"/>
                <w:szCs w:val="18"/>
              </w:rPr>
              <w:t>1.8</w:t>
            </w:r>
            <w:r w:rsidRPr="00E04507">
              <w:rPr>
                <w:rFonts w:ascii="Arial" w:hAnsi="Arial" w:cs="Arial"/>
                <w:bCs/>
                <w:color w:val="0F243E" w:themeColor="text2" w:themeShade="80"/>
                <w:sz w:val="18"/>
                <w:szCs w:val="18"/>
              </w:rPr>
              <w:t>%</w:t>
            </w:r>
          </w:p>
        </w:tc>
        <w:tc>
          <w:tcPr>
            <w:tcW w:w="881" w:type="dxa"/>
            <w:vAlign w:val="center"/>
          </w:tcPr>
          <w:p w14:paraId="511C244B" w14:textId="7F5D41D9" w:rsidR="001946FE" w:rsidRPr="00E04507" w:rsidRDefault="001946FE" w:rsidP="0010781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F243E" w:themeColor="text2" w:themeShade="80"/>
                <w:sz w:val="18"/>
                <w:szCs w:val="18"/>
              </w:rPr>
            </w:pPr>
            <w:r w:rsidRPr="00E04507">
              <w:rPr>
                <w:rFonts w:ascii="Arial" w:hAnsi="Arial" w:cs="Arial"/>
                <w:bCs/>
                <w:color w:val="0F243E" w:themeColor="text2" w:themeShade="80"/>
                <w:sz w:val="18"/>
                <w:szCs w:val="18"/>
              </w:rPr>
              <w:t>+</w:t>
            </w:r>
            <w:r w:rsidR="002C7619">
              <w:rPr>
                <w:rFonts w:ascii="Arial" w:hAnsi="Arial" w:cs="Arial"/>
                <w:bCs/>
                <w:color w:val="0F243E" w:themeColor="text2" w:themeShade="80"/>
                <w:sz w:val="18"/>
                <w:szCs w:val="18"/>
              </w:rPr>
              <w:t>3.8</w:t>
            </w:r>
            <w:r w:rsidRPr="00E04507">
              <w:rPr>
                <w:rFonts w:ascii="Arial" w:hAnsi="Arial" w:cs="Arial"/>
                <w:bCs/>
                <w:color w:val="0F243E" w:themeColor="text2" w:themeShade="80"/>
                <w:sz w:val="18"/>
                <w:szCs w:val="18"/>
              </w:rPr>
              <w:t>%</w:t>
            </w:r>
          </w:p>
        </w:tc>
      </w:tr>
      <w:tr w:rsidR="002C7619" w14:paraId="0FA2BCEE" w14:textId="77777777" w:rsidTr="00046C74">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544" w:type="dxa"/>
            <w:vAlign w:val="center"/>
          </w:tcPr>
          <w:p w14:paraId="03C4E10C" w14:textId="77777777" w:rsidR="002C7619" w:rsidRPr="00E04507" w:rsidRDefault="002C7619" w:rsidP="002C7619">
            <w:pPr>
              <w:pStyle w:val="NoSpacing"/>
              <w:jc w:val="right"/>
              <w:rPr>
                <w:rFonts w:ascii="Arial" w:hAnsi="Arial" w:cs="Arial"/>
                <w:b w:val="0"/>
                <w:color w:val="0F243E" w:themeColor="text2" w:themeShade="80"/>
                <w:sz w:val="18"/>
                <w:szCs w:val="18"/>
              </w:rPr>
            </w:pPr>
            <w:r w:rsidRPr="00E04507">
              <w:rPr>
                <w:rFonts w:ascii="Arial" w:hAnsi="Arial" w:cs="Arial"/>
                <w:b w:val="0"/>
                <w:color w:val="0F243E" w:themeColor="text2" w:themeShade="80"/>
                <w:sz w:val="18"/>
                <w:szCs w:val="18"/>
              </w:rPr>
              <w:t xml:space="preserve">  Avocados</w:t>
            </w:r>
          </w:p>
        </w:tc>
        <w:tc>
          <w:tcPr>
            <w:tcW w:w="880" w:type="dxa"/>
            <w:vAlign w:val="center"/>
          </w:tcPr>
          <w:p w14:paraId="32FA36C4" w14:textId="77777777" w:rsidR="002C7619" w:rsidRPr="00E04507" w:rsidRDefault="002C7619" w:rsidP="002C7619">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F243E" w:themeColor="text2" w:themeShade="80"/>
                <w:sz w:val="18"/>
                <w:szCs w:val="18"/>
              </w:rPr>
            </w:pPr>
            <w:r w:rsidRPr="00E04507">
              <w:rPr>
                <w:rFonts w:ascii="Arial" w:hAnsi="Arial" w:cs="Arial"/>
                <w:color w:val="0F243E" w:themeColor="text2" w:themeShade="80"/>
                <w:sz w:val="18"/>
                <w:szCs w:val="18"/>
              </w:rPr>
              <w:t>+6.6%</w:t>
            </w:r>
          </w:p>
        </w:tc>
        <w:tc>
          <w:tcPr>
            <w:tcW w:w="881" w:type="dxa"/>
            <w:vAlign w:val="center"/>
          </w:tcPr>
          <w:p w14:paraId="4413D9E4" w14:textId="77777777" w:rsidR="002C7619" w:rsidRPr="00E04507" w:rsidRDefault="002C7619" w:rsidP="002C7619">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F243E" w:themeColor="text2" w:themeShade="80"/>
                <w:sz w:val="18"/>
                <w:szCs w:val="18"/>
              </w:rPr>
            </w:pPr>
            <w:r w:rsidRPr="00E04507">
              <w:rPr>
                <w:rFonts w:ascii="Arial" w:hAnsi="Arial" w:cs="Arial"/>
                <w:color w:val="0F243E" w:themeColor="text2" w:themeShade="80"/>
                <w:sz w:val="18"/>
                <w:szCs w:val="18"/>
              </w:rPr>
              <w:t>+14.6%</w:t>
            </w:r>
          </w:p>
        </w:tc>
        <w:tc>
          <w:tcPr>
            <w:tcW w:w="880" w:type="dxa"/>
            <w:vAlign w:val="center"/>
          </w:tcPr>
          <w:p w14:paraId="489ACDC1" w14:textId="77777777" w:rsidR="002C7619" w:rsidRPr="00E04507" w:rsidRDefault="002C7619" w:rsidP="002C7619">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F243E" w:themeColor="text2" w:themeShade="80"/>
                <w:sz w:val="18"/>
                <w:szCs w:val="18"/>
              </w:rPr>
            </w:pPr>
            <w:r w:rsidRPr="00E04507">
              <w:rPr>
                <w:rFonts w:ascii="Arial" w:hAnsi="Arial" w:cs="Arial"/>
                <w:color w:val="0F243E" w:themeColor="text2" w:themeShade="80"/>
                <w:sz w:val="18"/>
                <w:szCs w:val="18"/>
              </w:rPr>
              <w:t>+2.2%</w:t>
            </w:r>
          </w:p>
        </w:tc>
        <w:tc>
          <w:tcPr>
            <w:tcW w:w="881" w:type="dxa"/>
            <w:vAlign w:val="center"/>
          </w:tcPr>
          <w:p w14:paraId="75D43B5A" w14:textId="77777777" w:rsidR="002C7619" w:rsidRPr="00E04507" w:rsidRDefault="002C7619" w:rsidP="002C7619">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F243E" w:themeColor="text2" w:themeShade="80"/>
                <w:sz w:val="18"/>
                <w:szCs w:val="18"/>
              </w:rPr>
            </w:pPr>
            <w:r w:rsidRPr="00E04507">
              <w:rPr>
                <w:rFonts w:ascii="Arial" w:hAnsi="Arial" w:cs="Arial"/>
                <w:color w:val="0F243E" w:themeColor="text2" w:themeShade="80"/>
                <w:sz w:val="18"/>
                <w:szCs w:val="18"/>
              </w:rPr>
              <w:t>+6.1%</w:t>
            </w:r>
          </w:p>
        </w:tc>
        <w:tc>
          <w:tcPr>
            <w:tcW w:w="881" w:type="dxa"/>
            <w:vAlign w:val="center"/>
          </w:tcPr>
          <w:p w14:paraId="69F5EE85" w14:textId="77777777" w:rsidR="002C7619" w:rsidRPr="00E04507" w:rsidRDefault="002C7619" w:rsidP="002C7619">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F243E" w:themeColor="text2" w:themeShade="80"/>
                <w:sz w:val="18"/>
                <w:szCs w:val="18"/>
              </w:rPr>
            </w:pPr>
            <w:r w:rsidRPr="00E04507">
              <w:rPr>
                <w:rFonts w:ascii="Arial" w:hAnsi="Arial" w:cs="Arial"/>
                <w:color w:val="0F243E" w:themeColor="text2" w:themeShade="80"/>
                <w:sz w:val="18"/>
                <w:szCs w:val="18"/>
              </w:rPr>
              <w:t>-0.9%</w:t>
            </w:r>
          </w:p>
        </w:tc>
        <w:tc>
          <w:tcPr>
            <w:tcW w:w="880" w:type="dxa"/>
            <w:vAlign w:val="center"/>
          </w:tcPr>
          <w:p w14:paraId="1ACC43DA" w14:textId="77777777" w:rsidR="002C7619" w:rsidRPr="00E04507" w:rsidRDefault="002C7619" w:rsidP="002C7619">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F243E" w:themeColor="text2" w:themeShade="80"/>
                <w:sz w:val="18"/>
                <w:szCs w:val="18"/>
              </w:rPr>
            </w:pPr>
            <w:r w:rsidRPr="00E04507">
              <w:rPr>
                <w:rFonts w:ascii="Arial" w:hAnsi="Arial" w:cs="Arial"/>
                <w:bCs/>
                <w:color w:val="0F243E" w:themeColor="text2" w:themeShade="80"/>
                <w:sz w:val="18"/>
                <w:szCs w:val="18"/>
              </w:rPr>
              <w:t>-9.8%</w:t>
            </w:r>
          </w:p>
        </w:tc>
        <w:tc>
          <w:tcPr>
            <w:tcW w:w="881" w:type="dxa"/>
            <w:vAlign w:val="center"/>
          </w:tcPr>
          <w:p w14:paraId="2953CC60" w14:textId="77777777" w:rsidR="002C7619" w:rsidRPr="00E04507" w:rsidRDefault="002C7619" w:rsidP="002C7619">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0F243E" w:themeColor="text2" w:themeShade="80"/>
                <w:sz w:val="18"/>
                <w:szCs w:val="18"/>
              </w:rPr>
            </w:pPr>
            <w:r>
              <w:rPr>
                <w:rFonts w:ascii="Arial" w:hAnsi="Arial" w:cs="Arial"/>
                <w:bCs/>
                <w:color w:val="0F243E" w:themeColor="text2" w:themeShade="80"/>
                <w:sz w:val="18"/>
                <w:szCs w:val="18"/>
              </w:rPr>
              <w:t>-3.4%</w:t>
            </w:r>
          </w:p>
        </w:tc>
        <w:tc>
          <w:tcPr>
            <w:tcW w:w="880" w:type="dxa"/>
          </w:tcPr>
          <w:p w14:paraId="0ED451F9" w14:textId="0C9B3174" w:rsidR="002C7619" w:rsidRPr="00E04507" w:rsidRDefault="002C7619" w:rsidP="002C7619">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F243E" w:themeColor="text2" w:themeShade="80"/>
                <w:sz w:val="18"/>
                <w:szCs w:val="18"/>
              </w:rPr>
            </w:pPr>
            <w:r w:rsidRPr="00343E24">
              <w:rPr>
                <w:rFonts w:ascii="Arial" w:hAnsi="Arial" w:cs="Arial"/>
                <w:bCs/>
                <w:color w:val="0F243E" w:themeColor="text2" w:themeShade="80"/>
                <w:sz w:val="18"/>
                <w:szCs w:val="18"/>
              </w:rPr>
              <w:t>$</w:t>
            </w:r>
            <w:r>
              <w:rPr>
                <w:rFonts w:ascii="Arial" w:hAnsi="Arial" w:cs="Arial"/>
                <w:bCs/>
                <w:color w:val="0F243E" w:themeColor="text2" w:themeShade="80"/>
                <w:sz w:val="18"/>
                <w:szCs w:val="18"/>
              </w:rPr>
              <w:t>167</w:t>
            </w:r>
            <w:r w:rsidRPr="00343E24">
              <w:rPr>
                <w:rFonts w:ascii="Arial" w:hAnsi="Arial" w:cs="Arial"/>
                <w:bCs/>
                <w:color w:val="0F243E" w:themeColor="text2" w:themeShade="80"/>
                <w:sz w:val="18"/>
                <w:szCs w:val="18"/>
              </w:rPr>
              <w:t>M</w:t>
            </w:r>
          </w:p>
        </w:tc>
        <w:tc>
          <w:tcPr>
            <w:tcW w:w="881" w:type="dxa"/>
            <w:vAlign w:val="center"/>
          </w:tcPr>
          <w:p w14:paraId="025981CC" w14:textId="561154B0" w:rsidR="002C7619" w:rsidRPr="00E04507" w:rsidRDefault="002C7619" w:rsidP="002C7619">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F243E" w:themeColor="text2" w:themeShade="80"/>
                <w:sz w:val="18"/>
                <w:szCs w:val="18"/>
              </w:rPr>
            </w:pPr>
            <w:r>
              <w:rPr>
                <w:rFonts w:ascii="Arial" w:hAnsi="Arial" w:cs="Arial"/>
                <w:bCs/>
                <w:color w:val="0F243E" w:themeColor="text2" w:themeShade="80"/>
                <w:sz w:val="18"/>
                <w:szCs w:val="18"/>
              </w:rPr>
              <w:t>+9.5</w:t>
            </w:r>
            <w:r w:rsidRPr="00E04507">
              <w:rPr>
                <w:rFonts w:ascii="Arial" w:hAnsi="Arial" w:cs="Arial"/>
                <w:bCs/>
                <w:color w:val="0F243E" w:themeColor="text2" w:themeShade="80"/>
                <w:sz w:val="18"/>
                <w:szCs w:val="18"/>
              </w:rPr>
              <w:t>%</w:t>
            </w:r>
          </w:p>
        </w:tc>
        <w:tc>
          <w:tcPr>
            <w:tcW w:w="881" w:type="dxa"/>
            <w:vAlign w:val="center"/>
          </w:tcPr>
          <w:p w14:paraId="3ED51566" w14:textId="73D2D791" w:rsidR="002C7619" w:rsidRPr="00E04507" w:rsidRDefault="002C7619" w:rsidP="002C7619">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F243E" w:themeColor="text2" w:themeShade="80"/>
                <w:sz w:val="18"/>
                <w:szCs w:val="18"/>
              </w:rPr>
            </w:pPr>
            <w:r w:rsidRPr="00E04507">
              <w:rPr>
                <w:rFonts w:ascii="Arial" w:hAnsi="Arial" w:cs="Arial"/>
                <w:bCs/>
                <w:color w:val="0F243E" w:themeColor="text2" w:themeShade="80"/>
                <w:sz w:val="18"/>
                <w:szCs w:val="18"/>
              </w:rPr>
              <w:t>+</w:t>
            </w:r>
            <w:r>
              <w:rPr>
                <w:rFonts w:ascii="Arial" w:hAnsi="Arial" w:cs="Arial"/>
                <w:bCs/>
                <w:color w:val="0F243E" w:themeColor="text2" w:themeShade="80"/>
                <w:sz w:val="18"/>
                <w:szCs w:val="18"/>
              </w:rPr>
              <w:t>16.2</w:t>
            </w:r>
            <w:r w:rsidRPr="00E04507">
              <w:rPr>
                <w:rFonts w:ascii="Arial" w:hAnsi="Arial" w:cs="Arial"/>
                <w:bCs/>
                <w:color w:val="0F243E" w:themeColor="text2" w:themeShade="80"/>
                <w:sz w:val="18"/>
                <w:szCs w:val="18"/>
              </w:rPr>
              <w:t>%</w:t>
            </w:r>
          </w:p>
        </w:tc>
      </w:tr>
      <w:tr w:rsidR="002C7619" w14:paraId="2C503E0D" w14:textId="77777777" w:rsidTr="00046C74">
        <w:trPr>
          <w:trHeight w:val="253"/>
        </w:trPr>
        <w:tc>
          <w:tcPr>
            <w:cnfStyle w:val="001000000000" w:firstRow="0" w:lastRow="0" w:firstColumn="1" w:lastColumn="0" w:oddVBand="0" w:evenVBand="0" w:oddHBand="0" w:evenHBand="0" w:firstRowFirstColumn="0" w:firstRowLastColumn="0" w:lastRowFirstColumn="0" w:lastRowLastColumn="0"/>
            <w:tcW w:w="1544" w:type="dxa"/>
            <w:vAlign w:val="center"/>
          </w:tcPr>
          <w:p w14:paraId="241BEE2A" w14:textId="77777777" w:rsidR="002C7619" w:rsidRPr="00E04507" w:rsidRDefault="002C7619" w:rsidP="002C7619">
            <w:pPr>
              <w:pStyle w:val="NoSpacing"/>
              <w:jc w:val="right"/>
              <w:rPr>
                <w:rFonts w:ascii="Arial" w:hAnsi="Arial" w:cs="Arial"/>
                <w:b w:val="0"/>
                <w:color w:val="0F243E" w:themeColor="text2" w:themeShade="80"/>
                <w:sz w:val="18"/>
                <w:szCs w:val="18"/>
              </w:rPr>
            </w:pPr>
            <w:r w:rsidRPr="00E04507">
              <w:rPr>
                <w:rFonts w:ascii="Arial" w:hAnsi="Arial" w:cs="Arial"/>
                <w:b w:val="0"/>
                <w:color w:val="0F243E" w:themeColor="text2" w:themeShade="80"/>
                <w:sz w:val="18"/>
                <w:szCs w:val="18"/>
              </w:rPr>
              <w:t xml:space="preserve"> Mandarins</w:t>
            </w:r>
          </w:p>
        </w:tc>
        <w:tc>
          <w:tcPr>
            <w:tcW w:w="880" w:type="dxa"/>
            <w:vAlign w:val="center"/>
          </w:tcPr>
          <w:p w14:paraId="5E8C8BE3" w14:textId="77777777" w:rsidR="002C7619" w:rsidRPr="00E04507" w:rsidRDefault="002C7619" w:rsidP="002C761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F243E" w:themeColor="text2" w:themeShade="80"/>
                <w:sz w:val="18"/>
                <w:szCs w:val="18"/>
              </w:rPr>
            </w:pPr>
            <w:r w:rsidRPr="00E04507">
              <w:rPr>
                <w:rFonts w:ascii="Arial" w:hAnsi="Arial" w:cs="Arial"/>
                <w:color w:val="0F243E" w:themeColor="text2" w:themeShade="80"/>
                <w:sz w:val="18"/>
                <w:szCs w:val="18"/>
              </w:rPr>
              <w:t>+7.2%</w:t>
            </w:r>
          </w:p>
        </w:tc>
        <w:tc>
          <w:tcPr>
            <w:tcW w:w="881" w:type="dxa"/>
            <w:vAlign w:val="center"/>
          </w:tcPr>
          <w:p w14:paraId="50DF5A02" w14:textId="77777777" w:rsidR="002C7619" w:rsidRPr="00E04507" w:rsidRDefault="002C7619" w:rsidP="002C761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F243E" w:themeColor="text2" w:themeShade="80"/>
                <w:sz w:val="18"/>
                <w:szCs w:val="18"/>
              </w:rPr>
            </w:pPr>
            <w:r w:rsidRPr="00E04507">
              <w:rPr>
                <w:rFonts w:ascii="Arial" w:hAnsi="Arial" w:cs="Arial"/>
                <w:color w:val="0F243E" w:themeColor="text2" w:themeShade="80"/>
                <w:sz w:val="18"/>
                <w:szCs w:val="18"/>
              </w:rPr>
              <w:t>+7.5%</w:t>
            </w:r>
          </w:p>
        </w:tc>
        <w:tc>
          <w:tcPr>
            <w:tcW w:w="880" w:type="dxa"/>
            <w:vAlign w:val="center"/>
          </w:tcPr>
          <w:p w14:paraId="238CD0B3" w14:textId="77777777" w:rsidR="002C7619" w:rsidRPr="00E04507" w:rsidRDefault="002C7619" w:rsidP="002C761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F243E" w:themeColor="text2" w:themeShade="80"/>
                <w:sz w:val="18"/>
                <w:szCs w:val="18"/>
              </w:rPr>
            </w:pPr>
            <w:r w:rsidRPr="00E04507">
              <w:rPr>
                <w:rFonts w:ascii="Arial" w:hAnsi="Arial" w:cs="Arial"/>
                <w:color w:val="0F243E" w:themeColor="text2" w:themeShade="80"/>
                <w:sz w:val="18"/>
                <w:szCs w:val="18"/>
              </w:rPr>
              <w:t>+13.5%</w:t>
            </w:r>
          </w:p>
        </w:tc>
        <w:tc>
          <w:tcPr>
            <w:tcW w:w="881" w:type="dxa"/>
            <w:vAlign w:val="center"/>
          </w:tcPr>
          <w:p w14:paraId="6C2F31ED" w14:textId="77777777" w:rsidR="002C7619" w:rsidRPr="00E04507" w:rsidRDefault="002C7619" w:rsidP="002C761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F243E" w:themeColor="text2" w:themeShade="80"/>
                <w:sz w:val="18"/>
                <w:szCs w:val="18"/>
              </w:rPr>
            </w:pPr>
            <w:r w:rsidRPr="00E04507">
              <w:rPr>
                <w:rFonts w:ascii="Arial" w:hAnsi="Arial" w:cs="Arial"/>
                <w:color w:val="0F243E" w:themeColor="text2" w:themeShade="80"/>
                <w:sz w:val="18"/>
                <w:szCs w:val="18"/>
              </w:rPr>
              <w:t>+15.7%</w:t>
            </w:r>
          </w:p>
        </w:tc>
        <w:tc>
          <w:tcPr>
            <w:tcW w:w="881" w:type="dxa"/>
            <w:vAlign w:val="center"/>
          </w:tcPr>
          <w:p w14:paraId="699B3533" w14:textId="77777777" w:rsidR="002C7619" w:rsidRPr="00E04507" w:rsidRDefault="002C7619" w:rsidP="002C761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F243E" w:themeColor="text2" w:themeShade="80"/>
                <w:sz w:val="18"/>
                <w:szCs w:val="18"/>
              </w:rPr>
            </w:pPr>
            <w:r w:rsidRPr="00E04507">
              <w:rPr>
                <w:rFonts w:ascii="Arial" w:hAnsi="Arial" w:cs="Arial"/>
                <w:color w:val="0F243E" w:themeColor="text2" w:themeShade="80"/>
                <w:sz w:val="18"/>
                <w:szCs w:val="18"/>
              </w:rPr>
              <w:t>-1.0%</w:t>
            </w:r>
          </w:p>
        </w:tc>
        <w:tc>
          <w:tcPr>
            <w:tcW w:w="880" w:type="dxa"/>
            <w:vAlign w:val="center"/>
          </w:tcPr>
          <w:p w14:paraId="0254D925" w14:textId="77777777" w:rsidR="002C7619" w:rsidRPr="00E04507" w:rsidRDefault="002C7619" w:rsidP="002C761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F243E" w:themeColor="text2" w:themeShade="80"/>
                <w:sz w:val="18"/>
                <w:szCs w:val="18"/>
              </w:rPr>
            </w:pPr>
            <w:r w:rsidRPr="00E04507">
              <w:rPr>
                <w:rFonts w:ascii="Arial" w:hAnsi="Arial" w:cs="Arial"/>
                <w:bCs/>
                <w:color w:val="0F243E" w:themeColor="text2" w:themeShade="80"/>
                <w:sz w:val="18"/>
                <w:szCs w:val="18"/>
              </w:rPr>
              <w:t>+14.2%</w:t>
            </w:r>
          </w:p>
        </w:tc>
        <w:tc>
          <w:tcPr>
            <w:tcW w:w="881" w:type="dxa"/>
            <w:vAlign w:val="center"/>
          </w:tcPr>
          <w:p w14:paraId="0C1B1E56" w14:textId="77777777" w:rsidR="002C7619" w:rsidRPr="00E04507" w:rsidRDefault="002C7619" w:rsidP="002C7619">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F243E" w:themeColor="text2" w:themeShade="80"/>
                <w:sz w:val="18"/>
                <w:szCs w:val="18"/>
              </w:rPr>
            </w:pPr>
            <w:r>
              <w:rPr>
                <w:rFonts w:ascii="Arial" w:hAnsi="Arial" w:cs="Arial"/>
                <w:bCs/>
                <w:color w:val="0F243E" w:themeColor="text2" w:themeShade="80"/>
                <w:sz w:val="18"/>
                <w:szCs w:val="18"/>
              </w:rPr>
              <w:t>+11.9%</w:t>
            </w:r>
          </w:p>
        </w:tc>
        <w:tc>
          <w:tcPr>
            <w:tcW w:w="880" w:type="dxa"/>
          </w:tcPr>
          <w:p w14:paraId="07677E13" w14:textId="0809BE89" w:rsidR="002C7619" w:rsidRPr="00E04507" w:rsidRDefault="002C7619" w:rsidP="002C761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F243E" w:themeColor="text2" w:themeShade="80"/>
                <w:sz w:val="18"/>
                <w:szCs w:val="18"/>
              </w:rPr>
            </w:pPr>
            <w:r w:rsidRPr="00343E24">
              <w:rPr>
                <w:rFonts w:ascii="Arial" w:hAnsi="Arial" w:cs="Arial"/>
                <w:bCs/>
                <w:color w:val="0F243E" w:themeColor="text2" w:themeShade="80"/>
                <w:sz w:val="18"/>
                <w:szCs w:val="18"/>
              </w:rPr>
              <w:t>$</w:t>
            </w:r>
            <w:r>
              <w:rPr>
                <w:rFonts w:ascii="Arial" w:hAnsi="Arial" w:cs="Arial"/>
                <w:bCs/>
                <w:color w:val="0F243E" w:themeColor="text2" w:themeShade="80"/>
                <w:sz w:val="18"/>
                <w:szCs w:val="18"/>
              </w:rPr>
              <w:t>142</w:t>
            </w:r>
            <w:r w:rsidRPr="00343E24">
              <w:rPr>
                <w:rFonts w:ascii="Arial" w:hAnsi="Arial" w:cs="Arial"/>
                <w:bCs/>
                <w:color w:val="0F243E" w:themeColor="text2" w:themeShade="80"/>
                <w:sz w:val="18"/>
                <w:szCs w:val="18"/>
              </w:rPr>
              <w:t>M</w:t>
            </w:r>
          </w:p>
        </w:tc>
        <w:tc>
          <w:tcPr>
            <w:tcW w:w="881" w:type="dxa"/>
            <w:vAlign w:val="center"/>
          </w:tcPr>
          <w:p w14:paraId="285C452F" w14:textId="6229D798" w:rsidR="002C7619" w:rsidRPr="00E04507" w:rsidRDefault="002C7619" w:rsidP="002C761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F243E" w:themeColor="text2" w:themeShade="80"/>
                <w:sz w:val="18"/>
                <w:szCs w:val="18"/>
              </w:rPr>
            </w:pPr>
            <w:r>
              <w:rPr>
                <w:rFonts w:ascii="Arial" w:hAnsi="Arial" w:cs="Arial"/>
                <w:bCs/>
                <w:color w:val="0F243E" w:themeColor="text2" w:themeShade="80"/>
                <w:sz w:val="18"/>
                <w:szCs w:val="18"/>
              </w:rPr>
              <w:t>+2.4</w:t>
            </w:r>
            <w:r w:rsidRPr="00E04507">
              <w:rPr>
                <w:rFonts w:ascii="Arial" w:hAnsi="Arial" w:cs="Arial"/>
                <w:bCs/>
                <w:color w:val="0F243E" w:themeColor="text2" w:themeShade="80"/>
                <w:sz w:val="18"/>
                <w:szCs w:val="18"/>
              </w:rPr>
              <w:t>%</w:t>
            </w:r>
          </w:p>
        </w:tc>
        <w:tc>
          <w:tcPr>
            <w:tcW w:w="881" w:type="dxa"/>
            <w:vAlign w:val="center"/>
          </w:tcPr>
          <w:p w14:paraId="76D6DFAF" w14:textId="3C8F22A9" w:rsidR="002C7619" w:rsidRPr="00E04507" w:rsidRDefault="002C7619" w:rsidP="002C761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F243E" w:themeColor="text2" w:themeShade="80"/>
                <w:sz w:val="18"/>
                <w:szCs w:val="18"/>
              </w:rPr>
            </w:pPr>
            <w:r w:rsidRPr="00E04507">
              <w:rPr>
                <w:rFonts w:ascii="Arial" w:hAnsi="Arial" w:cs="Arial"/>
                <w:bCs/>
                <w:color w:val="0F243E" w:themeColor="text2" w:themeShade="80"/>
                <w:sz w:val="18"/>
                <w:szCs w:val="18"/>
              </w:rPr>
              <w:t>+</w:t>
            </w:r>
            <w:r>
              <w:rPr>
                <w:rFonts w:ascii="Arial" w:hAnsi="Arial" w:cs="Arial"/>
                <w:bCs/>
                <w:color w:val="0F243E" w:themeColor="text2" w:themeShade="80"/>
                <w:sz w:val="18"/>
                <w:szCs w:val="18"/>
              </w:rPr>
              <w:t>20.9</w:t>
            </w:r>
            <w:r w:rsidRPr="00E04507">
              <w:rPr>
                <w:rFonts w:ascii="Arial" w:hAnsi="Arial" w:cs="Arial"/>
                <w:bCs/>
                <w:color w:val="0F243E" w:themeColor="text2" w:themeShade="80"/>
                <w:sz w:val="18"/>
                <w:szCs w:val="18"/>
              </w:rPr>
              <w:t>%</w:t>
            </w:r>
          </w:p>
        </w:tc>
      </w:tr>
      <w:tr w:rsidR="002C7619" w14:paraId="3A8BC88C" w14:textId="77777777" w:rsidTr="00046C74">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544" w:type="dxa"/>
            <w:vAlign w:val="center"/>
          </w:tcPr>
          <w:p w14:paraId="7D4572F7" w14:textId="77777777" w:rsidR="002C7619" w:rsidRPr="00E04507" w:rsidRDefault="002C7619" w:rsidP="002C7619">
            <w:pPr>
              <w:pStyle w:val="NoSpacing"/>
              <w:jc w:val="right"/>
              <w:rPr>
                <w:rFonts w:ascii="Arial" w:hAnsi="Arial" w:cs="Arial"/>
                <w:b w:val="0"/>
                <w:color w:val="0F243E" w:themeColor="text2" w:themeShade="80"/>
                <w:sz w:val="18"/>
                <w:szCs w:val="18"/>
              </w:rPr>
            </w:pPr>
            <w:r w:rsidRPr="00E04507">
              <w:rPr>
                <w:rFonts w:ascii="Arial" w:hAnsi="Arial" w:cs="Arial"/>
                <w:b w:val="0"/>
                <w:color w:val="0F243E" w:themeColor="text2" w:themeShade="80"/>
                <w:sz w:val="18"/>
                <w:szCs w:val="18"/>
              </w:rPr>
              <w:t xml:space="preserve">  Melons</w:t>
            </w:r>
          </w:p>
        </w:tc>
        <w:tc>
          <w:tcPr>
            <w:tcW w:w="880" w:type="dxa"/>
            <w:vAlign w:val="center"/>
          </w:tcPr>
          <w:p w14:paraId="6C58719A" w14:textId="77777777" w:rsidR="002C7619" w:rsidRPr="00E04507" w:rsidRDefault="002C7619" w:rsidP="002C7619">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F243E" w:themeColor="text2" w:themeShade="80"/>
                <w:sz w:val="18"/>
                <w:szCs w:val="18"/>
              </w:rPr>
            </w:pPr>
            <w:r w:rsidRPr="00E04507">
              <w:rPr>
                <w:rFonts w:ascii="Arial" w:hAnsi="Arial" w:cs="Arial"/>
                <w:color w:val="0F243E" w:themeColor="text2" w:themeShade="80"/>
                <w:sz w:val="18"/>
                <w:szCs w:val="18"/>
              </w:rPr>
              <w:t>+4.0%</w:t>
            </w:r>
          </w:p>
        </w:tc>
        <w:tc>
          <w:tcPr>
            <w:tcW w:w="881" w:type="dxa"/>
            <w:vAlign w:val="center"/>
          </w:tcPr>
          <w:p w14:paraId="180B1529" w14:textId="77777777" w:rsidR="002C7619" w:rsidRPr="00E04507" w:rsidRDefault="002C7619" w:rsidP="002C7619">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F243E" w:themeColor="text2" w:themeShade="80"/>
                <w:sz w:val="18"/>
                <w:szCs w:val="18"/>
              </w:rPr>
            </w:pPr>
            <w:r w:rsidRPr="00E04507">
              <w:rPr>
                <w:rFonts w:ascii="Arial" w:hAnsi="Arial" w:cs="Arial"/>
                <w:color w:val="0F243E" w:themeColor="text2" w:themeShade="80"/>
                <w:sz w:val="18"/>
                <w:szCs w:val="18"/>
              </w:rPr>
              <w:t>+2.6%</w:t>
            </w:r>
          </w:p>
        </w:tc>
        <w:tc>
          <w:tcPr>
            <w:tcW w:w="880" w:type="dxa"/>
            <w:vAlign w:val="center"/>
          </w:tcPr>
          <w:p w14:paraId="7C37953E" w14:textId="77777777" w:rsidR="002C7619" w:rsidRPr="00E04507" w:rsidRDefault="002C7619" w:rsidP="002C7619">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F243E" w:themeColor="text2" w:themeShade="80"/>
                <w:sz w:val="18"/>
                <w:szCs w:val="18"/>
              </w:rPr>
            </w:pPr>
            <w:r w:rsidRPr="00E04507">
              <w:rPr>
                <w:rFonts w:ascii="Arial" w:hAnsi="Arial" w:cs="Arial"/>
                <w:color w:val="0F243E" w:themeColor="text2" w:themeShade="80"/>
                <w:sz w:val="18"/>
                <w:szCs w:val="18"/>
              </w:rPr>
              <w:t>+14.4%</w:t>
            </w:r>
          </w:p>
        </w:tc>
        <w:tc>
          <w:tcPr>
            <w:tcW w:w="881" w:type="dxa"/>
            <w:vAlign w:val="center"/>
          </w:tcPr>
          <w:p w14:paraId="7B655312" w14:textId="77777777" w:rsidR="002C7619" w:rsidRPr="00E04507" w:rsidRDefault="002C7619" w:rsidP="002C7619">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F243E" w:themeColor="text2" w:themeShade="80"/>
                <w:sz w:val="18"/>
                <w:szCs w:val="18"/>
              </w:rPr>
            </w:pPr>
            <w:r w:rsidRPr="00E04507">
              <w:rPr>
                <w:rFonts w:ascii="Arial" w:hAnsi="Arial" w:cs="Arial"/>
                <w:color w:val="0F243E" w:themeColor="text2" w:themeShade="80"/>
                <w:sz w:val="18"/>
                <w:szCs w:val="18"/>
              </w:rPr>
              <w:t>+18.7%</w:t>
            </w:r>
          </w:p>
        </w:tc>
        <w:tc>
          <w:tcPr>
            <w:tcW w:w="881" w:type="dxa"/>
            <w:vAlign w:val="center"/>
          </w:tcPr>
          <w:p w14:paraId="7930DAF0" w14:textId="77777777" w:rsidR="002C7619" w:rsidRPr="00E04507" w:rsidRDefault="002C7619" w:rsidP="002C7619">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F243E" w:themeColor="text2" w:themeShade="80"/>
                <w:sz w:val="18"/>
                <w:szCs w:val="18"/>
              </w:rPr>
            </w:pPr>
            <w:r w:rsidRPr="00E04507">
              <w:rPr>
                <w:rFonts w:ascii="Arial" w:hAnsi="Arial" w:cs="Arial"/>
                <w:color w:val="0F243E" w:themeColor="text2" w:themeShade="80"/>
                <w:sz w:val="18"/>
                <w:szCs w:val="18"/>
              </w:rPr>
              <w:t>+10.2%</w:t>
            </w:r>
          </w:p>
        </w:tc>
        <w:tc>
          <w:tcPr>
            <w:tcW w:w="880" w:type="dxa"/>
            <w:vAlign w:val="center"/>
          </w:tcPr>
          <w:p w14:paraId="624C1DB3" w14:textId="77777777" w:rsidR="002C7619" w:rsidRPr="00E04507" w:rsidRDefault="002C7619" w:rsidP="002C7619">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F243E" w:themeColor="text2" w:themeShade="80"/>
                <w:sz w:val="18"/>
                <w:szCs w:val="18"/>
              </w:rPr>
            </w:pPr>
            <w:r w:rsidRPr="00E04507">
              <w:rPr>
                <w:rFonts w:ascii="Arial" w:hAnsi="Arial" w:cs="Arial"/>
                <w:bCs/>
                <w:color w:val="0F243E" w:themeColor="text2" w:themeShade="80"/>
                <w:sz w:val="18"/>
                <w:szCs w:val="18"/>
              </w:rPr>
              <w:t>+11.8%</w:t>
            </w:r>
          </w:p>
        </w:tc>
        <w:tc>
          <w:tcPr>
            <w:tcW w:w="881" w:type="dxa"/>
            <w:vAlign w:val="center"/>
          </w:tcPr>
          <w:p w14:paraId="1D1C4741" w14:textId="77777777" w:rsidR="002C7619" w:rsidRPr="00E04507" w:rsidRDefault="002C7619" w:rsidP="002C7619">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0F243E" w:themeColor="text2" w:themeShade="80"/>
                <w:sz w:val="18"/>
                <w:szCs w:val="18"/>
              </w:rPr>
            </w:pPr>
            <w:r>
              <w:rPr>
                <w:rFonts w:ascii="Arial" w:hAnsi="Arial" w:cs="Arial"/>
                <w:bCs/>
                <w:color w:val="0F243E" w:themeColor="text2" w:themeShade="80"/>
                <w:sz w:val="18"/>
                <w:szCs w:val="18"/>
              </w:rPr>
              <w:t>+6.2%</w:t>
            </w:r>
          </w:p>
        </w:tc>
        <w:tc>
          <w:tcPr>
            <w:tcW w:w="880" w:type="dxa"/>
          </w:tcPr>
          <w:p w14:paraId="60E63951" w14:textId="5854EA30" w:rsidR="002C7619" w:rsidRPr="00E04507" w:rsidRDefault="002C7619" w:rsidP="002C7619">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F243E" w:themeColor="text2" w:themeShade="80"/>
                <w:sz w:val="18"/>
                <w:szCs w:val="18"/>
              </w:rPr>
            </w:pPr>
            <w:r>
              <w:rPr>
                <w:rFonts w:ascii="Arial" w:hAnsi="Arial" w:cs="Arial"/>
                <w:bCs/>
                <w:color w:val="0F243E" w:themeColor="text2" w:themeShade="80"/>
                <w:sz w:val="18"/>
                <w:szCs w:val="18"/>
              </w:rPr>
              <w:t>$130</w:t>
            </w:r>
            <w:r w:rsidRPr="00343E24">
              <w:rPr>
                <w:rFonts w:ascii="Arial" w:hAnsi="Arial" w:cs="Arial"/>
                <w:bCs/>
                <w:color w:val="0F243E" w:themeColor="text2" w:themeShade="80"/>
                <w:sz w:val="18"/>
                <w:szCs w:val="18"/>
              </w:rPr>
              <w:t>M</w:t>
            </w:r>
          </w:p>
        </w:tc>
        <w:tc>
          <w:tcPr>
            <w:tcW w:w="881" w:type="dxa"/>
            <w:vAlign w:val="center"/>
          </w:tcPr>
          <w:p w14:paraId="7B31B4CF" w14:textId="7E3BE9E9" w:rsidR="002C7619" w:rsidRPr="00E04507" w:rsidRDefault="002C7619" w:rsidP="002C7619">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F243E" w:themeColor="text2" w:themeShade="80"/>
                <w:sz w:val="18"/>
                <w:szCs w:val="18"/>
              </w:rPr>
            </w:pPr>
            <w:r w:rsidRPr="00E04507">
              <w:rPr>
                <w:rFonts w:ascii="Arial" w:hAnsi="Arial" w:cs="Arial"/>
                <w:bCs/>
                <w:color w:val="0F243E" w:themeColor="text2" w:themeShade="80"/>
                <w:sz w:val="18"/>
                <w:szCs w:val="18"/>
              </w:rPr>
              <w:t>+</w:t>
            </w:r>
            <w:r>
              <w:rPr>
                <w:rFonts w:ascii="Arial" w:hAnsi="Arial" w:cs="Arial"/>
                <w:bCs/>
                <w:color w:val="0F243E" w:themeColor="text2" w:themeShade="80"/>
                <w:sz w:val="18"/>
                <w:szCs w:val="18"/>
              </w:rPr>
              <w:t>19.4</w:t>
            </w:r>
            <w:r w:rsidRPr="00E04507">
              <w:rPr>
                <w:rFonts w:ascii="Arial" w:hAnsi="Arial" w:cs="Arial"/>
                <w:bCs/>
                <w:color w:val="0F243E" w:themeColor="text2" w:themeShade="80"/>
                <w:sz w:val="18"/>
                <w:szCs w:val="18"/>
              </w:rPr>
              <w:t>%</w:t>
            </w:r>
          </w:p>
        </w:tc>
        <w:tc>
          <w:tcPr>
            <w:tcW w:w="881" w:type="dxa"/>
            <w:vAlign w:val="center"/>
          </w:tcPr>
          <w:p w14:paraId="3CF267FA" w14:textId="7C7D308F" w:rsidR="002C7619" w:rsidRPr="00E04507" w:rsidRDefault="002C7619" w:rsidP="002C7619">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F243E" w:themeColor="text2" w:themeShade="80"/>
                <w:sz w:val="18"/>
                <w:szCs w:val="18"/>
              </w:rPr>
            </w:pPr>
            <w:r w:rsidRPr="00E04507">
              <w:rPr>
                <w:rFonts w:ascii="Arial" w:hAnsi="Arial" w:cs="Arial"/>
                <w:bCs/>
                <w:color w:val="0F243E" w:themeColor="text2" w:themeShade="80"/>
                <w:sz w:val="18"/>
                <w:szCs w:val="18"/>
              </w:rPr>
              <w:t>+</w:t>
            </w:r>
            <w:r>
              <w:rPr>
                <w:rFonts w:ascii="Arial" w:hAnsi="Arial" w:cs="Arial"/>
                <w:bCs/>
                <w:color w:val="0F243E" w:themeColor="text2" w:themeShade="80"/>
                <w:sz w:val="18"/>
                <w:szCs w:val="18"/>
              </w:rPr>
              <w:t>49.7</w:t>
            </w:r>
            <w:r w:rsidRPr="00E04507">
              <w:rPr>
                <w:rFonts w:ascii="Arial" w:hAnsi="Arial" w:cs="Arial"/>
                <w:bCs/>
                <w:color w:val="0F243E" w:themeColor="text2" w:themeShade="80"/>
                <w:sz w:val="18"/>
                <w:szCs w:val="18"/>
              </w:rPr>
              <w:t>%</w:t>
            </w:r>
          </w:p>
        </w:tc>
      </w:tr>
      <w:tr w:rsidR="00946FA4" w14:paraId="0AF3821D" w14:textId="77777777" w:rsidTr="00046C74">
        <w:trPr>
          <w:trHeight w:val="253"/>
        </w:trPr>
        <w:tc>
          <w:tcPr>
            <w:cnfStyle w:val="001000000000" w:firstRow="0" w:lastRow="0" w:firstColumn="1" w:lastColumn="0" w:oddVBand="0" w:evenVBand="0" w:oddHBand="0" w:evenHBand="0" w:firstRowFirstColumn="0" w:firstRowLastColumn="0" w:lastRowFirstColumn="0" w:lastRowLastColumn="0"/>
            <w:tcW w:w="1544" w:type="dxa"/>
            <w:vAlign w:val="center"/>
          </w:tcPr>
          <w:p w14:paraId="1F9016B1" w14:textId="77777777" w:rsidR="00946FA4" w:rsidRPr="00E04507" w:rsidRDefault="00946FA4" w:rsidP="00046C74">
            <w:pPr>
              <w:pStyle w:val="NoSpacing"/>
              <w:jc w:val="right"/>
              <w:rPr>
                <w:rFonts w:ascii="Arial" w:hAnsi="Arial" w:cs="Arial"/>
                <w:b w:val="0"/>
                <w:color w:val="0F243E" w:themeColor="text2" w:themeShade="80"/>
                <w:sz w:val="18"/>
                <w:szCs w:val="18"/>
              </w:rPr>
            </w:pPr>
            <w:r>
              <w:rPr>
                <w:rFonts w:ascii="Arial" w:hAnsi="Arial" w:cs="Arial"/>
                <w:b w:val="0"/>
                <w:color w:val="0F243E" w:themeColor="text2" w:themeShade="80"/>
                <w:sz w:val="18"/>
                <w:szCs w:val="18"/>
              </w:rPr>
              <w:t>Oranges</w:t>
            </w:r>
          </w:p>
        </w:tc>
        <w:tc>
          <w:tcPr>
            <w:tcW w:w="880" w:type="dxa"/>
            <w:vAlign w:val="center"/>
          </w:tcPr>
          <w:p w14:paraId="75C35273" w14:textId="77777777" w:rsidR="00946FA4" w:rsidRPr="00E04507" w:rsidRDefault="00946FA4" w:rsidP="00046C7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F243E" w:themeColor="text2" w:themeShade="80"/>
                <w:sz w:val="18"/>
                <w:szCs w:val="18"/>
              </w:rPr>
            </w:pPr>
            <w:r>
              <w:rPr>
                <w:rFonts w:ascii="Arial" w:hAnsi="Arial" w:cs="Arial"/>
                <w:color w:val="0F243E" w:themeColor="text2" w:themeShade="80"/>
                <w:sz w:val="18"/>
                <w:szCs w:val="18"/>
              </w:rPr>
              <w:t>+8.6%</w:t>
            </w:r>
          </w:p>
        </w:tc>
        <w:tc>
          <w:tcPr>
            <w:tcW w:w="881" w:type="dxa"/>
            <w:vAlign w:val="center"/>
          </w:tcPr>
          <w:p w14:paraId="613EF0EC" w14:textId="77777777" w:rsidR="00946FA4" w:rsidRPr="00E04507" w:rsidRDefault="00946FA4" w:rsidP="00046C7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F243E" w:themeColor="text2" w:themeShade="80"/>
                <w:sz w:val="18"/>
                <w:szCs w:val="18"/>
              </w:rPr>
            </w:pPr>
            <w:r>
              <w:rPr>
                <w:rFonts w:ascii="Arial" w:hAnsi="Arial" w:cs="Arial"/>
                <w:color w:val="0F243E" w:themeColor="text2" w:themeShade="80"/>
                <w:sz w:val="18"/>
                <w:szCs w:val="18"/>
              </w:rPr>
              <w:t>+65.5%</w:t>
            </w:r>
          </w:p>
        </w:tc>
        <w:tc>
          <w:tcPr>
            <w:tcW w:w="880" w:type="dxa"/>
            <w:vAlign w:val="center"/>
          </w:tcPr>
          <w:p w14:paraId="46AD8459" w14:textId="77777777" w:rsidR="00946FA4" w:rsidRPr="00E04507" w:rsidRDefault="00946FA4" w:rsidP="00046C7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F243E" w:themeColor="text2" w:themeShade="80"/>
                <w:sz w:val="18"/>
                <w:szCs w:val="18"/>
              </w:rPr>
            </w:pPr>
            <w:r>
              <w:rPr>
                <w:rFonts w:ascii="Arial" w:hAnsi="Arial" w:cs="Arial"/>
                <w:color w:val="0F243E" w:themeColor="text2" w:themeShade="80"/>
                <w:sz w:val="18"/>
                <w:szCs w:val="18"/>
              </w:rPr>
              <w:t>+40.4%</w:t>
            </w:r>
          </w:p>
        </w:tc>
        <w:tc>
          <w:tcPr>
            <w:tcW w:w="881" w:type="dxa"/>
            <w:vAlign w:val="center"/>
          </w:tcPr>
          <w:p w14:paraId="09BB126B" w14:textId="77777777" w:rsidR="00946FA4" w:rsidRPr="00E04507" w:rsidRDefault="00946FA4" w:rsidP="00046C7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F243E" w:themeColor="text2" w:themeShade="80"/>
                <w:sz w:val="18"/>
                <w:szCs w:val="18"/>
              </w:rPr>
            </w:pPr>
            <w:r>
              <w:rPr>
                <w:rFonts w:ascii="Arial" w:hAnsi="Arial" w:cs="Arial"/>
                <w:color w:val="0F243E" w:themeColor="text2" w:themeShade="80"/>
                <w:sz w:val="18"/>
                <w:szCs w:val="18"/>
              </w:rPr>
              <w:t>+23.4%</w:t>
            </w:r>
          </w:p>
        </w:tc>
        <w:tc>
          <w:tcPr>
            <w:tcW w:w="881" w:type="dxa"/>
            <w:vAlign w:val="center"/>
          </w:tcPr>
          <w:p w14:paraId="68BE3C4E" w14:textId="77777777" w:rsidR="00946FA4" w:rsidRPr="00E04507" w:rsidRDefault="00946FA4" w:rsidP="00046C7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F243E" w:themeColor="text2" w:themeShade="80"/>
                <w:sz w:val="18"/>
                <w:szCs w:val="18"/>
              </w:rPr>
            </w:pPr>
            <w:r>
              <w:rPr>
                <w:rFonts w:ascii="Arial" w:hAnsi="Arial" w:cs="Arial"/>
                <w:color w:val="0F243E" w:themeColor="text2" w:themeShade="80"/>
                <w:sz w:val="18"/>
                <w:szCs w:val="18"/>
              </w:rPr>
              <w:t>+2.5%</w:t>
            </w:r>
          </w:p>
        </w:tc>
        <w:tc>
          <w:tcPr>
            <w:tcW w:w="880" w:type="dxa"/>
            <w:vAlign w:val="center"/>
          </w:tcPr>
          <w:p w14:paraId="651C6755" w14:textId="77777777" w:rsidR="00946FA4" w:rsidRPr="00E04507" w:rsidRDefault="00946FA4" w:rsidP="00046C7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F243E" w:themeColor="text2" w:themeShade="80"/>
                <w:sz w:val="18"/>
                <w:szCs w:val="18"/>
              </w:rPr>
            </w:pPr>
            <w:r>
              <w:rPr>
                <w:rFonts w:ascii="Arial" w:hAnsi="Arial" w:cs="Arial"/>
                <w:color w:val="0F243E" w:themeColor="text2" w:themeShade="80"/>
                <w:sz w:val="18"/>
                <w:szCs w:val="18"/>
              </w:rPr>
              <w:t>-24.5%</w:t>
            </w:r>
          </w:p>
        </w:tc>
        <w:tc>
          <w:tcPr>
            <w:tcW w:w="881" w:type="dxa"/>
            <w:vAlign w:val="center"/>
          </w:tcPr>
          <w:p w14:paraId="0DB51068" w14:textId="77777777" w:rsidR="00946FA4" w:rsidRPr="00E04507" w:rsidRDefault="00946FA4" w:rsidP="00046C74">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F243E" w:themeColor="text2" w:themeShade="80"/>
                <w:sz w:val="18"/>
                <w:szCs w:val="18"/>
              </w:rPr>
            </w:pPr>
            <w:r>
              <w:rPr>
                <w:rFonts w:ascii="Arial" w:hAnsi="Arial" w:cs="Arial"/>
                <w:bCs/>
                <w:color w:val="0F243E" w:themeColor="text2" w:themeShade="80"/>
                <w:sz w:val="18"/>
                <w:szCs w:val="18"/>
              </w:rPr>
              <w:t>-10.5%</w:t>
            </w:r>
          </w:p>
        </w:tc>
        <w:tc>
          <w:tcPr>
            <w:tcW w:w="880" w:type="dxa"/>
          </w:tcPr>
          <w:p w14:paraId="7643282A" w14:textId="57AD21B1" w:rsidR="00946FA4" w:rsidRPr="00E04507" w:rsidRDefault="00946FA4" w:rsidP="00046C7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F243E" w:themeColor="text2" w:themeShade="80"/>
                <w:sz w:val="18"/>
                <w:szCs w:val="18"/>
              </w:rPr>
            </w:pPr>
            <w:r w:rsidRPr="00343E24">
              <w:rPr>
                <w:rFonts w:ascii="Arial" w:hAnsi="Arial" w:cs="Arial"/>
                <w:bCs/>
                <w:color w:val="0F243E" w:themeColor="text2" w:themeShade="80"/>
                <w:sz w:val="18"/>
                <w:szCs w:val="18"/>
              </w:rPr>
              <w:t>$</w:t>
            </w:r>
            <w:r>
              <w:rPr>
                <w:rFonts w:ascii="Arial" w:hAnsi="Arial" w:cs="Arial"/>
                <w:bCs/>
                <w:color w:val="0F243E" w:themeColor="text2" w:themeShade="80"/>
                <w:sz w:val="18"/>
                <w:szCs w:val="18"/>
              </w:rPr>
              <w:t>78</w:t>
            </w:r>
            <w:r w:rsidRPr="00343E24">
              <w:rPr>
                <w:rFonts w:ascii="Arial" w:hAnsi="Arial" w:cs="Arial"/>
                <w:bCs/>
                <w:color w:val="0F243E" w:themeColor="text2" w:themeShade="80"/>
                <w:sz w:val="18"/>
                <w:szCs w:val="18"/>
              </w:rPr>
              <w:t>M</w:t>
            </w:r>
          </w:p>
        </w:tc>
        <w:tc>
          <w:tcPr>
            <w:tcW w:w="881" w:type="dxa"/>
            <w:vAlign w:val="center"/>
          </w:tcPr>
          <w:p w14:paraId="0968D0EB" w14:textId="1CCAB8DB" w:rsidR="00946FA4" w:rsidRPr="00E04507" w:rsidRDefault="00946FA4" w:rsidP="00046C7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F243E" w:themeColor="text2" w:themeShade="80"/>
                <w:sz w:val="18"/>
                <w:szCs w:val="18"/>
              </w:rPr>
            </w:pPr>
            <w:r w:rsidRPr="00E04507">
              <w:rPr>
                <w:rFonts w:ascii="Arial" w:hAnsi="Arial" w:cs="Arial"/>
                <w:bCs/>
                <w:color w:val="0F243E" w:themeColor="text2" w:themeShade="80"/>
                <w:sz w:val="18"/>
                <w:szCs w:val="18"/>
              </w:rPr>
              <w:t>+</w:t>
            </w:r>
            <w:r>
              <w:rPr>
                <w:rFonts w:ascii="Arial" w:hAnsi="Arial" w:cs="Arial"/>
                <w:bCs/>
                <w:color w:val="0F243E" w:themeColor="text2" w:themeShade="80"/>
                <w:sz w:val="18"/>
                <w:szCs w:val="18"/>
              </w:rPr>
              <w:t>3.0</w:t>
            </w:r>
            <w:r w:rsidRPr="00E04507">
              <w:rPr>
                <w:rFonts w:ascii="Arial" w:hAnsi="Arial" w:cs="Arial"/>
                <w:bCs/>
                <w:color w:val="0F243E" w:themeColor="text2" w:themeShade="80"/>
                <w:sz w:val="18"/>
                <w:szCs w:val="18"/>
              </w:rPr>
              <w:t>%</w:t>
            </w:r>
          </w:p>
        </w:tc>
        <w:tc>
          <w:tcPr>
            <w:tcW w:w="881" w:type="dxa"/>
            <w:vAlign w:val="center"/>
          </w:tcPr>
          <w:p w14:paraId="15236C04" w14:textId="73EDD19F" w:rsidR="00946FA4" w:rsidRPr="00E04507" w:rsidRDefault="00946FA4" w:rsidP="00046C7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F243E" w:themeColor="text2" w:themeShade="80"/>
                <w:sz w:val="18"/>
                <w:szCs w:val="18"/>
              </w:rPr>
            </w:pPr>
            <w:r w:rsidRPr="00E04507">
              <w:rPr>
                <w:rFonts w:ascii="Arial" w:hAnsi="Arial" w:cs="Arial"/>
                <w:bCs/>
                <w:color w:val="0F243E" w:themeColor="text2" w:themeShade="80"/>
                <w:sz w:val="18"/>
                <w:szCs w:val="18"/>
              </w:rPr>
              <w:t>+</w:t>
            </w:r>
            <w:r>
              <w:rPr>
                <w:rFonts w:ascii="Arial" w:hAnsi="Arial" w:cs="Arial"/>
                <w:bCs/>
                <w:color w:val="0F243E" w:themeColor="text2" w:themeShade="80"/>
                <w:sz w:val="18"/>
                <w:szCs w:val="18"/>
              </w:rPr>
              <w:t>22.3</w:t>
            </w:r>
            <w:r w:rsidRPr="00E04507">
              <w:rPr>
                <w:rFonts w:ascii="Arial" w:hAnsi="Arial" w:cs="Arial"/>
                <w:bCs/>
                <w:color w:val="0F243E" w:themeColor="text2" w:themeShade="80"/>
                <w:sz w:val="18"/>
                <w:szCs w:val="18"/>
              </w:rPr>
              <w:t>%</w:t>
            </w:r>
          </w:p>
        </w:tc>
      </w:tr>
      <w:tr w:rsidR="00946FA4" w14:paraId="309C6707" w14:textId="77777777" w:rsidTr="00107812">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544" w:type="dxa"/>
            <w:vAlign w:val="center"/>
          </w:tcPr>
          <w:p w14:paraId="44379F4F" w14:textId="77777777" w:rsidR="002C7619" w:rsidRPr="00E04507" w:rsidRDefault="002C7619" w:rsidP="002C7619">
            <w:pPr>
              <w:pStyle w:val="NoSpacing"/>
              <w:jc w:val="right"/>
              <w:rPr>
                <w:rFonts w:ascii="Arial" w:hAnsi="Arial" w:cs="Arial"/>
                <w:b w:val="0"/>
                <w:color w:val="0F243E" w:themeColor="text2" w:themeShade="80"/>
                <w:sz w:val="18"/>
                <w:szCs w:val="18"/>
              </w:rPr>
            </w:pPr>
            <w:r w:rsidRPr="00E04507">
              <w:rPr>
                <w:rFonts w:ascii="Arial" w:hAnsi="Arial" w:cs="Arial"/>
                <w:b w:val="0"/>
                <w:color w:val="0F243E" w:themeColor="text2" w:themeShade="80"/>
                <w:sz w:val="18"/>
                <w:szCs w:val="18"/>
              </w:rPr>
              <w:t>Mixed fruit</w:t>
            </w:r>
          </w:p>
        </w:tc>
        <w:tc>
          <w:tcPr>
            <w:tcW w:w="880" w:type="dxa"/>
            <w:vAlign w:val="center"/>
          </w:tcPr>
          <w:p w14:paraId="24E77F7E" w14:textId="77777777" w:rsidR="002C7619" w:rsidRPr="00E04507" w:rsidRDefault="002C7619" w:rsidP="002C7619">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F243E" w:themeColor="text2" w:themeShade="80"/>
                <w:sz w:val="18"/>
                <w:szCs w:val="18"/>
              </w:rPr>
            </w:pPr>
            <w:r w:rsidRPr="00E04507">
              <w:rPr>
                <w:rFonts w:ascii="Arial" w:hAnsi="Arial" w:cs="Arial"/>
                <w:color w:val="0F243E" w:themeColor="text2" w:themeShade="80"/>
                <w:sz w:val="18"/>
                <w:szCs w:val="18"/>
              </w:rPr>
              <w:t>-1.4%</w:t>
            </w:r>
          </w:p>
        </w:tc>
        <w:tc>
          <w:tcPr>
            <w:tcW w:w="881" w:type="dxa"/>
            <w:vAlign w:val="center"/>
          </w:tcPr>
          <w:p w14:paraId="6012C237" w14:textId="77777777" w:rsidR="002C7619" w:rsidRPr="00E04507" w:rsidRDefault="002C7619" w:rsidP="002C7619">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F243E" w:themeColor="text2" w:themeShade="80"/>
                <w:sz w:val="18"/>
                <w:szCs w:val="18"/>
              </w:rPr>
            </w:pPr>
            <w:r w:rsidRPr="00E04507">
              <w:rPr>
                <w:rFonts w:ascii="Arial" w:hAnsi="Arial" w:cs="Arial"/>
                <w:color w:val="0F243E" w:themeColor="text2" w:themeShade="80"/>
                <w:sz w:val="18"/>
                <w:szCs w:val="18"/>
              </w:rPr>
              <w:t>-26.4%</w:t>
            </w:r>
          </w:p>
        </w:tc>
        <w:tc>
          <w:tcPr>
            <w:tcW w:w="880" w:type="dxa"/>
            <w:vAlign w:val="center"/>
          </w:tcPr>
          <w:p w14:paraId="4AB18FB9" w14:textId="77777777" w:rsidR="002C7619" w:rsidRPr="00E04507" w:rsidRDefault="002C7619" w:rsidP="002C7619">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F243E" w:themeColor="text2" w:themeShade="80"/>
                <w:sz w:val="18"/>
                <w:szCs w:val="18"/>
              </w:rPr>
            </w:pPr>
            <w:r w:rsidRPr="00E04507">
              <w:rPr>
                <w:rFonts w:ascii="Arial" w:hAnsi="Arial" w:cs="Arial"/>
                <w:color w:val="0F243E" w:themeColor="text2" w:themeShade="80"/>
                <w:sz w:val="18"/>
                <w:szCs w:val="18"/>
              </w:rPr>
              <w:t>-1.8%</w:t>
            </w:r>
          </w:p>
        </w:tc>
        <w:tc>
          <w:tcPr>
            <w:tcW w:w="881" w:type="dxa"/>
            <w:vAlign w:val="center"/>
          </w:tcPr>
          <w:p w14:paraId="18E37A96" w14:textId="77777777" w:rsidR="002C7619" w:rsidRPr="00E04507" w:rsidRDefault="002C7619" w:rsidP="002C7619">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F243E" w:themeColor="text2" w:themeShade="80"/>
                <w:sz w:val="18"/>
                <w:szCs w:val="18"/>
              </w:rPr>
            </w:pPr>
            <w:r w:rsidRPr="00E04507">
              <w:rPr>
                <w:rFonts w:ascii="Arial" w:hAnsi="Arial" w:cs="Arial"/>
                <w:color w:val="0F243E" w:themeColor="text2" w:themeShade="80"/>
                <w:sz w:val="18"/>
                <w:szCs w:val="18"/>
              </w:rPr>
              <w:t>-9.0%</w:t>
            </w:r>
          </w:p>
        </w:tc>
        <w:tc>
          <w:tcPr>
            <w:tcW w:w="881" w:type="dxa"/>
            <w:vAlign w:val="center"/>
          </w:tcPr>
          <w:p w14:paraId="69E27FD1" w14:textId="77777777" w:rsidR="002C7619" w:rsidRPr="00E04507" w:rsidRDefault="002C7619" w:rsidP="002C7619">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F243E" w:themeColor="text2" w:themeShade="80"/>
                <w:sz w:val="18"/>
                <w:szCs w:val="18"/>
              </w:rPr>
            </w:pPr>
            <w:r w:rsidRPr="00E04507">
              <w:rPr>
                <w:rFonts w:ascii="Arial" w:hAnsi="Arial" w:cs="Arial"/>
                <w:color w:val="0F243E" w:themeColor="text2" w:themeShade="80"/>
                <w:sz w:val="18"/>
                <w:szCs w:val="18"/>
              </w:rPr>
              <w:t>+8.3%</w:t>
            </w:r>
          </w:p>
        </w:tc>
        <w:tc>
          <w:tcPr>
            <w:tcW w:w="880" w:type="dxa"/>
            <w:vAlign w:val="center"/>
          </w:tcPr>
          <w:p w14:paraId="314E5F07" w14:textId="77777777" w:rsidR="002C7619" w:rsidRPr="00E04507" w:rsidRDefault="002C7619" w:rsidP="002C7619">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F243E" w:themeColor="text2" w:themeShade="80"/>
                <w:sz w:val="18"/>
                <w:szCs w:val="18"/>
              </w:rPr>
            </w:pPr>
            <w:r w:rsidRPr="00E04507">
              <w:rPr>
                <w:rFonts w:ascii="Arial" w:hAnsi="Arial" w:cs="Arial"/>
                <w:color w:val="0F243E" w:themeColor="text2" w:themeShade="80"/>
                <w:sz w:val="18"/>
                <w:szCs w:val="18"/>
              </w:rPr>
              <w:t>+57.9%</w:t>
            </w:r>
          </w:p>
        </w:tc>
        <w:tc>
          <w:tcPr>
            <w:tcW w:w="881" w:type="dxa"/>
            <w:vAlign w:val="center"/>
          </w:tcPr>
          <w:p w14:paraId="26A04AD0" w14:textId="77777777" w:rsidR="002C7619" w:rsidRPr="00E04507" w:rsidRDefault="002C7619" w:rsidP="002C7619">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0F243E" w:themeColor="text2" w:themeShade="80"/>
                <w:sz w:val="18"/>
                <w:szCs w:val="18"/>
              </w:rPr>
            </w:pPr>
            <w:r>
              <w:rPr>
                <w:rFonts w:ascii="Arial" w:hAnsi="Arial" w:cs="Arial"/>
                <w:bCs/>
                <w:color w:val="0F243E" w:themeColor="text2" w:themeShade="80"/>
                <w:sz w:val="18"/>
                <w:szCs w:val="18"/>
              </w:rPr>
              <w:t>+27.9%</w:t>
            </w:r>
          </w:p>
        </w:tc>
        <w:tc>
          <w:tcPr>
            <w:tcW w:w="880" w:type="dxa"/>
          </w:tcPr>
          <w:p w14:paraId="6E62DB09" w14:textId="7601C006" w:rsidR="002C7619" w:rsidRPr="00E04507" w:rsidRDefault="002C7619" w:rsidP="002C7619">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F243E" w:themeColor="text2" w:themeShade="80"/>
                <w:sz w:val="18"/>
                <w:szCs w:val="18"/>
              </w:rPr>
            </w:pPr>
            <w:r w:rsidRPr="00343E24">
              <w:rPr>
                <w:rFonts w:ascii="Arial" w:hAnsi="Arial" w:cs="Arial"/>
                <w:bCs/>
                <w:color w:val="0F243E" w:themeColor="text2" w:themeShade="80"/>
                <w:sz w:val="18"/>
                <w:szCs w:val="18"/>
              </w:rPr>
              <w:t>$</w:t>
            </w:r>
            <w:r w:rsidR="00946FA4">
              <w:rPr>
                <w:rFonts w:ascii="Arial" w:hAnsi="Arial" w:cs="Arial"/>
                <w:bCs/>
                <w:color w:val="0F243E" w:themeColor="text2" w:themeShade="80"/>
                <w:sz w:val="18"/>
                <w:szCs w:val="18"/>
              </w:rPr>
              <w:t>67</w:t>
            </w:r>
            <w:r w:rsidRPr="00343E24">
              <w:rPr>
                <w:rFonts w:ascii="Arial" w:hAnsi="Arial" w:cs="Arial"/>
                <w:bCs/>
                <w:color w:val="0F243E" w:themeColor="text2" w:themeShade="80"/>
                <w:sz w:val="18"/>
                <w:szCs w:val="18"/>
              </w:rPr>
              <w:t>M</w:t>
            </w:r>
          </w:p>
        </w:tc>
        <w:tc>
          <w:tcPr>
            <w:tcW w:w="881" w:type="dxa"/>
            <w:vAlign w:val="center"/>
          </w:tcPr>
          <w:p w14:paraId="6179E16D" w14:textId="757C54C4" w:rsidR="002C7619" w:rsidRPr="00E04507" w:rsidRDefault="002C7619" w:rsidP="002C7619">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F243E" w:themeColor="text2" w:themeShade="80"/>
                <w:sz w:val="18"/>
                <w:szCs w:val="18"/>
              </w:rPr>
            </w:pPr>
            <w:r>
              <w:rPr>
                <w:rFonts w:ascii="Arial" w:hAnsi="Arial" w:cs="Arial"/>
                <w:bCs/>
                <w:color w:val="0F243E" w:themeColor="text2" w:themeShade="80"/>
                <w:sz w:val="18"/>
                <w:szCs w:val="18"/>
              </w:rPr>
              <w:t>+</w:t>
            </w:r>
            <w:r w:rsidR="00946FA4">
              <w:rPr>
                <w:rFonts w:ascii="Arial" w:hAnsi="Arial" w:cs="Arial"/>
                <w:bCs/>
                <w:color w:val="0F243E" w:themeColor="text2" w:themeShade="80"/>
                <w:sz w:val="18"/>
                <w:szCs w:val="18"/>
              </w:rPr>
              <w:t>28.5</w:t>
            </w:r>
            <w:r w:rsidRPr="00E04507">
              <w:rPr>
                <w:rFonts w:ascii="Arial" w:hAnsi="Arial" w:cs="Arial"/>
                <w:bCs/>
                <w:color w:val="0F243E" w:themeColor="text2" w:themeShade="80"/>
                <w:sz w:val="18"/>
                <w:szCs w:val="18"/>
              </w:rPr>
              <w:t>%</w:t>
            </w:r>
          </w:p>
        </w:tc>
        <w:tc>
          <w:tcPr>
            <w:tcW w:w="881" w:type="dxa"/>
            <w:vAlign w:val="center"/>
          </w:tcPr>
          <w:p w14:paraId="1BCA07DD" w14:textId="1116CED5" w:rsidR="002C7619" w:rsidRPr="00E04507" w:rsidRDefault="002C7619" w:rsidP="002C7619">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F243E" w:themeColor="text2" w:themeShade="80"/>
                <w:sz w:val="18"/>
                <w:szCs w:val="18"/>
              </w:rPr>
            </w:pPr>
            <w:r w:rsidRPr="00E04507">
              <w:rPr>
                <w:rFonts w:ascii="Arial" w:hAnsi="Arial" w:cs="Arial"/>
                <w:bCs/>
                <w:color w:val="0F243E" w:themeColor="text2" w:themeShade="80"/>
                <w:sz w:val="18"/>
                <w:szCs w:val="18"/>
              </w:rPr>
              <w:t>+</w:t>
            </w:r>
            <w:r w:rsidR="00946FA4">
              <w:rPr>
                <w:rFonts w:ascii="Arial" w:hAnsi="Arial" w:cs="Arial"/>
                <w:bCs/>
                <w:color w:val="0F243E" w:themeColor="text2" w:themeShade="80"/>
                <w:sz w:val="18"/>
                <w:szCs w:val="18"/>
              </w:rPr>
              <w:t>17.8</w:t>
            </w:r>
            <w:r w:rsidRPr="00E04507">
              <w:rPr>
                <w:rFonts w:ascii="Arial" w:hAnsi="Arial" w:cs="Arial"/>
                <w:bCs/>
                <w:color w:val="0F243E" w:themeColor="text2" w:themeShade="80"/>
                <w:sz w:val="18"/>
                <w:szCs w:val="18"/>
              </w:rPr>
              <w:t>%</w:t>
            </w:r>
          </w:p>
        </w:tc>
      </w:tr>
      <w:tr w:rsidR="00946FA4" w14:paraId="4CC35F8C" w14:textId="77777777" w:rsidTr="00340AA9">
        <w:trPr>
          <w:trHeight w:val="253"/>
        </w:trPr>
        <w:tc>
          <w:tcPr>
            <w:cnfStyle w:val="001000000000" w:firstRow="0" w:lastRow="0" w:firstColumn="1" w:lastColumn="0" w:oddVBand="0" w:evenVBand="0" w:oddHBand="0" w:evenHBand="0" w:firstRowFirstColumn="0" w:firstRowLastColumn="0" w:lastRowFirstColumn="0" w:lastRowLastColumn="0"/>
            <w:tcW w:w="1544" w:type="dxa"/>
            <w:vAlign w:val="center"/>
          </w:tcPr>
          <w:p w14:paraId="7F953530" w14:textId="7725495A" w:rsidR="002C7619" w:rsidRPr="00E04507" w:rsidRDefault="00946FA4" w:rsidP="002C7619">
            <w:pPr>
              <w:pStyle w:val="NoSpacing"/>
              <w:jc w:val="right"/>
              <w:rPr>
                <w:rFonts w:ascii="Arial" w:hAnsi="Arial" w:cs="Arial"/>
                <w:b w:val="0"/>
                <w:color w:val="0F243E" w:themeColor="text2" w:themeShade="80"/>
                <w:sz w:val="18"/>
                <w:szCs w:val="18"/>
              </w:rPr>
            </w:pPr>
            <w:r>
              <w:rPr>
                <w:rFonts w:ascii="Arial" w:hAnsi="Arial" w:cs="Arial"/>
                <w:b w:val="0"/>
                <w:color w:val="0F243E" w:themeColor="text2" w:themeShade="80"/>
                <w:sz w:val="18"/>
                <w:szCs w:val="18"/>
              </w:rPr>
              <w:t>Pineapples</w:t>
            </w:r>
          </w:p>
        </w:tc>
        <w:tc>
          <w:tcPr>
            <w:tcW w:w="880" w:type="dxa"/>
            <w:vAlign w:val="center"/>
          </w:tcPr>
          <w:p w14:paraId="1A26660E" w14:textId="77777777" w:rsidR="002C7619" w:rsidRPr="00E04507" w:rsidRDefault="002C7619" w:rsidP="002C761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F243E" w:themeColor="text2" w:themeShade="80"/>
                <w:sz w:val="18"/>
                <w:szCs w:val="18"/>
              </w:rPr>
            </w:pPr>
            <w:r>
              <w:rPr>
                <w:rFonts w:ascii="Arial" w:hAnsi="Arial" w:cs="Arial"/>
                <w:color w:val="0F243E" w:themeColor="text2" w:themeShade="80"/>
                <w:sz w:val="18"/>
                <w:szCs w:val="18"/>
              </w:rPr>
              <w:t>-5.8%</w:t>
            </w:r>
          </w:p>
        </w:tc>
        <w:tc>
          <w:tcPr>
            <w:tcW w:w="881" w:type="dxa"/>
            <w:vAlign w:val="center"/>
          </w:tcPr>
          <w:p w14:paraId="4E25E50D" w14:textId="77777777" w:rsidR="002C7619" w:rsidRPr="00E04507" w:rsidRDefault="002C7619" w:rsidP="002C761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F243E" w:themeColor="text2" w:themeShade="80"/>
                <w:sz w:val="18"/>
                <w:szCs w:val="18"/>
              </w:rPr>
            </w:pPr>
            <w:r>
              <w:rPr>
                <w:rFonts w:ascii="Arial" w:hAnsi="Arial" w:cs="Arial"/>
                <w:color w:val="0F243E" w:themeColor="text2" w:themeShade="80"/>
                <w:sz w:val="18"/>
                <w:szCs w:val="18"/>
              </w:rPr>
              <w:t>+7.3%</w:t>
            </w:r>
          </w:p>
        </w:tc>
        <w:tc>
          <w:tcPr>
            <w:tcW w:w="880" w:type="dxa"/>
            <w:vAlign w:val="center"/>
          </w:tcPr>
          <w:p w14:paraId="1ED105E2" w14:textId="77777777" w:rsidR="002C7619" w:rsidRPr="00E04507" w:rsidRDefault="002C7619" w:rsidP="002C761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F243E" w:themeColor="text2" w:themeShade="80"/>
                <w:sz w:val="18"/>
                <w:szCs w:val="18"/>
              </w:rPr>
            </w:pPr>
            <w:r>
              <w:rPr>
                <w:rFonts w:ascii="Arial" w:hAnsi="Arial" w:cs="Arial"/>
                <w:color w:val="0F243E" w:themeColor="text2" w:themeShade="80"/>
                <w:sz w:val="18"/>
                <w:szCs w:val="18"/>
              </w:rPr>
              <w:t>+15.7%</w:t>
            </w:r>
          </w:p>
        </w:tc>
        <w:tc>
          <w:tcPr>
            <w:tcW w:w="881" w:type="dxa"/>
            <w:vAlign w:val="center"/>
          </w:tcPr>
          <w:p w14:paraId="53DB60A1" w14:textId="77777777" w:rsidR="002C7619" w:rsidRPr="00E04507" w:rsidRDefault="002C7619" w:rsidP="002C761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F243E" w:themeColor="text2" w:themeShade="80"/>
                <w:sz w:val="18"/>
                <w:szCs w:val="18"/>
              </w:rPr>
            </w:pPr>
            <w:r>
              <w:rPr>
                <w:rFonts w:ascii="Arial" w:hAnsi="Arial" w:cs="Arial"/>
                <w:color w:val="0F243E" w:themeColor="text2" w:themeShade="80"/>
                <w:sz w:val="18"/>
                <w:szCs w:val="18"/>
              </w:rPr>
              <w:t>+14.6%</w:t>
            </w:r>
          </w:p>
        </w:tc>
        <w:tc>
          <w:tcPr>
            <w:tcW w:w="881" w:type="dxa"/>
            <w:vAlign w:val="center"/>
          </w:tcPr>
          <w:p w14:paraId="2216DCCD" w14:textId="77777777" w:rsidR="002C7619" w:rsidRPr="00E04507" w:rsidRDefault="002C7619" w:rsidP="002C761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F243E" w:themeColor="text2" w:themeShade="80"/>
                <w:sz w:val="18"/>
                <w:szCs w:val="18"/>
              </w:rPr>
            </w:pPr>
            <w:r>
              <w:rPr>
                <w:rFonts w:ascii="Arial" w:hAnsi="Arial" w:cs="Arial"/>
                <w:color w:val="0F243E" w:themeColor="text2" w:themeShade="80"/>
                <w:sz w:val="18"/>
                <w:szCs w:val="18"/>
              </w:rPr>
              <w:t>+12.0%</w:t>
            </w:r>
          </w:p>
        </w:tc>
        <w:tc>
          <w:tcPr>
            <w:tcW w:w="880" w:type="dxa"/>
            <w:vAlign w:val="center"/>
          </w:tcPr>
          <w:p w14:paraId="622175EB" w14:textId="77777777" w:rsidR="002C7619" w:rsidRPr="00E04507" w:rsidRDefault="002C7619" w:rsidP="002C761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F243E" w:themeColor="text2" w:themeShade="80"/>
                <w:sz w:val="18"/>
                <w:szCs w:val="18"/>
              </w:rPr>
            </w:pPr>
            <w:r>
              <w:rPr>
                <w:rFonts w:ascii="Arial" w:hAnsi="Arial" w:cs="Arial"/>
                <w:color w:val="0F243E" w:themeColor="text2" w:themeShade="80"/>
                <w:sz w:val="18"/>
                <w:szCs w:val="18"/>
              </w:rPr>
              <w:t>+10.7%</w:t>
            </w:r>
          </w:p>
        </w:tc>
        <w:tc>
          <w:tcPr>
            <w:tcW w:w="881" w:type="dxa"/>
            <w:vAlign w:val="center"/>
          </w:tcPr>
          <w:p w14:paraId="38B5A338" w14:textId="77777777" w:rsidR="002C7619" w:rsidRPr="00E04507" w:rsidRDefault="002C7619" w:rsidP="002C7619">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F243E" w:themeColor="text2" w:themeShade="80"/>
                <w:sz w:val="18"/>
                <w:szCs w:val="18"/>
              </w:rPr>
            </w:pPr>
            <w:r>
              <w:rPr>
                <w:rFonts w:ascii="Arial" w:hAnsi="Arial" w:cs="Arial"/>
                <w:bCs/>
                <w:color w:val="0F243E" w:themeColor="text2" w:themeShade="80"/>
                <w:sz w:val="18"/>
                <w:szCs w:val="18"/>
              </w:rPr>
              <w:t>+8.0%</w:t>
            </w:r>
          </w:p>
        </w:tc>
        <w:tc>
          <w:tcPr>
            <w:tcW w:w="880" w:type="dxa"/>
          </w:tcPr>
          <w:p w14:paraId="2B4375EF" w14:textId="693CCA83" w:rsidR="002C7619" w:rsidRPr="00E04507" w:rsidRDefault="002C7619" w:rsidP="002C761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F243E" w:themeColor="text2" w:themeShade="80"/>
                <w:sz w:val="18"/>
                <w:szCs w:val="18"/>
              </w:rPr>
            </w:pPr>
            <w:r>
              <w:rPr>
                <w:rFonts w:ascii="Arial" w:hAnsi="Arial" w:cs="Arial"/>
                <w:bCs/>
                <w:color w:val="0F243E" w:themeColor="text2" w:themeShade="80"/>
                <w:sz w:val="18"/>
                <w:szCs w:val="18"/>
              </w:rPr>
              <w:t>$</w:t>
            </w:r>
            <w:r w:rsidR="00946FA4">
              <w:rPr>
                <w:rFonts w:ascii="Arial" w:hAnsi="Arial" w:cs="Arial"/>
                <w:bCs/>
                <w:color w:val="0F243E" w:themeColor="text2" w:themeShade="80"/>
                <w:sz w:val="18"/>
                <w:szCs w:val="18"/>
              </w:rPr>
              <w:t>62</w:t>
            </w:r>
            <w:r w:rsidRPr="00343E24">
              <w:rPr>
                <w:rFonts w:ascii="Arial" w:hAnsi="Arial" w:cs="Arial"/>
                <w:bCs/>
                <w:color w:val="0F243E" w:themeColor="text2" w:themeShade="80"/>
                <w:sz w:val="18"/>
                <w:szCs w:val="18"/>
              </w:rPr>
              <w:t>M</w:t>
            </w:r>
          </w:p>
        </w:tc>
        <w:tc>
          <w:tcPr>
            <w:tcW w:w="881" w:type="dxa"/>
            <w:vAlign w:val="center"/>
          </w:tcPr>
          <w:p w14:paraId="56101C74" w14:textId="7A4D123B" w:rsidR="002C7619" w:rsidRPr="00E04507" w:rsidRDefault="002C7619" w:rsidP="002C761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F243E" w:themeColor="text2" w:themeShade="80"/>
                <w:sz w:val="18"/>
                <w:szCs w:val="18"/>
              </w:rPr>
            </w:pPr>
            <w:r w:rsidRPr="00E04507">
              <w:rPr>
                <w:rFonts w:ascii="Arial" w:hAnsi="Arial" w:cs="Arial"/>
                <w:bCs/>
                <w:color w:val="0F243E" w:themeColor="text2" w:themeShade="80"/>
                <w:sz w:val="18"/>
                <w:szCs w:val="18"/>
              </w:rPr>
              <w:t>+</w:t>
            </w:r>
            <w:r w:rsidR="00946FA4">
              <w:rPr>
                <w:rFonts w:ascii="Arial" w:hAnsi="Arial" w:cs="Arial"/>
                <w:bCs/>
                <w:color w:val="0F243E" w:themeColor="text2" w:themeShade="80"/>
                <w:sz w:val="18"/>
                <w:szCs w:val="18"/>
              </w:rPr>
              <w:t>9.4</w:t>
            </w:r>
            <w:r w:rsidRPr="00E04507">
              <w:rPr>
                <w:rFonts w:ascii="Arial" w:hAnsi="Arial" w:cs="Arial"/>
                <w:bCs/>
                <w:color w:val="0F243E" w:themeColor="text2" w:themeShade="80"/>
                <w:sz w:val="18"/>
                <w:szCs w:val="18"/>
              </w:rPr>
              <w:t>%</w:t>
            </w:r>
          </w:p>
        </w:tc>
        <w:tc>
          <w:tcPr>
            <w:tcW w:w="881" w:type="dxa"/>
            <w:vAlign w:val="center"/>
          </w:tcPr>
          <w:p w14:paraId="432064AF" w14:textId="0F93BBA0" w:rsidR="002C7619" w:rsidRPr="00E04507" w:rsidRDefault="002C7619" w:rsidP="002C761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F243E" w:themeColor="text2" w:themeShade="80"/>
                <w:sz w:val="18"/>
                <w:szCs w:val="18"/>
              </w:rPr>
            </w:pPr>
            <w:r w:rsidRPr="00E04507">
              <w:rPr>
                <w:rFonts w:ascii="Arial" w:hAnsi="Arial" w:cs="Arial"/>
                <w:bCs/>
                <w:color w:val="0F243E" w:themeColor="text2" w:themeShade="80"/>
                <w:sz w:val="18"/>
                <w:szCs w:val="18"/>
              </w:rPr>
              <w:t>+</w:t>
            </w:r>
            <w:r w:rsidR="00946FA4">
              <w:rPr>
                <w:rFonts w:ascii="Arial" w:hAnsi="Arial" w:cs="Arial"/>
                <w:bCs/>
                <w:color w:val="0F243E" w:themeColor="text2" w:themeShade="80"/>
                <w:sz w:val="18"/>
                <w:szCs w:val="18"/>
              </w:rPr>
              <w:t>32.7</w:t>
            </w:r>
            <w:r w:rsidRPr="00E04507">
              <w:rPr>
                <w:rFonts w:ascii="Arial" w:hAnsi="Arial" w:cs="Arial"/>
                <w:bCs/>
                <w:color w:val="0F243E" w:themeColor="text2" w:themeShade="80"/>
                <w:sz w:val="18"/>
                <w:szCs w:val="18"/>
              </w:rPr>
              <w:t>%</w:t>
            </w:r>
          </w:p>
        </w:tc>
      </w:tr>
    </w:tbl>
    <w:p w14:paraId="7E354CC1" w14:textId="77777777" w:rsidR="00CB6454" w:rsidRPr="00EA1FE4" w:rsidRDefault="00CB6454" w:rsidP="00CB6454">
      <w:pPr>
        <w:pStyle w:val="NoSpacing"/>
        <w:rPr>
          <w:rFonts w:ascii="Arial" w:hAnsi="Arial" w:cs="Arial"/>
          <w:sz w:val="10"/>
          <w:szCs w:val="10"/>
        </w:rPr>
      </w:pPr>
    </w:p>
    <w:p w14:paraId="5DCE9294" w14:textId="77777777" w:rsidR="00CB6454" w:rsidRPr="00B35CE9" w:rsidRDefault="00CB6454" w:rsidP="00CB6454">
      <w:pPr>
        <w:pStyle w:val="NoSpacing"/>
        <w:rPr>
          <w:rFonts w:ascii="Arial" w:hAnsi="Arial" w:cs="Arial"/>
          <w:sz w:val="16"/>
          <w:szCs w:val="16"/>
        </w:rPr>
      </w:pPr>
      <w:r>
        <w:rPr>
          <w:rFonts w:ascii="Arial" w:hAnsi="Arial" w:cs="Arial"/>
          <w:sz w:val="16"/>
          <w:szCs w:val="16"/>
        </w:rPr>
        <w:t xml:space="preserve">    </w:t>
      </w:r>
      <w:r w:rsidRPr="00B35CE9">
        <w:rPr>
          <w:rFonts w:ascii="Arial" w:hAnsi="Arial" w:cs="Arial"/>
          <w:sz w:val="16"/>
          <w:szCs w:val="16"/>
        </w:rPr>
        <w:t>Source: Source</w:t>
      </w:r>
      <w:r>
        <w:rPr>
          <w:rFonts w:ascii="Arial" w:hAnsi="Arial" w:cs="Arial"/>
          <w:sz w:val="16"/>
          <w:szCs w:val="16"/>
        </w:rPr>
        <w:t xml:space="preserve">: IRI Integrated Fresh, Total U.S., MULO, </w:t>
      </w:r>
      <w:r w:rsidRPr="00B35CE9">
        <w:rPr>
          <w:rFonts w:ascii="Arial" w:hAnsi="Arial" w:cs="Arial"/>
          <w:sz w:val="16"/>
          <w:szCs w:val="16"/>
        </w:rPr>
        <w:t>% change vs. YA</w:t>
      </w:r>
    </w:p>
    <w:p w14:paraId="58DA2B61" w14:textId="77777777" w:rsidR="00E43E81" w:rsidRDefault="00E43E81" w:rsidP="00E43E81">
      <w:pPr>
        <w:pStyle w:val="NoSpacing"/>
        <w:rPr>
          <w:rFonts w:ascii="Arial" w:hAnsi="Arial" w:cs="Arial"/>
          <w:sz w:val="20"/>
          <w:shd w:val="clear" w:color="auto" w:fill="FFFFFF"/>
        </w:rPr>
      </w:pPr>
    </w:p>
    <w:p w14:paraId="44BF0C7E" w14:textId="77777777" w:rsidR="00DB444F" w:rsidRDefault="00DB444F" w:rsidP="00B10C22">
      <w:pPr>
        <w:pStyle w:val="NoSpacing"/>
        <w:rPr>
          <w:rFonts w:ascii="Arial" w:hAnsi="Arial" w:cs="Arial"/>
          <w:b/>
          <w:color w:val="595959" w:themeColor="text1" w:themeTint="A6"/>
          <w:sz w:val="24"/>
          <w:szCs w:val="24"/>
        </w:rPr>
      </w:pPr>
    </w:p>
    <w:p w14:paraId="704F18F5" w14:textId="32353037" w:rsidR="00B10C22" w:rsidRPr="00BF7B2A" w:rsidRDefault="00B10C22" w:rsidP="00B10C22">
      <w:pPr>
        <w:pStyle w:val="NoSpacing"/>
        <w:rPr>
          <w:rFonts w:ascii="Arial" w:hAnsi="Arial" w:cs="Arial"/>
          <w:b/>
          <w:color w:val="595959" w:themeColor="text1" w:themeTint="A6"/>
          <w:sz w:val="24"/>
          <w:szCs w:val="24"/>
        </w:rPr>
      </w:pPr>
      <w:r w:rsidRPr="00BF7B2A">
        <w:rPr>
          <w:rFonts w:ascii="Arial" w:hAnsi="Arial" w:cs="Arial"/>
          <w:b/>
          <w:color w:val="595959" w:themeColor="text1" w:themeTint="A6"/>
          <w:sz w:val="24"/>
          <w:szCs w:val="24"/>
        </w:rPr>
        <w:t xml:space="preserve">Fresh </w:t>
      </w:r>
      <w:r w:rsidR="00BF7B2A">
        <w:rPr>
          <w:rFonts w:ascii="Arial" w:hAnsi="Arial" w:cs="Arial"/>
          <w:b/>
          <w:color w:val="595959" w:themeColor="text1" w:themeTint="A6"/>
          <w:sz w:val="24"/>
          <w:szCs w:val="24"/>
        </w:rPr>
        <w:t>V</w:t>
      </w:r>
      <w:r w:rsidRPr="00BF7B2A">
        <w:rPr>
          <w:rFonts w:ascii="Arial" w:hAnsi="Arial" w:cs="Arial"/>
          <w:b/>
          <w:color w:val="595959" w:themeColor="text1" w:themeTint="A6"/>
          <w:sz w:val="24"/>
          <w:szCs w:val="24"/>
        </w:rPr>
        <w:t>egetables</w:t>
      </w:r>
      <w:r w:rsidR="00EB33CE">
        <w:rPr>
          <w:rFonts w:ascii="Arial" w:hAnsi="Arial" w:cs="Arial"/>
          <w:b/>
          <w:color w:val="595959" w:themeColor="text1" w:themeTint="A6"/>
          <w:sz w:val="24"/>
          <w:szCs w:val="24"/>
        </w:rPr>
        <w:t xml:space="preserve"> Sales in </w:t>
      </w:r>
      <w:r w:rsidR="00F85733">
        <w:rPr>
          <w:rFonts w:ascii="Arial" w:hAnsi="Arial" w:cs="Arial"/>
          <w:b/>
          <w:color w:val="595959" w:themeColor="text1" w:themeTint="A6"/>
          <w:sz w:val="24"/>
          <w:szCs w:val="24"/>
        </w:rPr>
        <w:t>November</w:t>
      </w:r>
    </w:p>
    <w:p w14:paraId="257D7162" w14:textId="56DE5AAB" w:rsidR="00836D73" w:rsidRDefault="007273B2" w:rsidP="00B10C22">
      <w:pPr>
        <w:pStyle w:val="NoSpacing"/>
        <w:rPr>
          <w:rFonts w:ascii="Arial" w:hAnsi="Arial" w:cs="Arial"/>
          <w:sz w:val="20"/>
          <w:szCs w:val="20"/>
        </w:rPr>
      </w:pPr>
      <w:r>
        <w:rPr>
          <w:rFonts w:ascii="Arial" w:hAnsi="Arial" w:cs="Arial"/>
          <w:sz w:val="20"/>
          <w:szCs w:val="20"/>
        </w:rPr>
        <w:t>“</w:t>
      </w:r>
      <w:r w:rsidR="00D15A58">
        <w:rPr>
          <w:rFonts w:ascii="Arial" w:hAnsi="Arial" w:cs="Arial"/>
          <w:sz w:val="20"/>
          <w:szCs w:val="20"/>
        </w:rPr>
        <w:t>Looking at the top 10 in vegetable dollar sales just conjures up Thanksgiving dinner</w:t>
      </w:r>
      <w:r w:rsidR="00546508">
        <w:rPr>
          <w:rFonts w:ascii="Arial" w:hAnsi="Arial" w:cs="Arial"/>
          <w:sz w:val="20"/>
          <w:szCs w:val="20"/>
        </w:rPr>
        <w:t xml:space="preserve">,” said Watson. </w:t>
      </w:r>
      <w:r w:rsidR="00084469">
        <w:rPr>
          <w:rFonts w:ascii="Arial" w:hAnsi="Arial" w:cs="Arial"/>
          <w:sz w:val="20"/>
          <w:szCs w:val="20"/>
        </w:rPr>
        <w:t>“</w:t>
      </w:r>
      <w:r w:rsidR="00D15A58">
        <w:rPr>
          <w:rFonts w:ascii="Arial" w:hAnsi="Arial" w:cs="Arial"/>
          <w:sz w:val="20"/>
          <w:szCs w:val="20"/>
        </w:rPr>
        <w:t>Between potatoes moving in first place, onions and carrots having a big month and celery moving into the top 10, it is clear that the holiday had a big impact on fresh vegetable sales this November</w:t>
      </w:r>
      <w:r w:rsidR="00A225C7">
        <w:rPr>
          <w:rFonts w:ascii="Arial" w:hAnsi="Arial" w:cs="Arial"/>
          <w:sz w:val="20"/>
          <w:szCs w:val="20"/>
        </w:rPr>
        <w:t>.</w:t>
      </w:r>
      <w:r w:rsidR="00D15A58">
        <w:rPr>
          <w:rFonts w:ascii="Arial" w:hAnsi="Arial" w:cs="Arial"/>
          <w:sz w:val="20"/>
          <w:szCs w:val="20"/>
        </w:rPr>
        <w:t xml:space="preserve"> By and large, sales increased versus year ago, with the </w:t>
      </w:r>
      <w:r w:rsidR="008D0296">
        <w:rPr>
          <w:rFonts w:ascii="Arial" w:hAnsi="Arial" w:cs="Arial"/>
          <w:sz w:val="20"/>
          <w:szCs w:val="20"/>
        </w:rPr>
        <w:t>exceptions of tomatoes, peppers and mushrooms, which each had a strong 2020.</w:t>
      </w:r>
      <w:r w:rsidR="00A225C7">
        <w:rPr>
          <w:rFonts w:ascii="Arial" w:hAnsi="Arial" w:cs="Arial"/>
          <w:sz w:val="20"/>
          <w:szCs w:val="20"/>
        </w:rPr>
        <w:t>”</w:t>
      </w:r>
      <w:r w:rsidR="00CF30D8">
        <w:rPr>
          <w:rFonts w:ascii="Arial" w:hAnsi="Arial" w:cs="Arial"/>
          <w:sz w:val="20"/>
          <w:szCs w:val="20"/>
        </w:rPr>
        <w:t xml:space="preserve"> </w:t>
      </w:r>
    </w:p>
    <w:p w14:paraId="5873722D" w14:textId="77777777" w:rsidR="001F53D3" w:rsidRPr="002E6833" w:rsidRDefault="001F53D3" w:rsidP="00B10C22">
      <w:pPr>
        <w:pStyle w:val="NoSpacing"/>
        <w:rPr>
          <w:rFonts w:ascii="Arial" w:hAnsi="Arial" w:cs="Arial"/>
          <w:sz w:val="18"/>
          <w:szCs w:val="20"/>
        </w:rPr>
      </w:pPr>
    </w:p>
    <w:tbl>
      <w:tblPr>
        <w:tblStyle w:val="LightShading-Accent5"/>
        <w:tblW w:w="10458" w:type="dxa"/>
        <w:tblBorders>
          <w:top w:val="none" w:sz="0" w:space="0" w:color="auto"/>
          <w:bottom w:val="none" w:sz="0" w:space="0" w:color="auto"/>
        </w:tblBorders>
        <w:tblLayout w:type="fixed"/>
        <w:tblLook w:val="04A0" w:firstRow="1" w:lastRow="0" w:firstColumn="1" w:lastColumn="0" w:noHBand="0" w:noVBand="1"/>
      </w:tblPr>
      <w:tblGrid>
        <w:gridCol w:w="1642"/>
        <w:gridCol w:w="838"/>
        <w:gridCol w:w="43"/>
        <w:gridCol w:w="796"/>
        <w:gridCol w:w="86"/>
        <w:gridCol w:w="881"/>
        <w:gridCol w:w="882"/>
        <w:gridCol w:w="882"/>
        <w:gridCol w:w="881"/>
        <w:gridCol w:w="882"/>
        <w:gridCol w:w="881"/>
        <w:gridCol w:w="882"/>
        <w:gridCol w:w="882"/>
      </w:tblGrid>
      <w:tr w:rsidR="00470A5F" w:rsidRPr="0003007F" w14:paraId="6EC2695B" w14:textId="77777777" w:rsidTr="00CF30D8">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480" w:type="dxa"/>
            <w:gridSpan w:val="2"/>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5FEFFD51" w14:textId="77777777" w:rsidR="00470A5F" w:rsidRPr="00AB1306" w:rsidRDefault="00470A5F" w:rsidP="00CF30D8">
            <w:pPr>
              <w:pStyle w:val="NoSpacing"/>
              <w:rPr>
                <w:rFonts w:ascii="Arial" w:hAnsi="Arial" w:cs="Arial"/>
                <w:color w:val="FFFFFF" w:themeColor="background1"/>
                <w:sz w:val="18"/>
                <w:szCs w:val="18"/>
              </w:rPr>
            </w:pPr>
            <w:r w:rsidRPr="00AB1306">
              <w:rPr>
                <w:rFonts w:ascii="Arial" w:hAnsi="Arial" w:cs="Arial"/>
                <w:color w:val="FFFFFF" w:themeColor="background1"/>
                <w:sz w:val="18"/>
                <w:szCs w:val="18"/>
              </w:rPr>
              <w:t>Top 10 in sales</w:t>
            </w:r>
          </w:p>
        </w:tc>
        <w:tc>
          <w:tcPr>
            <w:tcW w:w="839" w:type="dxa"/>
            <w:gridSpan w:val="2"/>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14D5E585" w14:textId="77777777" w:rsidR="00470A5F" w:rsidRPr="00AB1306" w:rsidRDefault="00470A5F" w:rsidP="00CF30D8">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p>
        </w:tc>
        <w:tc>
          <w:tcPr>
            <w:tcW w:w="7139" w:type="dxa"/>
            <w:gridSpan w:val="9"/>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6CD2D1AA" w14:textId="77777777" w:rsidR="00470A5F" w:rsidRPr="0003007F" w:rsidRDefault="00470A5F" w:rsidP="00CF30D8">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AB1306">
              <w:rPr>
                <w:rFonts w:ascii="Arial" w:hAnsi="Arial" w:cs="Arial"/>
                <w:color w:val="FFFFFF" w:themeColor="background1"/>
                <w:sz w:val="18"/>
                <w:szCs w:val="18"/>
              </w:rPr>
              <w:t>Dollar sal</w:t>
            </w:r>
            <w:r>
              <w:rPr>
                <w:rFonts w:ascii="Arial" w:hAnsi="Arial" w:cs="Arial"/>
                <w:color w:val="FFFFFF" w:themeColor="background1"/>
                <w:sz w:val="18"/>
                <w:szCs w:val="18"/>
              </w:rPr>
              <w:t>es increase over comparable period</w:t>
            </w:r>
            <w:r w:rsidRPr="00AB1306">
              <w:rPr>
                <w:rFonts w:ascii="Arial" w:hAnsi="Arial" w:cs="Arial"/>
                <w:color w:val="FFFFFF" w:themeColor="background1"/>
                <w:sz w:val="18"/>
                <w:szCs w:val="18"/>
              </w:rPr>
              <w:t xml:space="preserve"> in 2019</w:t>
            </w:r>
            <w:r>
              <w:rPr>
                <w:rFonts w:ascii="Arial" w:hAnsi="Arial" w:cs="Arial"/>
                <w:color w:val="FFFFFF" w:themeColor="background1"/>
                <w:sz w:val="18"/>
                <w:szCs w:val="18"/>
              </w:rPr>
              <w:t>/2020</w:t>
            </w:r>
          </w:p>
        </w:tc>
      </w:tr>
      <w:tr w:rsidR="00470A5F" w:rsidRPr="0003007F" w14:paraId="77066A98" w14:textId="77777777" w:rsidTr="00CF30D8">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1642" w:type="dxa"/>
            <w:tcBorders>
              <w:left w:val="none" w:sz="0" w:space="0" w:color="auto"/>
              <w:right w:val="none" w:sz="0" w:space="0" w:color="auto"/>
            </w:tcBorders>
            <w:shd w:val="clear" w:color="auto" w:fill="17365D" w:themeFill="text2" w:themeFillShade="BF"/>
            <w:vAlign w:val="center"/>
          </w:tcPr>
          <w:p w14:paraId="3350B8FA" w14:textId="77777777" w:rsidR="00470A5F" w:rsidRPr="0003007F" w:rsidRDefault="00470A5F" w:rsidP="00CF30D8">
            <w:pPr>
              <w:pStyle w:val="NoSpacing"/>
              <w:jc w:val="right"/>
              <w:rPr>
                <w:rFonts w:ascii="Arial" w:hAnsi="Arial" w:cs="Arial"/>
                <w:color w:val="FFFFFF" w:themeColor="background1"/>
                <w:sz w:val="18"/>
                <w:szCs w:val="18"/>
              </w:rPr>
            </w:pPr>
          </w:p>
        </w:tc>
        <w:tc>
          <w:tcPr>
            <w:tcW w:w="881" w:type="dxa"/>
            <w:gridSpan w:val="2"/>
            <w:tcBorders>
              <w:left w:val="none" w:sz="0" w:space="0" w:color="auto"/>
              <w:right w:val="none" w:sz="0" w:space="0" w:color="auto"/>
            </w:tcBorders>
            <w:shd w:val="clear" w:color="auto" w:fill="17365D" w:themeFill="text2" w:themeFillShade="BF"/>
            <w:vAlign w:val="center"/>
          </w:tcPr>
          <w:p w14:paraId="3AD51E78" w14:textId="77777777" w:rsidR="00470A5F" w:rsidRPr="003C245B" w:rsidRDefault="00470A5F" w:rsidP="00CF30D8">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color w:val="FFFFFF" w:themeColor="background1"/>
                <w:sz w:val="18"/>
                <w:szCs w:val="18"/>
              </w:rPr>
              <w:t>Q1 ‘20</w:t>
            </w:r>
          </w:p>
        </w:tc>
        <w:tc>
          <w:tcPr>
            <w:tcW w:w="882" w:type="dxa"/>
            <w:gridSpan w:val="2"/>
            <w:tcBorders>
              <w:left w:val="none" w:sz="0" w:space="0" w:color="auto"/>
              <w:right w:val="none" w:sz="0" w:space="0" w:color="auto"/>
            </w:tcBorders>
            <w:shd w:val="clear" w:color="auto" w:fill="17365D" w:themeFill="text2" w:themeFillShade="BF"/>
            <w:vAlign w:val="center"/>
          </w:tcPr>
          <w:p w14:paraId="1CFEBEA8" w14:textId="77777777" w:rsidR="00470A5F" w:rsidRPr="003C245B" w:rsidRDefault="00470A5F" w:rsidP="00CF30D8">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Q2 ‘20</w:t>
            </w:r>
          </w:p>
        </w:tc>
        <w:tc>
          <w:tcPr>
            <w:tcW w:w="881" w:type="dxa"/>
            <w:tcBorders>
              <w:left w:val="none" w:sz="0" w:space="0" w:color="auto"/>
              <w:right w:val="none" w:sz="0" w:space="0" w:color="auto"/>
            </w:tcBorders>
            <w:shd w:val="clear" w:color="auto" w:fill="17365D" w:themeFill="text2" w:themeFillShade="BF"/>
            <w:vAlign w:val="center"/>
          </w:tcPr>
          <w:p w14:paraId="73E4FD6F" w14:textId="77777777" w:rsidR="00470A5F" w:rsidRPr="003C245B" w:rsidRDefault="00470A5F" w:rsidP="00CF30D8">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Q3 ‘20</w:t>
            </w:r>
          </w:p>
        </w:tc>
        <w:tc>
          <w:tcPr>
            <w:tcW w:w="882" w:type="dxa"/>
            <w:tcBorders>
              <w:left w:val="none" w:sz="0" w:space="0" w:color="auto"/>
              <w:right w:val="none" w:sz="0" w:space="0" w:color="auto"/>
            </w:tcBorders>
            <w:shd w:val="clear" w:color="auto" w:fill="17365D" w:themeFill="text2" w:themeFillShade="BF"/>
            <w:vAlign w:val="center"/>
          </w:tcPr>
          <w:p w14:paraId="32DB7353" w14:textId="77777777" w:rsidR="00470A5F" w:rsidRPr="003C245B" w:rsidRDefault="00470A5F" w:rsidP="00CF30D8">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Q4 ‘20</w:t>
            </w:r>
          </w:p>
        </w:tc>
        <w:tc>
          <w:tcPr>
            <w:tcW w:w="882" w:type="dxa"/>
            <w:tcBorders>
              <w:left w:val="none" w:sz="0" w:space="0" w:color="auto"/>
              <w:right w:val="none" w:sz="0" w:space="0" w:color="auto"/>
            </w:tcBorders>
            <w:shd w:val="clear" w:color="auto" w:fill="17365D" w:themeFill="text2" w:themeFillShade="BF"/>
            <w:vAlign w:val="center"/>
          </w:tcPr>
          <w:p w14:paraId="27E4157D" w14:textId="77777777" w:rsidR="00470A5F" w:rsidRDefault="00470A5F" w:rsidP="00CF30D8">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Q1 ‘21</w:t>
            </w:r>
          </w:p>
        </w:tc>
        <w:tc>
          <w:tcPr>
            <w:tcW w:w="881" w:type="dxa"/>
            <w:tcBorders>
              <w:left w:val="none" w:sz="0" w:space="0" w:color="auto"/>
              <w:right w:val="none" w:sz="0" w:space="0" w:color="auto"/>
            </w:tcBorders>
            <w:shd w:val="clear" w:color="auto" w:fill="17365D" w:themeFill="text2" w:themeFillShade="BF"/>
            <w:vAlign w:val="center"/>
          </w:tcPr>
          <w:p w14:paraId="74192A2F" w14:textId="77777777" w:rsidR="00470A5F" w:rsidRDefault="00470A5F" w:rsidP="00CF30D8">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Q2 ‘21</w:t>
            </w:r>
          </w:p>
        </w:tc>
        <w:tc>
          <w:tcPr>
            <w:tcW w:w="882" w:type="dxa"/>
            <w:tcBorders>
              <w:left w:val="none" w:sz="0" w:space="0" w:color="auto"/>
              <w:right w:val="none" w:sz="0" w:space="0" w:color="auto"/>
            </w:tcBorders>
            <w:shd w:val="clear" w:color="auto" w:fill="17365D" w:themeFill="text2" w:themeFillShade="BF"/>
            <w:vAlign w:val="center"/>
          </w:tcPr>
          <w:p w14:paraId="04743BBF" w14:textId="77777777" w:rsidR="00470A5F" w:rsidRDefault="00470A5F" w:rsidP="00CF30D8">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Q3 ‘21</w:t>
            </w:r>
          </w:p>
        </w:tc>
        <w:tc>
          <w:tcPr>
            <w:tcW w:w="881" w:type="dxa"/>
            <w:tcBorders>
              <w:left w:val="none" w:sz="0" w:space="0" w:color="auto"/>
              <w:right w:val="none" w:sz="0" w:space="0" w:color="auto"/>
            </w:tcBorders>
            <w:shd w:val="clear" w:color="auto" w:fill="17365D" w:themeFill="text2" w:themeFillShade="BF"/>
            <w:vAlign w:val="center"/>
          </w:tcPr>
          <w:p w14:paraId="7A24CCCC" w14:textId="77777777" w:rsidR="00470A5F" w:rsidRDefault="00B51D47" w:rsidP="00CF30D8">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Nov</w:t>
            </w:r>
            <w:r w:rsidR="00470A5F">
              <w:rPr>
                <w:rFonts w:ascii="Arial" w:hAnsi="Arial" w:cs="Arial"/>
                <w:b/>
                <w:color w:val="FFFFFF" w:themeColor="background1"/>
                <w:sz w:val="18"/>
                <w:szCs w:val="18"/>
              </w:rPr>
              <w:t xml:space="preserve"> ‘21</w:t>
            </w:r>
          </w:p>
        </w:tc>
        <w:tc>
          <w:tcPr>
            <w:tcW w:w="882" w:type="dxa"/>
            <w:tcBorders>
              <w:left w:val="none" w:sz="0" w:space="0" w:color="auto"/>
              <w:right w:val="none" w:sz="0" w:space="0" w:color="auto"/>
            </w:tcBorders>
            <w:shd w:val="clear" w:color="auto" w:fill="17365D" w:themeFill="text2" w:themeFillShade="BF"/>
            <w:vAlign w:val="center"/>
          </w:tcPr>
          <w:p w14:paraId="70D1BA13" w14:textId="77777777" w:rsidR="00470A5F" w:rsidRPr="0003007F" w:rsidRDefault="00B51D47" w:rsidP="00CF30D8">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Nov</w:t>
            </w:r>
            <w:r w:rsidR="00470A5F">
              <w:rPr>
                <w:rFonts w:ascii="Arial" w:hAnsi="Arial" w:cs="Arial"/>
                <w:b/>
                <w:color w:val="FFFFFF" w:themeColor="background1"/>
                <w:sz w:val="18"/>
                <w:szCs w:val="18"/>
              </w:rPr>
              <w:t xml:space="preserve"> vs ‘20</w:t>
            </w:r>
          </w:p>
        </w:tc>
        <w:tc>
          <w:tcPr>
            <w:tcW w:w="882" w:type="dxa"/>
            <w:tcBorders>
              <w:left w:val="none" w:sz="0" w:space="0" w:color="auto"/>
              <w:right w:val="none" w:sz="0" w:space="0" w:color="auto"/>
            </w:tcBorders>
            <w:shd w:val="clear" w:color="auto" w:fill="17365D" w:themeFill="text2" w:themeFillShade="BF"/>
            <w:vAlign w:val="center"/>
          </w:tcPr>
          <w:p w14:paraId="38DC506E" w14:textId="77777777" w:rsidR="00470A5F" w:rsidRPr="0003007F" w:rsidRDefault="00B51D47" w:rsidP="00CF30D8">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Nov</w:t>
            </w:r>
            <w:r w:rsidR="00470A5F">
              <w:rPr>
                <w:rFonts w:ascii="Arial" w:hAnsi="Arial" w:cs="Arial"/>
                <w:b/>
                <w:color w:val="FFFFFF" w:themeColor="background1"/>
                <w:sz w:val="18"/>
                <w:szCs w:val="18"/>
              </w:rPr>
              <w:t xml:space="preserve"> vs ‘19</w:t>
            </w:r>
          </w:p>
        </w:tc>
      </w:tr>
      <w:tr w:rsidR="00576207" w14:paraId="0C36A04B" w14:textId="77777777" w:rsidTr="00576207">
        <w:trPr>
          <w:trHeight w:val="298"/>
        </w:trPr>
        <w:tc>
          <w:tcPr>
            <w:cnfStyle w:val="001000000000" w:firstRow="0" w:lastRow="0" w:firstColumn="1" w:lastColumn="0" w:oddVBand="0" w:evenVBand="0" w:oddHBand="0" w:evenHBand="0" w:firstRowFirstColumn="0" w:firstRowLastColumn="0" w:lastRowFirstColumn="0" w:lastRowLastColumn="0"/>
            <w:tcW w:w="1642" w:type="dxa"/>
            <w:vAlign w:val="center"/>
          </w:tcPr>
          <w:p w14:paraId="4C3432DE" w14:textId="77777777" w:rsidR="00576207" w:rsidRPr="00576207" w:rsidRDefault="00576207" w:rsidP="00576207">
            <w:pPr>
              <w:pStyle w:val="NoSpacing"/>
              <w:jc w:val="right"/>
              <w:rPr>
                <w:rFonts w:ascii="Arial" w:hAnsi="Arial" w:cs="Arial"/>
                <w:color w:val="215868" w:themeColor="accent5" w:themeShade="80"/>
                <w:sz w:val="18"/>
                <w:szCs w:val="18"/>
              </w:rPr>
            </w:pPr>
            <w:r w:rsidRPr="00576207">
              <w:rPr>
                <w:rFonts w:ascii="Arial" w:hAnsi="Arial" w:cs="Arial"/>
                <w:color w:val="215868" w:themeColor="accent5" w:themeShade="80"/>
                <w:sz w:val="18"/>
                <w:szCs w:val="18"/>
              </w:rPr>
              <w:t>Fresh vegetables</w:t>
            </w:r>
          </w:p>
        </w:tc>
        <w:tc>
          <w:tcPr>
            <w:tcW w:w="881" w:type="dxa"/>
            <w:gridSpan w:val="2"/>
            <w:vAlign w:val="center"/>
          </w:tcPr>
          <w:p w14:paraId="09904CFD" w14:textId="77777777" w:rsidR="00576207" w:rsidRPr="00576207" w:rsidRDefault="00576207" w:rsidP="00576207">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sidRPr="00576207">
              <w:rPr>
                <w:rFonts w:ascii="Arial" w:hAnsi="Arial" w:cs="Arial"/>
                <w:color w:val="215868" w:themeColor="accent5" w:themeShade="80"/>
                <w:sz w:val="18"/>
                <w:szCs w:val="18"/>
              </w:rPr>
              <w:t>+8.4%</w:t>
            </w:r>
          </w:p>
        </w:tc>
        <w:tc>
          <w:tcPr>
            <w:tcW w:w="882" w:type="dxa"/>
            <w:gridSpan w:val="2"/>
            <w:vAlign w:val="center"/>
          </w:tcPr>
          <w:p w14:paraId="7FE62D52" w14:textId="77777777" w:rsidR="00576207" w:rsidRPr="00576207" w:rsidRDefault="00576207" w:rsidP="00576207">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sidRPr="00576207">
              <w:rPr>
                <w:rFonts w:ascii="Arial" w:hAnsi="Arial" w:cs="Arial"/>
                <w:color w:val="215868" w:themeColor="accent5" w:themeShade="80"/>
                <w:sz w:val="18"/>
                <w:szCs w:val="18"/>
              </w:rPr>
              <w:t>+20.7%</w:t>
            </w:r>
          </w:p>
        </w:tc>
        <w:tc>
          <w:tcPr>
            <w:tcW w:w="881" w:type="dxa"/>
            <w:vAlign w:val="center"/>
          </w:tcPr>
          <w:p w14:paraId="3C659175" w14:textId="77777777" w:rsidR="00576207" w:rsidRPr="00576207" w:rsidRDefault="00576207" w:rsidP="00576207">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sidRPr="00576207">
              <w:rPr>
                <w:rFonts w:ascii="Arial" w:hAnsi="Arial" w:cs="Arial"/>
                <w:color w:val="215868" w:themeColor="accent5" w:themeShade="80"/>
                <w:sz w:val="18"/>
                <w:szCs w:val="18"/>
              </w:rPr>
              <w:t>+15.1%</w:t>
            </w:r>
          </w:p>
        </w:tc>
        <w:tc>
          <w:tcPr>
            <w:tcW w:w="882" w:type="dxa"/>
            <w:vAlign w:val="center"/>
          </w:tcPr>
          <w:p w14:paraId="1F8A1A49" w14:textId="77777777" w:rsidR="00576207" w:rsidRPr="00576207" w:rsidRDefault="00576207" w:rsidP="00576207">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sidRPr="00576207">
              <w:rPr>
                <w:rFonts w:ascii="Arial" w:hAnsi="Arial" w:cs="Arial"/>
                <w:color w:val="215868" w:themeColor="accent5" w:themeShade="80"/>
                <w:sz w:val="18"/>
                <w:szCs w:val="18"/>
              </w:rPr>
              <w:t>+14.8%</w:t>
            </w:r>
          </w:p>
        </w:tc>
        <w:tc>
          <w:tcPr>
            <w:tcW w:w="882" w:type="dxa"/>
            <w:vAlign w:val="center"/>
          </w:tcPr>
          <w:p w14:paraId="101F21C3" w14:textId="77777777" w:rsidR="00576207" w:rsidRPr="00576207" w:rsidRDefault="00576207" w:rsidP="00576207">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sidRPr="00576207">
              <w:rPr>
                <w:rFonts w:ascii="Arial" w:hAnsi="Arial" w:cs="Arial"/>
                <w:color w:val="215868" w:themeColor="accent5" w:themeShade="80"/>
                <w:sz w:val="18"/>
                <w:szCs w:val="18"/>
              </w:rPr>
              <w:t>+4.6%</w:t>
            </w:r>
          </w:p>
        </w:tc>
        <w:tc>
          <w:tcPr>
            <w:tcW w:w="881" w:type="dxa"/>
            <w:vAlign w:val="center"/>
          </w:tcPr>
          <w:p w14:paraId="155EF502" w14:textId="77777777" w:rsidR="00576207" w:rsidRPr="00576207" w:rsidRDefault="00576207" w:rsidP="00576207">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sidRPr="00576207">
              <w:rPr>
                <w:rFonts w:ascii="Arial" w:hAnsi="Arial" w:cs="Arial"/>
                <w:bCs/>
                <w:color w:val="215868" w:themeColor="accent5" w:themeShade="80"/>
                <w:sz w:val="18"/>
                <w:szCs w:val="18"/>
              </w:rPr>
              <w:t>-7.4%</w:t>
            </w:r>
          </w:p>
        </w:tc>
        <w:tc>
          <w:tcPr>
            <w:tcW w:w="882" w:type="dxa"/>
            <w:vAlign w:val="center"/>
          </w:tcPr>
          <w:p w14:paraId="76EA05EB" w14:textId="77777777" w:rsidR="00576207" w:rsidRPr="00576207" w:rsidRDefault="00576207" w:rsidP="00576207">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sidRPr="00576207">
              <w:rPr>
                <w:rFonts w:ascii="Arial" w:hAnsi="Arial" w:cs="Arial"/>
                <w:bCs/>
                <w:color w:val="215868" w:themeColor="accent5" w:themeShade="80"/>
                <w:sz w:val="18"/>
                <w:szCs w:val="18"/>
              </w:rPr>
              <w:t>-2.6%</w:t>
            </w:r>
          </w:p>
        </w:tc>
        <w:tc>
          <w:tcPr>
            <w:tcW w:w="881" w:type="dxa"/>
            <w:vAlign w:val="center"/>
          </w:tcPr>
          <w:p w14:paraId="0AF2116B" w14:textId="06948BBB" w:rsidR="00576207" w:rsidRPr="00576207" w:rsidRDefault="00B51D47" w:rsidP="00576207">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color w:val="215868" w:themeColor="accent5" w:themeShade="80"/>
                <w:sz w:val="18"/>
              </w:rPr>
              <w:t>$</w:t>
            </w:r>
            <w:r w:rsidR="00946FA4">
              <w:rPr>
                <w:rFonts w:ascii="Arial" w:hAnsi="Arial" w:cs="Arial"/>
                <w:color w:val="215868" w:themeColor="accent5" w:themeShade="80"/>
                <w:sz w:val="18"/>
              </w:rPr>
              <w:t>2.8</w:t>
            </w:r>
            <w:r w:rsidR="00576207" w:rsidRPr="00576207">
              <w:rPr>
                <w:rFonts w:ascii="Arial" w:hAnsi="Arial" w:cs="Arial"/>
                <w:color w:val="215868" w:themeColor="accent5" w:themeShade="80"/>
                <w:sz w:val="18"/>
              </w:rPr>
              <w:t>B</w:t>
            </w:r>
          </w:p>
        </w:tc>
        <w:tc>
          <w:tcPr>
            <w:tcW w:w="882" w:type="dxa"/>
            <w:vAlign w:val="center"/>
          </w:tcPr>
          <w:p w14:paraId="0392F1E5" w14:textId="389B7309" w:rsidR="00576207" w:rsidRPr="00576207" w:rsidRDefault="00946FA4" w:rsidP="00576207">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Pr>
                <w:rFonts w:ascii="Arial" w:hAnsi="Arial" w:cs="Arial"/>
                <w:color w:val="215868" w:themeColor="accent5" w:themeShade="80"/>
                <w:sz w:val="18"/>
              </w:rPr>
              <w:t>+0.1</w:t>
            </w:r>
            <w:r w:rsidR="00576207" w:rsidRPr="00576207">
              <w:rPr>
                <w:rFonts w:ascii="Arial" w:hAnsi="Arial" w:cs="Arial"/>
                <w:color w:val="215868" w:themeColor="accent5" w:themeShade="80"/>
                <w:sz w:val="18"/>
              </w:rPr>
              <w:t>%</w:t>
            </w:r>
          </w:p>
        </w:tc>
        <w:tc>
          <w:tcPr>
            <w:tcW w:w="882" w:type="dxa"/>
            <w:vAlign w:val="center"/>
          </w:tcPr>
          <w:p w14:paraId="37567E43" w14:textId="44E24985" w:rsidR="00576207" w:rsidRPr="00576207" w:rsidRDefault="00B51D47" w:rsidP="00576207">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Pr>
                <w:rFonts w:ascii="Arial" w:hAnsi="Arial" w:cs="Arial"/>
                <w:color w:val="215868" w:themeColor="accent5" w:themeShade="80"/>
                <w:sz w:val="18"/>
              </w:rPr>
              <w:t>+</w:t>
            </w:r>
            <w:r w:rsidR="00946FA4">
              <w:rPr>
                <w:rFonts w:ascii="Arial" w:hAnsi="Arial" w:cs="Arial"/>
                <w:color w:val="215868" w:themeColor="accent5" w:themeShade="80"/>
                <w:sz w:val="18"/>
              </w:rPr>
              <w:t>14.1</w:t>
            </w:r>
            <w:r w:rsidR="00576207" w:rsidRPr="00576207">
              <w:rPr>
                <w:rFonts w:ascii="Arial" w:hAnsi="Arial" w:cs="Arial"/>
                <w:color w:val="215868" w:themeColor="accent5" w:themeShade="80"/>
                <w:sz w:val="18"/>
              </w:rPr>
              <w:t>%</w:t>
            </w:r>
          </w:p>
        </w:tc>
      </w:tr>
      <w:tr w:rsidR="00946FA4" w14:paraId="336CE833" w14:textId="77777777" w:rsidTr="00046C74">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642" w:type="dxa"/>
            <w:tcBorders>
              <w:left w:val="none" w:sz="0" w:space="0" w:color="auto"/>
              <w:right w:val="none" w:sz="0" w:space="0" w:color="auto"/>
            </w:tcBorders>
            <w:vAlign w:val="center"/>
          </w:tcPr>
          <w:p w14:paraId="3D8960AB" w14:textId="77777777" w:rsidR="00946FA4" w:rsidRPr="00576207" w:rsidRDefault="00946FA4" w:rsidP="00046C74">
            <w:pPr>
              <w:jc w:val="right"/>
              <w:rPr>
                <w:rFonts w:ascii="Arial" w:hAnsi="Arial" w:cs="Arial"/>
                <w:b w:val="0"/>
                <w:color w:val="215868" w:themeColor="accent5" w:themeShade="80"/>
                <w:sz w:val="18"/>
                <w:szCs w:val="18"/>
              </w:rPr>
            </w:pPr>
            <w:r w:rsidRPr="00576207">
              <w:rPr>
                <w:rFonts w:ascii="Arial" w:hAnsi="Arial" w:cs="Arial"/>
                <w:b w:val="0"/>
                <w:color w:val="215868" w:themeColor="accent5" w:themeShade="80"/>
                <w:sz w:val="18"/>
                <w:szCs w:val="18"/>
              </w:rPr>
              <w:t>Potatoes</w:t>
            </w:r>
          </w:p>
        </w:tc>
        <w:tc>
          <w:tcPr>
            <w:tcW w:w="881" w:type="dxa"/>
            <w:gridSpan w:val="2"/>
            <w:tcBorders>
              <w:left w:val="none" w:sz="0" w:space="0" w:color="auto"/>
              <w:right w:val="none" w:sz="0" w:space="0" w:color="auto"/>
            </w:tcBorders>
            <w:vAlign w:val="center"/>
          </w:tcPr>
          <w:p w14:paraId="5A4E5264" w14:textId="77777777" w:rsidR="00946FA4" w:rsidRPr="00576207" w:rsidRDefault="00946FA4" w:rsidP="00046C7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576207">
              <w:rPr>
                <w:rFonts w:ascii="Arial" w:hAnsi="Arial" w:cs="Arial"/>
                <w:color w:val="215868" w:themeColor="accent5" w:themeShade="80"/>
                <w:sz w:val="18"/>
                <w:szCs w:val="18"/>
              </w:rPr>
              <w:t>+19.4%</w:t>
            </w:r>
          </w:p>
        </w:tc>
        <w:tc>
          <w:tcPr>
            <w:tcW w:w="882" w:type="dxa"/>
            <w:gridSpan w:val="2"/>
            <w:tcBorders>
              <w:left w:val="none" w:sz="0" w:space="0" w:color="auto"/>
              <w:right w:val="none" w:sz="0" w:space="0" w:color="auto"/>
            </w:tcBorders>
            <w:vAlign w:val="center"/>
          </w:tcPr>
          <w:p w14:paraId="09BBB11B" w14:textId="77777777" w:rsidR="00946FA4" w:rsidRPr="00576207" w:rsidRDefault="00946FA4" w:rsidP="00046C7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576207">
              <w:rPr>
                <w:rFonts w:ascii="Arial" w:hAnsi="Arial" w:cs="Arial"/>
                <w:color w:val="215868" w:themeColor="accent5" w:themeShade="80"/>
                <w:sz w:val="18"/>
                <w:szCs w:val="18"/>
              </w:rPr>
              <w:t>+36.8%</w:t>
            </w:r>
          </w:p>
        </w:tc>
        <w:tc>
          <w:tcPr>
            <w:tcW w:w="881" w:type="dxa"/>
            <w:tcBorders>
              <w:left w:val="none" w:sz="0" w:space="0" w:color="auto"/>
              <w:right w:val="none" w:sz="0" w:space="0" w:color="auto"/>
            </w:tcBorders>
            <w:vAlign w:val="center"/>
          </w:tcPr>
          <w:p w14:paraId="00860612" w14:textId="77777777" w:rsidR="00946FA4" w:rsidRPr="00576207" w:rsidRDefault="00946FA4" w:rsidP="00046C7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576207">
              <w:rPr>
                <w:rFonts w:ascii="Arial" w:hAnsi="Arial" w:cs="Arial"/>
                <w:color w:val="215868" w:themeColor="accent5" w:themeShade="80"/>
                <w:sz w:val="18"/>
                <w:szCs w:val="18"/>
              </w:rPr>
              <w:t>+16.6%</w:t>
            </w:r>
          </w:p>
        </w:tc>
        <w:tc>
          <w:tcPr>
            <w:tcW w:w="882" w:type="dxa"/>
            <w:tcBorders>
              <w:left w:val="none" w:sz="0" w:space="0" w:color="auto"/>
              <w:right w:val="none" w:sz="0" w:space="0" w:color="auto"/>
            </w:tcBorders>
            <w:vAlign w:val="center"/>
          </w:tcPr>
          <w:p w14:paraId="30A388ED" w14:textId="77777777" w:rsidR="00946FA4" w:rsidRPr="00576207" w:rsidRDefault="00946FA4" w:rsidP="00046C7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576207">
              <w:rPr>
                <w:rFonts w:ascii="Arial" w:hAnsi="Arial" w:cs="Arial"/>
                <w:color w:val="215868" w:themeColor="accent5" w:themeShade="80"/>
                <w:sz w:val="18"/>
                <w:szCs w:val="18"/>
              </w:rPr>
              <w:t>+12.1%</w:t>
            </w:r>
          </w:p>
        </w:tc>
        <w:tc>
          <w:tcPr>
            <w:tcW w:w="882" w:type="dxa"/>
            <w:tcBorders>
              <w:left w:val="none" w:sz="0" w:space="0" w:color="auto"/>
              <w:right w:val="none" w:sz="0" w:space="0" w:color="auto"/>
            </w:tcBorders>
            <w:vAlign w:val="center"/>
          </w:tcPr>
          <w:p w14:paraId="0CC8C245" w14:textId="77777777" w:rsidR="00946FA4" w:rsidRPr="00576207" w:rsidRDefault="00946FA4" w:rsidP="00046C7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576207">
              <w:rPr>
                <w:rFonts w:ascii="Arial" w:hAnsi="Arial" w:cs="Arial"/>
                <w:color w:val="215868" w:themeColor="accent5" w:themeShade="80"/>
                <w:sz w:val="18"/>
                <w:szCs w:val="18"/>
              </w:rPr>
              <w:t>-4.1%</w:t>
            </w:r>
          </w:p>
        </w:tc>
        <w:tc>
          <w:tcPr>
            <w:tcW w:w="881" w:type="dxa"/>
            <w:tcBorders>
              <w:left w:val="none" w:sz="0" w:space="0" w:color="auto"/>
              <w:right w:val="none" w:sz="0" w:space="0" w:color="auto"/>
            </w:tcBorders>
            <w:vAlign w:val="center"/>
          </w:tcPr>
          <w:p w14:paraId="0CD18BB4" w14:textId="77777777" w:rsidR="00946FA4" w:rsidRPr="00576207" w:rsidRDefault="00946FA4" w:rsidP="00046C7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576207">
              <w:rPr>
                <w:rFonts w:ascii="Arial" w:hAnsi="Arial" w:cs="Arial"/>
                <w:bCs/>
                <w:color w:val="215868" w:themeColor="accent5" w:themeShade="80"/>
                <w:sz w:val="18"/>
                <w:szCs w:val="18"/>
              </w:rPr>
              <w:t>-19.9%</w:t>
            </w:r>
          </w:p>
        </w:tc>
        <w:tc>
          <w:tcPr>
            <w:tcW w:w="882" w:type="dxa"/>
            <w:tcBorders>
              <w:left w:val="none" w:sz="0" w:space="0" w:color="auto"/>
              <w:right w:val="none" w:sz="0" w:space="0" w:color="auto"/>
            </w:tcBorders>
            <w:vAlign w:val="center"/>
          </w:tcPr>
          <w:p w14:paraId="5DE91DD1" w14:textId="77777777" w:rsidR="00946FA4" w:rsidRPr="00576207" w:rsidRDefault="00946FA4" w:rsidP="00046C74">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sidRPr="00576207">
              <w:rPr>
                <w:rFonts w:ascii="Arial" w:hAnsi="Arial" w:cs="Arial"/>
                <w:bCs/>
                <w:color w:val="215868" w:themeColor="accent5" w:themeShade="80"/>
                <w:sz w:val="18"/>
                <w:szCs w:val="18"/>
              </w:rPr>
              <w:t>-4.8%</w:t>
            </w:r>
          </w:p>
        </w:tc>
        <w:tc>
          <w:tcPr>
            <w:tcW w:w="881" w:type="dxa"/>
            <w:tcBorders>
              <w:left w:val="none" w:sz="0" w:space="0" w:color="auto"/>
              <w:right w:val="none" w:sz="0" w:space="0" w:color="auto"/>
            </w:tcBorders>
            <w:vAlign w:val="center"/>
          </w:tcPr>
          <w:p w14:paraId="5329BD91" w14:textId="059AFFAE" w:rsidR="00946FA4" w:rsidRPr="00576207" w:rsidRDefault="00946FA4" w:rsidP="00046C7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576207">
              <w:rPr>
                <w:rFonts w:ascii="Arial" w:hAnsi="Arial" w:cs="Arial"/>
                <w:bCs/>
                <w:color w:val="215868" w:themeColor="accent5" w:themeShade="80"/>
                <w:sz w:val="18"/>
                <w:szCs w:val="18"/>
              </w:rPr>
              <w:t>$</w:t>
            </w:r>
            <w:r>
              <w:rPr>
                <w:rFonts w:ascii="Arial" w:hAnsi="Arial" w:cs="Arial"/>
                <w:bCs/>
                <w:color w:val="215868" w:themeColor="accent5" w:themeShade="80"/>
                <w:sz w:val="18"/>
                <w:szCs w:val="18"/>
              </w:rPr>
              <w:t>305</w:t>
            </w:r>
            <w:r w:rsidRPr="00576207">
              <w:rPr>
                <w:rFonts w:ascii="Arial" w:hAnsi="Arial" w:cs="Arial"/>
                <w:bCs/>
                <w:color w:val="215868" w:themeColor="accent5" w:themeShade="80"/>
                <w:sz w:val="18"/>
                <w:szCs w:val="18"/>
              </w:rPr>
              <w:t>M</w:t>
            </w:r>
          </w:p>
        </w:tc>
        <w:tc>
          <w:tcPr>
            <w:tcW w:w="882" w:type="dxa"/>
            <w:tcBorders>
              <w:left w:val="none" w:sz="0" w:space="0" w:color="auto"/>
              <w:right w:val="none" w:sz="0" w:space="0" w:color="auto"/>
            </w:tcBorders>
            <w:vAlign w:val="center"/>
          </w:tcPr>
          <w:p w14:paraId="035A55B8" w14:textId="753B0845" w:rsidR="00946FA4" w:rsidRPr="00576207" w:rsidRDefault="00946FA4" w:rsidP="00046C7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bCs/>
                <w:color w:val="215868" w:themeColor="accent5" w:themeShade="80"/>
                <w:sz w:val="18"/>
                <w:szCs w:val="18"/>
              </w:rPr>
              <w:t>+</w:t>
            </w:r>
            <w:r w:rsidR="00D15A58">
              <w:rPr>
                <w:rFonts w:ascii="Arial" w:hAnsi="Arial" w:cs="Arial"/>
                <w:bCs/>
                <w:color w:val="215868" w:themeColor="accent5" w:themeShade="80"/>
                <w:sz w:val="18"/>
                <w:szCs w:val="18"/>
              </w:rPr>
              <w:t>0.3</w:t>
            </w:r>
            <w:r w:rsidRPr="00576207">
              <w:rPr>
                <w:rFonts w:ascii="Arial" w:hAnsi="Arial" w:cs="Arial"/>
                <w:bCs/>
                <w:color w:val="215868" w:themeColor="accent5" w:themeShade="80"/>
                <w:sz w:val="18"/>
                <w:szCs w:val="18"/>
              </w:rPr>
              <w:t>%</w:t>
            </w:r>
          </w:p>
        </w:tc>
        <w:tc>
          <w:tcPr>
            <w:tcW w:w="882" w:type="dxa"/>
            <w:tcBorders>
              <w:left w:val="none" w:sz="0" w:space="0" w:color="auto"/>
              <w:right w:val="none" w:sz="0" w:space="0" w:color="auto"/>
            </w:tcBorders>
            <w:vAlign w:val="center"/>
          </w:tcPr>
          <w:p w14:paraId="3B9738DA" w14:textId="4AE4EF3B" w:rsidR="00946FA4" w:rsidRPr="00576207" w:rsidRDefault="00946FA4" w:rsidP="00046C7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576207">
              <w:rPr>
                <w:rFonts w:ascii="Arial" w:hAnsi="Arial" w:cs="Arial"/>
                <w:bCs/>
                <w:color w:val="215868" w:themeColor="accent5" w:themeShade="80"/>
                <w:sz w:val="18"/>
                <w:szCs w:val="18"/>
              </w:rPr>
              <w:t>+</w:t>
            </w:r>
            <w:r w:rsidR="00D15A58">
              <w:rPr>
                <w:rFonts w:ascii="Arial" w:hAnsi="Arial" w:cs="Arial"/>
                <w:bCs/>
                <w:color w:val="215868" w:themeColor="accent5" w:themeShade="80"/>
                <w:sz w:val="18"/>
                <w:szCs w:val="18"/>
              </w:rPr>
              <w:t>11.4</w:t>
            </w:r>
            <w:r w:rsidRPr="00576207">
              <w:rPr>
                <w:rFonts w:ascii="Arial" w:hAnsi="Arial" w:cs="Arial"/>
                <w:bCs/>
                <w:color w:val="215868" w:themeColor="accent5" w:themeShade="80"/>
                <w:sz w:val="18"/>
                <w:szCs w:val="18"/>
              </w:rPr>
              <w:t>%</w:t>
            </w:r>
          </w:p>
        </w:tc>
      </w:tr>
      <w:tr w:rsidR="009135EA" w14:paraId="5D343105" w14:textId="77777777" w:rsidTr="00CF30D8">
        <w:trPr>
          <w:trHeight w:val="253"/>
        </w:trPr>
        <w:tc>
          <w:tcPr>
            <w:cnfStyle w:val="001000000000" w:firstRow="0" w:lastRow="0" w:firstColumn="1" w:lastColumn="0" w:oddVBand="0" w:evenVBand="0" w:oddHBand="0" w:evenHBand="0" w:firstRowFirstColumn="0" w:firstRowLastColumn="0" w:lastRowFirstColumn="0" w:lastRowLastColumn="0"/>
            <w:tcW w:w="1642" w:type="dxa"/>
            <w:vAlign w:val="center"/>
          </w:tcPr>
          <w:p w14:paraId="26B00975" w14:textId="77777777" w:rsidR="009135EA" w:rsidRPr="00576207" w:rsidRDefault="009135EA" w:rsidP="00CF30D8">
            <w:pPr>
              <w:jc w:val="right"/>
              <w:rPr>
                <w:rFonts w:ascii="Arial" w:hAnsi="Arial" w:cs="Arial"/>
                <w:b w:val="0"/>
                <w:color w:val="215868" w:themeColor="accent5" w:themeShade="80"/>
                <w:sz w:val="18"/>
                <w:szCs w:val="18"/>
              </w:rPr>
            </w:pPr>
            <w:r w:rsidRPr="00576207">
              <w:rPr>
                <w:rFonts w:ascii="Arial" w:hAnsi="Arial" w:cs="Arial"/>
                <w:b w:val="0"/>
                <w:color w:val="215868" w:themeColor="accent5" w:themeShade="80"/>
                <w:sz w:val="18"/>
                <w:szCs w:val="18"/>
              </w:rPr>
              <w:t>Tomatoes</w:t>
            </w:r>
          </w:p>
        </w:tc>
        <w:tc>
          <w:tcPr>
            <w:tcW w:w="881" w:type="dxa"/>
            <w:gridSpan w:val="2"/>
            <w:vAlign w:val="center"/>
          </w:tcPr>
          <w:p w14:paraId="4A67876C" w14:textId="77777777" w:rsidR="009135EA" w:rsidRPr="00576207" w:rsidRDefault="009135EA" w:rsidP="00CF30D8">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sidRPr="00576207">
              <w:rPr>
                <w:rFonts w:ascii="Arial" w:hAnsi="Arial" w:cs="Arial"/>
                <w:color w:val="215868" w:themeColor="accent5" w:themeShade="80"/>
                <w:sz w:val="18"/>
                <w:szCs w:val="18"/>
              </w:rPr>
              <w:t>+12.7%</w:t>
            </w:r>
          </w:p>
        </w:tc>
        <w:tc>
          <w:tcPr>
            <w:tcW w:w="882" w:type="dxa"/>
            <w:gridSpan w:val="2"/>
            <w:vAlign w:val="center"/>
          </w:tcPr>
          <w:p w14:paraId="00C323BD" w14:textId="77777777" w:rsidR="009135EA" w:rsidRPr="00576207" w:rsidRDefault="009135EA" w:rsidP="00CF30D8">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sidRPr="00576207">
              <w:rPr>
                <w:rFonts w:ascii="Arial" w:hAnsi="Arial" w:cs="Arial"/>
                <w:color w:val="215868" w:themeColor="accent5" w:themeShade="80"/>
                <w:sz w:val="18"/>
                <w:szCs w:val="18"/>
              </w:rPr>
              <w:t>+24.7%</w:t>
            </w:r>
          </w:p>
        </w:tc>
        <w:tc>
          <w:tcPr>
            <w:tcW w:w="881" w:type="dxa"/>
            <w:vAlign w:val="center"/>
          </w:tcPr>
          <w:p w14:paraId="593EB38B" w14:textId="77777777" w:rsidR="009135EA" w:rsidRPr="00576207" w:rsidRDefault="009135EA" w:rsidP="00CF30D8">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sidRPr="00576207">
              <w:rPr>
                <w:rFonts w:ascii="Arial" w:hAnsi="Arial" w:cs="Arial"/>
                <w:color w:val="215868" w:themeColor="accent5" w:themeShade="80"/>
                <w:sz w:val="18"/>
                <w:szCs w:val="18"/>
              </w:rPr>
              <w:t>+17.8%</w:t>
            </w:r>
          </w:p>
        </w:tc>
        <w:tc>
          <w:tcPr>
            <w:tcW w:w="882" w:type="dxa"/>
            <w:vAlign w:val="center"/>
          </w:tcPr>
          <w:p w14:paraId="557AC9F1" w14:textId="77777777" w:rsidR="009135EA" w:rsidRPr="00576207" w:rsidRDefault="009135EA" w:rsidP="00CF30D8">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sidRPr="00576207">
              <w:rPr>
                <w:rFonts w:ascii="Arial" w:hAnsi="Arial" w:cs="Arial"/>
                <w:color w:val="215868" w:themeColor="accent5" w:themeShade="80"/>
                <w:sz w:val="18"/>
                <w:szCs w:val="18"/>
              </w:rPr>
              <w:t>+17.6%</w:t>
            </w:r>
          </w:p>
        </w:tc>
        <w:tc>
          <w:tcPr>
            <w:tcW w:w="882" w:type="dxa"/>
            <w:vAlign w:val="center"/>
          </w:tcPr>
          <w:p w14:paraId="62A1FDD0" w14:textId="77777777" w:rsidR="009135EA" w:rsidRPr="00576207" w:rsidRDefault="009135EA" w:rsidP="00CF30D8">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sidRPr="00576207">
              <w:rPr>
                <w:rFonts w:ascii="Arial" w:hAnsi="Arial" w:cs="Arial"/>
                <w:color w:val="215868" w:themeColor="accent5" w:themeShade="80"/>
                <w:sz w:val="18"/>
                <w:szCs w:val="18"/>
              </w:rPr>
              <w:t>+3.6%</w:t>
            </w:r>
          </w:p>
        </w:tc>
        <w:tc>
          <w:tcPr>
            <w:tcW w:w="881" w:type="dxa"/>
            <w:vAlign w:val="center"/>
          </w:tcPr>
          <w:p w14:paraId="7B92F78A" w14:textId="77777777" w:rsidR="009135EA" w:rsidRPr="00576207" w:rsidRDefault="009135EA" w:rsidP="00CF30D8">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sidRPr="00576207">
              <w:rPr>
                <w:rFonts w:ascii="Arial" w:hAnsi="Arial" w:cs="Arial"/>
                <w:bCs/>
                <w:color w:val="215868" w:themeColor="accent5" w:themeShade="80"/>
                <w:sz w:val="18"/>
                <w:szCs w:val="18"/>
              </w:rPr>
              <w:t>-8.7%</w:t>
            </w:r>
          </w:p>
        </w:tc>
        <w:tc>
          <w:tcPr>
            <w:tcW w:w="882" w:type="dxa"/>
            <w:vAlign w:val="center"/>
          </w:tcPr>
          <w:p w14:paraId="502F6750" w14:textId="77777777" w:rsidR="009135EA" w:rsidRPr="00576207" w:rsidRDefault="009135EA" w:rsidP="00CF30D8">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sidRPr="00576207">
              <w:rPr>
                <w:rFonts w:ascii="Arial" w:hAnsi="Arial" w:cs="Arial"/>
                <w:bCs/>
                <w:color w:val="215868" w:themeColor="accent5" w:themeShade="80"/>
                <w:sz w:val="18"/>
                <w:szCs w:val="18"/>
              </w:rPr>
              <w:t>-4.5%</w:t>
            </w:r>
          </w:p>
        </w:tc>
        <w:tc>
          <w:tcPr>
            <w:tcW w:w="881" w:type="dxa"/>
            <w:vAlign w:val="center"/>
          </w:tcPr>
          <w:p w14:paraId="459B3D68" w14:textId="4638D056" w:rsidR="009135EA" w:rsidRPr="00576207" w:rsidRDefault="009135EA" w:rsidP="00CF30D8">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sidRPr="00576207">
              <w:rPr>
                <w:rFonts w:ascii="Arial" w:hAnsi="Arial" w:cs="Arial"/>
                <w:bCs/>
                <w:color w:val="215868" w:themeColor="accent5" w:themeShade="80"/>
                <w:sz w:val="18"/>
                <w:szCs w:val="18"/>
              </w:rPr>
              <w:t>$</w:t>
            </w:r>
            <w:r w:rsidR="00946FA4">
              <w:rPr>
                <w:rFonts w:ascii="Arial" w:hAnsi="Arial" w:cs="Arial"/>
                <w:bCs/>
                <w:color w:val="215868" w:themeColor="accent5" w:themeShade="80"/>
                <w:sz w:val="18"/>
                <w:szCs w:val="18"/>
              </w:rPr>
              <w:t>268</w:t>
            </w:r>
            <w:r w:rsidRPr="00576207">
              <w:rPr>
                <w:rFonts w:ascii="Arial" w:hAnsi="Arial" w:cs="Arial"/>
                <w:bCs/>
                <w:color w:val="215868" w:themeColor="accent5" w:themeShade="80"/>
                <w:sz w:val="18"/>
                <w:szCs w:val="18"/>
              </w:rPr>
              <w:t>M</w:t>
            </w:r>
          </w:p>
        </w:tc>
        <w:tc>
          <w:tcPr>
            <w:tcW w:w="882" w:type="dxa"/>
            <w:vAlign w:val="center"/>
          </w:tcPr>
          <w:p w14:paraId="6F8F9459" w14:textId="6C0431D9" w:rsidR="009135EA" w:rsidRPr="00576207" w:rsidRDefault="00340AA9" w:rsidP="00CF30D8">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sidRPr="00576207">
              <w:rPr>
                <w:rFonts w:ascii="Arial" w:hAnsi="Arial" w:cs="Arial"/>
                <w:bCs/>
                <w:color w:val="215868" w:themeColor="accent5" w:themeShade="80"/>
                <w:sz w:val="18"/>
                <w:szCs w:val="18"/>
              </w:rPr>
              <w:t>-</w:t>
            </w:r>
            <w:r w:rsidR="00D15A58">
              <w:rPr>
                <w:rFonts w:ascii="Arial" w:hAnsi="Arial" w:cs="Arial"/>
                <w:bCs/>
                <w:color w:val="215868" w:themeColor="accent5" w:themeShade="80"/>
                <w:sz w:val="18"/>
                <w:szCs w:val="18"/>
              </w:rPr>
              <w:t>2.6</w:t>
            </w:r>
            <w:r w:rsidR="009135EA" w:rsidRPr="00576207">
              <w:rPr>
                <w:rFonts w:ascii="Arial" w:hAnsi="Arial" w:cs="Arial"/>
                <w:bCs/>
                <w:color w:val="215868" w:themeColor="accent5" w:themeShade="80"/>
                <w:sz w:val="18"/>
                <w:szCs w:val="18"/>
              </w:rPr>
              <w:t>%</w:t>
            </w:r>
          </w:p>
        </w:tc>
        <w:tc>
          <w:tcPr>
            <w:tcW w:w="882" w:type="dxa"/>
            <w:vAlign w:val="center"/>
          </w:tcPr>
          <w:p w14:paraId="723B04CD" w14:textId="56A5F18A" w:rsidR="009135EA" w:rsidRPr="00576207" w:rsidRDefault="009135EA" w:rsidP="00CF30D8">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sidRPr="00576207">
              <w:rPr>
                <w:rFonts w:ascii="Arial" w:hAnsi="Arial" w:cs="Arial"/>
                <w:bCs/>
                <w:color w:val="215868" w:themeColor="accent5" w:themeShade="80"/>
                <w:sz w:val="18"/>
                <w:szCs w:val="18"/>
              </w:rPr>
              <w:t>+</w:t>
            </w:r>
            <w:r w:rsidR="00D15A58">
              <w:rPr>
                <w:rFonts w:ascii="Arial" w:hAnsi="Arial" w:cs="Arial"/>
                <w:bCs/>
                <w:color w:val="215868" w:themeColor="accent5" w:themeShade="80"/>
                <w:sz w:val="18"/>
                <w:szCs w:val="18"/>
              </w:rPr>
              <w:t>16.5</w:t>
            </w:r>
            <w:r w:rsidRPr="00576207">
              <w:rPr>
                <w:rFonts w:ascii="Arial" w:hAnsi="Arial" w:cs="Arial"/>
                <w:bCs/>
                <w:color w:val="215868" w:themeColor="accent5" w:themeShade="80"/>
                <w:sz w:val="18"/>
                <w:szCs w:val="18"/>
              </w:rPr>
              <w:t>%</w:t>
            </w:r>
          </w:p>
        </w:tc>
      </w:tr>
      <w:tr w:rsidR="00D15A58" w14:paraId="3CC6DC4D" w14:textId="77777777" w:rsidTr="00CF30D8">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642" w:type="dxa"/>
            <w:vAlign w:val="center"/>
          </w:tcPr>
          <w:p w14:paraId="36497318" w14:textId="77777777" w:rsidR="00D15A58" w:rsidRPr="00576207" w:rsidRDefault="00D15A58" w:rsidP="00D15A58">
            <w:pPr>
              <w:jc w:val="right"/>
              <w:rPr>
                <w:rFonts w:ascii="Arial" w:hAnsi="Arial" w:cs="Arial"/>
                <w:b w:val="0"/>
                <w:color w:val="215868" w:themeColor="accent5" w:themeShade="80"/>
                <w:sz w:val="18"/>
                <w:szCs w:val="18"/>
              </w:rPr>
            </w:pPr>
            <w:r w:rsidRPr="00576207">
              <w:rPr>
                <w:rFonts w:ascii="Arial" w:hAnsi="Arial" w:cs="Arial"/>
                <w:b w:val="0"/>
                <w:color w:val="215868" w:themeColor="accent5" w:themeShade="80"/>
                <w:sz w:val="18"/>
                <w:szCs w:val="18"/>
              </w:rPr>
              <w:t>Packaged salad</w:t>
            </w:r>
          </w:p>
        </w:tc>
        <w:tc>
          <w:tcPr>
            <w:tcW w:w="881" w:type="dxa"/>
            <w:gridSpan w:val="2"/>
            <w:vAlign w:val="center"/>
          </w:tcPr>
          <w:p w14:paraId="3AD1373C" w14:textId="77777777" w:rsidR="00D15A58" w:rsidRPr="00576207" w:rsidRDefault="00D15A58" w:rsidP="00D15A5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576207">
              <w:rPr>
                <w:rFonts w:ascii="Arial" w:hAnsi="Arial" w:cs="Arial"/>
                <w:color w:val="215868" w:themeColor="accent5" w:themeShade="80"/>
                <w:sz w:val="18"/>
                <w:szCs w:val="18"/>
              </w:rPr>
              <w:t>+13.0%</w:t>
            </w:r>
          </w:p>
        </w:tc>
        <w:tc>
          <w:tcPr>
            <w:tcW w:w="882" w:type="dxa"/>
            <w:gridSpan w:val="2"/>
            <w:vAlign w:val="center"/>
          </w:tcPr>
          <w:p w14:paraId="0740D8A2" w14:textId="77777777" w:rsidR="00D15A58" w:rsidRPr="00576207" w:rsidRDefault="00D15A58" w:rsidP="00D15A5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576207">
              <w:rPr>
                <w:rFonts w:ascii="Arial" w:hAnsi="Arial" w:cs="Arial"/>
                <w:color w:val="215868" w:themeColor="accent5" w:themeShade="80"/>
                <w:sz w:val="18"/>
                <w:szCs w:val="18"/>
              </w:rPr>
              <w:t>+11.6%</w:t>
            </w:r>
          </w:p>
        </w:tc>
        <w:tc>
          <w:tcPr>
            <w:tcW w:w="881" w:type="dxa"/>
            <w:vAlign w:val="center"/>
          </w:tcPr>
          <w:p w14:paraId="5DC37E8A" w14:textId="77777777" w:rsidR="00D15A58" w:rsidRPr="00576207" w:rsidRDefault="00D15A58" w:rsidP="00D15A5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576207">
              <w:rPr>
                <w:rFonts w:ascii="Arial" w:hAnsi="Arial" w:cs="Arial"/>
                <w:color w:val="215868" w:themeColor="accent5" w:themeShade="80"/>
                <w:sz w:val="18"/>
                <w:szCs w:val="18"/>
              </w:rPr>
              <w:t>+14.0%</w:t>
            </w:r>
          </w:p>
        </w:tc>
        <w:tc>
          <w:tcPr>
            <w:tcW w:w="882" w:type="dxa"/>
            <w:vAlign w:val="center"/>
          </w:tcPr>
          <w:p w14:paraId="2FDA5D1C" w14:textId="77777777" w:rsidR="00D15A58" w:rsidRPr="00576207" w:rsidRDefault="00D15A58" w:rsidP="00D15A5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576207">
              <w:rPr>
                <w:rFonts w:ascii="Arial" w:hAnsi="Arial" w:cs="Arial"/>
                <w:color w:val="215868" w:themeColor="accent5" w:themeShade="80"/>
                <w:sz w:val="18"/>
                <w:szCs w:val="18"/>
              </w:rPr>
              <w:t>+21.7%</w:t>
            </w:r>
          </w:p>
        </w:tc>
        <w:tc>
          <w:tcPr>
            <w:tcW w:w="882" w:type="dxa"/>
            <w:vAlign w:val="center"/>
          </w:tcPr>
          <w:p w14:paraId="6732C101" w14:textId="77777777" w:rsidR="00D15A58" w:rsidRPr="00576207" w:rsidRDefault="00D15A58" w:rsidP="00D15A5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576207">
              <w:rPr>
                <w:rFonts w:ascii="Arial" w:hAnsi="Arial" w:cs="Arial"/>
                <w:color w:val="215868" w:themeColor="accent5" w:themeShade="80"/>
                <w:sz w:val="18"/>
                <w:szCs w:val="18"/>
              </w:rPr>
              <w:t>+13.0%</w:t>
            </w:r>
          </w:p>
        </w:tc>
        <w:tc>
          <w:tcPr>
            <w:tcW w:w="881" w:type="dxa"/>
            <w:vAlign w:val="center"/>
          </w:tcPr>
          <w:p w14:paraId="2123284B" w14:textId="77777777" w:rsidR="00D15A58" w:rsidRPr="00576207" w:rsidRDefault="00D15A58" w:rsidP="00D15A5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576207">
              <w:rPr>
                <w:rFonts w:ascii="Arial" w:hAnsi="Arial" w:cs="Arial"/>
                <w:bCs/>
                <w:color w:val="215868" w:themeColor="accent5" w:themeShade="80"/>
                <w:sz w:val="18"/>
                <w:szCs w:val="18"/>
              </w:rPr>
              <w:t>+14.8%</w:t>
            </w:r>
          </w:p>
        </w:tc>
        <w:tc>
          <w:tcPr>
            <w:tcW w:w="882" w:type="dxa"/>
            <w:vAlign w:val="center"/>
          </w:tcPr>
          <w:p w14:paraId="5CCD926C" w14:textId="77777777" w:rsidR="00D15A58" w:rsidRPr="00576207" w:rsidRDefault="00D15A58" w:rsidP="00D15A58">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sidRPr="00576207">
              <w:rPr>
                <w:rFonts w:ascii="Arial" w:hAnsi="Arial" w:cs="Arial"/>
                <w:bCs/>
                <w:color w:val="215868" w:themeColor="accent5" w:themeShade="80"/>
                <w:sz w:val="18"/>
                <w:szCs w:val="18"/>
              </w:rPr>
              <w:t>+10.5%</w:t>
            </w:r>
          </w:p>
        </w:tc>
        <w:tc>
          <w:tcPr>
            <w:tcW w:w="881" w:type="dxa"/>
            <w:vAlign w:val="center"/>
          </w:tcPr>
          <w:p w14:paraId="55771685" w14:textId="7C13692B" w:rsidR="00D15A58" w:rsidRPr="00576207" w:rsidRDefault="00D15A58" w:rsidP="00D15A5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bCs/>
                <w:color w:val="215868" w:themeColor="accent5" w:themeShade="80"/>
                <w:sz w:val="18"/>
                <w:szCs w:val="18"/>
              </w:rPr>
              <w:t>$231</w:t>
            </w:r>
            <w:r w:rsidRPr="00576207">
              <w:rPr>
                <w:rFonts w:ascii="Arial" w:hAnsi="Arial" w:cs="Arial"/>
                <w:bCs/>
                <w:color w:val="215868" w:themeColor="accent5" w:themeShade="80"/>
                <w:sz w:val="18"/>
                <w:szCs w:val="18"/>
              </w:rPr>
              <w:t>M</w:t>
            </w:r>
          </w:p>
        </w:tc>
        <w:tc>
          <w:tcPr>
            <w:tcW w:w="882" w:type="dxa"/>
            <w:vAlign w:val="center"/>
          </w:tcPr>
          <w:p w14:paraId="54A7CBA0" w14:textId="03E884D4" w:rsidR="00D15A58" w:rsidRPr="00576207" w:rsidRDefault="00D15A58" w:rsidP="00D15A5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576207">
              <w:rPr>
                <w:rFonts w:ascii="Arial" w:hAnsi="Arial" w:cs="Arial"/>
                <w:bCs/>
                <w:color w:val="215868" w:themeColor="accent5" w:themeShade="80"/>
                <w:sz w:val="18"/>
                <w:szCs w:val="18"/>
              </w:rPr>
              <w:t>+</w:t>
            </w:r>
            <w:r>
              <w:rPr>
                <w:rFonts w:ascii="Arial" w:hAnsi="Arial" w:cs="Arial"/>
                <w:bCs/>
                <w:color w:val="215868" w:themeColor="accent5" w:themeShade="80"/>
                <w:sz w:val="18"/>
                <w:szCs w:val="18"/>
              </w:rPr>
              <w:t>7.1</w:t>
            </w:r>
            <w:r w:rsidRPr="00576207">
              <w:rPr>
                <w:rFonts w:ascii="Arial" w:hAnsi="Arial" w:cs="Arial"/>
                <w:bCs/>
                <w:color w:val="215868" w:themeColor="accent5" w:themeShade="80"/>
                <w:sz w:val="18"/>
                <w:szCs w:val="18"/>
              </w:rPr>
              <w:t>%</w:t>
            </w:r>
          </w:p>
        </w:tc>
        <w:tc>
          <w:tcPr>
            <w:tcW w:w="882" w:type="dxa"/>
            <w:vAlign w:val="center"/>
          </w:tcPr>
          <w:p w14:paraId="443B94C3" w14:textId="0590EE12" w:rsidR="00D15A58" w:rsidRPr="00576207" w:rsidRDefault="00D15A58" w:rsidP="00D15A5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576207">
              <w:rPr>
                <w:rFonts w:ascii="Arial" w:hAnsi="Arial" w:cs="Arial"/>
                <w:bCs/>
                <w:color w:val="215868" w:themeColor="accent5" w:themeShade="80"/>
                <w:sz w:val="18"/>
                <w:szCs w:val="18"/>
              </w:rPr>
              <w:t>+</w:t>
            </w:r>
            <w:r>
              <w:rPr>
                <w:rFonts w:ascii="Arial" w:hAnsi="Arial" w:cs="Arial"/>
                <w:bCs/>
                <w:color w:val="215868" w:themeColor="accent5" w:themeShade="80"/>
                <w:sz w:val="18"/>
                <w:szCs w:val="18"/>
              </w:rPr>
              <w:t>35.2</w:t>
            </w:r>
            <w:r w:rsidRPr="00576207">
              <w:rPr>
                <w:rFonts w:ascii="Arial" w:hAnsi="Arial" w:cs="Arial"/>
                <w:bCs/>
                <w:color w:val="215868" w:themeColor="accent5" w:themeShade="80"/>
                <w:sz w:val="18"/>
                <w:szCs w:val="18"/>
              </w:rPr>
              <w:t>%</w:t>
            </w:r>
          </w:p>
        </w:tc>
      </w:tr>
      <w:tr w:rsidR="00D15A58" w14:paraId="61B009EE" w14:textId="77777777" w:rsidTr="00046C74">
        <w:trPr>
          <w:trHeight w:val="253"/>
        </w:trPr>
        <w:tc>
          <w:tcPr>
            <w:cnfStyle w:val="001000000000" w:firstRow="0" w:lastRow="0" w:firstColumn="1" w:lastColumn="0" w:oddVBand="0" w:evenVBand="0" w:oddHBand="0" w:evenHBand="0" w:firstRowFirstColumn="0" w:firstRowLastColumn="0" w:lastRowFirstColumn="0" w:lastRowLastColumn="0"/>
            <w:tcW w:w="1642" w:type="dxa"/>
            <w:vAlign w:val="center"/>
          </w:tcPr>
          <w:p w14:paraId="54EC4E81" w14:textId="77777777" w:rsidR="00D15A58" w:rsidRPr="00576207" w:rsidRDefault="00D15A58" w:rsidP="00D15A58">
            <w:pPr>
              <w:jc w:val="right"/>
              <w:rPr>
                <w:rFonts w:ascii="Arial" w:hAnsi="Arial" w:cs="Arial"/>
                <w:b w:val="0"/>
                <w:color w:val="215868" w:themeColor="accent5" w:themeShade="80"/>
                <w:sz w:val="18"/>
                <w:szCs w:val="18"/>
              </w:rPr>
            </w:pPr>
            <w:r w:rsidRPr="00576207">
              <w:rPr>
                <w:rFonts w:ascii="Arial" w:hAnsi="Arial" w:cs="Arial"/>
                <w:b w:val="0"/>
                <w:color w:val="215868" w:themeColor="accent5" w:themeShade="80"/>
                <w:sz w:val="18"/>
                <w:szCs w:val="18"/>
              </w:rPr>
              <w:t>Onions</w:t>
            </w:r>
          </w:p>
        </w:tc>
        <w:tc>
          <w:tcPr>
            <w:tcW w:w="881" w:type="dxa"/>
            <w:gridSpan w:val="2"/>
            <w:vAlign w:val="center"/>
          </w:tcPr>
          <w:p w14:paraId="088C8215" w14:textId="77777777" w:rsidR="00D15A58" w:rsidRPr="00576207" w:rsidRDefault="00D15A58" w:rsidP="00D15A5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576207">
              <w:rPr>
                <w:rFonts w:ascii="Arial" w:hAnsi="Arial" w:cs="Arial"/>
                <w:color w:val="215868" w:themeColor="accent5" w:themeShade="80"/>
                <w:sz w:val="18"/>
                <w:szCs w:val="18"/>
              </w:rPr>
              <w:t>+11.5%</w:t>
            </w:r>
          </w:p>
        </w:tc>
        <w:tc>
          <w:tcPr>
            <w:tcW w:w="882" w:type="dxa"/>
            <w:gridSpan w:val="2"/>
            <w:vAlign w:val="center"/>
          </w:tcPr>
          <w:p w14:paraId="11672398" w14:textId="77777777" w:rsidR="00D15A58" w:rsidRPr="00576207" w:rsidRDefault="00D15A58" w:rsidP="00D15A5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576207">
              <w:rPr>
                <w:rFonts w:ascii="Arial" w:hAnsi="Arial" w:cs="Arial"/>
                <w:color w:val="215868" w:themeColor="accent5" w:themeShade="80"/>
                <w:sz w:val="18"/>
                <w:szCs w:val="18"/>
              </w:rPr>
              <w:t>+23.4%</w:t>
            </w:r>
          </w:p>
        </w:tc>
        <w:tc>
          <w:tcPr>
            <w:tcW w:w="881" w:type="dxa"/>
            <w:vAlign w:val="center"/>
          </w:tcPr>
          <w:p w14:paraId="3CCD2807" w14:textId="77777777" w:rsidR="00D15A58" w:rsidRPr="00576207" w:rsidRDefault="00D15A58" w:rsidP="00D15A5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576207">
              <w:rPr>
                <w:rFonts w:ascii="Arial" w:hAnsi="Arial" w:cs="Arial"/>
                <w:color w:val="215868" w:themeColor="accent5" w:themeShade="80"/>
                <w:sz w:val="18"/>
                <w:szCs w:val="18"/>
              </w:rPr>
              <w:t>+11.9%</w:t>
            </w:r>
          </w:p>
        </w:tc>
        <w:tc>
          <w:tcPr>
            <w:tcW w:w="882" w:type="dxa"/>
            <w:vAlign w:val="center"/>
          </w:tcPr>
          <w:p w14:paraId="25857C05" w14:textId="77777777" w:rsidR="00D15A58" w:rsidRPr="00576207" w:rsidRDefault="00D15A58" w:rsidP="00D15A5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576207">
              <w:rPr>
                <w:rFonts w:ascii="Arial" w:hAnsi="Arial" w:cs="Arial"/>
                <w:color w:val="215868" w:themeColor="accent5" w:themeShade="80"/>
                <w:sz w:val="18"/>
                <w:szCs w:val="18"/>
              </w:rPr>
              <w:t>+11.2%</w:t>
            </w:r>
          </w:p>
        </w:tc>
        <w:tc>
          <w:tcPr>
            <w:tcW w:w="882" w:type="dxa"/>
            <w:vAlign w:val="center"/>
          </w:tcPr>
          <w:p w14:paraId="0CF39FBD" w14:textId="77777777" w:rsidR="00D15A58" w:rsidRPr="00576207" w:rsidRDefault="00D15A58" w:rsidP="00D15A5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576207">
              <w:rPr>
                <w:rFonts w:ascii="Arial" w:hAnsi="Arial" w:cs="Arial"/>
                <w:color w:val="215868" w:themeColor="accent5" w:themeShade="80"/>
                <w:sz w:val="18"/>
                <w:szCs w:val="18"/>
              </w:rPr>
              <w:t>+0.8%</w:t>
            </w:r>
          </w:p>
        </w:tc>
        <w:tc>
          <w:tcPr>
            <w:tcW w:w="881" w:type="dxa"/>
            <w:vAlign w:val="center"/>
          </w:tcPr>
          <w:p w14:paraId="7943D9EB" w14:textId="77777777" w:rsidR="00D15A58" w:rsidRPr="00576207" w:rsidRDefault="00D15A58" w:rsidP="00D15A5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576207">
              <w:rPr>
                <w:rFonts w:ascii="Arial" w:hAnsi="Arial" w:cs="Arial"/>
                <w:bCs/>
                <w:color w:val="215868" w:themeColor="accent5" w:themeShade="80"/>
                <w:sz w:val="18"/>
                <w:szCs w:val="18"/>
              </w:rPr>
              <w:t>-14.8%</w:t>
            </w:r>
          </w:p>
        </w:tc>
        <w:tc>
          <w:tcPr>
            <w:tcW w:w="882" w:type="dxa"/>
            <w:vAlign w:val="center"/>
          </w:tcPr>
          <w:p w14:paraId="3B0BF86B" w14:textId="77777777" w:rsidR="00D15A58" w:rsidRPr="00576207" w:rsidRDefault="00D15A58" w:rsidP="00D15A58">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sidRPr="00576207">
              <w:rPr>
                <w:rFonts w:ascii="Arial" w:hAnsi="Arial" w:cs="Arial"/>
                <w:bCs/>
                <w:color w:val="215868" w:themeColor="accent5" w:themeShade="80"/>
                <w:sz w:val="18"/>
                <w:szCs w:val="18"/>
              </w:rPr>
              <w:t>-2.0%</w:t>
            </w:r>
          </w:p>
        </w:tc>
        <w:tc>
          <w:tcPr>
            <w:tcW w:w="881" w:type="dxa"/>
            <w:vAlign w:val="center"/>
          </w:tcPr>
          <w:p w14:paraId="5545F803" w14:textId="0FB68C09" w:rsidR="00D15A58" w:rsidRPr="00576207" w:rsidRDefault="00D15A58" w:rsidP="00D15A5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576207">
              <w:rPr>
                <w:rFonts w:ascii="Arial" w:hAnsi="Arial" w:cs="Arial"/>
                <w:bCs/>
                <w:color w:val="215868" w:themeColor="accent5" w:themeShade="80"/>
                <w:sz w:val="18"/>
                <w:szCs w:val="18"/>
              </w:rPr>
              <w:t>$</w:t>
            </w:r>
            <w:r>
              <w:rPr>
                <w:rFonts w:ascii="Arial" w:hAnsi="Arial" w:cs="Arial"/>
                <w:bCs/>
                <w:color w:val="215868" w:themeColor="accent5" w:themeShade="80"/>
                <w:sz w:val="18"/>
                <w:szCs w:val="18"/>
              </w:rPr>
              <w:t>214</w:t>
            </w:r>
            <w:r w:rsidRPr="00576207">
              <w:rPr>
                <w:rFonts w:ascii="Arial" w:hAnsi="Arial" w:cs="Arial"/>
                <w:bCs/>
                <w:color w:val="215868" w:themeColor="accent5" w:themeShade="80"/>
                <w:sz w:val="18"/>
                <w:szCs w:val="18"/>
              </w:rPr>
              <w:t>M</w:t>
            </w:r>
          </w:p>
        </w:tc>
        <w:tc>
          <w:tcPr>
            <w:tcW w:w="882" w:type="dxa"/>
            <w:vAlign w:val="center"/>
          </w:tcPr>
          <w:p w14:paraId="78486E71" w14:textId="33E8ABAB" w:rsidR="00D15A58" w:rsidRPr="00576207" w:rsidRDefault="00D15A58" w:rsidP="00D15A5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576207">
              <w:rPr>
                <w:rFonts w:ascii="Arial" w:hAnsi="Arial" w:cs="Arial"/>
                <w:bCs/>
                <w:color w:val="215868" w:themeColor="accent5" w:themeShade="80"/>
                <w:sz w:val="18"/>
                <w:szCs w:val="18"/>
              </w:rPr>
              <w:t>+</w:t>
            </w:r>
            <w:r>
              <w:rPr>
                <w:rFonts w:ascii="Arial" w:hAnsi="Arial" w:cs="Arial"/>
                <w:bCs/>
                <w:color w:val="215868" w:themeColor="accent5" w:themeShade="80"/>
                <w:sz w:val="18"/>
                <w:szCs w:val="18"/>
              </w:rPr>
              <w:t>2.8</w:t>
            </w:r>
            <w:r w:rsidRPr="00576207">
              <w:rPr>
                <w:rFonts w:ascii="Arial" w:hAnsi="Arial" w:cs="Arial"/>
                <w:bCs/>
                <w:color w:val="215868" w:themeColor="accent5" w:themeShade="80"/>
                <w:sz w:val="18"/>
                <w:szCs w:val="18"/>
              </w:rPr>
              <w:t>%</w:t>
            </w:r>
          </w:p>
        </w:tc>
        <w:tc>
          <w:tcPr>
            <w:tcW w:w="882" w:type="dxa"/>
            <w:vAlign w:val="center"/>
          </w:tcPr>
          <w:p w14:paraId="0DC1DFB6" w14:textId="4381C74B" w:rsidR="00D15A58" w:rsidRPr="00576207" w:rsidRDefault="00D15A58" w:rsidP="00D15A5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576207">
              <w:rPr>
                <w:rFonts w:ascii="Arial" w:hAnsi="Arial" w:cs="Arial"/>
                <w:bCs/>
                <w:color w:val="215868" w:themeColor="accent5" w:themeShade="80"/>
                <w:sz w:val="18"/>
                <w:szCs w:val="18"/>
              </w:rPr>
              <w:t>+</w:t>
            </w:r>
            <w:r>
              <w:rPr>
                <w:rFonts w:ascii="Arial" w:hAnsi="Arial" w:cs="Arial"/>
                <w:bCs/>
                <w:color w:val="215868" w:themeColor="accent5" w:themeShade="80"/>
                <w:sz w:val="18"/>
                <w:szCs w:val="18"/>
              </w:rPr>
              <w:t>12.3</w:t>
            </w:r>
            <w:r w:rsidRPr="00576207">
              <w:rPr>
                <w:rFonts w:ascii="Arial" w:hAnsi="Arial" w:cs="Arial"/>
                <w:bCs/>
                <w:color w:val="215868" w:themeColor="accent5" w:themeShade="80"/>
                <w:sz w:val="18"/>
                <w:szCs w:val="18"/>
              </w:rPr>
              <w:t>%</w:t>
            </w:r>
          </w:p>
        </w:tc>
      </w:tr>
      <w:tr w:rsidR="00D15A58" w14:paraId="1BA1D2F0" w14:textId="77777777" w:rsidTr="00CF30D8">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642" w:type="dxa"/>
            <w:vAlign w:val="center"/>
          </w:tcPr>
          <w:p w14:paraId="65A21DEA" w14:textId="77777777" w:rsidR="00D15A58" w:rsidRPr="00576207" w:rsidRDefault="00D15A58" w:rsidP="00D15A58">
            <w:pPr>
              <w:jc w:val="right"/>
              <w:rPr>
                <w:rFonts w:ascii="Arial" w:hAnsi="Arial" w:cs="Arial"/>
                <w:b w:val="0"/>
                <w:color w:val="215868" w:themeColor="accent5" w:themeShade="80"/>
                <w:sz w:val="18"/>
                <w:szCs w:val="18"/>
              </w:rPr>
            </w:pPr>
            <w:r w:rsidRPr="00576207">
              <w:rPr>
                <w:rFonts w:ascii="Arial" w:hAnsi="Arial" w:cs="Arial"/>
                <w:b w:val="0"/>
                <w:color w:val="215868" w:themeColor="accent5" w:themeShade="80"/>
                <w:sz w:val="18"/>
                <w:szCs w:val="18"/>
              </w:rPr>
              <w:t>Lettuce</w:t>
            </w:r>
          </w:p>
        </w:tc>
        <w:tc>
          <w:tcPr>
            <w:tcW w:w="881" w:type="dxa"/>
            <w:gridSpan w:val="2"/>
            <w:vAlign w:val="center"/>
          </w:tcPr>
          <w:p w14:paraId="17628E86" w14:textId="77777777" w:rsidR="00D15A58" w:rsidRPr="00576207" w:rsidRDefault="00D15A58" w:rsidP="00D15A5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576207">
              <w:rPr>
                <w:rFonts w:ascii="Arial" w:hAnsi="Arial" w:cs="Arial"/>
                <w:color w:val="215868" w:themeColor="accent5" w:themeShade="80"/>
                <w:sz w:val="18"/>
                <w:szCs w:val="18"/>
              </w:rPr>
              <w:t>+3.5%</w:t>
            </w:r>
          </w:p>
        </w:tc>
        <w:tc>
          <w:tcPr>
            <w:tcW w:w="882" w:type="dxa"/>
            <w:gridSpan w:val="2"/>
            <w:vAlign w:val="center"/>
          </w:tcPr>
          <w:p w14:paraId="3B026F77" w14:textId="77777777" w:rsidR="00D15A58" w:rsidRPr="00576207" w:rsidRDefault="00D15A58" w:rsidP="00D15A5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576207">
              <w:rPr>
                <w:rFonts w:ascii="Arial" w:hAnsi="Arial" w:cs="Arial"/>
                <w:color w:val="215868" w:themeColor="accent5" w:themeShade="80"/>
                <w:sz w:val="18"/>
                <w:szCs w:val="18"/>
              </w:rPr>
              <w:t>+14.2%</w:t>
            </w:r>
          </w:p>
        </w:tc>
        <w:tc>
          <w:tcPr>
            <w:tcW w:w="881" w:type="dxa"/>
            <w:vAlign w:val="center"/>
          </w:tcPr>
          <w:p w14:paraId="677AF854" w14:textId="77777777" w:rsidR="00D15A58" w:rsidRPr="00576207" w:rsidRDefault="00D15A58" w:rsidP="00D15A5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576207">
              <w:rPr>
                <w:rFonts w:ascii="Arial" w:hAnsi="Arial" w:cs="Arial"/>
                <w:color w:val="215868" w:themeColor="accent5" w:themeShade="80"/>
                <w:sz w:val="18"/>
                <w:szCs w:val="18"/>
              </w:rPr>
              <w:t>+8.0%</w:t>
            </w:r>
          </w:p>
        </w:tc>
        <w:tc>
          <w:tcPr>
            <w:tcW w:w="882" w:type="dxa"/>
            <w:vAlign w:val="center"/>
          </w:tcPr>
          <w:p w14:paraId="73958F05" w14:textId="77777777" w:rsidR="00D15A58" w:rsidRPr="00576207" w:rsidRDefault="00D15A58" w:rsidP="00D15A5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576207">
              <w:rPr>
                <w:rFonts w:ascii="Arial" w:hAnsi="Arial" w:cs="Arial"/>
                <w:color w:val="215868" w:themeColor="accent5" w:themeShade="80"/>
                <w:sz w:val="18"/>
                <w:szCs w:val="18"/>
              </w:rPr>
              <w:t>+23.2%</w:t>
            </w:r>
          </w:p>
        </w:tc>
        <w:tc>
          <w:tcPr>
            <w:tcW w:w="882" w:type="dxa"/>
            <w:vAlign w:val="center"/>
          </w:tcPr>
          <w:p w14:paraId="4B9CB138" w14:textId="77777777" w:rsidR="00D15A58" w:rsidRPr="00576207" w:rsidRDefault="00D15A58" w:rsidP="00D15A5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576207">
              <w:rPr>
                <w:rFonts w:ascii="Arial" w:hAnsi="Arial" w:cs="Arial"/>
                <w:color w:val="215868" w:themeColor="accent5" w:themeShade="80"/>
                <w:sz w:val="18"/>
                <w:szCs w:val="18"/>
              </w:rPr>
              <w:t>+8.9%</w:t>
            </w:r>
          </w:p>
        </w:tc>
        <w:tc>
          <w:tcPr>
            <w:tcW w:w="881" w:type="dxa"/>
            <w:vAlign w:val="center"/>
          </w:tcPr>
          <w:p w14:paraId="55479BAB" w14:textId="77777777" w:rsidR="00D15A58" w:rsidRPr="00576207" w:rsidRDefault="00D15A58" w:rsidP="00D15A5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576207">
              <w:rPr>
                <w:rFonts w:ascii="Arial" w:hAnsi="Arial" w:cs="Arial"/>
                <w:bCs/>
                <w:color w:val="215868" w:themeColor="accent5" w:themeShade="80"/>
                <w:sz w:val="18"/>
                <w:szCs w:val="18"/>
              </w:rPr>
              <w:t>-3.5%</w:t>
            </w:r>
          </w:p>
        </w:tc>
        <w:tc>
          <w:tcPr>
            <w:tcW w:w="882" w:type="dxa"/>
            <w:vAlign w:val="center"/>
          </w:tcPr>
          <w:p w14:paraId="372BBF4C" w14:textId="77777777" w:rsidR="00D15A58" w:rsidRPr="00576207" w:rsidRDefault="00D15A58" w:rsidP="00D15A58">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sidRPr="00576207">
              <w:rPr>
                <w:rFonts w:ascii="Arial" w:hAnsi="Arial" w:cs="Arial"/>
                <w:bCs/>
                <w:color w:val="215868" w:themeColor="accent5" w:themeShade="80"/>
                <w:sz w:val="18"/>
                <w:szCs w:val="18"/>
              </w:rPr>
              <w:t>+2.3%</w:t>
            </w:r>
          </w:p>
        </w:tc>
        <w:tc>
          <w:tcPr>
            <w:tcW w:w="881" w:type="dxa"/>
            <w:vAlign w:val="center"/>
          </w:tcPr>
          <w:p w14:paraId="245687B9" w14:textId="69270105" w:rsidR="00D15A58" w:rsidRPr="00576207" w:rsidRDefault="00D15A58" w:rsidP="00D15A5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576207">
              <w:rPr>
                <w:rFonts w:ascii="Arial" w:hAnsi="Arial" w:cs="Arial"/>
                <w:bCs/>
                <w:color w:val="215868" w:themeColor="accent5" w:themeShade="80"/>
                <w:sz w:val="18"/>
                <w:szCs w:val="18"/>
              </w:rPr>
              <w:t>$</w:t>
            </w:r>
            <w:r>
              <w:rPr>
                <w:rFonts w:ascii="Arial" w:hAnsi="Arial" w:cs="Arial"/>
                <w:bCs/>
                <w:color w:val="215868" w:themeColor="accent5" w:themeShade="80"/>
                <w:sz w:val="18"/>
                <w:szCs w:val="18"/>
              </w:rPr>
              <w:t>202</w:t>
            </w:r>
            <w:r w:rsidRPr="00576207">
              <w:rPr>
                <w:rFonts w:ascii="Arial" w:hAnsi="Arial" w:cs="Arial"/>
                <w:bCs/>
                <w:color w:val="215868" w:themeColor="accent5" w:themeShade="80"/>
                <w:sz w:val="18"/>
                <w:szCs w:val="18"/>
              </w:rPr>
              <w:t>M</w:t>
            </w:r>
          </w:p>
        </w:tc>
        <w:tc>
          <w:tcPr>
            <w:tcW w:w="882" w:type="dxa"/>
            <w:vAlign w:val="center"/>
          </w:tcPr>
          <w:p w14:paraId="26A19821" w14:textId="513718AB" w:rsidR="00D15A58" w:rsidRPr="00576207" w:rsidRDefault="00D15A58" w:rsidP="00D15A5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bCs/>
                <w:color w:val="215868" w:themeColor="accent5" w:themeShade="80"/>
                <w:sz w:val="18"/>
                <w:szCs w:val="18"/>
              </w:rPr>
              <w:t>+1.2</w:t>
            </w:r>
            <w:r w:rsidRPr="00576207">
              <w:rPr>
                <w:rFonts w:ascii="Arial" w:hAnsi="Arial" w:cs="Arial"/>
                <w:bCs/>
                <w:color w:val="215868" w:themeColor="accent5" w:themeShade="80"/>
                <w:sz w:val="18"/>
                <w:szCs w:val="18"/>
              </w:rPr>
              <w:t>%</w:t>
            </w:r>
          </w:p>
        </w:tc>
        <w:tc>
          <w:tcPr>
            <w:tcW w:w="882" w:type="dxa"/>
            <w:vAlign w:val="center"/>
          </w:tcPr>
          <w:p w14:paraId="2055EE40" w14:textId="135B78D1" w:rsidR="00D15A58" w:rsidRPr="00576207" w:rsidRDefault="00D15A58" w:rsidP="00D15A5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576207">
              <w:rPr>
                <w:rFonts w:ascii="Arial" w:hAnsi="Arial" w:cs="Arial"/>
                <w:bCs/>
                <w:color w:val="215868" w:themeColor="accent5" w:themeShade="80"/>
                <w:sz w:val="18"/>
                <w:szCs w:val="18"/>
              </w:rPr>
              <w:t>+</w:t>
            </w:r>
            <w:r>
              <w:rPr>
                <w:rFonts w:ascii="Arial" w:hAnsi="Arial" w:cs="Arial"/>
                <w:bCs/>
                <w:color w:val="215868" w:themeColor="accent5" w:themeShade="80"/>
                <w:sz w:val="18"/>
                <w:szCs w:val="18"/>
              </w:rPr>
              <w:t>26.3</w:t>
            </w:r>
            <w:r w:rsidRPr="00576207">
              <w:rPr>
                <w:rFonts w:ascii="Arial" w:hAnsi="Arial" w:cs="Arial"/>
                <w:bCs/>
                <w:color w:val="215868" w:themeColor="accent5" w:themeShade="80"/>
                <w:sz w:val="18"/>
                <w:szCs w:val="18"/>
              </w:rPr>
              <w:t>%</w:t>
            </w:r>
          </w:p>
        </w:tc>
      </w:tr>
      <w:tr w:rsidR="00D15A58" w14:paraId="4201E0FA" w14:textId="77777777" w:rsidTr="00CF30D8">
        <w:trPr>
          <w:trHeight w:val="253"/>
        </w:trPr>
        <w:tc>
          <w:tcPr>
            <w:cnfStyle w:val="001000000000" w:firstRow="0" w:lastRow="0" w:firstColumn="1" w:lastColumn="0" w:oddVBand="0" w:evenVBand="0" w:oddHBand="0" w:evenHBand="0" w:firstRowFirstColumn="0" w:firstRowLastColumn="0" w:lastRowFirstColumn="0" w:lastRowLastColumn="0"/>
            <w:tcW w:w="1642" w:type="dxa"/>
            <w:vAlign w:val="center"/>
          </w:tcPr>
          <w:p w14:paraId="3C6F545E" w14:textId="77777777" w:rsidR="00D15A58" w:rsidRPr="00576207" w:rsidRDefault="00D15A58" w:rsidP="00D15A58">
            <w:pPr>
              <w:jc w:val="right"/>
              <w:rPr>
                <w:rFonts w:ascii="Arial" w:hAnsi="Arial" w:cs="Arial"/>
                <w:b w:val="0"/>
                <w:color w:val="215868" w:themeColor="accent5" w:themeShade="80"/>
                <w:sz w:val="18"/>
                <w:szCs w:val="18"/>
              </w:rPr>
            </w:pPr>
            <w:r w:rsidRPr="00576207">
              <w:rPr>
                <w:rFonts w:ascii="Arial" w:hAnsi="Arial" w:cs="Arial"/>
                <w:b w:val="0"/>
                <w:color w:val="215868" w:themeColor="accent5" w:themeShade="80"/>
                <w:sz w:val="18"/>
                <w:szCs w:val="18"/>
              </w:rPr>
              <w:t>Peppers</w:t>
            </w:r>
          </w:p>
        </w:tc>
        <w:tc>
          <w:tcPr>
            <w:tcW w:w="881" w:type="dxa"/>
            <w:gridSpan w:val="2"/>
            <w:vAlign w:val="center"/>
          </w:tcPr>
          <w:p w14:paraId="16046D9F" w14:textId="77777777" w:rsidR="00D15A58" w:rsidRPr="00576207" w:rsidRDefault="00D15A58" w:rsidP="00D15A5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576207">
              <w:rPr>
                <w:rFonts w:ascii="Arial" w:hAnsi="Arial" w:cs="Arial"/>
                <w:color w:val="215868" w:themeColor="accent5" w:themeShade="80"/>
                <w:sz w:val="18"/>
                <w:szCs w:val="18"/>
              </w:rPr>
              <w:t>+5.5%</w:t>
            </w:r>
          </w:p>
        </w:tc>
        <w:tc>
          <w:tcPr>
            <w:tcW w:w="882" w:type="dxa"/>
            <w:gridSpan w:val="2"/>
            <w:vAlign w:val="center"/>
          </w:tcPr>
          <w:p w14:paraId="42EE2D93" w14:textId="77777777" w:rsidR="00D15A58" w:rsidRPr="00576207" w:rsidRDefault="00D15A58" w:rsidP="00D15A5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576207">
              <w:rPr>
                <w:rFonts w:ascii="Arial" w:hAnsi="Arial" w:cs="Arial"/>
                <w:color w:val="215868" w:themeColor="accent5" w:themeShade="80"/>
                <w:sz w:val="18"/>
                <w:szCs w:val="18"/>
              </w:rPr>
              <w:t>+28.0%</w:t>
            </w:r>
          </w:p>
        </w:tc>
        <w:tc>
          <w:tcPr>
            <w:tcW w:w="881" w:type="dxa"/>
            <w:vAlign w:val="center"/>
          </w:tcPr>
          <w:p w14:paraId="46573ED0" w14:textId="77777777" w:rsidR="00D15A58" w:rsidRPr="00576207" w:rsidRDefault="00D15A58" w:rsidP="00D15A5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576207">
              <w:rPr>
                <w:rFonts w:ascii="Arial" w:hAnsi="Arial" w:cs="Arial"/>
                <w:color w:val="215868" w:themeColor="accent5" w:themeShade="80"/>
                <w:sz w:val="18"/>
                <w:szCs w:val="18"/>
              </w:rPr>
              <w:t>+22.1%</w:t>
            </w:r>
          </w:p>
        </w:tc>
        <w:tc>
          <w:tcPr>
            <w:tcW w:w="882" w:type="dxa"/>
            <w:vAlign w:val="center"/>
          </w:tcPr>
          <w:p w14:paraId="1C11864F" w14:textId="77777777" w:rsidR="00D15A58" w:rsidRPr="00576207" w:rsidRDefault="00D15A58" w:rsidP="00D15A5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576207">
              <w:rPr>
                <w:rFonts w:ascii="Arial" w:hAnsi="Arial" w:cs="Arial"/>
                <w:color w:val="215868" w:themeColor="accent5" w:themeShade="80"/>
                <w:sz w:val="18"/>
                <w:szCs w:val="18"/>
              </w:rPr>
              <w:t>+21.7%</w:t>
            </w:r>
          </w:p>
        </w:tc>
        <w:tc>
          <w:tcPr>
            <w:tcW w:w="882" w:type="dxa"/>
            <w:vAlign w:val="center"/>
          </w:tcPr>
          <w:p w14:paraId="675A48E2" w14:textId="77777777" w:rsidR="00D15A58" w:rsidRPr="00576207" w:rsidRDefault="00D15A58" w:rsidP="00D15A5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576207">
              <w:rPr>
                <w:rFonts w:ascii="Arial" w:hAnsi="Arial" w:cs="Arial"/>
                <w:color w:val="215868" w:themeColor="accent5" w:themeShade="80"/>
                <w:sz w:val="18"/>
                <w:szCs w:val="18"/>
              </w:rPr>
              <w:t>+11.5%</w:t>
            </w:r>
          </w:p>
        </w:tc>
        <w:tc>
          <w:tcPr>
            <w:tcW w:w="881" w:type="dxa"/>
            <w:vAlign w:val="center"/>
          </w:tcPr>
          <w:p w14:paraId="0DAAEB2F" w14:textId="77777777" w:rsidR="00D15A58" w:rsidRPr="00576207" w:rsidRDefault="00D15A58" w:rsidP="00D15A5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576207">
              <w:rPr>
                <w:rFonts w:ascii="Arial" w:hAnsi="Arial" w:cs="Arial"/>
                <w:bCs/>
                <w:color w:val="215868" w:themeColor="accent5" w:themeShade="80"/>
                <w:sz w:val="18"/>
                <w:szCs w:val="18"/>
              </w:rPr>
              <w:t>-7.1%</w:t>
            </w:r>
          </w:p>
        </w:tc>
        <w:tc>
          <w:tcPr>
            <w:tcW w:w="882" w:type="dxa"/>
            <w:vAlign w:val="center"/>
          </w:tcPr>
          <w:p w14:paraId="710D1ED2" w14:textId="77777777" w:rsidR="00D15A58" w:rsidRPr="00576207" w:rsidRDefault="00D15A58" w:rsidP="00D15A58">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sidRPr="00576207">
              <w:rPr>
                <w:rFonts w:ascii="Arial" w:hAnsi="Arial" w:cs="Arial"/>
                <w:bCs/>
                <w:color w:val="215868" w:themeColor="accent5" w:themeShade="80"/>
                <w:sz w:val="18"/>
                <w:szCs w:val="18"/>
              </w:rPr>
              <w:t>-3.7%</w:t>
            </w:r>
          </w:p>
        </w:tc>
        <w:tc>
          <w:tcPr>
            <w:tcW w:w="881" w:type="dxa"/>
            <w:vAlign w:val="center"/>
          </w:tcPr>
          <w:p w14:paraId="1F6459B3" w14:textId="185F0F29" w:rsidR="00D15A58" w:rsidRPr="00576207" w:rsidRDefault="00D15A58" w:rsidP="00D15A5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576207">
              <w:rPr>
                <w:rFonts w:ascii="Arial" w:hAnsi="Arial" w:cs="Arial"/>
                <w:bCs/>
                <w:color w:val="215868" w:themeColor="accent5" w:themeShade="80"/>
                <w:sz w:val="18"/>
                <w:szCs w:val="18"/>
              </w:rPr>
              <w:t>$</w:t>
            </w:r>
            <w:r>
              <w:rPr>
                <w:rFonts w:ascii="Arial" w:hAnsi="Arial" w:cs="Arial"/>
                <w:bCs/>
                <w:color w:val="215868" w:themeColor="accent5" w:themeShade="80"/>
                <w:sz w:val="18"/>
                <w:szCs w:val="18"/>
              </w:rPr>
              <w:t>179</w:t>
            </w:r>
            <w:r w:rsidRPr="00576207">
              <w:rPr>
                <w:rFonts w:ascii="Arial" w:hAnsi="Arial" w:cs="Arial"/>
                <w:bCs/>
                <w:color w:val="215868" w:themeColor="accent5" w:themeShade="80"/>
                <w:sz w:val="18"/>
                <w:szCs w:val="18"/>
              </w:rPr>
              <w:t>M</w:t>
            </w:r>
          </w:p>
        </w:tc>
        <w:tc>
          <w:tcPr>
            <w:tcW w:w="882" w:type="dxa"/>
            <w:vAlign w:val="center"/>
          </w:tcPr>
          <w:p w14:paraId="67D1E1CC" w14:textId="1CD4195C" w:rsidR="00D15A58" w:rsidRPr="00576207" w:rsidRDefault="00D15A58" w:rsidP="00D15A5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576207">
              <w:rPr>
                <w:rFonts w:ascii="Arial" w:hAnsi="Arial" w:cs="Arial"/>
                <w:bCs/>
                <w:color w:val="215868" w:themeColor="accent5" w:themeShade="80"/>
                <w:sz w:val="18"/>
                <w:szCs w:val="18"/>
              </w:rPr>
              <w:t>-</w:t>
            </w:r>
            <w:r>
              <w:rPr>
                <w:rFonts w:ascii="Arial" w:hAnsi="Arial" w:cs="Arial"/>
                <w:bCs/>
                <w:color w:val="215868" w:themeColor="accent5" w:themeShade="80"/>
                <w:sz w:val="18"/>
                <w:szCs w:val="18"/>
              </w:rPr>
              <w:t>1.7</w:t>
            </w:r>
            <w:r w:rsidRPr="00576207">
              <w:rPr>
                <w:rFonts w:ascii="Arial" w:hAnsi="Arial" w:cs="Arial"/>
                <w:bCs/>
                <w:color w:val="215868" w:themeColor="accent5" w:themeShade="80"/>
                <w:sz w:val="18"/>
                <w:szCs w:val="18"/>
              </w:rPr>
              <w:t>%</w:t>
            </w:r>
          </w:p>
        </w:tc>
        <w:tc>
          <w:tcPr>
            <w:tcW w:w="882" w:type="dxa"/>
            <w:vAlign w:val="center"/>
          </w:tcPr>
          <w:p w14:paraId="79D02AAB" w14:textId="53E8615C" w:rsidR="00D15A58" w:rsidRPr="00576207" w:rsidRDefault="00D15A58" w:rsidP="00D15A5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576207">
              <w:rPr>
                <w:rFonts w:ascii="Arial" w:hAnsi="Arial" w:cs="Arial"/>
                <w:bCs/>
                <w:color w:val="215868" w:themeColor="accent5" w:themeShade="80"/>
                <w:sz w:val="18"/>
                <w:szCs w:val="18"/>
              </w:rPr>
              <w:t>+</w:t>
            </w:r>
            <w:r>
              <w:rPr>
                <w:rFonts w:ascii="Arial" w:hAnsi="Arial" w:cs="Arial"/>
                <w:bCs/>
                <w:color w:val="215868" w:themeColor="accent5" w:themeShade="80"/>
                <w:sz w:val="18"/>
                <w:szCs w:val="18"/>
              </w:rPr>
              <w:t>18.6</w:t>
            </w:r>
            <w:r w:rsidRPr="00576207">
              <w:rPr>
                <w:rFonts w:ascii="Arial" w:hAnsi="Arial" w:cs="Arial"/>
                <w:bCs/>
                <w:color w:val="215868" w:themeColor="accent5" w:themeShade="80"/>
                <w:sz w:val="18"/>
                <w:szCs w:val="18"/>
              </w:rPr>
              <w:t>%</w:t>
            </w:r>
          </w:p>
        </w:tc>
      </w:tr>
      <w:tr w:rsidR="00D15A58" w14:paraId="3494D35F" w14:textId="77777777" w:rsidTr="00CF30D8">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642" w:type="dxa"/>
            <w:vAlign w:val="center"/>
          </w:tcPr>
          <w:p w14:paraId="5D209E3A" w14:textId="77777777" w:rsidR="00D15A58" w:rsidRPr="00576207" w:rsidRDefault="00D15A58" w:rsidP="00D15A58">
            <w:pPr>
              <w:jc w:val="right"/>
              <w:rPr>
                <w:rFonts w:ascii="Arial" w:hAnsi="Arial" w:cs="Arial"/>
                <w:b w:val="0"/>
                <w:color w:val="215868" w:themeColor="accent5" w:themeShade="80"/>
                <w:sz w:val="18"/>
                <w:szCs w:val="18"/>
              </w:rPr>
            </w:pPr>
            <w:r w:rsidRPr="00576207">
              <w:rPr>
                <w:rFonts w:ascii="Arial" w:hAnsi="Arial" w:cs="Arial"/>
                <w:b w:val="0"/>
                <w:color w:val="215868" w:themeColor="accent5" w:themeShade="80"/>
                <w:sz w:val="18"/>
                <w:szCs w:val="18"/>
              </w:rPr>
              <w:lastRenderedPageBreak/>
              <w:t>Carrots</w:t>
            </w:r>
          </w:p>
        </w:tc>
        <w:tc>
          <w:tcPr>
            <w:tcW w:w="881" w:type="dxa"/>
            <w:gridSpan w:val="2"/>
            <w:vAlign w:val="center"/>
          </w:tcPr>
          <w:p w14:paraId="4762F4E1" w14:textId="77777777" w:rsidR="00D15A58" w:rsidRPr="00576207" w:rsidRDefault="00D15A58" w:rsidP="00D15A5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576207">
              <w:rPr>
                <w:rFonts w:ascii="Arial" w:hAnsi="Arial" w:cs="Arial"/>
                <w:color w:val="215868" w:themeColor="accent5" w:themeShade="80"/>
                <w:sz w:val="18"/>
                <w:szCs w:val="18"/>
              </w:rPr>
              <w:t>+6.4%</w:t>
            </w:r>
          </w:p>
        </w:tc>
        <w:tc>
          <w:tcPr>
            <w:tcW w:w="882" w:type="dxa"/>
            <w:gridSpan w:val="2"/>
            <w:vAlign w:val="center"/>
          </w:tcPr>
          <w:p w14:paraId="3A594576" w14:textId="77777777" w:rsidR="00D15A58" w:rsidRPr="00576207" w:rsidRDefault="00D15A58" w:rsidP="00D15A5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576207">
              <w:rPr>
                <w:rFonts w:ascii="Arial" w:hAnsi="Arial" w:cs="Arial"/>
                <w:color w:val="215868" w:themeColor="accent5" w:themeShade="80"/>
                <w:sz w:val="18"/>
                <w:szCs w:val="18"/>
              </w:rPr>
              <w:t>+12.1%</w:t>
            </w:r>
          </w:p>
        </w:tc>
        <w:tc>
          <w:tcPr>
            <w:tcW w:w="881" w:type="dxa"/>
            <w:vAlign w:val="center"/>
          </w:tcPr>
          <w:p w14:paraId="0DCAA506" w14:textId="77777777" w:rsidR="00D15A58" w:rsidRPr="00576207" w:rsidRDefault="00D15A58" w:rsidP="00D15A5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576207">
              <w:rPr>
                <w:rFonts w:ascii="Arial" w:hAnsi="Arial" w:cs="Arial"/>
                <w:color w:val="215868" w:themeColor="accent5" w:themeShade="80"/>
                <w:sz w:val="18"/>
                <w:szCs w:val="18"/>
              </w:rPr>
              <w:t>+6.5%</w:t>
            </w:r>
          </w:p>
        </w:tc>
        <w:tc>
          <w:tcPr>
            <w:tcW w:w="882" w:type="dxa"/>
            <w:vAlign w:val="center"/>
          </w:tcPr>
          <w:p w14:paraId="322992E6" w14:textId="77777777" w:rsidR="00D15A58" w:rsidRPr="00576207" w:rsidRDefault="00D15A58" w:rsidP="00D15A5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576207">
              <w:rPr>
                <w:rFonts w:ascii="Arial" w:hAnsi="Arial" w:cs="Arial"/>
                <w:color w:val="215868" w:themeColor="accent5" w:themeShade="80"/>
                <w:sz w:val="18"/>
                <w:szCs w:val="18"/>
              </w:rPr>
              <w:t>+4.6%</w:t>
            </w:r>
          </w:p>
        </w:tc>
        <w:tc>
          <w:tcPr>
            <w:tcW w:w="882" w:type="dxa"/>
            <w:vAlign w:val="center"/>
          </w:tcPr>
          <w:p w14:paraId="7FF55279" w14:textId="77777777" w:rsidR="00D15A58" w:rsidRPr="00576207" w:rsidRDefault="00D15A58" w:rsidP="00D15A5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576207">
              <w:rPr>
                <w:rFonts w:ascii="Arial" w:hAnsi="Arial" w:cs="Arial"/>
                <w:color w:val="215868" w:themeColor="accent5" w:themeShade="80"/>
                <w:sz w:val="18"/>
                <w:szCs w:val="18"/>
              </w:rPr>
              <w:t>-5.1%</w:t>
            </w:r>
          </w:p>
        </w:tc>
        <w:tc>
          <w:tcPr>
            <w:tcW w:w="881" w:type="dxa"/>
            <w:vAlign w:val="center"/>
          </w:tcPr>
          <w:p w14:paraId="0169F2C2" w14:textId="77777777" w:rsidR="00D15A58" w:rsidRPr="00576207" w:rsidRDefault="00D15A58" w:rsidP="00D15A5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576207">
              <w:rPr>
                <w:rFonts w:ascii="Arial" w:hAnsi="Arial" w:cs="Arial"/>
                <w:bCs/>
                <w:color w:val="215868" w:themeColor="accent5" w:themeShade="80"/>
                <w:sz w:val="18"/>
                <w:szCs w:val="18"/>
              </w:rPr>
              <w:t>-7.6%</w:t>
            </w:r>
          </w:p>
        </w:tc>
        <w:tc>
          <w:tcPr>
            <w:tcW w:w="882" w:type="dxa"/>
            <w:vAlign w:val="center"/>
          </w:tcPr>
          <w:p w14:paraId="5892A742" w14:textId="77777777" w:rsidR="00D15A58" w:rsidRPr="00576207" w:rsidRDefault="00D15A58" w:rsidP="00D15A58">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sidRPr="00576207">
              <w:rPr>
                <w:rFonts w:ascii="Arial" w:hAnsi="Arial" w:cs="Arial"/>
                <w:bCs/>
                <w:color w:val="215868" w:themeColor="accent5" w:themeShade="80"/>
                <w:sz w:val="18"/>
                <w:szCs w:val="18"/>
              </w:rPr>
              <w:t>-0.1%</w:t>
            </w:r>
          </w:p>
        </w:tc>
        <w:tc>
          <w:tcPr>
            <w:tcW w:w="881" w:type="dxa"/>
            <w:vAlign w:val="center"/>
          </w:tcPr>
          <w:p w14:paraId="0D278452" w14:textId="11D5526B" w:rsidR="00D15A58" w:rsidRPr="00576207" w:rsidRDefault="00D15A58" w:rsidP="00D15A5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576207">
              <w:rPr>
                <w:rFonts w:ascii="Arial" w:hAnsi="Arial" w:cs="Arial"/>
                <w:bCs/>
                <w:color w:val="215868" w:themeColor="accent5" w:themeShade="80"/>
                <w:sz w:val="18"/>
                <w:szCs w:val="18"/>
              </w:rPr>
              <w:t>$</w:t>
            </w:r>
            <w:r>
              <w:rPr>
                <w:rFonts w:ascii="Arial" w:hAnsi="Arial" w:cs="Arial"/>
                <w:bCs/>
                <w:color w:val="215868" w:themeColor="accent5" w:themeShade="80"/>
                <w:sz w:val="18"/>
                <w:szCs w:val="18"/>
              </w:rPr>
              <w:t>112</w:t>
            </w:r>
            <w:r w:rsidRPr="00576207">
              <w:rPr>
                <w:rFonts w:ascii="Arial" w:hAnsi="Arial" w:cs="Arial"/>
                <w:bCs/>
                <w:color w:val="215868" w:themeColor="accent5" w:themeShade="80"/>
                <w:sz w:val="18"/>
                <w:szCs w:val="18"/>
              </w:rPr>
              <w:t>M</w:t>
            </w:r>
          </w:p>
        </w:tc>
        <w:tc>
          <w:tcPr>
            <w:tcW w:w="882" w:type="dxa"/>
            <w:vAlign w:val="center"/>
          </w:tcPr>
          <w:p w14:paraId="400BE799" w14:textId="63489FF9" w:rsidR="00D15A58" w:rsidRPr="00576207" w:rsidRDefault="00D15A58" w:rsidP="00D15A5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bCs/>
                <w:color w:val="215868" w:themeColor="accent5" w:themeShade="80"/>
                <w:sz w:val="18"/>
                <w:szCs w:val="18"/>
              </w:rPr>
              <w:t>+1.9</w:t>
            </w:r>
            <w:r w:rsidRPr="00576207">
              <w:rPr>
                <w:rFonts w:ascii="Arial" w:hAnsi="Arial" w:cs="Arial"/>
                <w:bCs/>
                <w:color w:val="215868" w:themeColor="accent5" w:themeShade="80"/>
                <w:sz w:val="18"/>
                <w:szCs w:val="18"/>
              </w:rPr>
              <w:t>%</w:t>
            </w:r>
          </w:p>
        </w:tc>
        <w:tc>
          <w:tcPr>
            <w:tcW w:w="882" w:type="dxa"/>
            <w:vAlign w:val="center"/>
          </w:tcPr>
          <w:p w14:paraId="23C0C00F" w14:textId="793D3D7C" w:rsidR="00D15A58" w:rsidRPr="00576207" w:rsidRDefault="00D15A58" w:rsidP="00D15A5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576207">
              <w:rPr>
                <w:rFonts w:ascii="Arial" w:hAnsi="Arial" w:cs="Arial"/>
                <w:bCs/>
                <w:color w:val="215868" w:themeColor="accent5" w:themeShade="80"/>
                <w:sz w:val="18"/>
                <w:szCs w:val="18"/>
              </w:rPr>
              <w:t>+</w:t>
            </w:r>
            <w:r>
              <w:rPr>
                <w:rFonts w:ascii="Arial" w:hAnsi="Arial" w:cs="Arial"/>
                <w:bCs/>
                <w:color w:val="215868" w:themeColor="accent5" w:themeShade="80"/>
                <w:sz w:val="18"/>
                <w:szCs w:val="18"/>
              </w:rPr>
              <w:t>4.4</w:t>
            </w:r>
            <w:r w:rsidRPr="00576207">
              <w:rPr>
                <w:rFonts w:ascii="Arial" w:hAnsi="Arial" w:cs="Arial"/>
                <w:bCs/>
                <w:color w:val="215868" w:themeColor="accent5" w:themeShade="80"/>
                <w:sz w:val="18"/>
                <w:szCs w:val="18"/>
              </w:rPr>
              <w:t>%</w:t>
            </w:r>
          </w:p>
        </w:tc>
      </w:tr>
      <w:tr w:rsidR="00D15A58" w14:paraId="2994EA35" w14:textId="77777777" w:rsidTr="00CF30D8">
        <w:trPr>
          <w:trHeight w:val="253"/>
        </w:trPr>
        <w:tc>
          <w:tcPr>
            <w:cnfStyle w:val="001000000000" w:firstRow="0" w:lastRow="0" w:firstColumn="1" w:lastColumn="0" w:oddVBand="0" w:evenVBand="0" w:oddHBand="0" w:evenHBand="0" w:firstRowFirstColumn="0" w:firstRowLastColumn="0" w:lastRowFirstColumn="0" w:lastRowLastColumn="0"/>
            <w:tcW w:w="1642" w:type="dxa"/>
            <w:vAlign w:val="center"/>
          </w:tcPr>
          <w:p w14:paraId="4C7DA7C5" w14:textId="77777777" w:rsidR="00D15A58" w:rsidRPr="00576207" w:rsidRDefault="00D15A58" w:rsidP="00D15A58">
            <w:pPr>
              <w:jc w:val="right"/>
              <w:rPr>
                <w:rFonts w:ascii="Arial" w:hAnsi="Arial" w:cs="Arial"/>
                <w:b w:val="0"/>
                <w:color w:val="215868" w:themeColor="accent5" w:themeShade="80"/>
                <w:sz w:val="18"/>
                <w:szCs w:val="18"/>
              </w:rPr>
            </w:pPr>
            <w:r w:rsidRPr="00576207">
              <w:rPr>
                <w:rFonts w:ascii="Arial" w:hAnsi="Arial" w:cs="Arial"/>
                <w:b w:val="0"/>
                <w:color w:val="215868" w:themeColor="accent5" w:themeShade="80"/>
                <w:sz w:val="18"/>
                <w:szCs w:val="18"/>
              </w:rPr>
              <w:t>Mushrooms</w:t>
            </w:r>
          </w:p>
        </w:tc>
        <w:tc>
          <w:tcPr>
            <w:tcW w:w="881" w:type="dxa"/>
            <w:gridSpan w:val="2"/>
            <w:vAlign w:val="center"/>
          </w:tcPr>
          <w:p w14:paraId="0B9A1C9E" w14:textId="77777777" w:rsidR="00D15A58" w:rsidRPr="00576207" w:rsidRDefault="00D15A58" w:rsidP="00D15A5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576207">
              <w:rPr>
                <w:rFonts w:ascii="Arial" w:hAnsi="Arial" w:cs="Arial"/>
                <w:color w:val="215868" w:themeColor="accent5" w:themeShade="80"/>
                <w:sz w:val="18"/>
                <w:szCs w:val="18"/>
              </w:rPr>
              <w:t>+8.1%</w:t>
            </w:r>
          </w:p>
        </w:tc>
        <w:tc>
          <w:tcPr>
            <w:tcW w:w="882" w:type="dxa"/>
            <w:gridSpan w:val="2"/>
            <w:vAlign w:val="center"/>
          </w:tcPr>
          <w:p w14:paraId="32488A07" w14:textId="77777777" w:rsidR="00D15A58" w:rsidRPr="00576207" w:rsidRDefault="00D15A58" w:rsidP="00D15A5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576207">
              <w:rPr>
                <w:rFonts w:ascii="Arial" w:hAnsi="Arial" w:cs="Arial"/>
                <w:color w:val="215868" w:themeColor="accent5" w:themeShade="80"/>
                <w:sz w:val="18"/>
                <w:szCs w:val="18"/>
              </w:rPr>
              <w:t>+31.2%</w:t>
            </w:r>
          </w:p>
        </w:tc>
        <w:tc>
          <w:tcPr>
            <w:tcW w:w="881" w:type="dxa"/>
            <w:vAlign w:val="center"/>
          </w:tcPr>
          <w:p w14:paraId="23E403F7" w14:textId="77777777" w:rsidR="00D15A58" w:rsidRPr="00576207" w:rsidRDefault="00D15A58" w:rsidP="00D15A5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576207">
              <w:rPr>
                <w:rFonts w:ascii="Arial" w:hAnsi="Arial" w:cs="Arial"/>
                <w:color w:val="215868" w:themeColor="accent5" w:themeShade="80"/>
                <w:sz w:val="18"/>
                <w:szCs w:val="18"/>
              </w:rPr>
              <w:t>+23.0%</w:t>
            </w:r>
          </w:p>
        </w:tc>
        <w:tc>
          <w:tcPr>
            <w:tcW w:w="882" w:type="dxa"/>
            <w:vAlign w:val="center"/>
          </w:tcPr>
          <w:p w14:paraId="7D78D0E6" w14:textId="77777777" w:rsidR="00D15A58" w:rsidRPr="00576207" w:rsidRDefault="00D15A58" w:rsidP="00D15A5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576207">
              <w:rPr>
                <w:rFonts w:ascii="Arial" w:hAnsi="Arial" w:cs="Arial"/>
                <w:color w:val="215868" w:themeColor="accent5" w:themeShade="80"/>
                <w:sz w:val="18"/>
                <w:szCs w:val="18"/>
              </w:rPr>
              <w:t>+17.5%</w:t>
            </w:r>
          </w:p>
        </w:tc>
        <w:tc>
          <w:tcPr>
            <w:tcW w:w="882" w:type="dxa"/>
            <w:vAlign w:val="center"/>
          </w:tcPr>
          <w:p w14:paraId="1EF31446" w14:textId="77777777" w:rsidR="00D15A58" w:rsidRPr="00576207" w:rsidRDefault="00D15A58" w:rsidP="00D15A5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576207">
              <w:rPr>
                <w:rFonts w:ascii="Arial" w:hAnsi="Arial" w:cs="Arial"/>
                <w:color w:val="215868" w:themeColor="accent5" w:themeShade="80"/>
                <w:sz w:val="18"/>
                <w:szCs w:val="18"/>
              </w:rPr>
              <w:t>+8.2%</w:t>
            </w:r>
          </w:p>
        </w:tc>
        <w:tc>
          <w:tcPr>
            <w:tcW w:w="881" w:type="dxa"/>
            <w:vAlign w:val="center"/>
          </w:tcPr>
          <w:p w14:paraId="6E5D79B3" w14:textId="77777777" w:rsidR="00D15A58" w:rsidRPr="00576207" w:rsidRDefault="00D15A58" w:rsidP="00D15A5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576207">
              <w:rPr>
                <w:rFonts w:ascii="Arial" w:hAnsi="Arial" w:cs="Arial"/>
                <w:bCs/>
                <w:color w:val="215868" w:themeColor="accent5" w:themeShade="80"/>
                <w:sz w:val="18"/>
                <w:szCs w:val="18"/>
              </w:rPr>
              <w:t>-13.0%</w:t>
            </w:r>
          </w:p>
        </w:tc>
        <w:tc>
          <w:tcPr>
            <w:tcW w:w="882" w:type="dxa"/>
            <w:vAlign w:val="center"/>
          </w:tcPr>
          <w:p w14:paraId="1312B1AE" w14:textId="77777777" w:rsidR="00D15A58" w:rsidRPr="00576207" w:rsidRDefault="00D15A58" w:rsidP="00D15A58">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sidRPr="00576207">
              <w:rPr>
                <w:rFonts w:ascii="Arial" w:hAnsi="Arial" w:cs="Arial"/>
                <w:bCs/>
                <w:color w:val="215868" w:themeColor="accent5" w:themeShade="80"/>
                <w:sz w:val="18"/>
                <w:szCs w:val="18"/>
              </w:rPr>
              <w:t>-9.5%</w:t>
            </w:r>
          </w:p>
        </w:tc>
        <w:tc>
          <w:tcPr>
            <w:tcW w:w="881" w:type="dxa"/>
            <w:vAlign w:val="center"/>
          </w:tcPr>
          <w:p w14:paraId="4F37182F" w14:textId="3FC78107" w:rsidR="00D15A58" w:rsidRPr="00576207" w:rsidRDefault="00D15A58" w:rsidP="00D15A5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576207">
              <w:rPr>
                <w:rFonts w:ascii="Arial" w:hAnsi="Arial" w:cs="Arial"/>
                <w:bCs/>
                <w:color w:val="215868" w:themeColor="accent5" w:themeShade="80"/>
                <w:sz w:val="18"/>
                <w:szCs w:val="18"/>
              </w:rPr>
              <w:t>$</w:t>
            </w:r>
            <w:r>
              <w:rPr>
                <w:rFonts w:ascii="Arial" w:hAnsi="Arial" w:cs="Arial"/>
                <w:bCs/>
                <w:color w:val="215868" w:themeColor="accent5" w:themeShade="80"/>
                <w:sz w:val="18"/>
                <w:szCs w:val="18"/>
              </w:rPr>
              <w:t>103</w:t>
            </w:r>
            <w:r w:rsidRPr="00576207">
              <w:rPr>
                <w:rFonts w:ascii="Arial" w:hAnsi="Arial" w:cs="Arial"/>
                <w:bCs/>
                <w:color w:val="215868" w:themeColor="accent5" w:themeShade="80"/>
                <w:sz w:val="18"/>
                <w:szCs w:val="18"/>
              </w:rPr>
              <w:t>M</w:t>
            </w:r>
          </w:p>
        </w:tc>
        <w:tc>
          <w:tcPr>
            <w:tcW w:w="882" w:type="dxa"/>
            <w:vAlign w:val="center"/>
          </w:tcPr>
          <w:p w14:paraId="0FA790DA" w14:textId="7F90C093" w:rsidR="00D15A58" w:rsidRPr="00576207" w:rsidRDefault="00D15A58" w:rsidP="00D15A5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576207">
              <w:rPr>
                <w:rFonts w:ascii="Arial" w:hAnsi="Arial" w:cs="Arial"/>
                <w:bCs/>
                <w:color w:val="215868" w:themeColor="accent5" w:themeShade="80"/>
                <w:sz w:val="18"/>
                <w:szCs w:val="18"/>
              </w:rPr>
              <w:t>-</w:t>
            </w:r>
            <w:r>
              <w:rPr>
                <w:rFonts w:ascii="Arial" w:hAnsi="Arial" w:cs="Arial"/>
                <w:bCs/>
                <w:color w:val="215868" w:themeColor="accent5" w:themeShade="80"/>
                <w:sz w:val="18"/>
                <w:szCs w:val="18"/>
              </w:rPr>
              <w:t>6.1</w:t>
            </w:r>
            <w:r w:rsidRPr="00576207">
              <w:rPr>
                <w:rFonts w:ascii="Arial" w:hAnsi="Arial" w:cs="Arial"/>
                <w:bCs/>
                <w:color w:val="215868" w:themeColor="accent5" w:themeShade="80"/>
                <w:sz w:val="18"/>
                <w:szCs w:val="18"/>
              </w:rPr>
              <w:t>%</w:t>
            </w:r>
          </w:p>
        </w:tc>
        <w:tc>
          <w:tcPr>
            <w:tcW w:w="882" w:type="dxa"/>
            <w:vAlign w:val="center"/>
          </w:tcPr>
          <w:p w14:paraId="2A6CC381" w14:textId="53B7BDEC" w:rsidR="00D15A58" w:rsidRPr="00576207" w:rsidRDefault="00D15A58" w:rsidP="00D15A5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576207">
              <w:rPr>
                <w:rFonts w:ascii="Arial" w:hAnsi="Arial" w:cs="Arial"/>
                <w:bCs/>
                <w:color w:val="215868" w:themeColor="accent5" w:themeShade="80"/>
                <w:sz w:val="18"/>
                <w:szCs w:val="18"/>
              </w:rPr>
              <w:t>+</w:t>
            </w:r>
            <w:r>
              <w:rPr>
                <w:rFonts w:ascii="Arial" w:hAnsi="Arial" w:cs="Arial"/>
                <w:bCs/>
                <w:color w:val="215868" w:themeColor="accent5" w:themeShade="80"/>
                <w:sz w:val="18"/>
                <w:szCs w:val="18"/>
              </w:rPr>
              <w:t>7.8</w:t>
            </w:r>
            <w:r w:rsidRPr="00576207">
              <w:rPr>
                <w:rFonts w:ascii="Arial" w:hAnsi="Arial" w:cs="Arial"/>
                <w:bCs/>
                <w:color w:val="215868" w:themeColor="accent5" w:themeShade="80"/>
                <w:sz w:val="18"/>
                <w:szCs w:val="18"/>
              </w:rPr>
              <w:t>%</w:t>
            </w:r>
          </w:p>
        </w:tc>
      </w:tr>
      <w:tr w:rsidR="00D15A58" w14:paraId="66A9A2DF" w14:textId="77777777" w:rsidTr="00046C74">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642" w:type="dxa"/>
            <w:vAlign w:val="center"/>
          </w:tcPr>
          <w:p w14:paraId="17F9F561" w14:textId="77777777" w:rsidR="00D15A58" w:rsidRPr="00576207" w:rsidRDefault="00D15A58" w:rsidP="00D15A58">
            <w:pPr>
              <w:jc w:val="right"/>
              <w:rPr>
                <w:rFonts w:ascii="Arial" w:hAnsi="Arial" w:cs="Arial"/>
                <w:b w:val="0"/>
                <w:color w:val="215868" w:themeColor="accent5" w:themeShade="80"/>
                <w:sz w:val="18"/>
                <w:szCs w:val="18"/>
              </w:rPr>
            </w:pPr>
            <w:r w:rsidRPr="00576207">
              <w:rPr>
                <w:rFonts w:ascii="Arial" w:hAnsi="Arial" w:cs="Arial"/>
                <w:b w:val="0"/>
                <w:color w:val="215868" w:themeColor="accent5" w:themeShade="80"/>
                <w:sz w:val="18"/>
                <w:szCs w:val="18"/>
              </w:rPr>
              <w:t>Broccoli</w:t>
            </w:r>
          </w:p>
        </w:tc>
        <w:tc>
          <w:tcPr>
            <w:tcW w:w="881" w:type="dxa"/>
            <w:gridSpan w:val="2"/>
            <w:vAlign w:val="center"/>
          </w:tcPr>
          <w:p w14:paraId="6B475850" w14:textId="77777777" w:rsidR="00D15A58" w:rsidRPr="00576207" w:rsidRDefault="00D15A58" w:rsidP="00D15A5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576207">
              <w:rPr>
                <w:rFonts w:ascii="Arial" w:hAnsi="Arial" w:cs="Arial"/>
                <w:color w:val="215868" w:themeColor="accent5" w:themeShade="80"/>
                <w:sz w:val="18"/>
                <w:szCs w:val="18"/>
              </w:rPr>
              <w:t>+5.3%</w:t>
            </w:r>
          </w:p>
        </w:tc>
        <w:tc>
          <w:tcPr>
            <w:tcW w:w="882" w:type="dxa"/>
            <w:gridSpan w:val="2"/>
            <w:vAlign w:val="center"/>
          </w:tcPr>
          <w:p w14:paraId="2B13D93E" w14:textId="77777777" w:rsidR="00D15A58" w:rsidRPr="00576207" w:rsidRDefault="00D15A58" w:rsidP="00D15A5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576207">
              <w:rPr>
                <w:rFonts w:ascii="Arial" w:hAnsi="Arial" w:cs="Arial"/>
                <w:color w:val="215868" w:themeColor="accent5" w:themeShade="80"/>
                <w:sz w:val="18"/>
                <w:szCs w:val="18"/>
              </w:rPr>
              <w:t>+19.0%</w:t>
            </w:r>
          </w:p>
        </w:tc>
        <w:tc>
          <w:tcPr>
            <w:tcW w:w="881" w:type="dxa"/>
            <w:vAlign w:val="center"/>
          </w:tcPr>
          <w:p w14:paraId="3381F3D2" w14:textId="77777777" w:rsidR="00D15A58" w:rsidRPr="00576207" w:rsidRDefault="00D15A58" w:rsidP="00D15A5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576207">
              <w:rPr>
                <w:rFonts w:ascii="Arial" w:hAnsi="Arial" w:cs="Arial"/>
                <w:color w:val="215868" w:themeColor="accent5" w:themeShade="80"/>
                <w:sz w:val="18"/>
                <w:szCs w:val="18"/>
              </w:rPr>
              <w:t>+13.9%</w:t>
            </w:r>
          </w:p>
        </w:tc>
        <w:tc>
          <w:tcPr>
            <w:tcW w:w="882" w:type="dxa"/>
            <w:vAlign w:val="center"/>
          </w:tcPr>
          <w:p w14:paraId="1B738008" w14:textId="77777777" w:rsidR="00D15A58" w:rsidRPr="00576207" w:rsidRDefault="00D15A58" w:rsidP="00D15A5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576207">
              <w:rPr>
                <w:rFonts w:ascii="Arial" w:hAnsi="Arial" w:cs="Arial"/>
                <w:color w:val="215868" w:themeColor="accent5" w:themeShade="80"/>
                <w:sz w:val="18"/>
                <w:szCs w:val="18"/>
              </w:rPr>
              <w:t>+11.9%</w:t>
            </w:r>
          </w:p>
        </w:tc>
        <w:tc>
          <w:tcPr>
            <w:tcW w:w="882" w:type="dxa"/>
            <w:vAlign w:val="center"/>
          </w:tcPr>
          <w:p w14:paraId="390363FC" w14:textId="77777777" w:rsidR="00D15A58" w:rsidRPr="00576207" w:rsidRDefault="00D15A58" w:rsidP="00D15A5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576207">
              <w:rPr>
                <w:rFonts w:ascii="Arial" w:hAnsi="Arial" w:cs="Arial"/>
                <w:color w:val="215868" w:themeColor="accent5" w:themeShade="80"/>
                <w:sz w:val="18"/>
                <w:szCs w:val="18"/>
              </w:rPr>
              <w:t>+5.0%</w:t>
            </w:r>
          </w:p>
        </w:tc>
        <w:tc>
          <w:tcPr>
            <w:tcW w:w="881" w:type="dxa"/>
            <w:vAlign w:val="center"/>
          </w:tcPr>
          <w:p w14:paraId="521F9369" w14:textId="77777777" w:rsidR="00D15A58" w:rsidRPr="00576207" w:rsidRDefault="00D15A58" w:rsidP="00D15A5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576207">
              <w:rPr>
                <w:rFonts w:ascii="Arial" w:hAnsi="Arial" w:cs="Arial"/>
                <w:color w:val="215868" w:themeColor="accent5" w:themeShade="80"/>
                <w:sz w:val="18"/>
                <w:szCs w:val="18"/>
              </w:rPr>
              <w:t>-5.0%</w:t>
            </w:r>
          </w:p>
        </w:tc>
        <w:tc>
          <w:tcPr>
            <w:tcW w:w="882" w:type="dxa"/>
            <w:vAlign w:val="center"/>
          </w:tcPr>
          <w:p w14:paraId="20670D52" w14:textId="77777777" w:rsidR="00D15A58" w:rsidRPr="00576207" w:rsidRDefault="00D15A58" w:rsidP="00D15A58">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sidRPr="00576207">
              <w:rPr>
                <w:rFonts w:ascii="Arial" w:hAnsi="Arial" w:cs="Arial"/>
                <w:bCs/>
                <w:color w:val="215868" w:themeColor="accent5" w:themeShade="80"/>
                <w:sz w:val="18"/>
                <w:szCs w:val="18"/>
              </w:rPr>
              <w:t>-0.4%</w:t>
            </w:r>
          </w:p>
        </w:tc>
        <w:tc>
          <w:tcPr>
            <w:tcW w:w="881" w:type="dxa"/>
            <w:vAlign w:val="center"/>
          </w:tcPr>
          <w:p w14:paraId="2C76C507" w14:textId="63ADBF2F" w:rsidR="00D15A58" w:rsidRPr="00576207" w:rsidRDefault="00D15A58" w:rsidP="00D15A5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bCs/>
                <w:color w:val="215868" w:themeColor="accent5" w:themeShade="80"/>
                <w:sz w:val="18"/>
                <w:szCs w:val="18"/>
              </w:rPr>
              <w:t>$96</w:t>
            </w:r>
            <w:r w:rsidRPr="00576207">
              <w:rPr>
                <w:rFonts w:ascii="Arial" w:hAnsi="Arial" w:cs="Arial"/>
                <w:bCs/>
                <w:color w:val="215868" w:themeColor="accent5" w:themeShade="80"/>
                <w:sz w:val="18"/>
                <w:szCs w:val="18"/>
              </w:rPr>
              <w:t>M</w:t>
            </w:r>
          </w:p>
        </w:tc>
        <w:tc>
          <w:tcPr>
            <w:tcW w:w="882" w:type="dxa"/>
            <w:vAlign w:val="center"/>
          </w:tcPr>
          <w:p w14:paraId="637166E5" w14:textId="4F76E9EF" w:rsidR="00D15A58" w:rsidRPr="00576207" w:rsidRDefault="00D15A58" w:rsidP="00D15A5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576207">
              <w:rPr>
                <w:rFonts w:ascii="Arial" w:hAnsi="Arial" w:cs="Arial"/>
                <w:bCs/>
                <w:color w:val="215868" w:themeColor="accent5" w:themeShade="80"/>
                <w:sz w:val="18"/>
                <w:szCs w:val="18"/>
              </w:rPr>
              <w:t>+</w:t>
            </w:r>
            <w:r>
              <w:rPr>
                <w:rFonts w:ascii="Arial" w:hAnsi="Arial" w:cs="Arial"/>
                <w:bCs/>
                <w:color w:val="215868" w:themeColor="accent5" w:themeShade="80"/>
                <w:sz w:val="18"/>
                <w:szCs w:val="18"/>
              </w:rPr>
              <w:t>9.5</w:t>
            </w:r>
            <w:r w:rsidRPr="00576207">
              <w:rPr>
                <w:rFonts w:ascii="Arial" w:hAnsi="Arial" w:cs="Arial"/>
                <w:bCs/>
                <w:color w:val="215868" w:themeColor="accent5" w:themeShade="80"/>
                <w:sz w:val="18"/>
                <w:szCs w:val="18"/>
              </w:rPr>
              <w:t>%</w:t>
            </w:r>
          </w:p>
        </w:tc>
        <w:tc>
          <w:tcPr>
            <w:tcW w:w="882" w:type="dxa"/>
            <w:vAlign w:val="center"/>
          </w:tcPr>
          <w:p w14:paraId="108558BA" w14:textId="0730BC31" w:rsidR="00D15A58" w:rsidRPr="00576207" w:rsidRDefault="00D15A58" w:rsidP="00D15A5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576207">
              <w:rPr>
                <w:rFonts w:ascii="Arial" w:hAnsi="Arial" w:cs="Arial"/>
                <w:bCs/>
                <w:color w:val="215868" w:themeColor="accent5" w:themeShade="80"/>
                <w:sz w:val="18"/>
                <w:szCs w:val="18"/>
              </w:rPr>
              <w:t>+</w:t>
            </w:r>
            <w:r>
              <w:rPr>
                <w:rFonts w:ascii="Arial" w:hAnsi="Arial" w:cs="Arial"/>
                <w:bCs/>
                <w:color w:val="215868" w:themeColor="accent5" w:themeShade="80"/>
                <w:sz w:val="18"/>
                <w:szCs w:val="18"/>
              </w:rPr>
              <w:t>16.8</w:t>
            </w:r>
            <w:r w:rsidRPr="00576207">
              <w:rPr>
                <w:rFonts w:ascii="Arial" w:hAnsi="Arial" w:cs="Arial"/>
                <w:bCs/>
                <w:color w:val="215868" w:themeColor="accent5" w:themeShade="80"/>
                <w:sz w:val="18"/>
                <w:szCs w:val="18"/>
              </w:rPr>
              <w:t>%</w:t>
            </w:r>
          </w:p>
        </w:tc>
      </w:tr>
      <w:tr w:rsidR="00D15A58" w14:paraId="10B331D7" w14:textId="77777777" w:rsidTr="00107812">
        <w:trPr>
          <w:trHeight w:val="253"/>
        </w:trPr>
        <w:tc>
          <w:tcPr>
            <w:cnfStyle w:val="001000000000" w:firstRow="0" w:lastRow="0" w:firstColumn="1" w:lastColumn="0" w:oddVBand="0" w:evenVBand="0" w:oddHBand="0" w:evenHBand="0" w:firstRowFirstColumn="0" w:firstRowLastColumn="0" w:lastRowFirstColumn="0" w:lastRowLastColumn="0"/>
            <w:tcW w:w="1642" w:type="dxa"/>
            <w:vAlign w:val="center"/>
          </w:tcPr>
          <w:p w14:paraId="50E9AB86" w14:textId="473A16F0" w:rsidR="00D15A58" w:rsidRPr="00576207" w:rsidRDefault="00D15A58" w:rsidP="00D15A58">
            <w:pPr>
              <w:jc w:val="right"/>
              <w:rPr>
                <w:rFonts w:ascii="Arial" w:hAnsi="Arial" w:cs="Arial"/>
                <w:b w:val="0"/>
                <w:color w:val="215868" w:themeColor="accent5" w:themeShade="80"/>
                <w:sz w:val="18"/>
                <w:szCs w:val="18"/>
              </w:rPr>
            </w:pPr>
            <w:r>
              <w:rPr>
                <w:rFonts w:ascii="Arial" w:hAnsi="Arial" w:cs="Arial"/>
                <w:b w:val="0"/>
                <w:color w:val="215868" w:themeColor="accent5" w:themeShade="80"/>
                <w:sz w:val="18"/>
                <w:szCs w:val="18"/>
              </w:rPr>
              <w:t>Celery</w:t>
            </w:r>
          </w:p>
        </w:tc>
        <w:tc>
          <w:tcPr>
            <w:tcW w:w="881" w:type="dxa"/>
            <w:gridSpan w:val="2"/>
            <w:vAlign w:val="center"/>
          </w:tcPr>
          <w:p w14:paraId="2F661D54" w14:textId="02A011DF" w:rsidR="00D15A58" w:rsidRPr="00576207" w:rsidRDefault="00D15A58" w:rsidP="00D15A5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-6.1%</w:t>
            </w:r>
          </w:p>
        </w:tc>
        <w:tc>
          <w:tcPr>
            <w:tcW w:w="882" w:type="dxa"/>
            <w:gridSpan w:val="2"/>
            <w:vAlign w:val="center"/>
          </w:tcPr>
          <w:p w14:paraId="7B7FFDB2" w14:textId="3B1FF1C6" w:rsidR="00D15A58" w:rsidRPr="00576207" w:rsidRDefault="00D15A58" w:rsidP="00D15A5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-10.7%</w:t>
            </w:r>
          </w:p>
        </w:tc>
        <w:tc>
          <w:tcPr>
            <w:tcW w:w="881" w:type="dxa"/>
            <w:vAlign w:val="center"/>
          </w:tcPr>
          <w:p w14:paraId="7834A23A" w14:textId="6126F040" w:rsidR="00D15A58" w:rsidRPr="00576207" w:rsidRDefault="00D15A58" w:rsidP="00D15A5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-2.0%</w:t>
            </w:r>
          </w:p>
        </w:tc>
        <w:tc>
          <w:tcPr>
            <w:tcW w:w="882" w:type="dxa"/>
            <w:vAlign w:val="center"/>
          </w:tcPr>
          <w:p w14:paraId="164081FC" w14:textId="7C5A9DD1" w:rsidR="00D15A58" w:rsidRPr="00576207" w:rsidRDefault="00D15A58" w:rsidP="00D15A5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+3.3%</w:t>
            </w:r>
          </w:p>
        </w:tc>
        <w:tc>
          <w:tcPr>
            <w:tcW w:w="882" w:type="dxa"/>
            <w:vAlign w:val="center"/>
          </w:tcPr>
          <w:p w14:paraId="43C75E37" w14:textId="6EE57F73" w:rsidR="00D15A58" w:rsidRPr="00576207" w:rsidRDefault="00D15A58" w:rsidP="00D15A5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+3.5%</w:t>
            </w:r>
          </w:p>
        </w:tc>
        <w:tc>
          <w:tcPr>
            <w:tcW w:w="881" w:type="dxa"/>
            <w:vAlign w:val="center"/>
          </w:tcPr>
          <w:p w14:paraId="52762A43" w14:textId="16A8704E" w:rsidR="00D15A58" w:rsidRPr="00576207" w:rsidRDefault="00D15A58" w:rsidP="00D15A5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-7.7%</w:t>
            </w:r>
          </w:p>
        </w:tc>
        <w:tc>
          <w:tcPr>
            <w:tcW w:w="882" w:type="dxa"/>
            <w:vAlign w:val="center"/>
          </w:tcPr>
          <w:p w14:paraId="1A4034B8" w14:textId="15F51452" w:rsidR="00D15A58" w:rsidRPr="00576207" w:rsidRDefault="00D15A58" w:rsidP="00D15A58">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-3.2%</w:t>
            </w:r>
          </w:p>
        </w:tc>
        <w:tc>
          <w:tcPr>
            <w:tcW w:w="881" w:type="dxa"/>
            <w:vAlign w:val="center"/>
          </w:tcPr>
          <w:p w14:paraId="2C332B4C" w14:textId="44DE230B" w:rsidR="00D15A58" w:rsidRPr="00576207" w:rsidRDefault="00D15A58" w:rsidP="00D15A5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$96M</w:t>
            </w:r>
          </w:p>
        </w:tc>
        <w:tc>
          <w:tcPr>
            <w:tcW w:w="882" w:type="dxa"/>
            <w:vAlign w:val="center"/>
          </w:tcPr>
          <w:p w14:paraId="4210BBC8" w14:textId="0920F3CB" w:rsidR="00D15A58" w:rsidRPr="00576207" w:rsidRDefault="00D15A58" w:rsidP="00D15A5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576207">
              <w:rPr>
                <w:rFonts w:ascii="Arial" w:hAnsi="Arial" w:cs="Arial"/>
                <w:bCs/>
                <w:color w:val="215868" w:themeColor="accent5" w:themeShade="80"/>
                <w:sz w:val="18"/>
                <w:szCs w:val="18"/>
              </w:rPr>
              <w:t>+</w:t>
            </w:r>
            <w:r>
              <w:rPr>
                <w:rFonts w:ascii="Arial" w:hAnsi="Arial" w:cs="Arial"/>
                <w:bCs/>
                <w:color w:val="215868" w:themeColor="accent5" w:themeShade="80"/>
                <w:sz w:val="18"/>
                <w:szCs w:val="18"/>
              </w:rPr>
              <w:t>1.5</w:t>
            </w:r>
            <w:r w:rsidRPr="00576207">
              <w:rPr>
                <w:rFonts w:ascii="Arial" w:hAnsi="Arial" w:cs="Arial"/>
                <w:bCs/>
                <w:color w:val="215868" w:themeColor="accent5" w:themeShade="80"/>
                <w:sz w:val="18"/>
                <w:szCs w:val="18"/>
              </w:rPr>
              <w:t>%</w:t>
            </w:r>
          </w:p>
        </w:tc>
        <w:tc>
          <w:tcPr>
            <w:tcW w:w="882" w:type="dxa"/>
            <w:vAlign w:val="center"/>
          </w:tcPr>
          <w:p w14:paraId="1700B1D7" w14:textId="02880356" w:rsidR="00D15A58" w:rsidRPr="00576207" w:rsidRDefault="00D15A58" w:rsidP="00D15A5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576207">
              <w:rPr>
                <w:rFonts w:ascii="Arial" w:hAnsi="Arial" w:cs="Arial"/>
                <w:bCs/>
                <w:color w:val="215868" w:themeColor="accent5" w:themeShade="80"/>
                <w:sz w:val="18"/>
                <w:szCs w:val="18"/>
              </w:rPr>
              <w:t>+</w:t>
            </w:r>
            <w:r>
              <w:rPr>
                <w:rFonts w:ascii="Arial" w:hAnsi="Arial" w:cs="Arial"/>
                <w:bCs/>
                <w:color w:val="215868" w:themeColor="accent5" w:themeShade="80"/>
                <w:sz w:val="18"/>
                <w:szCs w:val="18"/>
              </w:rPr>
              <w:t>3.8</w:t>
            </w:r>
            <w:r w:rsidRPr="00576207">
              <w:rPr>
                <w:rFonts w:ascii="Arial" w:hAnsi="Arial" w:cs="Arial"/>
                <w:bCs/>
                <w:color w:val="215868" w:themeColor="accent5" w:themeShade="80"/>
                <w:sz w:val="18"/>
                <w:szCs w:val="18"/>
              </w:rPr>
              <w:t>%</w:t>
            </w:r>
          </w:p>
        </w:tc>
      </w:tr>
    </w:tbl>
    <w:p w14:paraId="4C3D5977" w14:textId="3344B78D" w:rsidR="00CB1955" w:rsidRPr="0009337A" w:rsidRDefault="00CB1955" w:rsidP="00EC2806">
      <w:pPr>
        <w:pStyle w:val="NoSpacing"/>
        <w:rPr>
          <w:rFonts w:ascii="Arial" w:hAnsi="Arial" w:cs="Arial"/>
          <w:sz w:val="14"/>
          <w:szCs w:val="4"/>
        </w:rPr>
      </w:pPr>
    </w:p>
    <w:p w14:paraId="689E015F" w14:textId="77777777" w:rsidR="00EC2806" w:rsidRPr="00B35CE9" w:rsidRDefault="00EC2806" w:rsidP="00EC2806">
      <w:pPr>
        <w:pStyle w:val="NoSpacing"/>
        <w:rPr>
          <w:rFonts w:ascii="Arial" w:hAnsi="Arial" w:cs="Arial"/>
          <w:sz w:val="16"/>
          <w:szCs w:val="16"/>
        </w:rPr>
      </w:pPr>
      <w:r w:rsidRPr="00B35CE9">
        <w:rPr>
          <w:rFonts w:ascii="Arial" w:hAnsi="Arial" w:cs="Arial"/>
          <w:sz w:val="16"/>
          <w:szCs w:val="16"/>
        </w:rPr>
        <w:t>Source: Source:</w:t>
      </w:r>
      <w:r w:rsidR="007E5948">
        <w:rPr>
          <w:rFonts w:ascii="Arial" w:hAnsi="Arial" w:cs="Arial"/>
          <w:sz w:val="16"/>
          <w:szCs w:val="16"/>
        </w:rPr>
        <w:t xml:space="preserve"> IRI</w:t>
      </w:r>
      <w:r w:rsidR="00012355">
        <w:rPr>
          <w:rFonts w:ascii="Arial" w:hAnsi="Arial" w:cs="Arial"/>
          <w:sz w:val="16"/>
          <w:szCs w:val="16"/>
        </w:rPr>
        <w:t xml:space="preserve"> Integrated Fresh</w:t>
      </w:r>
      <w:r w:rsidR="007E5948">
        <w:rPr>
          <w:rFonts w:ascii="Arial" w:hAnsi="Arial" w:cs="Arial"/>
          <w:sz w:val="16"/>
          <w:szCs w:val="16"/>
        </w:rPr>
        <w:t xml:space="preserve">, Total U.S., MULO, </w:t>
      </w:r>
      <w:r w:rsidRPr="00B35CE9">
        <w:rPr>
          <w:rFonts w:ascii="Arial" w:hAnsi="Arial" w:cs="Arial"/>
          <w:sz w:val="16"/>
          <w:szCs w:val="16"/>
        </w:rPr>
        <w:t>% change vs. YA</w:t>
      </w:r>
    </w:p>
    <w:p w14:paraId="10A77CDF" w14:textId="77777777" w:rsidR="00F8382F" w:rsidRDefault="00F8382F" w:rsidP="00D77735">
      <w:pPr>
        <w:spacing w:after="0" w:line="240" w:lineRule="auto"/>
        <w:rPr>
          <w:rFonts w:ascii="Arial" w:hAnsi="Arial" w:cs="Arial"/>
          <w:b/>
          <w:color w:val="595959" w:themeColor="text1" w:themeTint="A6"/>
          <w:sz w:val="24"/>
          <w:szCs w:val="24"/>
        </w:rPr>
      </w:pPr>
    </w:p>
    <w:p w14:paraId="108C18A8" w14:textId="77777777" w:rsidR="009E5261" w:rsidRPr="001A4F53" w:rsidRDefault="009E5261" w:rsidP="009E5261">
      <w:pPr>
        <w:pStyle w:val="NoSpacing"/>
        <w:rPr>
          <w:rFonts w:ascii="Arial" w:hAnsi="Arial" w:cs="Arial"/>
          <w:b/>
          <w:color w:val="595959" w:themeColor="text1" w:themeTint="A6"/>
          <w:sz w:val="24"/>
          <w:szCs w:val="20"/>
        </w:rPr>
      </w:pPr>
      <w:r w:rsidRPr="005E2F61">
        <w:rPr>
          <w:rFonts w:ascii="Arial" w:hAnsi="Arial" w:cs="Arial"/>
          <w:b/>
          <w:color w:val="595959" w:themeColor="text1" w:themeTint="A6"/>
          <w:sz w:val="24"/>
          <w:szCs w:val="20"/>
        </w:rPr>
        <w:t>Absolute Dollar Gains</w:t>
      </w:r>
    </w:p>
    <w:p w14:paraId="699A961B" w14:textId="503031DA" w:rsidR="009E5261" w:rsidRPr="00B35CE9" w:rsidRDefault="009E5261" w:rsidP="009E5261">
      <w:pPr>
        <w:pStyle w:val="NoSpacing"/>
        <w:rPr>
          <w:rFonts w:ascii="Arial" w:hAnsi="Arial" w:cs="Arial"/>
          <w:sz w:val="20"/>
          <w:szCs w:val="20"/>
        </w:rPr>
      </w:pPr>
      <w:r>
        <w:rPr>
          <w:rFonts w:ascii="Arial" w:hAnsi="Arial" w:cs="Arial"/>
          <w:sz w:val="20"/>
          <w:szCs w:val="20"/>
        </w:rPr>
        <w:t>“</w:t>
      </w:r>
      <w:r w:rsidR="00E4420B">
        <w:rPr>
          <w:rFonts w:ascii="Arial" w:hAnsi="Arial" w:cs="Arial"/>
          <w:sz w:val="20"/>
          <w:szCs w:val="20"/>
        </w:rPr>
        <w:t xml:space="preserve">The top 10 </w:t>
      </w:r>
      <w:r w:rsidR="00A225C7">
        <w:rPr>
          <w:rFonts w:ascii="Arial" w:hAnsi="Arial" w:cs="Arial"/>
          <w:sz w:val="20"/>
          <w:szCs w:val="20"/>
        </w:rPr>
        <w:t xml:space="preserve">in absolute dollar gains </w:t>
      </w:r>
      <w:r w:rsidR="00E4420B">
        <w:rPr>
          <w:rFonts w:ascii="Arial" w:hAnsi="Arial" w:cs="Arial"/>
          <w:sz w:val="20"/>
          <w:szCs w:val="20"/>
        </w:rPr>
        <w:t>show</w:t>
      </w:r>
      <w:r w:rsidR="00A225C7">
        <w:rPr>
          <w:rFonts w:ascii="Arial" w:hAnsi="Arial" w:cs="Arial"/>
          <w:sz w:val="20"/>
          <w:szCs w:val="20"/>
        </w:rPr>
        <w:t>ed</w:t>
      </w:r>
      <w:r w:rsidR="00E4420B">
        <w:rPr>
          <w:rFonts w:ascii="Arial" w:hAnsi="Arial" w:cs="Arial"/>
          <w:sz w:val="20"/>
          <w:szCs w:val="20"/>
        </w:rPr>
        <w:t xml:space="preserve"> </w:t>
      </w:r>
      <w:r w:rsidR="00084469">
        <w:rPr>
          <w:rFonts w:ascii="Arial" w:hAnsi="Arial" w:cs="Arial"/>
          <w:sz w:val="20"/>
          <w:szCs w:val="20"/>
        </w:rPr>
        <w:t xml:space="preserve">both </w:t>
      </w:r>
      <w:r w:rsidR="00E4420B">
        <w:rPr>
          <w:rFonts w:ascii="Arial" w:hAnsi="Arial" w:cs="Arial"/>
          <w:sz w:val="20"/>
          <w:szCs w:val="20"/>
        </w:rPr>
        <w:t xml:space="preserve">small and large categories </w:t>
      </w:r>
      <w:r w:rsidR="001D5C1A">
        <w:rPr>
          <w:rFonts w:ascii="Arial" w:hAnsi="Arial" w:cs="Arial"/>
          <w:sz w:val="20"/>
          <w:szCs w:val="20"/>
        </w:rPr>
        <w:t>are important for department growth</w:t>
      </w:r>
      <w:r w:rsidR="004D26B3">
        <w:rPr>
          <w:rFonts w:ascii="Arial" w:hAnsi="Arial" w:cs="Arial"/>
          <w:sz w:val="20"/>
          <w:szCs w:val="20"/>
        </w:rPr>
        <w:t>,</w:t>
      </w:r>
      <w:r>
        <w:rPr>
          <w:rFonts w:ascii="Arial" w:hAnsi="Arial" w:cs="Arial"/>
          <w:sz w:val="20"/>
          <w:szCs w:val="20"/>
        </w:rPr>
        <w:t>”</w:t>
      </w:r>
      <w:r w:rsidR="004D26B3">
        <w:rPr>
          <w:rFonts w:ascii="Arial" w:hAnsi="Arial" w:cs="Arial"/>
          <w:sz w:val="20"/>
          <w:szCs w:val="20"/>
        </w:rPr>
        <w:t xml:space="preserve"> said </w:t>
      </w:r>
      <w:r w:rsidR="000D5031">
        <w:rPr>
          <w:rFonts w:ascii="Arial" w:hAnsi="Arial" w:cs="Arial"/>
          <w:sz w:val="20"/>
          <w:szCs w:val="20"/>
        </w:rPr>
        <w:t>Parker</w:t>
      </w:r>
      <w:r w:rsidR="004D26B3">
        <w:rPr>
          <w:rFonts w:ascii="Arial" w:hAnsi="Arial" w:cs="Arial"/>
          <w:sz w:val="20"/>
          <w:szCs w:val="20"/>
        </w:rPr>
        <w:t>. “</w:t>
      </w:r>
      <w:r w:rsidR="00A225C7">
        <w:rPr>
          <w:rFonts w:ascii="Arial" w:hAnsi="Arial" w:cs="Arial"/>
          <w:sz w:val="20"/>
          <w:szCs w:val="20"/>
        </w:rPr>
        <w:t xml:space="preserve">It is always interesting to keep an eye on some of the smaller sellers that manage to gain in a big way. </w:t>
      </w:r>
      <w:r w:rsidR="0047795F">
        <w:rPr>
          <w:rFonts w:ascii="Arial" w:hAnsi="Arial" w:cs="Arial"/>
          <w:sz w:val="20"/>
          <w:szCs w:val="20"/>
        </w:rPr>
        <w:t>This month,</w:t>
      </w:r>
      <w:r w:rsidR="0098003F">
        <w:rPr>
          <w:rFonts w:ascii="Arial" w:hAnsi="Arial" w:cs="Arial"/>
          <w:sz w:val="20"/>
          <w:szCs w:val="20"/>
        </w:rPr>
        <w:t xml:space="preserve"> that included mixed fruit and party trays — a clear sign that people were entertaining this month</w:t>
      </w:r>
      <w:r w:rsidR="000166DA">
        <w:rPr>
          <w:rFonts w:ascii="Arial" w:hAnsi="Arial" w:cs="Arial"/>
          <w:sz w:val="20"/>
          <w:szCs w:val="20"/>
        </w:rPr>
        <w:t>.</w:t>
      </w:r>
      <w:r w:rsidR="004D26B3">
        <w:rPr>
          <w:rFonts w:ascii="Arial" w:hAnsi="Arial" w:cs="Arial"/>
          <w:sz w:val="20"/>
          <w:szCs w:val="20"/>
        </w:rPr>
        <w:t>”</w:t>
      </w:r>
      <w:r w:rsidR="0039690E">
        <w:rPr>
          <w:rFonts w:ascii="Arial" w:hAnsi="Arial" w:cs="Arial"/>
          <w:sz w:val="20"/>
          <w:szCs w:val="20"/>
        </w:rPr>
        <w:t xml:space="preserve"> </w:t>
      </w:r>
      <w:r>
        <w:rPr>
          <w:rFonts w:ascii="Arial" w:hAnsi="Arial" w:cs="Arial"/>
          <w:sz w:val="20"/>
          <w:szCs w:val="20"/>
        </w:rPr>
        <w:t xml:space="preserve"> </w:t>
      </w:r>
    </w:p>
    <w:p w14:paraId="6A7D8909" w14:textId="77777777" w:rsidR="00470A5F" w:rsidRDefault="00470A5F" w:rsidP="009E5261">
      <w:pPr>
        <w:pStyle w:val="NoSpacing"/>
        <w:rPr>
          <w:rFonts w:ascii="Arial" w:hAnsi="Arial" w:cs="Arial"/>
          <w:sz w:val="10"/>
          <w:szCs w:val="10"/>
        </w:rPr>
      </w:pPr>
    </w:p>
    <w:p w14:paraId="6CFF0871" w14:textId="77777777" w:rsidR="00470A5F" w:rsidRPr="00E62AA9" w:rsidRDefault="00470A5F" w:rsidP="009E5261">
      <w:pPr>
        <w:pStyle w:val="NoSpacing"/>
        <w:rPr>
          <w:rFonts w:ascii="Arial" w:hAnsi="Arial" w:cs="Arial"/>
          <w:sz w:val="10"/>
          <w:szCs w:val="10"/>
        </w:rPr>
      </w:pPr>
    </w:p>
    <w:tbl>
      <w:tblPr>
        <w:tblStyle w:val="LightShading-Accent5"/>
        <w:tblW w:w="10638" w:type="dxa"/>
        <w:tblBorders>
          <w:top w:val="none" w:sz="0" w:space="0" w:color="auto"/>
          <w:bottom w:val="none" w:sz="0" w:space="0" w:color="auto"/>
        </w:tblBorders>
        <w:tblLook w:val="04A0" w:firstRow="1" w:lastRow="0" w:firstColumn="1" w:lastColumn="0" w:noHBand="0" w:noVBand="1"/>
      </w:tblPr>
      <w:tblGrid>
        <w:gridCol w:w="3510"/>
        <w:gridCol w:w="2410"/>
        <w:gridCol w:w="2693"/>
        <w:gridCol w:w="2025"/>
      </w:tblGrid>
      <w:tr w:rsidR="009E5261" w:rsidRPr="00764049" w14:paraId="470E405A" w14:textId="77777777" w:rsidTr="00AE2AA0">
        <w:trPr>
          <w:cnfStyle w:val="100000000000" w:firstRow="1" w:lastRow="0" w:firstColumn="0" w:lastColumn="0" w:oddVBand="0" w:evenVBand="0" w:oddHBand="0"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3510"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0EF3BFA7" w14:textId="77777777" w:rsidR="009E5261" w:rsidRPr="001A4F53" w:rsidRDefault="00B51D47" w:rsidP="00F103B9">
            <w:pPr>
              <w:pStyle w:val="NoSpacing"/>
              <w:rPr>
                <w:rFonts w:ascii="Arial" w:hAnsi="Arial" w:cs="Arial"/>
                <w:color w:val="FFFFFF" w:themeColor="background1"/>
                <w:sz w:val="18"/>
                <w:szCs w:val="18"/>
              </w:rPr>
            </w:pPr>
            <w:r>
              <w:rPr>
                <w:rFonts w:ascii="Arial" w:hAnsi="Arial" w:cs="Arial"/>
                <w:color w:val="FFFFFF" w:themeColor="background1"/>
                <w:sz w:val="18"/>
                <w:szCs w:val="18"/>
              </w:rPr>
              <w:t>Novem</w:t>
            </w:r>
            <w:r w:rsidR="00470A5F">
              <w:rPr>
                <w:rFonts w:ascii="Arial" w:hAnsi="Arial" w:cs="Arial"/>
                <w:color w:val="FFFFFF" w:themeColor="background1"/>
                <w:sz w:val="18"/>
                <w:szCs w:val="18"/>
              </w:rPr>
              <w:t>ber</w:t>
            </w:r>
            <w:r w:rsidR="009E5261">
              <w:rPr>
                <w:rFonts w:ascii="Arial" w:hAnsi="Arial" w:cs="Arial"/>
                <w:color w:val="FFFFFF" w:themeColor="background1"/>
                <w:sz w:val="18"/>
                <w:szCs w:val="18"/>
              </w:rPr>
              <w:t xml:space="preserve"> 2021</w:t>
            </w:r>
          </w:p>
        </w:tc>
        <w:tc>
          <w:tcPr>
            <w:tcW w:w="7128" w:type="dxa"/>
            <w:gridSpan w:val="3"/>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380C3306" w14:textId="77777777" w:rsidR="009E5261" w:rsidRPr="001A4F53" w:rsidRDefault="009E5261" w:rsidP="00F103B9">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Pr>
                <w:rFonts w:ascii="Arial" w:hAnsi="Arial" w:cs="Arial"/>
                <w:color w:val="FFFFFF" w:themeColor="background1"/>
                <w:sz w:val="18"/>
                <w:szCs w:val="18"/>
              </w:rPr>
              <w:t>Versus comparable period</w:t>
            </w:r>
            <w:r w:rsidRPr="001A4F53">
              <w:rPr>
                <w:rFonts w:ascii="Arial" w:hAnsi="Arial" w:cs="Arial"/>
                <w:color w:val="FFFFFF" w:themeColor="background1"/>
                <w:sz w:val="18"/>
                <w:szCs w:val="18"/>
              </w:rPr>
              <w:t xml:space="preserve"> in 20</w:t>
            </w:r>
            <w:r>
              <w:rPr>
                <w:rFonts w:ascii="Arial" w:hAnsi="Arial" w:cs="Arial"/>
                <w:color w:val="FFFFFF" w:themeColor="background1"/>
                <w:sz w:val="18"/>
                <w:szCs w:val="18"/>
              </w:rPr>
              <w:t>20</w:t>
            </w:r>
          </w:p>
        </w:tc>
      </w:tr>
      <w:tr w:rsidR="009E5261" w:rsidRPr="00764049" w14:paraId="00941DF7" w14:textId="77777777" w:rsidTr="00AE2AA0">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3510" w:type="dxa"/>
            <w:tcBorders>
              <w:left w:val="none" w:sz="0" w:space="0" w:color="auto"/>
              <w:right w:val="none" w:sz="0" w:space="0" w:color="auto"/>
            </w:tcBorders>
            <w:shd w:val="clear" w:color="auto" w:fill="17365D" w:themeFill="text2" w:themeFillShade="BF"/>
            <w:vAlign w:val="center"/>
          </w:tcPr>
          <w:p w14:paraId="08C78800" w14:textId="77777777" w:rsidR="009E5261" w:rsidRPr="001A4F53" w:rsidRDefault="009E5261" w:rsidP="00F103B9">
            <w:pPr>
              <w:pStyle w:val="NoSpacing"/>
              <w:rPr>
                <w:rFonts w:ascii="Arial" w:hAnsi="Arial" w:cs="Arial"/>
                <w:color w:val="FFFFFF" w:themeColor="background1"/>
                <w:sz w:val="18"/>
                <w:szCs w:val="18"/>
              </w:rPr>
            </w:pPr>
            <w:r w:rsidRPr="001A4F53">
              <w:rPr>
                <w:rFonts w:ascii="Arial" w:hAnsi="Arial" w:cs="Arial"/>
                <w:color w:val="FFFFFF" w:themeColor="background1"/>
                <w:sz w:val="18"/>
                <w:szCs w:val="18"/>
              </w:rPr>
              <w:t xml:space="preserve">Top 10 produce items in absolute dollar growth </w:t>
            </w:r>
          </w:p>
        </w:tc>
        <w:tc>
          <w:tcPr>
            <w:tcW w:w="2410" w:type="dxa"/>
            <w:tcBorders>
              <w:left w:val="none" w:sz="0" w:space="0" w:color="auto"/>
              <w:right w:val="none" w:sz="0" w:space="0" w:color="auto"/>
            </w:tcBorders>
            <w:shd w:val="clear" w:color="auto" w:fill="17365D" w:themeFill="text2" w:themeFillShade="BF"/>
            <w:vAlign w:val="center"/>
          </w:tcPr>
          <w:p w14:paraId="69B93087" w14:textId="77777777" w:rsidR="009E5261" w:rsidRPr="001A4F53" w:rsidRDefault="009E5261" w:rsidP="00F103B9">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sidRPr="001A4F53">
              <w:rPr>
                <w:rFonts w:ascii="Arial" w:hAnsi="Arial" w:cs="Arial"/>
                <w:b/>
                <w:color w:val="FFFFFF" w:themeColor="background1"/>
                <w:sz w:val="18"/>
                <w:szCs w:val="18"/>
              </w:rPr>
              <w:t xml:space="preserve">Absolute dollar gain </w:t>
            </w:r>
          </w:p>
        </w:tc>
        <w:tc>
          <w:tcPr>
            <w:tcW w:w="2693" w:type="dxa"/>
            <w:tcBorders>
              <w:left w:val="none" w:sz="0" w:space="0" w:color="auto"/>
              <w:right w:val="none" w:sz="0" w:space="0" w:color="auto"/>
            </w:tcBorders>
            <w:shd w:val="clear" w:color="auto" w:fill="17365D" w:themeFill="text2" w:themeFillShade="BF"/>
            <w:vAlign w:val="center"/>
          </w:tcPr>
          <w:p w14:paraId="0087A4A8" w14:textId="77777777" w:rsidR="009E5261" w:rsidRPr="001A4F53" w:rsidRDefault="009E5261" w:rsidP="00F103B9">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sidRPr="001A4F53">
              <w:rPr>
                <w:rFonts w:ascii="Arial" w:hAnsi="Arial" w:cs="Arial"/>
                <w:b/>
                <w:color w:val="FFFFFF" w:themeColor="background1"/>
                <w:sz w:val="18"/>
                <w:szCs w:val="18"/>
              </w:rPr>
              <w:t xml:space="preserve">Dollar % </w:t>
            </w:r>
            <w:r>
              <w:rPr>
                <w:rFonts w:ascii="Arial" w:hAnsi="Arial" w:cs="Arial"/>
                <w:b/>
                <w:color w:val="FFFFFF" w:themeColor="background1"/>
                <w:sz w:val="18"/>
                <w:szCs w:val="18"/>
              </w:rPr>
              <w:t>growth</w:t>
            </w:r>
          </w:p>
        </w:tc>
        <w:tc>
          <w:tcPr>
            <w:tcW w:w="2025" w:type="dxa"/>
            <w:tcBorders>
              <w:left w:val="none" w:sz="0" w:space="0" w:color="auto"/>
              <w:right w:val="none" w:sz="0" w:space="0" w:color="auto"/>
            </w:tcBorders>
            <w:shd w:val="clear" w:color="auto" w:fill="17365D" w:themeFill="text2" w:themeFillShade="BF"/>
            <w:vAlign w:val="center"/>
          </w:tcPr>
          <w:p w14:paraId="6EC46CF0" w14:textId="77777777" w:rsidR="009E5261" w:rsidRPr="001A4F53" w:rsidRDefault="009E5261" w:rsidP="00F103B9">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sidRPr="001A4F53">
              <w:rPr>
                <w:rFonts w:ascii="Arial" w:hAnsi="Arial" w:cs="Arial"/>
                <w:b/>
                <w:color w:val="FFFFFF" w:themeColor="background1"/>
                <w:sz w:val="18"/>
                <w:szCs w:val="18"/>
              </w:rPr>
              <w:t>Total dollar sales</w:t>
            </w:r>
          </w:p>
        </w:tc>
      </w:tr>
      <w:tr w:rsidR="009E5261" w:rsidRPr="0039690E" w14:paraId="177DE8CF" w14:textId="77777777" w:rsidTr="000166DA">
        <w:trPr>
          <w:trHeight w:val="232"/>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4D4E459A" w14:textId="77777777" w:rsidR="009E5261" w:rsidRPr="0039690E" w:rsidRDefault="00A225C7" w:rsidP="000166DA">
            <w:pPr>
              <w:jc w:val="right"/>
              <w:rPr>
                <w:rFonts w:ascii="Arial" w:hAnsi="Arial" w:cs="Arial"/>
                <w:b w:val="0"/>
                <w:color w:val="215868" w:themeColor="accent5" w:themeShade="80"/>
                <w:sz w:val="18"/>
                <w:szCs w:val="18"/>
              </w:rPr>
            </w:pPr>
            <w:r>
              <w:rPr>
                <w:rFonts w:ascii="Arial" w:hAnsi="Arial" w:cs="Arial"/>
                <w:b w:val="0"/>
                <w:color w:val="215868" w:themeColor="accent5" w:themeShade="80"/>
                <w:sz w:val="18"/>
                <w:szCs w:val="18"/>
              </w:rPr>
              <w:t>Berries</w:t>
            </w:r>
          </w:p>
        </w:tc>
        <w:tc>
          <w:tcPr>
            <w:tcW w:w="2410" w:type="dxa"/>
            <w:vAlign w:val="center"/>
          </w:tcPr>
          <w:p w14:paraId="4ED0F99D" w14:textId="2333A93F" w:rsidR="009E5261" w:rsidRPr="0039690E" w:rsidRDefault="00B51D47" w:rsidP="000166D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47795F">
              <w:rPr>
                <w:rFonts w:ascii="Arial" w:hAnsi="Arial" w:cs="Arial"/>
                <w:color w:val="215868" w:themeColor="accent5" w:themeShade="80"/>
                <w:sz w:val="18"/>
                <w:szCs w:val="18"/>
              </w:rPr>
              <w:t>59.3</w:t>
            </w:r>
            <w:r>
              <w:rPr>
                <w:rFonts w:ascii="Arial" w:hAnsi="Arial" w:cs="Arial"/>
                <w:color w:val="215868" w:themeColor="accent5" w:themeShade="80"/>
                <w:sz w:val="18"/>
                <w:szCs w:val="18"/>
              </w:rPr>
              <w:t>$</w:t>
            </w:r>
            <w:r w:rsidR="009E5261" w:rsidRPr="0039690E">
              <w:rPr>
                <w:rFonts w:ascii="Arial" w:hAnsi="Arial" w:cs="Arial"/>
                <w:color w:val="215868" w:themeColor="accent5" w:themeShade="80"/>
                <w:sz w:val="18"/>
                <w:szCs w:val="18"/>
              </w:rPr>
              <w:t>M</w:t>
            </w:r>
          </w:p>
        </w:tc>
        <w:tc>
          <w:tcPr>
            <w:tcW w:w="2693" w:type="dxa"/>
            <w:vAlign w:val="center"/>
          </w:tcPr>
          <w:p w14:paraId="4204EB14" w14:textId="6146BF89" w:rsidR="009E5261" w:rsidRPr="0039690E" w:rsidRDefault="009E5261" w:rsidP="000166D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39690E">
              <w:rPr>
                <w:rFonts w:ascii="Arial" w:hAnsi="Arial" w:cs="Arial"/>
                <w:color w:val="215868" w:themeColor="accent5" w:themeShade="80"/>
                <w:sz w:val="18"/>
                <w:szCs w:val="18"/>
              </w:rPr>
              <w:t>+</w:t>
            </w:r>
            <w:r w:rsidR="0047795F">
              <w:rPr>
                <w:rFonts w:ascii="Arial" w:hAnsi="Arial" w:cs="Arial"/>
                <w:color w:val="215868" w:themeColor="accent5" w:themeShade="80"/>
                <w:sz w:val="18"/>
                <w:szCs w:val="18"/>
              </w:rPr>
              <w:t>12.0</w:t>
            </w:r>
            <w:r w:rsidRPr="0039690E">
              <w:rPr>
                <w:rFonts w:ascii="Arial" w:hAnsi="Arial" w:cs="Arial"/>
                <w:color w:val="215868" w:themeColor="accent5" w:themeShade="80"/>
                <w:sz w:val="18"/>
                <w:szCs w:val="18"/>
              </w:rPr>
              <w:t>%</w:t>
            </w:r>
          </w:p>
        </w:tc>
        <w:tc>
          <w:tcPr>
            <w:tcW w:w="2025" w:type="dxa"/>
            <w:vAlign w:val="center"/>
          </w:tcPr>
          <w:p w14:paraId="51BB3F72" w14:textId="0FA2448A" w:rsidR="009E5261" w:rsidRPr="0039690E" w:rsidRDefault="009E5261" w:rsidP="000166D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39690E">
              <w:rPr>
                <w:rFonts w:ascii="Arial" w:hAnsi="Arial" w:cs="Arial"/>
                <w:color w:val="215868" w:themeColor="accent5" w:themeShade="80"/>
                <w:sz w:val="18"/>
                <w:szCs w:val="18"/>
              </w:rPr>
              <w:t>$</w:t>
            </w:r>
            <w:r w:rsidR="0047795F">
              <w:rPr>
                <w:rFonts w:ascii="Arial" w:hAnsi="Arial" w:cs="Arial"/>
                <w:color w:val="215868" w:themeColor="accent5" w:themeShade="80"/>
                <w:sz w:val="18"/>
                <w:szCs w:val="18"/>
              </w:rPr>
              <w:t>555</w:t>
            </w:r>
            <w:r w:rsidRPr="0039690E">
              <w:rPr>
                <w:rFonts w:ascii="Arial" w:hAnsi="Arial" w:cs="Arial"/>
                <w:color w:val="215868" w:themeColor="accent5" w:themeShade="80"/>
                <w:sz w:val="18"/>
                <w:szCs w:val="18"/>
              </w:rPr>
              <w:t>M</w:t>
            </w:r>
          </w:p>
        </w:tc>
      </w:tr>
      <w:tr w:rsidR="008D0296" w:rsidRPr="0039690E" w14:paraId="7F72A5F0" w14:textId="77777777" w:rsidTr="00046C74">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5297AAB8" w14:textId="26BB6F44" w:rsidR="008D0296" w:rsidRPr="0039690E" w:rsidRDefault="0047795F" w:rsidP="00046C74">
            <w:pPr>
              <w:jc w:val="right"/>
              <w:rPr>
                <w:rFonts w:ascii="Arial" w:hAnsi="Arial" w:cs="Arial"/>
                <w:b w:val="0"/>
                <w:color w:val="215868" w:themeColor="accent5" w:themeShade="80"/>
                <w:sz w:val="18"/>
                <w:szCs w:val="18"/>
              </w:rPr>
            </w:pPr>
            <w:r>
              <w:rPr>
                <w:rFonts w:ascii="Arial" w:hAnsi="Arial" w:cs="Arial"/>
                <w:b w:val="0"/>
                <w:color w:val="215868" w:themeColor="accent5" w:themeShade="80"/>
                <w:sz w:val="18"/>
                <w:szCs w:val="18"/>
              </w:rPr>
              <w:t>Grapes</w:t>
            </w:r>
          </w:p>
        </w:tc>
        <w:tc>
          <w:tcPr>
            <w:tcW w:w="2410" w:type="dxa"/>
          </w:tcPr>
          <w:p w14:paraId="1F7D31FB" w14:textId="74DB5703" w:rsidR="008D0296" w:rsidRDefault="008D0296" w:rsidP="00046C74">
            <w:pPr>
              <w:jc w:val="right"/>
              <w:cnfStyle w:val="000000100000" w:firstRow="0" w:lastRow="0" w:firstColumn="0" w:lastColumn="0" w:oddVBand="0" w:evenVBand="0" w:oddHBand="1" w:evenHBand="0" w:firstRowFirstColumn="0" w:firstRowLastColumn="0" w:lastRowFirstColumn="0" w:lastRowLastColumn="0"/>
            </w:pPr>
            <w:r w:rsidRPr="00147B08">
              <w:rPr>
                <w:rFonts w:ascii="Arial" w:hAnsi="Arial" w:cs="Arial"/>
                <w:color w:val="215868" w:themeColor="accent5" w:themeShade="80"/>
                <w:sz w:val="18"/>
                <w:szCs w:val="18"/>
              </w:rPr>
              <w:t>+</w:t>
            </w:r>
            <w:r w:rsidR="0047795F">
              <w:rPr>
                <w:rFonts w:ascii="Arial" w:hAnsi="Arial" w:cs="Arial"/>
                <w:color w:val="215868" w:themeColor="accent5" w:themeShade="80"/>
                <w:sz w:val="18"/>
                <w:szCs w:val="18"/>
              </w:rPr>
              <w:t>27.8</w:t>
            </w:r>
            <w:r w:rsidRPr="00147B08">
              <w:rPr>
                <w:rFonts w:ascii="Arial" w:hAnsi="Arial" w:cs="Arial"/>
                <w:color w:val="215868" w:themeColor="accent5" w:themeShade="80"/>
                <w:sz w:val="18"/>
                <w:szCs w:val="18"/>
              </w:rPr>
              <w:t>$M</w:t>
            </w:r>
          </w:p>
        </w:tc>
        <w:tc>
          <w:tcPr>
            <w:tcW w:w="2693" w:type="dxa"/>
          </w:tcPr>
          <w:p w14:paraId="20F33B8F" w14:textId="2A00F560" w:rsidR="008D0296" w:rsidRDefault="008D0296" w:rsidP="00046C74">
            <w:pPr>
              <w:jc w:val="right"/>
              <w:cnfStyle w:val="000000100000" w:firstRow="0" w:lastRow="0" w:firstColumn="0" w:lastColumn="0" w:oddVBand="0" w:evenVBand="0" w:oddHBand="1" w:evenHBand="0" w:firstRowFirstColumn="0" w:firstRowLastColumn="0" w:lastRowFirstColumn="0" w:lastRowLastColumn="0"/>
            </w:pPr>
            <w:r w:rsidRPr="007B7755">
              <w:rPr>
                <w:rFonts w:ascii="Arial" w:hAnsi="Arial" w:cs="Arial"/>
                <w:color w:val="215868" w:themeColor="accent5" w:themeShade="80"/>
                <w:sz w:val="18"/>
                <w:szCs w:val="18"/>
              </w:rPr>
              <w:t>+</w:t>
            </w:r>
            <w:r w:rsidR="0047795F">
              <w:rPr>
                <w:rFonts w:ascii="Arial" w:hAnsi="Arial" w:cs="Arial"/>
                <w:color w:val="215868" w:themeColor="accent5" w:themeShade="80"/>
                <w:sz w:val="18"/>
                <w:szCs w:val="18"/>
              </w:rPr>
              <w:t>10.6</w:t>
            </w:r>
            <w:r w:rsidRPr="007B7755">
              <w:rPr>
                <w:rFonts w:ascii="Arial" w:hAnsi="Arial" w:cs="Arial"/>
                <w:color w:val="215868" w:themeColor="accent5" w:themeShade="80"/>
                <w:sz w:val="18"/>
                <w:szCs w:val="18"/>
              </w:rPr>
              <w:t>%</w:t>
            </w:r>
          </w:p>
        </w:tc>
        <w:tc>
          <w:tcPr>
            <w:tcW w:w="2025" w:type="dxa"/>
          </w:tcPr>
          <w:p w14:paraId="2E409A77" w14:textId="4501E967" w:rsidR="008D0296" w:rsidRDefault="008D0296" w:rsidP="00046C74">
            <w:pPr>
              <w:jc w:val="right"/>
              <w:cnfStyle w:val="000000100000" w:firstRow="0" w:lastRow="0" w:firstColumn="0" w:lastColumn="0" w:oddVBand="0" w:evenVBand="0" w:oddHBand="1" w:evenHBand="0" w:firstRowFirstColumn="0" w:firstRowLastColumn="0" w:lastRowFirstColumn="0" w:lastRowLastColumn="0"/>
            </w:pPr>
            <w:r w:rsidRPr="00617C40">
              <w:rPr>
                <w:rFonts w:ascii="Arial" w:hAnsi="Arial" w:cs="Arial"/>
                <w:color w:val="215868" w:themeColor="accent5" w:themeShade="80"/>
                <w:sz w:val="18"/>
                <w:szCs w:val="18"/>
              </w:rPr>
              <w:t>$</w:t>
            </w:r>
            <w:r w:rsidR="0047795F">
              <w:rPr>
                <w:rFonts w:ascii="Arial" w:hAnsi="Arial" w:cs="Arial"/>
                <w:color w:val="215868" w:themeColor="accent5" w:themeShade="80"/>
                <w:sz w:val="18"/>
                <w:szCs w:val="18"/>
              </w:rPr>
              <w:t>290</w:t>
            </w:r>
            <w:r w:rsidRPr="00617C40">
              <w:rPr>
                <w:rFonts w:ascii="Arial" w:hAnsi="Arial" w:cs="Arial"/>
                <w:color w:val="215868" w:themeColor="accent5" w:themeShade="80"/>
                <w:sz w:val="18"/>
                <w:szCs w:val="18"/>
              </w:rPr>
              <w:t>M</w:t>
            </w:r>
          </w:p>
        </w:tc>
      </w:tr>
      <w:tr w:rsidR="00B51D47" w:rsidRPr="0039690E" w14:paraId="0CACE1E5" w14:textId="77777777" w:rsidTr="00D97A8E">
        <w:trPr>
          <w:trHeight w:val="232"/>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5459125B" w14:textId="16FD5345" w:rsidR="00B51D47" w:rsidRPr="0039690E" w:rsidRDefault="0047795F" w:rsidP="000166DA">
            <w:pPr>
              <w:jc w:val="right"/>
              <w:rPr>
                <w:rFonts w:ascii="Arial" w:hAnsi="Arial" w:cs="Arial"/>
                <w:b w:val="0"/>
                <w:color w:val="215868" w:themeColor="accent5" w:themeShade="80"/>
                <w:sz w:val="18"/>
                <w:szCs w:val="18"/>
              </w:rPr>
            </w:pPr>
            <w:r>
              <w:rPr>
                <w:rFonts w:ascii="Arial" w:hAnsi="Arial" w:cs="Arial"/>
                <w:b w:val="0"/>
                <w:color w:val="215868" w:themeColor="accent5" w:themeShade="80"/>
                <w:sz w:val="18"/>
                <w:szCs w:val="18"/>
              </w:rPr>
              <w:t>Apples</w:t>
            </w:r>
          </w:p>
        </w:tc>
        <w:tc>
          <w:tcPr>
            <w:tcW w:w="2410" w:type="dxa"/>
          </w:tcPr>
          <w:p w14:paraId="78221FFF" w14:textId="36AE1A0B" w:rsidR="00B51D47" w:rsidRDefault="00B51D47" w:rsidP="00B51D47">
            <w:pPr>
              <w:jc w:val="right"/>
              <w:cnfStyle w:val="000000000000" w:firstRow="0" w:lastRow="0" w:firstColumn="0" w:lastColumn="0" w:oddVBand="0" w:evenVBand="0" w:oddHBand="0" w:evenHBand="0" w:firstRowFirstColumn="0" w:firstRowLastColumn="0" w:lastRowFirstColumn="0" w:lastRowLastColumn="0"/>
            </w:pPr>
            <w:r w:rsidRPr="00147B08">
              <w:rPr>
                <w:rFonts w:ascii="Arial" w:hAnsi="Arial" w:cs="Arial"/>
                <w:color w:val="215868" w:themeColor="accent5" w:themeShade="80"/>
                <w:sz w:val="18"/>
                <w:szCs w:val="18"/>
              </w:rPr>
              <w:t>+</w:t>
            </w:r>
            <w:r w:rsidR="0047795F">
              <w:rPr>
                <w:rFonts w:ascii="Arial" w:hAnsi="Arial" w:cs="Arial"/>
                <w:color w:val="215868" w:themeColor="accent5" w:themeShade="80"/>
                <w:sz w:val="18"/>
                <w:szCs w:val="18"/>
              </w:rPr>
              <w:t>22.6</w:t>
            </w:r>
            <w:r w:rsidRPr="00147B08">
              <w:rPr>
                <w:rFonts w:ascii="Arial" w:hAnsi="Arial" w:cs="Arial"/>
                <w:color w:val="215868" w:themeColor="accent5" w:themeShade="80"/>
                <w:sz w:val="18"/>
                <w:szCs w:val="18"/>
              </w:rPr>
              <w:t>$M</w:t>
            </w:r>
          </w:p>
        </w:tc>
        <w:tc>
          <w:tcPr>
            <w:tcW w:w="2693" w:type="dxa"/>
          </w:tcPr>
          <w:p w14:paraId="50326BE7" w14:textId="0459A138" w:rsidR="00B51D47" w:rsidRDefault="00B51D47" w:rsidP="00B51D47">
            <w:pPr>
              <w:jc w:val="right"/>
              <w:cnfStyle w:val="000000000000" w:firstRow="0" w:lastRow="0" w:firstColumn="0" w:lastColumn="0" w:oddVBand="0" w:evenVBand="0" w:oddHBand="0" w:evenHBand="0" w:firstRowFirstColumn="0" w:firstRowLastColumn="0" w:lastRowFirstColumn="0" w:lastRowLastColumn="0"/>
            </w:pPr>
            <w:r w:rsidRPr="007B7755">
              <w:rPr>
                <w:rFonts w:ascii="Arial" w:hAnsi="Arial" w:cs="Arial"/>
                <w:color w:val="215868" w:themeColor="accent5" w:themeShade="80"/>
                <w:sz w:val="18"/>
                <w:szCs w:val="18"/>
              </w:rPr>
              <w:t>+</w:t>
            </w:r>
            <w:r w:rsidR="0047795F">
              <w:rPr>
                <w:rFonts w:ascii="Arial" w:hAnsi="Arial" w:cs="Arial"/>
                <w:color w:val="215868" w:themeColor="accent5" w:themeShade="80"/>
                <w:sz w:val="18"/>
                <w:szCs w:val="18"/>
              </w:rPr>
              <w:t>6.7</w:t>
            </w:r>
            <w:r w:rsidRPr="007B7755">
              <w:rPr>
                <w:rFonts w:ascii="Arial" w:hAnsi="Arial" w:cs="Arial"/>
                <w:color w:val="215868" w:themeColor="accent5" w:themeShade="80"/>
                <w:sz w:val="18"/>
                <w:szCs w:val="18"/>
              </w:rPr>
              <w:t>%</w:t>
            </w:r>
          </w:p>
        </w:tc>
        <w:tc>
          <w:tcPr>
            <w:tcW w:w="2025" w:type="dxa"/>
          </w:tcPr>
          <w:p w14:paraId="396256E8" w14:textId="14BA2107" w:rsidR="00B51D47" w:rsidRDefault="00B51D47" w:rsidP="00B51D47">
            <w:pPr>
              <w:jc w:val="right"/>
              <w:cnfStyle w:val="000000000000" w:firstRow="0" w:lastRow="0" w:firstColumn="0" w:lastColumn="0" w:oddVBand="0" w:evenVBand="0" w:oddHBand="0" w:evenHBand="0" w:firstRowFirstColumn="0" w:firstRowLastColumn="0" w:lastRowFirstColumn="0" w:lastRowLastColumn="0"/>
            </w:pPr>
            <w:r w:rsidRPr="00617C40">
              <w:rPr>
                <w:rFonts w:ascii="Arial" w:hAnsi="Arial" w:cs="Arial"/>
                <w:color w:val="215868" w:themeColor="accent5" w:themeShade="80"/>
                <w:sz w:val="18"/>
                <w:szCs w:val="18"/>
              </w:rPr>
              <w:t>$</w:t>
            </w:r>
            <w:r w:rsidR="0047795F">
              <w:rPr>
                <w:rFonts w:ascii="Arial" w:hAnsi="Arial" w:cs="Arial"/>
                <w:color w:val="215868" w:themeColor="accent5" w:themeShade="80"/>
                <w:sz w:val="18"/>
                <w:szCs w:val="18"/>
              </w:rPr>
              <w:t>361</w:t>
            </w:r>
            <w:r w:rsidRPr="00617C40">
              <w:rPr>
                <w:rFonts w:ascii="Arial" w:hAnsi="Arial" w:cs="Arial"/>
                <w:color w:val="215868" w:themeColor="accent5" w:themeShade="80"/>
                <w:sz w:val="18"/>
                <w:szCs w:val="18"/>
              </w:rPr>
              <w:t>M</w:t>
            </w:r>
          </w:p>
        </w:tc>
      </w:tr>
      <w:tr w:rsidR="00B51D47" w:rsidRPr="0039690E" w14:paraId="4DDEA180" w14:textId="77777777" w:rsidTr="00D819E5">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5F62B8F9" w14:textId="6524A315" w:rsidR="00B51D47" w:rsidRPr="0039690E" w:rsidRDefault="0047795F" w:rsidP="000166DA">
            <w:pPr>
              <w:jc w:val="right"/>
              <w:rPr>
                <w:rFonts w:ascii="Arial" w:hAnsi="Arial" w:cs="Arial"/>
                <w:b w:val="0"/>
                <w:color w:val="215868" w:themeColor="accent5" w:themeShade="80"/>
                <w:sz w:val="18"/>
                <w:szCs w:val="18"/>
              </w:rPr>
            </w:pPr>
            <w:r>
              <w:rPr>
                <w:rFonts w:ascii="Arial" w:hAnsi="Arial" w:cs="Arial"/>
                <w:b w:val="0"/>
                <w:color w:val="215868" w:themeColor="accent5" w:themeShade="80"/>
                <w:sz w:val="18"/>
                <w:szCs w:val="18"/>
              </w:rPr>
              <w:t>Melons</w:t>
            </w:r>
          </w:p>
        </w:tc>
        <w:tc>
          <w:tcPr>
            <w:tcW w:w="2410" w:type="dxa"/>
          </w:tcPr>
          <w:p w14:paraId="695F1DCB" w14:textId="28EB7EDE" w:rsidR="00B51D47" w:rsidRDefault="00B51D47" w:rsidP="00B51D47">
            <w:pPr>
              <w:jc w:val="right"/>
              <w:cnfStyle w:val="000000100000" w:firstRow="0" w:lastRow="0" w:firstColumn="0" w:lastColumn="0" w:oddVBand="0" w:evenVBand="0" w:oddHBand="1" w:evenHBand="0" w:firstRowFirstColumn="0" w:firstRowLastColumn="0" w:lastRowFirstColumn="0" w:lastRowLastColumn="0"/>
            </w:pPr>
            <w:r w:rsidRPr="00147B08">
              <w:rPr>
                <w:rFonts w:ascii="Arial" w:hAnsi="Arial" w:cs="Arial"/>
                <w:color w:val="215868" w:themeColor="accent5" w:themeShade="80"/>
                <w:sz w:val="18"/>
                <w:szCs w:val="18"/>
              </w:rPr>
              <w:t>+</w:t>
            </w:r>
            <w:r w:rsidR="0047795F">
              <w:rPr>
                <w:rFonts w:ascii="Arial" w:hAnsi="Arial" w:cs="Arial"/>
                <w:color w:val="215868" w:themeColor="accent5" w:themeShade="80"/>
                <w:sz w:val="18"/>
                <w:szCs w:val="18"/>
              </w:rPr>
              <w:t>21.0</w:t>
            </w:r>
            <w:r w:rsidRPr="00147B08">
              <w:rPr>
                <w:rFonts w:ascii="Arial" w:hAnsi="Arial" w:cs="Arial"/>
                <w:color w:val="215868" w:themeColor="accent5" w:themeShade="80"/>
                <w:sz w:val="18"/>
                <w:szCs w:val="18"/>
              </w:rPr>
              <w:t>$M</w:t>
            </w:r>
          </w:p>
        </w:tc>
        <w:tc>
          <w:tcPr>
            <w:tcW w:w="2693" w:type="dxa"/>
          </w:tcPr>
          <w:p w14:paraId="0106DFD3" w14:textId="219A6C71" w:rsidR="00B51D47" w:rsidRDefault="00B51D47" w:rsidP="00B51D47">
            <w:pPr>
              <w:jc w:val="right"/>
              <w:cnfStyle w:val="000000100000" w:firstRow="0" w:lastRow="0" w:firstColumn="0" w:lastColumn="0" w:oddVBand="0" w:evenVBand="0" w:oddHBand="1" w:evenHBand="0" w:firstRowFirstColumn="0" w:firstRowLastColumn="0" w:lastRowFirstColumn="0" w:lastRowLastColumn="0"/>
            </w:pPr>
            <w:r w:rsidRPr="007B7755">
              <w:rPr>
                <w:rFonts w:ascii="Arial" w:hAnsi="Arial" w:cs="Arial"/>
                <w:color w:val="215868" w:themeColor="accent5" w:themeShade="80"/>
                <w:sz w:val="18"/>
                <w:szCs w:val="18"/>
              </w:rPr>
              <w:t>+</w:t>
            </w:r>
            <w:r w:rsidR="0047795F">
              <w:rPr>
                <w:rFonts w:ascii="Arial" w:hAnsi="Arial" w:cs="Arial"/>
                <w:color w:val="215868" w:themeColor="accent5" w:themeShade="80"/>
                <w:sz w:val="18"/>
                <w:szCs w:val="18"/>
              </w:rPr>
              <w:t>19.4</w:t>
            </w:r>
            <w:r w:rsidRPr="007B7755">
              <w:rPr>
                <w:rFonts w:ascii="Arial" w:hAnsi="Arial" w:cs="Arial"/>
                <w:color w:val="215868" w:themeColor="accent5" w:themeShade="80"/>
                <w:sz w:val="18"/>
                <w:szCs w:val="18"/>
              </w:rPr>
              <w:t>%</w:t>
            </w:r>
          </w:p>
        </w:tc>
        <w:tc>
          <w:tcPr>
            <w:tcW w:w="2025" w:type="dxa"/>
          </w:tcPr>
          <w:p w14:paraId="7FC5446A" w14:textId="3065A404" w:rsidR="00B51D47" w:rsidRDefault="00B51D47" w:rsidP="00B51D47">
            <w:pPr>
              <w:jc w:val="right"/>
              <w:cnfStyle w:val="000000100000" w:firstRow="0" w:lastRow="0" w:firstColumn="0" w:lastColumn="0" w:oddVBand="0" w:evenVBand="0" w:oddHBand="1" w:evenHBand="0" w:firstRowFirstColumn="0" w:firstRowLastColumn="0" w:lastRowFirstColumn="0" w:lastRowLastColumn="0"/>
            </w:pPr>
            <w:r w:rsidRPr="00617C40">
              <w:rPr>
                <w:rFonts w:ascii="Arial" w:hAnsi="Arial" w:cs="Arial"/>
                <w:color w:val="215868" w:themeColor="accent5" w:themeShade="80"/>
                <w:sz w:val="18"/>
                <w:szCs w:val="18"/>
              </w:rPr>
              <w:t>$</w:t>
            </w:r>
            <w:r w:rsidR="0047795F">
              <w:rPr>
                <w:rFonts w:ascii="Arial" w:hAnsi="Arial" w:cs="Arial"/>
                <w:color w:val="215868" w:themeColor="accent5" w:themeShade="80"/>
                <w:sz w:val="18"/>
                <w:szCs w:val="18"/>
              </w:rPr>
              <w:t>130</w:t>
            </w:r>
            <w:r w:rsidRPr="00617C40">
              <w:rPr>
                <w:rFonts w:ascii="Arial" w:hAnsi="Arial" w:cs="Arial"/>
                <w:color w:val="215868" w:themeColor="accent5" w:themeShade="80"/>
                <w:sz w:val="18"/>
                <w:szCs w:val="18"/>
              </w:rPr>
              <w:t>M</w:t>
            </w:r>
          </w:p>
        </w:tc>
      </w:tr>
      <w:tr w:rsidR="00B51D47" w:rsidRPr="0039690E" w14:paraId="6F04BC0E" w14:textId="77777777" w:rsidTr="00D819E5">
        <w:trPr>
          <w:trHeight w:val="232"/>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072838C3" w14:textId="7A040807" w:rsidR="00B51D47" w:rsidRPr="0039690E" w:rsidRDefault="0047795F" w:rsidP="000166DA">
            <w:pPr>
              <w:jc w:val="right"/>
              <w:rPr>
                <w:rFonts w:ascii="Arial" w:hAnsi="Arial" w:cs="Arial"/>
                <w:b w:val="0"/>
                <w:color w:val="215868" w:themeColor="accent5" w:themeShade="80"/>
                <w:sz w:val="18"/>
                <w:szCs w:val="18"/>
              </w:rPr>
            </w:pPr>
            <w:r>
              <w:rPr>
                <w:rFonts w:ascii="Arial" w:hAnsi="Arial" w:cs="Arial"/>
                <w:b w:val="0"/>
                <w:color w:val="215868" w:themeColor="accent5" w:themeShade="80"/>
                <w:sz w:val="18"/>
                <w:szCs w:val="18"/>
              </w:rPr>
              <w:t>Salad kits</w:t>
            </w:r>
          </w:p>
        </w:tc>
        <w:tc>
          <w:tcPr>
            <w:tcW w:w="2410" w:type="dxa"/>
          </w:tcPr>
          <w:p w14:paraId="2D165134" w14:textId="7E95E5DF" w:rsidR="00B51D47" w:rsidRDefault="00B51D47" w:rsidP="00B51D47">
            <w:pPr>
              <w:jc w:val="right"/>
              <w:cnfStyle w:val="000000000000" w:firstRow="0" w:lastRow="0" w:firstColumn="0" w:lastColumn="0" w:oddVBand="0" w:evenVBand="0" w:oddHBand="0" w:evenHBand="0" w:firstRowFirstColumn="0" w:firstRowLastColumn="0" w:lastRowFirstColumn="0" w:lastRowLastColumn="0"/>
            </w:pPr>
            <w:r w:rsidRPr="00147B08">
              <w:rPr>
                <w:rFonts w:ascii="Arial" w:hAnsi="Arial" w:cs="Arial"/>
                <w:color w:val="215868" w:themeColor="accent5" w:themeShade="80"/>
                <w:sz w:val="18"/>
                <w:szCs w:val="18"/>
              </w:rPr>
              <w:t>+</w:t>
            </w:r>
            <w:r w:rsidR="0047795F">
              <w:rPr>
                <w:rFonts w:ascii="Arial" w:hAnsi="Arial" w:cs="Arial"/>
                <w:color w:val="215868" w:themeColor="accent5" w:themeShade="80"/>
                <w:sz w:val="18"/>
                <w:szCs w:val="18"/>
              </w:rPr>
              <w:t>15.4</w:t>
            </w:r>
            <w:r w:rsidRPr="00147B08">
              <w:rPr>
                <w:rFonts w:ascii="Arial" w:hAnsi="Arial" w:cs="Arial"/>
                <w:color w:val="215868" w:themeColor="accent5" w:themeShade="80"/>
                <w:sz w:val="18"/>
                <w:szCs w:val="18"/>
              </w:rPr>
              <w:t>$M</w:t>
            </w:r>
          </w:p>
        </w:tc>
        <w:tc>
          <w:tcPr>
            <w:tcW w:w="2693" w:type="dxa"/>
          </w:tcPr>
          <w:p w14:paraId="4C3612DA" w14:textId="5843C399" w:rsidR="00B51D47" w:rsidRDefault="00B51D47" w:rsidP="00B51D47">
            <w:pPr>
              <w:jc w:val="right"/>
              <w:cnfStyle w:val="000000000000" w:firstRow="0" w:lastRow="0" w:firstColumn="0" w:lastColumn="0" w:oddVBand="0" w:evenVBand="0" w:oddHBand="0" w:evenHBand="0" w:firstRowFirstColumn="0" w:firstRowLastColumn="0" w:lastRowFirstColumn="0" w:lastRowLastColumn="0"/>
            </w:pPr>
            <w:r w:rsidRPr="007B7755">
              <w:rPr>
                <w:rFonts w:ascii="Arial" w:hAnsi="Arial" w:cs="Arial"/>
                <w:color w:val="215868" w:themeColor="accent5" w:themeShade="80"/>
                <w:sz w:val="18"/>
                <w:szCs w:val="18"/>
              </w:rPr>
              <w:t>+</w:t>
            </w:r>
            <w:r w:rsidR="0047795F">
              <w:rPr>
                <w:rFonts w:ascii="Arial" w:hAnsi="Arial" w:cs="Arial"/>
                <w:color w:val="215868" w:themeColor="accent5" w:themeShade="80"/>
                <w:sz w:val="18"/>
                <w:szCs w:val="18"/>
              </w:rPr>
              <w:t>7.1</w:t>
            </w:r>
            <w:r w:rsidRPr="007B7755">
              <w:rPr>
                <w:rFonts w:ascii="Arial" w:hAnsi="Arial" w:cs="Arial"/>
                <w:color w:val="215868" w:themeColor="accent5" w:themeShade="80"/>
                <w:sz w:val="18"/>
                <w:szCs w:val="18"/>
              </w:rPr>
              <w:t>%</w:t>
            </w:r>
          </w:p>
        </w:tc>
        <w:tc>
          <w:tcPr>
            <w:tcW w:w="2025" w:type="dxa"/>
          </w:tcPr>
          <w:p w14:paraId="517E22AA" w14:textId="0A030099" w:rsidR="00B51D47" w:rsidRDefault="00B51D47" w:rsidP="00B51D47">
            <w:pPr>
              <w:jc w:val="right"/>
              <w:cnfStyle w:val="000000000000" w:firstRow="0" w:lastRow="0" w:firstColumn="0" w:lastColumn="0" w:oddVBand="0" w:evenVBand="0" w:oddHBand="0" w:evenHBand="0" w:firstRowFirstColumn="0" w:firstRowLastColumn="0" w:lastRowFirstColumn="0" w:lastRowLastColumn="0"/>
            </w:pPr>
            <w:r w:rsidRPr="00617C40">
              <w:rPr>
                <w:rFonts w:ascii="Arial" w:hAnsi="Arial" w:cs="Arial"/>
                <w:color w:val="215868" w:themeColor="accent5" w:themeShade="80"/>
                <w:sz w:val="18"/>
                <w:szCs w:val="18"/>
              </w:rPr>
              <w:t>$</w:t>
            </w:r>
            <w:r w:rsidR="0047795F">
              <w:rPr>
                <w:rFonts w:ascii="Arial" w:hAnsi="Arial" w:cs="Arial"/>
                <w:color w:val="215868" w:themeColor="accent5" w:themeShade="80"/>
                <w:sz w:val="18"/>
                <w:szCs w:val="18"/>
              </w:rPr>
              <w:t>231</w:t>
            </w:r>
            <w:r w:rsidRPr="00617C40">
              <w:rPr>
                <w:rFonts w:ascii="Arial" w:hAnsi="Arial" w:cs="Arial"/>
                <w:color w:val="215868" w:themeColor="accent5" w:themeShade="80"/>
                <w:sz w:val="18"/>
                <w:szCs w:val="18"/>
              </w:rPr>
              <w:t>M</w:t>
            </w:r>
          </w:p>
        </w:tc>
      </w:tr>
      <w:tr w:rsidR="00B51D47" w:rsidRPr="0039690E" w14:paraId="038FC8CD" w14:textId="77777777" w:rsidTr="00D819E5">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23AF5F4C" w14:textId="5BCB474E" w:rsidR="00B51D47" w:rsidRPr="0039690E" w:rsidRDefault="0047795F" w:rsidP="000166DA">
            <w:pPr>
              <w:jc w:val="right"/>
              <w:rPr>
                <w:rFonts w:ascii="Arial" w:hAnsi="Arial" w:cs="Arial"/>
                <w:b w:val="0"/>
                <w:color w:val="215868" w:themeColor="accent5" w:themeShade="80"/>
                <w:sz w:val="18"/>
                <w:szCs w:val="18"/>
              </w:rPr>
            </w:pPr>
            <w:r>
              <w:rPr>
                <w:rFonts w:ascii="Arial" w:hAnsi="Arial" w:cs="Arial"/>
                <w:b w:val="0"/>
                <w:color w:val="215868" w:themeColor="accent5" w:themeShade="80"/>
                <w:sz w:val="18"/>
                <w:szCs w:val="18"/>
              </w:rPr>
              <w:t>Mixed fruit</w:t>
            </w:r>
          </w:p>
        </w:tc>
        <w:tc>
          <w:tcPr>
            <w:tcW w:w="2410" w:type="dxa"/>
          </w:tcPr>
          <w:p w14:paraId="19E7A3FA" w14:textId="3F71820D" w:rsidR="00B51D47" w:rsidRDefault="00B51D47" w:rsidP="00B51D47">
            <w:pPr>
              <w:jc w:val="right"/>
              <w:cnfStyle w:val="000000100000" w:firstRow="0" w:lastRow="0" w:firstColumn="0" w:lastColumn="0" w:oddVBand="0" w:evenVBand="0" w:oddHBand="1" w:evenHBand="0" w:firstRowFirstColumn="0" w:firstRowLastColumn="0" w:lastRowFirstColumn="0" w:lastRowLastColumn="0"/>
            </w:pPr>
            <w:r w:rsidRPr="00147B08">
              <w:rPr>
                <w:rFonts w:ascii="Arial" w:hAnsi="Arial" w:cs="Arial"/>
                <w:color w:val="215868" w:themeColor="accent5" w:themeShade="80"/>
                <w:sz w:val="18"/>
                <w:szCs w:val="18"/>
              </w:rPr>
              <w:t>+</w:t>
            </w:r>
            <w:r w:rsidR="0047795F">
              <w:rPr>
                <w:rFonts w:ascii="Arial" w:hAnsi="Arial" w:cs="Arial"/>
                <w:color w:val="215868" w:themeColor="accent5" w:themeShade="80"/>
                <w:sz w:val="18"/>
                <w:szCs w:val="18"/>
              </w:rPr>
              <w:t>14.8</w:t>
            </w:r>
            <w:r w:rsidRPr="00147B08">
              <w:rPr>
                <w:rFonts w:ascii="Arial" w:hAnsi="Arial" w:cs="Arial"/>
                <w:color w:val="215868" w:themeColor="accent5" w:themeShade="80"/>
                <w:sz w:val="18"/>
                <w:szCs w:val="18"/>
              </w:rPr>
              <w:t>$M</w:t>
            </w:r>
          </w:p>
        </w:tc>
        <w:tc>
          <w:tcPr>
            <w:tcW w:w="2693" w:type="dxa"/>
          </w:tcPr>
          <w:p w14:paraId="668A7E97" w14:textId="0EE615B9" w:rsidR="00B51D47" w:rsidRDefault="00B51D47" w:rsidP="00B51D47">
            <w:pPr>
              <w:jc w:val="right"/>
              <w:cnfStyle w:val="000000100000" w:firstRow="0" w:lastRow="0" w:firstColumn="0" w:lastColumn="0" w:oddVBand="0" w:evenVBand="0" w:oddHBand="1" w:evenHBand="0" w:firstRowFirstColumn="0" w:firstRowLastColumn="0" w:lastRowFirstColumn="0" w:lastRowLastColumn="0"/>
            </w:pPr>
            <w:r w:rsidRPr="007B7755">
              <w:rPr>
                <w:rFonts w:ascii="Arial" w:hAnsi="Arial" w:cs="Arial"/>
                <w:color w:val="215868" w:themeColor="accent5" w:themeShade="80"/>
                <w:sz w:val="18"/>
                <w:szCs w:val="18"/>
              </w:rPr>
              <w:t>+</w:t>
            </w:r>
            <w:r w:rsidR="0047795F">
              <w:rPr>
                <w:rFonts w:ascii="Arial" w:hAnsi="Arial" w:cs="Arial"/>
                <w:color w:val="215868" w:themeColor="accent5" w:themeShade="80"/>
                <w:sz w:val="18"/>
                <w:szCs w:val="18"/>
              </w:rPr>
              <w:t>28.5</w:t>
            </w:r>
            <w:r w:rsidRPr="007B7755">
              <w:rPr>
                <w:rFonts w:ascii="Arial" w:hAnsi="Arial" w:cs="Arial"/>
                <w:color w:val="215868" w:themeColor="accent5" w:themeShade="80"/>
                <w:sz w:val="18"/>
                <w:szCs w:val="18"/>
              </w:rPr>
              <w:t>%</w:t>
            </w:r>
          </w:p>
        </w:tc>
        <w:tc>
          <w:tcPr>
            <w:tcW w:w="2025" w:type="dxa"/>
          </w:tcPr>
          <w:p w14:paraId="6A275FB6" w14:textId="53EE31DF" w:rsidR="00B51D47" w:rsidRDefault="00B51D47" w:rsidP="00B51D47">
            <w:pPr>
              <w:jc w:val="right"/>
              <w:cnfStyle w:val="000000100000" w:firstRow="0" w:lastRow="0" w:firstColumn="0" w:lastColumn="0" w:oddVBand="0" w:evenVBand="0" w:oddHBand="1" w:evenHBand="0" w:firstRowFirstColumn="0" w:firstRowLastColumn="0" w:lastRowFirstColumn="0" w:lastRowLastColumn="0"/>
            </w:pPr>
            <w:r w:rsidRPr="00617C40">
              <w:rPr>
                <w:rFonts w:ascii="Arial" w:hAnsi="Arial" w:cs="Arial"/>
                <w:color w:val="215868" w:themeColor="accent5" w:themeShade="80"/>
                <w:sz w:val="18"/>
                <w:szCs w:val="18"/>
              </w:rPr>
              <w:t>$</w:t>
            </w:r>
            <w:r w:rsidR="0047795F">
              <w:rPr>
                <w:rFonts w:ascii="Arial" w:hAnsi="Arial" w:cs="Arial"/>
                <w:color w:val="215868" w:themeColor="accent5" w:themeShade="80"/>
                <w:sz w:val="18"/>
                <w:szCs w:val="18"/>
              </w:rPr>
              <w:t>67</w:t>
            </w:r>
            <w:r w:rsidRPr="00617C40">
              <w:rPr>
                <w:rFonts w:ascii="Arial" w:hAnsi="Arial" w:cs="Arial"/>
                <w:color w:val="215868" w:themeColor="accent5" w:themeShade="80"/>
                <w:sz w:val="18"/>
                <w:szCs w:val="18"/>
              </w:rPr>
              <w:t>M</w:t>
            </w:r>
          </w:p>
        </w:tc>
      </w:tr>
      <w:tr w:rsidR="00B51D47" w:rsidRPr="0039690E" w14:paraId="6E41B992" w14:textId="77777777" w:rsidTr="00D819E5">
        <w:trPr>
          <w:trHeight w:val="232"/>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3E17015E" w14:textId="2EC54DA2" w:rsidR="00B51D47" w:rsidRPr="0039690E" w:rsidRDefault="0047795F" w:rsidP="000166DA">
            <w:pPr>
              <w:jc w:val="right"/>
              <w:rPr>
                <w:rFonts w:ascii="Arial" w:hAnsi="Arial" w:cs="Arial"/>
                <w:b w:val="0"/>
                <w:color w:val="215868" w:themeColor="accent5" w:themeShade="80"/>
                <w:sz w:val="18"/>
                <w:szCs w:val="18"/>
              </w:rPr>
            </w:pPr>
            <w:r>
              <w:rPr>
                <w:rFonts w:ascii="Arial" w:hAnsi="Arial" w:cs="Arial"/>
                <w:b w:val="0"/>
                <w:color w:val="215868" w:themeColor="accent5" w:themeShade="80"/>
                <w:sz w:val="18"/>
                <w:szCs w:val="18"/>
              </w:rPr>
              <w:t>Avocados</w:t>
            </w:r>
          </w:p>
        </w:tc>
        <w:tc>
          <w:tcPr>
            <w:tcW w:w="2410" w:type="dxa"/>
          </w:tcPr>
          <w:p w14:paraId="139C4306" w14:textId="2F5463C4" w:rsidR="00B51D47" w:rsidRDefault="00B51D47" w:rsidP="00B51D47">
            <w:pPr>
              <w:jc w:val="right"/>
              <w:cnfStyle w:val="000000000000" w:firstRow="0" w:lastRow="0" w:firstColumn="0" w:lastColumn="0" w:oddVBand="0" w:evenVBand="0" w:oddHBand="0" w:evenHBand="0" w:firstRowFirstColumn="0" w:firstRowLastColumn="0" w:lastRowFirstColumn="0" w:lastRowLastColumn="0"/>
            </w:pPr>
            <w:r w:rsidRPr="00147B08">
              <w:rPr>
                <w:rFonts w:ascii="Arial" w:hAnsi="Arial" w:cs="Arial"/>
                <w:color w:val="215868" w:themeColor="accent5" w:themeShade="80"/>
                <w:sz w:val="18"/>
                <w:szCs w:val="18"/>
              </w:rPr>
              <w:t>+</w:t>
            </w:r>
            <w:r w:rsidR="0047795F">
              <w:rPr>
                <w:rFonts w:ascii="Arial" w:hAnsi="Arial" w:cs="Arial"/>
                <w:color w:val="215868" w:themeColor="accent5" w:themeShade="80"/>
                <w:sz w:val="18"/>
                <w:szCs w:val="18"/>
              </w:rPr>
              <w:t>14.0</w:t>
            </w:r>
            <w:r w:rsidRPr="00147B08">
              <w:rPr>
                <w:rFonts w:ascii="Arial" w:hAnsi="Arial" w:cs="Arial"/>
                <w:color w:val="215868" w:themeColor="accent5" w:themeShade="80"/>
                <w:sz w:val="18"/>
                <w:szCs w:val="18"/>
              </w:rPr>
              <w:t>$M</w:t>
            </w:r>
          </w:p>
        </w:tc>
        <w:tc>
          <w:tcPr>
            <w:tcW w:w="2693" w:type="dxa"/>
          </w:tcPr>
          <w:p w14:paraId="6CC408C8" w14:textId="09997623" w:rsidR="00B51D47" w:rsidRDefault="00B51D47" w:rsidP="00B51D47">
            <w:pPr>
              <w:jc w:val="right"/>
              <w:cnfStyle w:val="000000000000" w:firstRow="0" w:lastRow="0" w:firstColumn="0" w:lastColumn="0" w:oddVBand="0" w:evenVBand="0" w:oddHBand="0" w:evenHBand="0" w:firstRowFirstColumn="0" w:firstRowLastColumn="0" w:lastRowFirstColumn="0" w:lastRowLastColumn="0"/>
            </w:pPr>
            <w:r w:rsidRPr="007B7755">
              <w:rPr>
                <w:rFonts w:ascii="Arial" w:hAnsi="Arial" w:cs="Arial"/>
                <w:color w:val="215868" w:themeColor="accent5" w:themeShade="80"/>
                <w:sz w:val="18"/>
                <w:szCs w:val="18"/>
              </w:rPr>
              <w:t>+</w:t>
            </w:r>
            <w:r w:rsidR="0047795F">
              <w:rPr>
                <w:rFonts w:ascii="Arial" w:hAnsi="Arial" w:cs="Arial"/>
                <w:color w:val="215868" w:themeColor="accent5" w:themeShade="80"/>
                <w:sz w:val="18"/>
                <w:szCs w:val="18"/>
              </w:rPr>
              <w:t>9.2</w:t>
            </w:r>
            <w:r w:rsidRPr="007B7755">
              <w:rPr>
                <w:rFonts w:ascii="Arial" w:hAnsi="Arial" w:cs="Arial"/>
                <w:color w:val="215868" w:themeColor="accent5" w:themeShade="80"/>
                <w:sz w:val="18"/>
                <w:szCs w:val="18"/>
              </w:rPr>
              <w:t>%</w:t>
            </w:r>
          </w:p>
        </w:tc>
        <w:tc>
          <w:tcPr>
            <w:tcW w:w="2025" w:type="dxa"/>
          </w:tcPr>
          <w:p w14:paraId="3791C510" w14:textId="68266F51" w:rsidR="00B51D47" w:rsidRDefault="00B51D47" w:rsidP="00B51D47">
            <w:pPr>
              <w:jc w:val="right"/>
              <w:cnfStyle w:val="000000000000" w:firstRow="0" w:lastRow="0" w:firstColumn="0" w:lastColumn="0" w:oddVBand="0" w:evenVBand="0" w:oddHBand="0" w:evenHBand="0" w:firstRowFirstColumn="0" w:firstRowLastColumn="0" w:lastRowFirstColumn="0" w:lastRowLastColumn="0"/>
            </w:pPr>
            <w:r w:rsidRPr="00617C40">
              <w:rPr>
                <w:rFonts w:ascii="Arial" w:hAnsi="Arial" w:cs="Arial"/>
                <w:color w:val="215868" w:themeColor="accent5" w:themeShade="80"/>
                <w:sz w:val="18"/>
                <w:szCs w:val="18"/>
              </w:rPr>
              <w:t>$</w:t>
            </w:r>
            <w:r w:rsidR="0047795F">
              <w:rPr>
                <w:rFonts w:ascii="Arial" w:hAnsi="Arial" w:cs="Arial"/>
                <w:color w:val="215868" w:themeColor="accent5" w:themeShade="80"/>
                <w:sz w:val="18"/>
                <w:szCs w:val="18"/>
              </w:rPr>
              <w:t>167</w:t>
            </w:r>
            <w:r w:rsidRPr="00617C40">
              <w:rPr>
                <w:rFonts w:ascii="Arial" w:hAnsi="Arial" w:cs="Arial"/>
                <w:color w:val="215868" w:themeColor="accent5" w:themeShade="80"/>
                <w:sz w:val="18"/>
                <w:szCs w:val="18"/>
              </w:rPr>
              <w:t>M</w:t>
            </w:r>
          </w:p>
        </w:tc>
      </w:tr>
      <w:tr w:rsidR="00B51D47" w:rsidRPr="0039690E" w14:paraId="6996E4D4" w14:textId="77777777" w:rsidTr="00D819E5">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6A79102C" w14:textId="7734CF21" w:rsidR="00B51D47" w:rsidRPr="0039690E" w:rsidRDefault="0047795F" w:rsidP="000166DA">
            <w:pPr>
              <w:jc w:val="right"/>
              <w:rPr>
                <w:rFonts w:ascii="Arial" w:hAnsi="Arial" w:cs="Arial"/>
                <w:b w:val="0"/>
                <w:color w:val="215868" w:themeColor="accent5" w:themeShade="80"/>
                <w:sz w:val="18"/>
                <w:szCs w:val="18"/>
              </w:rPr>
            </w:pPr>
            <w:r>
              <w:rPr>
                <w:rFonts w:ascii="Arial" w:hAnsi="Arial" w:cs="Arial"/>
                <w:b w:val="0"/>
                <w:color w:val="215868" w:themeColor="accent5" w:themeShade="80"/>
                <w:sz w:val="18"/>
                <w:szCs w:val="18"/>
              </w:rPr>
              <w:t>Produce party trays</w:t>
            </w:r>
          </w:p>
        </w:tc>
        <w:tc>
          <w:tcPr>
            <w:tcW w:w="2410" w:type="dxa"/>
          </w:tcPr>
          <w:p w14:paraId="416E44D2" w14:textId="74BE456F" w:rsidR="00B51D47" w:rsidRDefault="00B51D47" w:rsidP="00B51D47">
            <w:pPr>
              <w:jc w:val="right"/>
              <w:cnfStyle w:val="000000100000" w:firstRow="0" w:lastRow="0" w:firstColumn="0" w:lastColumn="0" w:oddVBand="0" w:evenVBand="0" w:oddHBand="1" w:evenHBand="0" w:firstRowFirstColumn="0" w:firstRowLastColumn="0" w:lastRowFirstColumn="0" w:lastRowLastColumn="0"/>
            </w:pPr>
            <w:r w:rsidRPr="00147B08">
              <w:rPr>
                <w:rFonts w:ascii="Arial" w:hAnsi="Arial" w:cs="Arial"/>
                <w:color w:val="215868" w:themeColor="accent5" w:themeShade="80"/>
                <w:sz w:val="18"/>
                <w:szCs w:val="18"/>
              </w:rPr>
              <w:t>+</w:t>
            </w:r>
            <w:r w:rsidR="0047795F">
              <w:rPr>
                <w:rFonts w:ascii="Arial" w:hAnsi="Arial" w:cs="Arial"/>
                <w:color w:val="215868" w:themeColor="accent5" w:themeShade="80"/>
                <w:sz w:val="18"/>
                <w:szCs w:val="18"/>
              </w:rPr>
              <w:t>12.4</w:t>
            </w:r>
            <w:r w:rsidRPr="00147B08">
              <w:rPr>
                <w:rFonts w:ascii="Arial" w:hAnsi="Arial" w:cs="Arial"/>
                <w:color w:val="215868" w:themeColor="accent5" w:themeShade="80"/>
                <w:sz w:val="18"/>
                <w:szCs w:val="18"/>
              </w:rPr>
              <w:t>$M</w:t>
            </w:r>
          </w:p>
        </w:tc>
        <w:tc>
          <w:tcPr>
            <w:tcW w:w="2693" w:type="dxa"/>
          </w:tcPr>
          <w:p w14:paraId="3E530827" w14:textId="22F8CBC9" w:rsidR="00B51D47" w:rsidRDefault="00B51D47" w:rsidP="00B51D47">
            <w:pPr>
              <w:jc w:val="right"/>
              <w:cnfStyle w:val="000000100000" w:firstRow="0" w:lastRow="0" w:firstColumn="0" w:lastColumn="0" w:oddVBand="0" w:evenVBand="0" w:oddHBand="1" w:evenHBand="0" w:firstRowFirstColumn="0" w:firstRowLastColumn="0" w:lastRowFirstColumn="0" w:lastRowLastColumn="0"/>
            </w:pPr>
            <w:r w:rsidRPr="007B7755">
              <w:rPr>
                <w:rFonts w:ascii="Arial" w:hAnsi="Arial" w:cs="Arial"/>
                <w:color w:val="215868" w:themeColor="accent5" w:themeShade="80"/>
                <w:sz w:val="18"/>
                <w:szCs w:val="18"/>
              </w:rPr>
              <w:t>+</w:t>
            </w:r>
            <w:r w:rsidR="0047795F">
              <w:rPr>
                <w:rFonts w:ascii="Arial" w:hAnsi="Arial" w:cs="Arial"/>
                <w:color w:val="215868" w:themeColor="accent5" w:themeShade="80"/>
                <w:sz w:val="18"/>
                <w:szCs w:val="18"/>
              </w:rPr>
              <w:t>63.8</w:t>
            </w:r>
            <w:r w:rsidRPr="007B7755">
              <w:rPr>
                <w:rFonts w:ascii="Arial" w:hAnsi="Arial" w:cs="Arial"/>
                <w:color w:val="215868" w:themeColor="accent5" w:themeShade="80"/>
                <w:sz w:val="18"/>
                <w:szCs w:val="18"/>
              </w:rPr>
              <w:t>%</w:t>
            </w:r>
          </w:p>
        </w:tc>
        <w:tc>
          <w:tcPr>
            <w:tcW w:w="2025" w:type="dxa"/>
          </w:tcPr>
          <w:p w14:paraId="126C8E2C" w14:textId="4E208617" w:rsidR="00B51D47" w:rsidRDefault="00B51D47" w:rsidP="00B51D47">
            <w:pPr>
              <w:jc w:val="right"/>
              <w:cnfStyle w:val="000000100000" w:firstRow="0" w:lastRow="0" w:firstColumn="0" w:lastColumn="0" w:oddVBand="0" w:evenVBand="0" w:oddHBand="1" w:evenHBand="0" w:firstRowFirstColumn="0" w:firstRowLastColumn="0" w:lastRowFirstColumn="0" w:lastRowLastColumn="0"/>
            </w:pPr>
            <w:r w:rsidRPr="00617C40">
              <w:rPr>
                <w:rFonts w:ascii="Arial" w:hAnsi="Arial" w:cs="Arial"/>
                <w:color w:val="215868" w:themeColor="accent5" w:themeShade="80"/>
                <w:sz w:val="18"/>
                <w:szCs w:val="18"/>
              </w:rPr>
              <w:t>$</w:t>
            </w:r>
            <w:r w:rsidR="0047795F">
              <w:rPr>
                <w:rFonts w:ascii="Arial" w:hAnsi="Arial" w:cs="Arial"/>
                <w:color w:val="215868" w:themeColor="accent5" w:themeShade="80"/>
                <w:sz w:val="18"/>
                <w:szCs w:val="18"/>
              </w:rPr>
              <w:t>32</w:t>
            </w:r>
            <w:r w:rsidRPr="00617C40">
              <w:rPr>
                <w:rFonts w:ascii="Arial" w:hAnsi="Arial" w:cs="Arial"/>
                <w:color w:val="215868" w:themeColor="accent5" w:themeShade="80"/>
                <w:sz w:val="18"/>
                <w:szCs w:val="18"/>
              </w:rPr>
              <w:t>M</w:t>
            </w:r>
          </w:p>
        </w:tc>
      </w:tr>
      <w:tr w:rsidR="00B51D47" w:rsidRPr="0039690E" w14:paraId="59CB1A09" w14:textId="77777777" w:rsidTr="00D819E5">
        <w:trPr>
          <w:trHeight w:val="232"/>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5CD597B8" w14:textId="7FC75CEE" w:rsidR="00B51D47" w:rsidRPr="0039690E" w:rsidRDefault="0047795F" w:rsidP="000166DA">
            <w:pPr>
              <w:jc w:val="right"/>
              <w:rPr>
                <w:rFonts w:ascii="Arial" w:hAnsi="Arial" w:cs="Arial"/>
                <w:b w:val="0"/>
                <w:color w:val="215868" w:themeColor="accent5" w:themeShade="80"/>
                <w:sz w:val="18"/>
                <w:szCs w:val="18"/>
              </w:rPr>
            </w:pPr>
            <w:r>
              <w:rPr>
                <w:rFonts w:ascii="Arial" w:hAnsi="Arial" w:cs="Arial"/>
                <w:b w:val="0"/>
                <w:color w:val="215868" w:themeColor="accent5" w:themeShade="80"/>
                <w:sz w:val="18"/>
                <w:szCs w:val="18"/>
              </w:rPr>
              <w:t>Broccoli</w:t>
            </w:r>
          </w:p>
        </w:tc>
        <w:tc>
          <w:tcPr>
            <w:tcW w:w="2410" w:type="dxa"/>
          </w:tcPr>
          <w:p w14:paraId="092A4D9B" w14:textId="4EDF3682" w:rsidR="00B51D47" w:rsidRDefault="00B51D47" w:rsidP="00B51D47">
            <w:pPr>
              <w:jc w:val="right"/>
              <w:cnfStyle w:val="000000000000" w:firstRow="0" w:lastRow="0" w:firstColumn="0" w:lastColumn="0" w:oddVBand="0" w:evenVBand="0" w:oddHBand="0" w:evenHBand="0" w:firstRowFirstColumn="0" w:firstRowLastColumn="0" w:lastRowFirstColumn="0" w:lastRowLastColumn="0"/>
            </w:pPr>
            <w:r w:rsidRPr="00147B08">
              <w:rPr>
                <w:rFonts w:ascii="Arial" w:hAnsi="Arial" w:cs="Arial"/>
                <w:color w:val="215868" w:themeColor="accent5" w:themeShade="80"/>
                <w:sz w:val="18"/>
                <w:szCs w:val="18"/>
              </w:rPr>
              <w:t>+</w:t>
            </w:r>
            <w:r w:rsidR="0047795F">
              <w:rPr>
                <w:rFonts w:ascii="Arial" w:hAnsi="Arial" w:cs="Arial"/>
                <w:color w:val="215868" w:themeColor="accent5" w:themeShade="80"/>
                <w:sz w:val="18"/>
                <w:szCs w:val="18"/>
              </w:rPr>
              <w:t>8.3</w:t>
            </w:r>
            <w:r w:rsidRPr="00147B08">
              <w:rPr>
                <w:rFonts w:ascii="Arial" w:hAnsi="Arial" w:cs="Arial"/>
                <w:color w:val="215868" w:themeColor="accent5" w:themeShade="80"/>
                <w:sz w:val="18"/>
                <w:szCs w:val="18"/>
              </w:rPr>
              <w:t>$M</w:t>
            </w:r>
          </w:p>
        </w:tc>
        <w:tc>
          <w:tcPr>
            <w:tcW w:w="2693" w:type="dxa"/>
          </w:tcPr>
          <w:p w14:paraId="36EFEC08" w14:textId="21701124" w:rsidR="00B51D47" w:rsidRDefault="00B51D47" w:rsidP="00B51D47">
            <w:pPr>
              <w:jc w:val="right"/>
              <w:cnfStyle w:val="000000000000" w:firstRow="0" w:lastRow="0" w:firstColumn="0" w:lastColumn="0" w:oddVBand="0" w:evenVBand="0" w:oddHBand="0" w:evenHBand="0" w:firstRowFirstColumn="0" w:firstRowLastColumn="0" w:lastRowFirstColumn="0" w:lastRowLastColumn="0"/>
            </w:pPr>
            <w:r w:rsidRPr="007B7755">
              <w:rPr>
                <w:rFonts w:ascii="Arial" w:hAnsi="Arial" w:cs="Arial"/>
                <w:color w:val="215868" w:themeColor="accent5" w:themeShade="80"/>
                <w:sz w:val="18"/>
                <w:szCs w:val="18"/>
              </w:rPr>
              <w:t>+</w:t>
            </w:r>
            <w:r w:rsidR="0047795F">
              <w:rPr>
                <w:rFonts w:ascii="Arial" w:hAnsi="Arial" w:cs="Arial"/>
                <w:color w:val="215868" w:themeColor="accent5" w:themeShade="80"/>
                <w:sz w:val="18"/>
                <w:szCs w:val="18"/>
              </w:rPr>
              <w:t>9.5</w:t>
            </w:r>
            <w:r w:rsidRPr="007B7755">
              <w:rPr>
                <w:rFonts w:ascii="Arial" w:hAnsi="Arial" w:cs="Arial"/>
                <w:color w:val="215868" w:themeColor="accent5" w:themeShade="80"/>
                <w:sz w:val="18"/>
                <w:szCs w:val="18"/>
              </w:rPr>
              <w:t>%</w:t>
            </w:r>
          </w:p>
        </w:tc>
        <w:tc>
          <w:tcPr>
            <w:tcW w:w="2025" w:type="dxa"/>
          </w:tcPr>
          <w:p w14:paraId="2D3EB5A4" w14:textId="2FBC41F7" w:rsidR="00B51D47" w:rsidRDefault="00B51D47" w:rsidP="00B51D47">
            <w:pPr>
              <w:jc w:val="right"/>
              <w:cnfStyle w:val="000000000000" w:firstRow="0" w:lastRow="0" w:firstColumn="0" w:lastColumn="0" w:oddVBand="0" w:evenVBand="0" w:oddHBand="0" w:evenHBand="0" w:firstRowFirstColumn="0" w:firstRowLastColumn="0" w:lastRowFirstColumn="0" w:lastRowLastColumn="0"/>
            </w:pPr>
            <w:r w:rsidRPr="00617C40">
              <w:rPr>
                <w:rFonts w:ascii="Arial" w:hAnsi="Arial" w:cs="Arial"/>
                <w:color w:val="215868" w:themeColor="accent5" w:themeShade="80"/>
                <w:sz w:val="18"/>
                <w:szCs w:val="18"/>
              </w:rPr>
              <w:t>$</w:t>
            </w:r>
            <w:r w:rsidR="0047795F">
              <w:rPr>
                <w:rFonts w:ascii="Arial" w:hAnsi="Arial" w:cs="Arial"/>
                <w:color w:val="215868" w:themeColor="accent5" w:themeShade="80"/>
                <w:sz w:val="18"/>
                <w:szCs w:val="18"/>
              </w:rPr>
              <w:t>96</w:t>
            </w:r>
            <w:r w:rsidRPr="00617C40">
              <w:rPr>
                <w:rFonts w:ascii="Arial" w:hAnsi="Arial" w:cs="Arial"/>
                <w:color w:val="215868" w:themeColor="accent5" w:themeShade="80"/>
                <w:sz w:val="18"/>
                <w:szCs w:val="18"/>
              </w:rPr>
              <w:t>M</w:t>
            </w:r>
          </w:p>
        </w:tc>
      </w:tr>
      <w:tr w:rsidR="00B51D47" w:rsidRPr="0039690E" w14:paraId="7F9F6B82" w14:textId="77777777" w:rsidTr="00D819E5">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5FB2B3B8" w14:textId="63444653" w:rsidR="00B51D47" w:rsidRPr="0039690E" w:rsidRDefault="0047795F" w:rsidP="000166DA">
            <w:pPr>
              <w:jc w:val="right"/>
              <w:rPr>
                <w:rFonts w:ascii="Arial" w:hAnsi="Arial" w:cs="Arial"/>
                <w:b w:val="0"/>
                <w:color w:val="215868" w:themeColor="accent5" w:themeShade="80"/>
                <w:sz w:val="18"/>
                <w:szCs w:val="18"/>
              </w:rPr>
            </w:pPr>
            <w:r>
              <w:rPr>
                <w:rFonts w:ascii="Arial" w:hAnsi="Arial" w:cs="Arial"/>
                <w:b w:val="0"/>
                <w:color w:val="215868" w:themeColor="accent5" w:themeShade="80"/>
                <w:sz w:val="18"/>
                <w:szCs w:val="18"/>
              </w:rPr>
              <w:t>Onions</w:t>
            </w:r>
          </w:p>
        </w:tc>
        <w:tc>
          <w:tcPr>
            <w:tcW w:w="2410" w:type="dxa"/>
          </w:tcPr>
          <w:p w14:paraId="65A57BA0" w14:textId="202A1C0C" w:rsidR="00B51D47" w:rsidRDefault="00B51D47" w:rsidP="00B51D47">
            <w:pPr>
              <w:jc w:val="right"/>
              <w:cnfStyle w:val="000000100000" w:firstRow="0" w:lastRow="0" w:firstColumn="0" w:lastColumn="0" w:oddVBand="0" w:evenVBand="0" w:oddHBand="1" w:evenHBand="0" w:firstRowFirstColumn="0" w:firstRowLastColumn="0" w:lastRowFirstColumn="0" w:lastRowLastColumn="0"/>
            </w:pPr>
            <w:r w:rsidRPr="00147B08">
              <w:rPr>
                <w:rFonts w:ascii="Arial" w:hAnsi="Arial" w:cs="Arial"/>
                <w:color w:val="215868" w:themeColor="accent5" w:themeShade="80"/>
                <w:sz w:val="18"/>
                <w:szCs w:val="18"/>
              </w:rPr>
              <w:t>+</w:t>
            </w:r>
            <w:r w:rsidR="0047795F">
              <w:rPr>
                <w:rFonts w:ascii="Arial" w:hAnsi="Arial" w:cs="Arial"/>
                <w:color w:val="215868" w:themeColor="accent5" w:themeShade="80"/>
                <w:sz w:val="18"/>
                <w:szCs w:val="18"/>
              </w:rPr>
              <w:t>5.8</w:t>
            </w:r>
            <w:r w:rsidRPr="00147B08">
              <w:rPr>
                <w:rFonts w:ascii="Arial" w:hAnsi="Arial" w:cs="Arial"/>
                <w:color w:val="215868" w:themeColor="accent5" w:themeShade="80"/>
                <w:sz w:val="18"/>
                <w:szCs w:val="18"/>
              </w:rPr>
              <w:t>$M</w:t>
            </w:r>
          </w:p>
        </w:tc>
        <w:tc>
          <w:tcPr>
            <w:tcW w:w="2693" w:type="dxa"/>
          </w:tcPr>
          <w:p w14:paraId="1884848A" w14:textId="79C7C2DD" w:rsidR="00B51D47" w:rsidRDefault="00B51D47" w:rsidP="00B51D47">
            <w:pPr>
              <w:jc w:val="right"/>
              <w:cnfStyle w:val="000000100000" w:firstRow="0" w:lastRow="0" w:firstColumn="0" w:lastColumn="0" w:oddVBand="0" w:evenVBand="0" w:oddHBand="1" w:evenHBand="0" w:firstRowFirstColumn="0" w:firstRowLastColumn="0" w:lastRowFirstColumn="0" w:lastRowLastColumn="0"/>
            </w:pPr>
            <w:r w:rsidRPr="007B7755">
              <w:rPr>
                <w:rFonts w:ascii="Arial" w:hAnsi="Arial" w:cs="Arial"/>
                <w:color w:val="215868" w:themeColor="accent5" w:themeShade="80"/>
                <w:sz w:val="18"/>
                <w:szCs w:val="18"/>
              </w:rPr>
              <w:t>+</w:t>
            </w:r>
            <w:r w:rsidR="0047795F">
              <w:rPr>
                <w:rFonts w:ascii="Arial" w:hAnsi="Arial" w:cs="Arial"/>
                <w:color w:val="215868" w:themeColor="accent5" w:themeShade="80"/>
                <w:sz w:val="18"/>
                <w:szCs w:val="18"/>
              </w:rPr>
              <w:t>2.8</w:t>
            </w:r>
            <w:r w:rsidRPr="007B7755">
              <w:rPr>
                <w:rFonts w:ascii="Arial" w:hAnsi="Arial" w:cs="Arial"/>
                <w:color w:val="215868" w:themeColor="accent5" w:themeShade="80"/>
                <w:sz w:val="18"/>
                <w:szCs w:val="18"/>
              </w:rPr>
              <w:t>%</w:t>
            </w:r>
          </w:p>
        </w:tc>
        <w:tc>
          <w:tcPr>
            <w:tcW w:w="2025" w:type="dxa"/>
          </w:tcPr>
          <w:p w14:paraId="2EDD6CB0" w14:textId="5A6DD826" w:rsidR="00B51D47" w:rsidRDefault="00B51D47" w:rsidP="00B51D47">
            <w:pPr>
              <w:jc w:val="right"/>
              <w:cnfStyle w:val="000000100000" w:firstRow="0" w:lastRow="0" w:firstColumn="0" w:lastColumn="0" w:oddVBand="0" w:evenVBand="0" w:oddHBand="1" w:evenHBand="0" w:firstRowFirstColumn="0" w:firstRowLastColumn="0" w:lastRowFirstColumn="0" w:lastRowLastColumn="0"/>
            </w:pPr>
            <w:r w:rsidRPr="00617C40">
              <w:rPr>
                <w:rFonts w:ascii="Arial" w:hAnsi="Arial" w:cs="Arial"/>
                <w:color w:val="215868" w:themeColor="accent5" w:themeShade="80"/>
                <w:sz w:val="18"/>
                <w:szCs w:val="18"/>
              </w:rPr>
              <w:t>$</w:t>
            </w:r>
            <w:r w:rsidR="0047795F">
              <w:rPr>
                <w:rFonts w:ascii="Arial" w:hAnsi="Arial" w:cs="Arial"/>
                <w:color w:val="215868" w:themeColor="accent5" w:themeShade="80"/>
                <w:sz w:val="18"/>
                <w:szCs w:val="18"/>
              </w:rPr>
              <w:t>214</w:t>
            </w:r>
            <w:r w:rsidRPr="00617C40">
              <w:rPr>
                <w:rFonts w:ascii="Arial" w:hAnsi="Arial" w:cs="Arial"/>
                <w:color w:val="215868" w:themeColor="accent5" w:themeShade="80"/>
                <w:sz w:val="18"/>
                <w:szCs w:val="18"/>
              </w:rPr>
              <w:t>M</w:t>
            </w:r>
          </w:p>
        </w:tc>
      </w:tr>
    </w:tbl>
    <w:p w14:paraId="21EC56AF" w14:textId="77777777" w:rsidR="009E5261" w:rsidRPr="00E62AA9" w:rsidRDefault="009E5261" w:rsidP="009E5261">
      <w:pPr>
        <w:pStyle w:val="NoSpacing"/>
        <w:rPr>
          <w:rFonts w:ascii="Arial" w:hAnsi="Arial" w:cs="Arial"/>
          <w:sz w:val="6"/>
          <w:szCs w:val="6"/>
        </w:rPr>
      </w:pPr>
    </w:p>
    <w:p w14:paraId="02C6462E" w14:textId="77777777" w:rsidR="009E5261" w:rsidRDefault="009E5261" w:rsidP="009E5261">
      <w:pPr>
        <w:pStyle w:val="NoSpacing"/>
        <w:rPr>
          <w:rFonts w:ascii="Arial" w:hAnsi="Arial" w:cs="Arial"/>
          <w:sz w:val="16"/>
          <w:szCs w:val="16"/>
        </w:rPr>
      </w:pPr>
      <w:r w:rsidRPr="00B35CE9">
        <w:rPr>
          <w:rFonts w:ascii="Arial" w:hAnsi="Arial" w:cs="Arial"/>
          <w:sz w:val="16"/>
          <w:szCs w:val="16"/>
        </w:rPr>
        <w:t>Source</w:t>
      </w:r>
      <w:r>
        <w:rPr>
          <w:rFonts w:ascii="Arial" w:hAnsi="Arial" w:cs="Arial"/>
          <w:sz w:val="16"/>
          <w:szCs w:val="16"/>
        </w:rPr>
        <w:t>: IRI Integrated Fresh, Total U.S., MULO</w:t>
      </w:r>
    </w:p>
    <w:p w14:paraId="0B7EF495" w14:textId="77777777" w:rsidR="00D97697" w:rsidRDefault="00D97697" w:rsidP="001024F6">
      <w:pPr>
        <w:pStyle w:val="NoSpacing"/>
        <w:rPr>
          <w:rFonts w:ascii="Arial" w:hAnsi="Arial" w:cs="Arial"/>
          <w:b/>
          <w:color w:val="595959" w:themeColor="text1" w:themeTint="A6"/>
          <w:sz w:val="24"/>
          <w:szCs w:val="24"/>
        </w:rPr>
      </w:pPr>
    </w:p>
    <w:p w14:paraId="2079AF81" w14:textId="77777777" w:rsidR="00A225C7" w:rsidRDefault="00A225C7" w:rsidP="001024F6">
      <w:pPr>
        <w:pStyle w:val="NoSpacing"/>
        <w:rPr>
          <w:rFonts w:ascii="Arial" w:hAnsi="Arial" w:cs="Arial"/>
          <w:b/>
          <w:color w:val="595959" w:themeColor="text1" w:themeTint="A6"/>
          <w:sz w:val="24"/>
          <w:szCs w:val="24"/>
        </w:rPr>
      </w:pPr>
    </w:p>
    <w:p w14:paraId="774EBB3F" w14:textId="77777777" w:rsidR="001024F6" w:rsidRPr="009172A3" w:rsidRDefault="004D26B3" w:rsidP="001024F6">
      <w:pPr>
        <w:pStyle w:val="NoSpacing"/>
        <w:rPr>
          <w:rFonts w:ascii="Arial" w:hAnsi="Arial" w:cs="Arial"/>
          <w:b/>
          <w:color w:val="595959" w:themeColor="text1" w:themeTint="A6"/>
          <w:sz w:val="24"/>
          <w:szCs w:val="24"/>
        </w:rPr>
      </w:pPr>
      <w:r>
        <w:rPr>
          <w:rFonts w:ascii="Arial" w:hAnsi="Arial" w:cs="Arial"/>
          <w:b/>
          <w:color w:val="595959" w:themeColor="text1" w:themeTint="A6"/>
          <w:sz w:val="24"/>
          <w:szCs w:val="24"/>
        </w:rPr>
        <w:t xml:space="preserve">Perishables </w:t>
      </w:r>
      <w:r w:rsidR="001024F6">
        <w:rPr>
          <w:rFonts w:ascii="Arial" w:hAnsi="Arial" w:cs="Arial"/>
          <w:b/>
          <w:color w:val="595959" w:themeColor="text1" w:themeTint="A6"/>
          <w:sz w:val="24"/>
          <w:szCs w:val="24"/>
        </w:rPr>
        <w:t>P</w:t>
      </w:r>
      <w:r w:rsidR="001024F6" w:rsidRPr="009172A3">
        <w:rPr>
          <w:rFonts w:ascii="Arial" w:hAnsi="Arial" w:cs="Arial"/>
          <w:b/>
          <w:color w:val="595959" w:themeColor="text1" w:themeTint="A6"/>
          <w:sz w:val="24"/>
          <w:szCs w:val="24"/>
        </w:rPr>
        <w:t>erformance</w:t>
      </w:r>
    </w:p>
    <w:p w14:paraId="22725736" w14:textId="49F785A8" w:rsidR="001024F6" w:rsidRDefault="001024F6" w:rsidP="001024F6">
      <w:pPr>
        <w:pStyle w:val="NoSpacing"/>
        <w:rPr>
          <w:rFonts w:ascii="Arial" w:hAnsi="Arial" w:cs="Arial"/>
          <w:sz w:val="20"/>
          <w:szCs w:val="20"/>
        </w:rPr>
      </w:pPr>
      <w:r>
        <w:rPr>
          <w:rFonts w:ascii="Arial" w:hAnsi="Arial" w:cs="Arial"/>
          <w:sz w:val="20"/>
          <w:szCs w:val="20"/>
        </w:rPr>
        <w:t xml:space="preserve">A look across fresh foods departments for the </w:t>
      </w:r>
      <w:r w:rsidR="00393357">
        <w:rPr>
          <w:rFonts w:ascii="Arial" w:hAnsi="Arial" w:cs="Arial"/>
          <w:sz w:val="20"/>
          <w:szCs w:val="20"/>
        </w:rPr>
        <w:t xml:space="preserve">four November </w:t>
      </w:r>
      <w:r w:rsidR="004D26B3">
        <w:rPr>
          <w:rFonts w:ascii="Arial" w:hAnsi="Arial" w:cs="Arial"/>
          <w:sz w:val="20"/>
          <w:szCs w:val="20"/>
        </w:rPr>
        <w:t>weeks</w:t>
      </w:r>
      <w:r>
        <w:rPr>
          <w:rFonts w:ascii="Arial" w:hAnsi="Arial" w:cs="Arial"/>
          <w:sz w:val="20"/>
          <w:szCs w:val="20"/>
        </w:rPr>
        <w:t xml:space="preserve"> shows </w:t>
      </w:r>
      <w:r w:rsidR="008B05F8">
        <w:rPr>
          <w:rFonts w:ascii="Arial" w:hAnsi="Arial" w:cs="Arial"/>
          <w:sz w:val="20"/>
          <w:szCs w:val="20"/>
        </w:rPr>
        <w:t>perimeter strength</w:t>
      </w:r>
      <w:r>
        <w:rPr>
          <w:rFonts w:ascii="Arial" w:hAnsi="Arial" w:cs="Arial"/>
          <w:sz w:val="20"/>
          <w:szCs w:val="20"/>
        </w:rPr>
        <w:t>.</w:t>
      </w:r>
      <w:r w:rsidR="008B05F8">
        <w:rPr>
          <w:rFonts w:ascii="Arial" w:hAnsi="Arial" w:cs="Arial"/>
          <w:sz w:val="20"/>
          <w:szCs w:val="20"/>
        </w:rPr>
        <w:t xml:space="preserve"> All</w:t>
      </w:r>
      <w:r w:rsidR="000166DA">
        <w:rPr>
          <w:rFonts w:ascii="Arial" w:hAnsi="Arial" w:cs="Arial"/>
          <w:sz w:val="20"/>
          <w:szCs w:val="20"/>
        </w:rPr>
        <w:t xml:space="preserve"> department</w:t>
      </w:r>
      <w:r w:rsidR="00C620F5">
        <w:rPr>
          <w:rFonts w:ascii="Arial" w:hAnsi="Arial" w:cs="Arial"/>
          <w:sz w:val="20"/>
          <w:szCs w:val="20"/>
        </w:rPr>
        <w:t>s, with the exception of seafood,</w:t>
      </w:r>
      <w:r w:rsidR="008B05F8">
        <w:rPr>
          <w:rFonts w:ascii="Arial" w:hAnsi="Arial" w:cs="Arial"/>
          <w:sz w:val="20"/>
          <w:szCs w:val="20"/>
        </w:rPr>
        <w:t xml:space="preserve"> gained year-over-year, with the highest increases going to deli. </w:t>
      </w:r>
      <w:r w:rsidR="000166DA">
        <w:rPr>
          <w:rFonts w:ascii="Arial" w:hAnsi="Arial" w:cs="Arial"/>
          <w:sz w:val="20"/>
          <w:szCs w:val="20"/>
        </w:rPr>
        <w:t>Seafood is significantly smaller than the other fresh departments</w:t>
      </w:r>
      <w:r w:rsidR="00C620F5">
        <w:rPr>
          <w:rFonts w:ascii="Arial" w:hAnsi="Arial" w:cs="Arial"/>
          <w:sz w:val="20"/>
          <w:szCs w:val="20"/>
        </w:rPr>
        <w:t xml:space="preserve"> and deli sales overtook bakery sales this month, with </w:t>
      </w:r>
      <w:r w:rsidR="00393357">
        <w:rPr>
          <w:rFonts w:ascii="Arial" w:hAnsi="Arial" w:cs="Arial"/>
          <w:sz w:val="20"/>
          <w:szCs w:val="20"/>
        </w:rPr>
        <w:t xml:space="preserve">November </w:t>
      </w:r>
      <w:r w:rsidR="00C620F5">
        <w:rPr>
          <w:rFonts w:ascii="Arial" w:hAnsi="Arial" w:cs="Arial"/>
          <w:sz w:val="20"/>
          <w:szCs w:val="20"/>
        </w:rPr>
        <w:t>sales of $</w:t>
      </w:r>
      <w:r w:rsidR="00393357">
        <w:rPr>
          <w:rFonts w:ascii="Arial" w:hAnsi="Arial" w:cs="Arial"/>
          <w:sz w:val="20"/>
          <w:szCs w:val="20"/>
        </w:rPr>
        <w:t>3.3</w:t>
      </w:r>
      <w:r w:rsidR="00C620F5">
        <w:rPr>
          <w:rFonts w:ascii="Arial" w:hAnsi="Arial" w:cs="Arial"/>
          <w:sz w:val="20"/>
          <w:szCs w:val="20"/>
        </w:rPr>
        <w:t xml:space="preserve"> billion</w:t>
      </w:r>
      <w:r w:rsidR="000166DA">
        <w:rPr>
          <w:rFonts w:ascii="Arial" w:hAnsi="Arial" w:cs="Arial"/>
          <w:sz w:val="20"/>
          <w:szCs w:val="20"/>
        </w:rPr>
        <w:t xml:space="preserve">. </w:t>
      </w:r>
      <w:r>
        <w:rPr>
          <w:rFonts w:ascii="Arial" w:hAnsi="Arial" w:cs="Arial"/>
          <w:sz w:val="20"/>
          <w:szCs w:val="20"/>
        </w:rPr>
        <w:t xml:space="preserve"> </w:t>
      </w:r>
    </w:p>
    <w:p w14:paraId="17888378" w14:textId="77777777" w:rsidR="001024F6" w:rsidRDefault="001024F6" w:rsidP="001024F6">
      <w:pPr>
        <w:pStyle w:val="NoSpacing"/>
        <w:rPr>
          <w:rFonts w:ascii="Arial" w:hAnsi="Arial" w:cs="Arial"/>
          <w:sz w:val="20"/>
          <w:szCs w:val="20"/>
        </w:rPr>
      </w:pPr>
    </w:p>
    <w:tbl>
      <w:tblPr>
        <w:tblStyle w:val="LightShading-Accent5"/>
        <w:tblW w:w="10620" w:type="dxa"/>
        <w:tblBorders>
          <w:top w:val="none" w:sz="0" w:space="0" w:color="auto"/>
          <w:bottom w:val="none" w:sz="0" w:space="0" w:color="auto"/>
        </w:tblBorders>
        <w:tblLook w:val="04A0" w:firstRow="1" w:lastRow="0" w:firstColumn="1" w:lastColumn="0" w:noHBand="0" w:noVBand="1"/>
      </w:tblPr>
      <w:tblGrid>
        <w:gridCol w:w="3258"/>
        <w:gridCol w:w="2052"/>
        <w:gridCol w:w="2655"/>
        <w:gridCol w:w="2655"/>
      </w:tblGrid>
      <w:tr w:rsidR="001024F6" w:rsidRPr="00B265F0" w14:paraId="18C90D72" w14:textId="77777777" w:rsidTr="00CD753C">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258" w:type="dxa"/>
            <w:tcBorders>
              <w:top w:val="none" w:sz="0" w:space="0" w:color="auto"/>
              <w:left w:val="none" w:sz="0" w:space="0" w:color="auto"/>
              <w:bottom w:val="none" w:sz="0" w:space="0" w:color="auto"/>
              <w:right w:val="none" w:sz="0" w:space="0" w:color="auto"/>
            </w:tcBorders>
            <w:shd w:val="clear" w:color="auto" w:fill="17365D" w:themeFill="text2" w:themeFillShade="BF"/>
          </w:tcPr>
          <w:p w14:paraId="6B2845B1" w14:textId="77777777" w:rsidR="001024F6" w:rsidRPr="00B265F0" w:rsidRDefault="00B51D47" w:rsidP="00042FD2">
            <w:pPr>
              <w:pStyle w:val="NoSpacing"/>
              <w:rPr>
                <w:rFonts w:ascii="Arial" w:hAnsi="Arial" w:cs="Arial"/>
                <w:color w:val="FFFFFF" w:themeColor="background1"/>
                <w:sz w:val="18"/>
                <w:szCs w:val="20"/>
              </w:rPr>
            </w:pPr>
            <w:r>
              <w:rPr>
                <w:rFonts w:ascii="Arial" w:hAnsi="Arial" w:cs="Arial"/>
                <w:color w:val="FFFFFF" w:themeColor="background1"/>
                <w:sz w:val="18"/>
                <w:szCs w:val="20"/>
              </w:rPr>
              <w:t>Novem</w:t>
            </w:r>
            <w:r w:rsidR="00CB06C1">
              <w:rPr>
                <w:rFonts w:ascii="Arial" w:hAnsi="Arial" w:cs="Arial"/>
                <w:color w:val="FFFFFF" w:themeColor="background1"/>
                <w:sz w:val="18"/>
                <w:szCs w:val="20"/>
              </w:rPr>
              <w:t>ber</w:t>
            </w:r>
            <w:r w:rsidR="00335BB3">
              <w:rPr>
                <w:rFonts w:ascii="Arial" w:hAnsi="Arial" w:cs="Arial"/>
                <w:color w:val="FFFFFF" w:themeColor="background1"/>
                <w:sz w:val="18"/>
                <w:szCs w:val="20"/>
              </w:rPr>
              <w:t xml:space="preserve"> 2021 </w:t>
            </w:r>
          </w:p>
        </w:tc>
        <w:tc>
          <w:tcPr>
            <w:tcW w:w="2052" w:type="dxa"/>
            <w:tcBorders>
              <w:top w:val="none" w:sz="0" w:space="0" w:color="auto"/>
              <w:left w:val="none" w:sz="0" w:space="0" w:color="auto"/>
              <w:bottom w:val="none" w:sz="0" w:space="0" w:color="auto"/>
              <w:right w:val="none" w:sz="0" w:space="0" w:color="auto"/>
            </w:tcBorders>
            <w:shd w:val="clear" w:color="auto" w:fill="17365D" w:themeFill="text2" w:themeFillShade="BF"/>
          </w:tcPr>
          <w:p w14:paraId="030692DD" w14:textId="77777777" w:rsidR="001024F6" w:rsidRPr="00B265F0" w:rsidRDefault="001024F6" w:rsidP="00042FD2">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Pr>
                <w:rFonts w:ascii="Arial" w:hAnsi="Arial" w:cs="Arial"/>
                <w:color w:val="FFFFFF" w:themeColor="background1"/>
                <w:sz w:val="18"/>
                <w:szCs w:val="20"/>
              </w:rPr>
              <w:t xml:space="preserve">$ </w:t>
            </w:r>
            <w:r>
              <w:rPr>
                <w:rFonts w:ascii="Arial" w:hAnsi="Arial" w:cs="Arial"/>
                <w:color w:val="FFFFFF" w:themeColor="background1"/>
                <w:sz w:val="18"/>
                <w:szCs w:val="20"/>
              </w:rPr>
              <w:br/>
              <w:t>sales</w:t>
            </w:r>
          </w:p>
        </w:tc>
        <w:tc>
          <w:tcPr>
            <w:tcW w:w="2655" w:type="dxa"/>
            <w:tcBorders>
              <w:top w:val="none" w:sz="0" w:space="0" w:color="auto"/>
              <w:left w:val="none" w:sz="0" w:space="0" w:color="auto"/>
              <w:bottom w:val="none" w:sz="0" w:space="0" w:color="auto"/>
              <w:right w:val="none" w:sz="0" w:space="0" w:color="auto"/>
            </w:tcBorders>
            <w:shd w:val="clear" w:color="auto" w:fill="17365D" w:themeFill="text2" w:themeFillShade="BF"/>
            <w:vAlign w:val="bottom"/>
          </w:tcPr>
          <w:p w14:paraId="2E3CC9A1" w14:textId="77777777" w:rsidR="001024F6" w:rsidRPr="00B265F0" w:rsidRDefault="001024F6" w:rsidP="00042FD2">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sidRPr="00B265F0">
              <w:rPr>
                <w:rFonts w:ascii="Arial" w:hAnsi="Arial" w:cs="Arial"/>
                <w:color w:val="FFFFFF" w:themeColor="background1"/>
                <w:sz w:val="18"/>
                <w:szCs w:val="20"/>
              </w:rPr>
              <w:t xml:space="preserve">Dollar sales gains </w:t>
            </w:r>
            <w:r w:rsidR="00CD176C">
              <w:rPr>
                <w:rFonts w:ascii="Arial" w:hAnsi="Arial" w:cs="Arial"/>
                <w:color w:val="FFFFFF" w:themeColor="background1"/>
                <w:sz w:val="18"/>
                <w:szCs w:val="20"/>
              </w:rPr>
              <w:br/>
            </w:r>
            <w:r w:rsidRPr="00B265F0">
              <w:rPr>
                <w:rFonts w:ascii="Arial" w:hAnsi="Arial" w:cs="Arial"/>
                <w:color w:val="FFFFFF" w:themeColor="background1"/>
                <w:sz w:val="18"/>
                <w:szCs w:val="20"/>
              </w:rPr>
              <w:t>v</w:t>
            </w:r>
            <w:r>
              <w:rPr>
                <w:rFonts w:ascii="Arial" w:hAnsi="Arial" w:cs="Arial"/>
                <w:color w:val="FFFFFF" w:themeColor="background1"/>
                <w:sz w:val="18"/>
                <w:szCs w:val="20"/>
              </w:rPr>
              <w:t>s. 20</w:t>
            </w:r>
            <w:r w:rsidR="004D26B3">
              <w:rPr>
                <w:rFonts w:ascii="Arial" w:hAnsi="Arial" w:cs="Arial"/>
                <w:color w:val="FFFFFF" w:themeColor="background1"/>
                <w:sz w:val="18"/>
                <w:szCs w:val="20"/>
              </w:rPr>
              <w:t>20</w:t>
            </w:r>
          </w:p>
        </w:tc>
        <w:tc>
          <w:tcPr>
            <w:tcW w:w="2655" w:type="dxa"/>
            <w:tcBorders>
              <w:top w:val="none" w:sz="0" w:space="0" w:color="auto"/>
              <w:left w:val="none" w:sz="0" w:space="0" w:color="auto"/>
              <w:bottom w:val="none" w:sz="0" w:space="0" w:color="auto"/>
              <w:right w:val="none" w:sz="0" w:space="0" w:color="auto"/>
            </w:tcBorders>
            <w:shd w:val="clear" w:color="auto" w:fill="17365D" w:themeFill="text2" w:themeFillShade="BF"/>
            <w:vAlign w:val="bottom"/>
          </w:tcPr>
          <w:p w14:paraId="6D0FF8CF" w14:textId="77777777" w:rsidR="001024F6" w:rsidRPr="00B265F0" w:rsidRDefault="001024F6" w:rsidP="00042FD2">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sidRPr="00B265F0">
              <w:rPr>
                <w:rFonts w:ascii="Arial" w:hAnsi="Arial" w:cs="Arial"/>
                <w:color w:val="FFFFFF" w:themeColor="background1"/>
                <w:sz w:val="18"/>
                <w:szCs w:val="20"/>
              </w:rPr>
              <w:t xml:space="preserve">Dollar sales gains </w:t>
            </w:r>
            <w:r w:rsidR="00CD176C">
              <w:rPr>
                <w:rFonts w:ascii="Arial" w:hAnsi="Arial" w:cs="Arial"/>
                <w:color w:val="FFFFFF" w:themeColor="background1"/>
                <w:sz w:val="18"/>
                <w:szCs w:val="20"/>
              </w:rPr>
              <w:br/>
            </w:r>
            <w:r w:rsidRPr="00B265F0">
              <w:rPr>
                <w:rFonts w:ascii="Arial" w:hAnsi="Arial" w:cs="Arial"/>
                <w:color w:val="FFFFFF" w:themeColor="background1"/>
                <w:sz w:val="18"/>
                <w:szCs w:val="20"/>
              </w:rPr>
              <w:t>v</w:t>
            </w:r>
            <w:r>
              <w:rPr>
                <w:rFonts w:ascii="Arial" w:hAnsi="Arial" w:cs="Arial"/>
                <w:color w:val="FFFFFF" w:themeColor="background1"/>
                <w:sz w:val="18"/>
                <w:szCs w:val="20"/>
              </w:rPr>
              <w:t>s. 20</w:t>
            </w:r>
            <w:r w:rsidR="004D26B3">
              <w:rPr>
                <w:rFonts w:ascii="Arial" w:hAnsi="Arial" w:cs="Arial"/>
                <w:color w:val="FFFFFF" w:themeColor="background1"/>
                <w:sz w:val="18"/>
                <w:szCs w:val="20"/>
              </w:rPr>
              <w:t>19</w:t>
            </w:r>
          </w:p>
        </w:tc>
      </w:tr>
      <w:tr w:rsidR="00C620F5" w:rsidRPr="00E43E81" w14:paraId="50E188AD" w14:textId="77777777" w:rsidTr="00CD753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258" w:type="dxa"/>
          </w:tcPr>
          <w:p w14:paraId="741585C9" w14:textId="77777777" w:rsidR="00C620F5" w:rsidRDefault="00C620F5" w:rsidP="00C620F5">
            <w:pPr>
              <w:rPr>
                <w:rFonts w:ascii="Arial" w:hAnsi="Arial" w:cs="Arial"/>
                <w:b w:val="0"/>
                <w:color w:val="215868" w:themeColor="accent5" w:themeShade="80"/>
                <w:sz w:val="18"/>
                <w:szCs w:val="20"/>
              </w:rPr>
            </w:pPr>
            <w:r>
              <w:rPr>
                <w:rFonts w:ascii="Arial" w:hAnsi="Arial" w:cs="Arial"/>
                <w:b w:val="0"/>
                <w:color w:val="215868" w:themeColor="accent5" w:themeShade="80"/>
                <w:sz w:val="18"/>
                <w:szCs w:val="20"/>
              </w:rPr>
              <w:t>Total perishables</w:t>
            </w:r>
          </w:p>
        </w:tc>
        <w:tc>
          <w:tcPr>
            <w:tcW w:w="2052" w:type="dxa"/>
          </w:tcPr>
          <w:p w14:paraId="78BA52C6" w14:textId="31B4BF2C" w:rsidR="00C620F5" w:rsidRDefault="00C620F5" w:rsidP="00C620F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sidRPr="002F5F30">
              <w:rPr>
                <w:rFonts w:ascii="Arial" w:eastAsia="Times New Roman" w:hAnsi="Arial" w:cs="Arial"/>
                <w:color w:val="215868" w:themeColor="accent5" w:themeShade="80"/>
                <w:sz w:val="18"/>
                <w:szCs w:val="18"/>
              </w:rPr>
              <w:t>$</w:t>
            </w:r>
            <w:r w:rsidR="00DC43E0">
              <w:rPr>
                <w:rFonts w:ascii="Arial" w:eastAsia="Times New Roman" w:hAnsi="Arial" w:cs="Arial"/>
                <w:color w:val="215868" w:themeColor="accent5" w:themeShade="80"/>
                <w:sz w:val="18"/>
                <w:szCs w:val="18"/>
              </w:rPr>
              <w:t>25.0</w:t>
            </w:r>
            <w:r w:rsidRPr="002F5F30">
              <w:rPr>
                <w:rFonts w:ascii="Arial" w:eastAsia="Times New Roman" w:hAnsi="Arial" w:cs="Arial"/>
                <w:color w:val="215868" w:themeColor="accent5" w:themeShade="80"/>
                <w:sz w:val="18"/>
                <w:szCs w:val="18"/>
              </w:rPr>
              <w:t>B</w:t>
            </w:r>
          </w:p>
        </w:tc>
        <w:tc>
          <w:tcPr>
            <w:tcW w:w="2655" w:type="dxa"/>
          </w:tcPr>
          <w:p w14:paraId="1F065F5B" w14:textId="3CA27CBB" w:rsidR="00C620F5" w:rsidRPr="00E43E81" w:rsidRDefault="00B51D47" w:rsidP="00C620F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eastAsia="Times New Roman" w:hAnsi="Arial" w:cs="Arial"/>
                <w:color w:val="215868" w:themeColor="accent5" w:themeShade="80"/>
                <w:sz w:val="18"/>
                <w:szCs w:val="18"/>
              </w:rPr>
              <w:t>+</w:t>
            </w:r>
            <w:r w:rsidR="00DC43E0">
              <w:rPr>
                <w:rFonts w:ascii="Arial" w:eastAsia="Times New Roman" w:hAnsi="Arial" w:cs="Arial"/>
                <w:color w:val="215868" w:themeColor="accent5" w:themeShade="80"/>
                <w:sz w:val="18"/>
                <w:szCs w:val="18"/>
              </w:rPr>
              <w:t>4.7</w:t>
            </w:r>
            <w:r w:rsidR="00C620F5" w:rsidRPr="002F5F30">
              <w:rPr>
                <w:rFonts w:ascii="Arial" w:eastAsia="Times New Roman" w:hAnsi="Arial" w:cs="Arial"/>
                <w:color w:val="215868" w:themeColor="accent5" w:themeShade="80"/>
                <w:sz w:val="18"/>
                <w:szCs w:val="18"/>
              </w:rPr>
              <w:t>%</w:t>
            </w:r>
          </w:p>
        </w:tc>
        <w:tc>
          <w:tcPr>
            <w:tcW w:w="2655" w:type="dxa"/>
          </w:tcPr>
          <w:p w14:paraId="5284EF6A" w14:textId="0F5461F4" w:rsidR="00C620F5" w:rsidRDefault="00C620F5" w:rsidP="00C620F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sidRPr="002F5F30">
              <w:rPr>
                <w:rFonts w:ascii="Arial" w:eastAsia="Times New Roman" w:hAnsi="Arial" w:cs="Arial"/>
                <w:color w:val="215868" w:themeColor="accent5" w:themeShade="80"/>
                <w:sz w:val="18"/>
                <w:szCs w:val="18"/>
              </w:rPr>
              <w:t>+</w:t>
            </w:r>
            <w:r w:rsidR="00DC43E0">
              <w:rPr>
                <w:rFonts w:ascii="Arial" w:eastAsia="Times New Roman" w:hAnsi="Arial" w:cs="Arial"/>
                <w:color w:val="215868" w:themeColor="accent5" w:themeShade="80"/>
                <w:sz w:val="18"/>
                <w:szCs w:val="18"/>
              </w:rPr>
              <w:t>15.4</w:t>
            </w:r>
            <w:r w:rsidRPr="002F5F30">
              <w:rPr>
                <w:rFonts w:ascii="Arial" w:eastAsia="Times New Roman" w:hAnsi="Arial" w:cs="Arial"/>
                <w:color w:val="215868" w:themeColor="accent5" w:themeShade="80"/>
                <w:sz w:val="18"/>
                <w:szCs w:val="18"/>
              </w:rPr>
              <w:t>%</w:t>
            </w:r>
          </w:p>
        </w:tc>
      </w:tr>
      <w:tr w:rsidR="00C620F5" w:rsidRPr="00E43E81" w14:paraId="3F63C3BA" w14:textId="77777777" w:rsidTr="00107812">
        <w:trPr>
          <w:trHeight w:val="227"/>
        </w:trPr>
        <w:tc>
          <w:tcPr>
            <w:cnfStyle w:val="001000000000" w:firstRow="0" w:lastRow="0" w:firstColumn="1" w:lastColumn="0" w:oddVBand="0" w:evenVBand="0" w:oddHBand="0" w:evenHBand="0" w:firstRowFirstColumn="0" w:firstRowLastColumn="0" w:lastRowFirstColumn="0" w:lastRowLastColumn="0"/>
            <w:tcW w:w="3258" w:type="dxa"/>
          </w:tcPr>
          <w:p w14:paraId="77454683" w14:textId="77777777" w:rsidR="00C620F5" w:rsidRPr="00E43E81" w:rsidRDefault="00C620F5" w:rsidP="00107812">
            <w:pPr>
              <w:pStyle w:val="NoSpacing"/>
              <w:rPr>
                <w:rFonts w:ascii="Arial" w:hAnsi="Arial" w:cs="Arial"/>
                <w:b w:val="0"/>
                <w:color w:val="215868" w:themeColor="accent5" w:themeShade="80"/>
                <w:sz w:val="18"/>
                <w:szCs w:val="20"/>
              </w:rPr>
            </w:pPr>
            <w:r>
              <w:rPr>
                <w:rFonts w:ascii="Arial" w:hAnsi="Arial" w:cs="Arial"/>
                <w:b w:val="0"/>
                <w:color w:val="215868" w:themeColor="accent5" w:themeShade="80"/>
                <w:sz w:val="18"/>
                <w:szCs w:val="20"/>
              </w:rPr>
              <w:t>Meat</w:t>
            </w:r>
          </w:p>
        </w:tc>
        <w:tc>
          <w:tcPr>
            <w:tcW w:w="2052" w:type="dxa"/>
          </w:tcPr>
          <w:p w14:paraId="37AEFE7C" w14:textId="7A6E00A9" w:rsidR="00C620F5" w:rsidRDefault="00C620F5" w:rsidP="00107812">
            <w:pPr>
              <w:jc w:val="right"/>
              <w:cnfStyle w:val="000000000000" w:firstRow="0" w:lastRow="0" w:firstColumn="0" w:lastColumn="0" w:oddVBand="0" w:evenVBand="0" w:oddHBand="0" w:evenHBand="0" w:firstRowFirstColumn="0" w:firstRowLastColumn="0" w:lastRowFirstColumn="0" w:lastRowLastColumn="0"/>
            </w:pPr>
            <w:r w:rsidRPr="00EE08B3">
              <w:rPr>
                <w:rFonts w:ascii="Arial" w:eastAsia="Times New Roman" w:hAnsi="Arial" w:cs="Arial"/>
                <w:color w:val="215868" w:themeColor="accent5" w:themeShade="80"/>
                <w:sz w:val="18"/>
                <w:szCs w:val="18"/>
              </w:rPr>
              <w:t>$</w:t>
            </w:r>
            <w:r w:rsidR="00DC43E0">
              <w:rPr>
                <w:rFonts w:ascii="Arial" w:eastAsia="Times New Roman" w:hAnsi="Arial" w:cs="Arial"/>
                <w:color w:val="215868" w:themeColor="accent5" w:themeShade="80"/>
                <w:sz w:val="18"/>
                <w:szCs w:val="18"/>
              </w:rPr>
              <w:t>6.8</w:t>
            </w:r>
            <w:r w:rsidRPr="00EE08B3">
              <w:rPr>
                <w:rFonts w:ascii="Arial" w:eastAsia="Times New Roman" w:hAnsi="Arial" w:cs="Arial"/>
                <w:color w:val="215868" w:themeColor="accent5" w:themeShade="80"/>
                <w:sz w:val="18"/>
                <w:szCs w:val="18"/>
              </w:rPr>
              <w:t>B</w:t>
            </w:r>
          </w:p>
        </w:tc>
        <w:tc>
          <w:tcPr>
            <w:tcW w:w="2655" w:type="dxa"/>
          </w:tcPr>
          <w:p w14:paraId="4F65AE4B" w14:textId="79CC2C76" w:rsidR="00C620F5" w:rsidRDefault="00B51D47" w:rsidP="00107812">
            <w:pPr>
              <w:jc w:val="right"/>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215868" w:themeColor="accent5" w:themeShade="80"/>
                <w:sz w:val="18"/>
                <w:szCs w:val="18"/>
              </w:rPr>
              <w:t>+</w:t>
            </w:r>
            <w:r w:rsidR="00DC43E0">
              <w:rPr>
                <w:rFonts w:ascii="Arial" w:eastAsia="Times New Roman" w:hAnsi="Arial" w:cs="Arial"/>
                <w:color w:val="215868" w:themeColor="accent5" w:themeShade="80"/>
                <w:sz w:val="18"/>
                <w:szCs w:val="18"/>
              </w:rPr>
              <w:t>3.9</w:t>
            </w:r>
            <w:r w:rsidR="00C620F5" w:rsidRPr="00507359">
              <w:rPr>
                <w:rFonts w:ascii="Arial" w:eastAsia="Times New Roman" w:hAnsi="Arial" w:cs="Arial"/>
                <w:color w:val="215868" w:themeColor="accent5" w:themeShade="80"/>
                <w:sz w:val="18"/>
                <w:szCs w:val="18"/>
              </w:rPr>
              <w:t>%</w:t>
            </w:r>
          </w:p>
        </w:tc>
        <w:tc>
          <w:tcPr>
            <w:tcW w:w="2655" w:type="dxa"/>
          </w:tcPr>
          <w:p w14:paraId="0ADC4585" w14:textId="0E159E9D" w:rsidR="00C620F5" w:rsidRPr="00E43E81" w:rsidRDefault="00B51D47" w:rsidP="0010781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Pr>
                <w:rFonts w:ascii="Arial" w:eastAsia="Times New Roman" w:hAnsi="Arial" w:cs="Arial"/>
                <w:color w:val="215868" w:themeColor="accent5" w:themeShade="80"/>
                <w:sz w:val="18"/>
                <w:szCs w:val="18"/>
              </w:rPr>
              <w:t>+</w:t>
            </w:r>
            <w:r w:rsidR="00DC43E0">
              <w:rPr>
                <w:rFonts w:ascii="Arial" w:eastAsia="Times New Roman" w:hAnsi="Arial" w:cs="Arial"/>
                <w:color w:val="215868" w:themeColor="accent5" w:themeShade="80"/>
                <w:sz w:val="18"/>
                <w:szCs w:val="18"/>
              </w:rPr>
              <w:t>20.5</w:t>
            </w:r>
            <w:r w:rsidR="00C620F5" w:rsidRPr="00E43E81">
              <w:rPr>
                <w:rFonts w:ascii="Arial" w:eastAsia="Times New Roman" w:hAnsi="Arial" w:cs="Arial"/>
                <w:color w:val="215868" w:themeColor="accent5" w:themeShade="80"/>
                <w:sz w:val="18"/>
                <w:szCs w:val="18"/>
              </w:rPr>
              <w:t>%</w:t>
            </w:r>
          </w:p>
        </w:tc>
      </w:tr>
      <w:tr w:rsidR="00C620F5" w:rsidRPr="00E43E81" w14:paraId="2D7FE98E" w14:textId="77777777" w:rsidTr="0010781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258" w:type="dxa"/>
          </w:tcPr>
          <w:p w14:paraId="71588A30" w14:textId="77777777" w:rsidR="00C620F5" w:rsidRDefault="00C620F5" w:rsidP="00107812">
            <w:pPr>
              <w:pStyle w:val="NoSpacing"/>
              <w:rPr>
                <w:rFonts w:ascii="Arial" w:hAnsi="Arial" w:cs="Arial"/>
                <w:b w:val="0"/>
                <w:color w:val="215868" w:themeColor="accent5" w:themeShade="80"/>
                <w:sz w:val="18"/>
                <w:szCs w:val="20"/>
              </w:rPr>
            </w:pPr>
            <w:r>
              <w:rPr>
                <w:rFonts w:ascii="Arial" w:hAnsi="Arial" w:cs="Arial"/>
                <w:b w:val="0"/>
                <w:color w:val="215868" w:themeColor="accent5" w:themeShade="80"/>
                <w:sz w:val="18"/>
                <w:szCs w:val="20"/>
              </w:rPr>
              <w:t>Refrigerated (including dairy)</w:t>
            </w:r>
          </w:p>
        </w:tc>
        <w:tc>
          <w:tcPr>
            <w:tcW w:w="2052" w:type="dxa"/>
          </w:tcPr>
          <w:p w14:paraId="6CBA488C" w14:textId="35A97CC5" w:rsidR="00C620F5" w:rsidRDefault="00C620F5" w:rsidP="00107812">
            <w:pPr>
              <w:jc w:val="right"/>
              <w:cnfStyle w:val="000000100000" w:firstRow="0" w:lastRow="0" w:firstColumn="0" w:lastColumn="0" w:oddVBand="0" w:evenVBand="0" w:oddHBand="1" w:evenHBand="0" w:firstRowFirstColumn="0" w:firstRowLastColumn="0" w:lastRowFirstColumn="0" w:lastRowLastColumn="0"/>
            </w:pPr>
            <w:r w:rsidRPr="00EE08B3">
              <w:rPr>
                <w:rFonts w:ascii="Arial" w:eastAsia="Times New Roman" w:hAnsi="Arial" w:cs="Arial"/>
                <w:color w:val="215868" w:themeColor="accent5" w:themeShade="80"/>
                <w:sz w:val="18"/>
                <w:szCs w:val="18"/>
              </w:rPr>
              <w:t>$</w:t>
            </w:r>
            <w:r w:rsidR="00DC43E0">
              <w:rPr>
                <w:rFonts w:ascii="Arial" w:eastAsia="Times New Roman" w:hAnsi="Arial" w:cs="Arial"/>
                <w:color w:val="215868" w:themeColor="accent5" w:themeShade="80"/>
                <w:sz w:val="18"/>
                <w:szCs w:val="18"/>
              </w:rPr>
              <w:t>6.1</w:t>
            </w:r>
            <w:r w:rsidRPr="00EE08B3">
              <w:rPr>
                <w:rFonts w:ascii="Arial" w:eastAsia="Times New Roman" w:hAnsi="Arial" w:cs="Arial"/>
                <w:color w:val="215868" w:themeColor="accent5" w:themeShade="80"/>
                <w:sz w:val="18"/>
                <w:szCs w:val="18"/>
              </w:rPr>
              <w:t>B</w:t>
            </w:r>
          </w:p>
        </w:tc>
        <w:tc>
          <w:tcPr>
            <w:tcW w:w="2655" w:type="dxa"/>
          </w:tcPr>
          <w:p w14:paraId="417E1F77" w14:textId="07BBA613" w:rsidR="00C620F5" w:rsidRDefault="00B51D47" w:rsidP="00107812">
            <w:pPr>
              <w:jc w:val="right"/>
              <w:cnfStyle w:val="000000100000" w:firstRow="0" w:lastRow="0" w:firstColumn="0" w:lastColumn="0" w:oddVBand="0" w:evenVBand="0" w:oddHBand="1" w:evenHBand="0" w:firstRowFirstColumn="0" w:firstRowLastColumn="0" w:lastRowFirstColumn="0" w:lastRowLastColumn="0"/>
            </w:pPr>
            <w:r>
              <w:rPr>
                <w:rFonts w:ascii="Arial" w:eastAsia="Times New Roman" w:hAnsi="Arial" w:cs="Arial"/>
                <w:color w:val="215868" w:themeColor="accent5" w:themeShade="80"/>
                <w:sz w:val="18"/>
                <w:szCs w:val="18"/>
              </w:rPr>
              <w:t>+</w:t>
            </w:r>
            <w:r w:rsidR="00DC43E0">
              <w:rPr>
                <w:rFonts w:ascii="Arial" w:eastAsia="Times New Roman" w:hAnsi="Arial" w:cs="Arial"/>
                <w:color w:val="215868" w:themeColor="accent5" w:themeShade="80"/>
                <w:sz w:val="18"/>
                <w:szCs w:val="18"/>
              </w:rPr>
              <w:t>1.5</w:t>
            </w:r>
            <w:r w:rsidR="00C620F5" w:rsidRPr="00507359">
              <w:rPr>
                <w:rFonts w:ascii="Arial" w:eastAsia="Times New Roman" w:hAnsi="Arial" w:cs="Arial"/>
                <w:color w:val="215868" w:themeColor="accent5" w:themeShade="80"/>
                <w:sz w:val="18"/>
                <w:szCs w:val="18"/>
              </w:rPr>
              <w:t>%</w:t>
            </w:r>
          </w:p>
        </w:tc>
        <w:tc>
          <w:tcPr>
            <w:tcW w:w="2655" w:type="dxa"/>
          </w:tcPr>
          <w:p w14:paraId="1E89F4C5" w14:textId="73E630DB" w:rsidR="00C620F5" w:rsidRDefault="00B51D47" w:rsidP="0010781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eastAsia="Times New Roman" w:hAnsi="Arial" w:cs="Arial"/>
                <w:color w:val="215868" w:themeColor="accent5" w:themeShade="80"/>
                <w:sz w:val="18"/>
                <w:szCs w:val="18"/>
              </w:rPr>
              <w:t>+</w:t>
            </w:r>
            <w:r w:rsidR="00DC43E0">
              <w:rPr>
                <w:rFonts w:ascii="Arial" w:eastAsia="Times New Roman" w:hAnsi="Arial" w:cs="Arial"/>
                <w:color w:val="215868" w:themeColor="accent5" w:themeShade="80"/>
                <w:sz w:val="18"/>
                <w:szCs w:val="18"/>
              </w:rPr>
              <w:t>10.7</w:t>
            </w:r>
            <w:r w:rsidR="00C620F5">
              <w:rPr>
                <w:rFonts w:ascii="Arial" w:eastAsia="Times New Roman" w:hAnsi="Arial" w:cs="Arial"/>
                <w:color w:val="215868" w:themeColor="accent5" w:themeShade="80"/>
                <w:sz w:val="18"/>
                <w:szCs w:val="18"/>
              </w:rPr>
              <w:t>%</w:t>
            </w:r>
          </w:p>
        </w:tc>
      </w:tr>
      <w:tr w:rsidR="00C620F5" w:rsidRPr="00E43E81" w14:paraId="263F51B7" w14:textId="77777777" w:rsidTr="00107812">
        <w:trPr>
          <w:trHeight w:val="227"/>
        </w:trPr>
        <w:tc>
          <w:tcPr>
            <w:cnfStyle w:val="001000000000" w:firstRow="0" w:lastRow="0" w:firstColumn="1" w:lastColumn="0" w:oddVBand="0" w:evenVBand="0" w:oddHBand="0" w:evenHBand="0" w:firstRowFirstColumn="0" w:firstRowLastColumn="0" w:lastRowFirstColumn="0" w:lastRowLastColumn="0"/>
            <w:tcW w:w="3258" w:type="dxa"/>
          </w:tcPr>
          <w:p w14:paraId="1F2FCB13" w14:textId="77777777" w:rsidR="00C620F5" w:rsidRPr="00E43E81" w:rsidRDefault="00C620F5" w:rsidP="00107812">
            <w:pPr>
              <w:pStyle w:val="NoSpacing"/>
              <w:rPr>
                <w:rFonts w:ascii="Arial" w:hAnsi="Arial" w:cs="Arial"/>
                <w:b w:val="0"/>
                <w:color w:val="215868" w:themeColor="accent5" w:themeShade="80"/>
                <w:sz w:val="18"/>
                <w:szCs w:val="20"/>
              </w:rPr>
            </w:pPr>
            <w:r>
              <w:rPr>
                <w:rFonts w:ascii="Arial" w:hAnsi="Arial" w:cs="Arial"/>
                <w:b w:val="0"/>
                <w:color w:val="215868" w:themeColor="accent5" w:themeShade="80"/>
                <w:sz w:val="18"/>
                <w:szCs w:val="20"/>
              </w:rPr>
              <w:t>Produce</w:t>
            </w:r>
          </w:p>
        </w:tc>
        <w:tc>
          <w:tcPr>
            <w:tcW w:w="2052" w:type="dxa"/>
          </w:tcPr>
          <w:p w14:paraId="078E4D41" w14:textId="4BF62B19" w:rsidR="00C620F5" w:rsidRDefault="00C620F5" w:rsidP="00107812">
            <w:pPr>
              <w:jc w:val="right"/>
              <w:cnfStyle w:val="000000000000" w:firstRow="0" w:lastRow="0" w:firstColumn="0" w:lastColumn="0" w:oddVBand="0" w:evenVBand="0" w:oddHBand="0" w:evenHBand="0" w:firstRowFirstColumn="0" w:firstRowLastColumn="0" w:lastRowFirstColumn="0" w:lastRowLastColumn="0"/>
            </w:pPr>
            <w:r w:rsidRPr="00EE08B3">
              <w:rPr>
                <w:rFonts w:ascii="Arial" w:eastAsia="Times New Roman" w:hAnsi="Arial" w:cs="Arial"/>
                <w:color w:val="215868" w:themeColor="accent5" w:themeShade="80"/>
                <w:sz w:val="18"/>
                <w:szCs w:val="18"/>
              </w:rPr>
              <w:t>$</w:t>
            </w:r>
            <w:r w:rsidR="00DC43E0">
              <w:rPr>
                <w:rFonts w:ascii="Arial" w:eastAsia="Times New Roman" w:hAnsi="Arial" w:cs="Arial"/>
                <w:color w:val="215868" w:themeColor="accent5" w:themeShade="80"/>
                <w:sz w:val="18"/>
                <w:szCs w:val="18"/>
              </w:rPr>
              <w:t>5.3</w:t>
            </w:r>
            <w:r w:rsidRPr="00EE08B3">
              <w:rPr>
                <w:rFonts w:ascii="Arial" w:eastAsia="Times New Roman" w:hAnsi="Arial" w:cs="Arial"/>
                <w:color w:val="215868" w:themeColor="accent5" w:themeShade="80"/>
                <w:sz w:val="18"/>
                <w:szCs w:val="18"/>
              </w:rPr>
              <w:t>B</w:t>
            </w:r>
          </w:p>
        </w:tc>
        <w:tc>
          <w:tcPr>
            <w:tcW w:w="2655" w:type="dxa"/>
          </w:tcPr>
          <w:p w14:paraId="793676AC" w14:textId="7E4B5663" w:rsidR="00C620F5" w:rsidRDefault="00B51D47" w:rsidP="00107812">
            <w:pPr>
              <w:jc w:val="right"/>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215868" w:themeColor="accent5" w:themeShade="80"/>
                <w:sz w:val="18"/>
                <w:szCs w:val="18"/>
              </w:rPr>
              <w:t>+</w:t>
            </w:r>
            <w:r w:rsidR="00DC43E0">
              <w:rPr>
                <w:rFonts w:ascii="Arial" w:eastAsia="Times New Roman" w:hAnsi="Arial" w:cs="Arial"/>
                <w:color w:val="215868" w:themeColor="accent5" w:themeShade="80"/>
                <w:sz w:val="18"/>
                <w:szCs w:val="18"/>
              </w:rPr>
              <w:t>4.0</w:t>
            </w:r>
            <w:r w:rsidR="00C620F5" w:rsidRPr="00507359">
              <w:rPr>
                <w:rFonts w:ascii="Arial" w:eastAsia="Times New Roman" w:hAnsi="Arial" w:cs="Arial"/>
                <w:color w:val="215868" w:themeColor="accent5" w:themeShade="80"/>
                <w:sz w:val="18"/>
                <w:szCs w:val="18"/>
              </w:rPr>
              <w:t>%</w:t>
            </w:r>
          </w:p>
        </w:tc>
        <w:tc>
          <w:tcPr>
            <w:tcW w:w="2655" w:type="dxa"/>
          </w:tcPr>
          <w:p w14:paraId="3973B04D" w14:textId="2D579BA7" w:rsidR="00C620F5" w:rsidRPr="00E43E81" w:rsidRDefault="00B51D47" w:rsidP="0010781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Pr>
                <w:rFonts w:ascii="Arial" w:eastAsia="Times New Roman" w:hAnsi="Arial" w:cs="Arial"/>
                <w:color w:val="215868" w:themeColor="accent5" w:themeShade="80"/>
                <w:sz w:val="18"/>
                <w:szCs w:val="18"/>
              </w:rPr>
              <w:t>+</w:t>
            </w:r>
            <w:r w:rsidR="00DC43E0">
              <w:rPr>
                <w:rFonts w:ascii="Arial" w:eastAsia="Times New Roman" w:hAnsi="Arial" w:cs="Arial"/>
                <w:color w:val="215868" w:themeColor="accent5" w:themeShade="80"/>
                <w:sz w:val="18"/>
                <w:szCs w:val="18"/>
              </w:rPr>
              <w:t>16.0</w:t>
            </w:r>
            <w:r w:rsidR="00C620F5" w:rsidRPr="00E43E81">
              <w:rPr>
                <w:rFonts w:ascii="Arial" w:eastAsia="Times New Roman" w:hAnsi="Arial" w:cs="Arial"/>
                <w:color w:val="215868" w:themeColor="accent5" w:themeShade="80"/>
                <w:sz w:val="18"/>
                <w:szCs w:val="18"/>
              </w:rPr>
              <w:t>%</w:t>
            </w:r>
          </w:p>
        </w:tc>
      </w:tr>
      <w:tr w:rsidR="00C620F5" w:rsidRPr="00E43E81" w14:paraId="23B9FB30" w14:textId="77777777" w:rsidTr="0010781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258" w:type="dxa"/>
          </w:tcPr>
          <w:p w14:paraId="662EA7DA" w14:textId="77777777" w:rsidR="00C620F5" w:rsidRPr="00E43E81" w:rsidRDefault="00C620F5" w:rsidP="00107812">
            <w:pPr>
              <w:rPr>
                <w:rFonts w:ascii="Arial" w:hAnsi="Arial" w:cs="Arial"/>
                <w:b w:val="0"/>
                <w:color w:val="215868" w:themeColor="accent5" w:themeShade="80"/>
                <w:sz w:val="18"/>
                <w:szCs w:val="20"/>
              </w:rPr>
            </w:pPr>
            <w:r>
              <w:rPr>
                <w:rFonts w:ascii="Arial" w:hAnsi="Arial" w:cs="Arial"/>
                <w:b w:val="0"/>
                <w:color w:val="215868" w:themeColor="accent5" w:themeShade="80"/>
                <w:sz w:val="18"/>
                <w:szCs w:val="20"/>
              </w:rPr>
              <w:t>Deli (meat, cheese and deli prepared)</w:t>
            </w:r>
          </w:p>
        </w:tc>
        <w:tc>
          <w:tcPr>
            <w:tcW w:w="2052" w:type="dxa"/>
          </w:tcPr>
          <w:p w14:paraId="26EA5640" w14:textId="29F9CE33" w:rsidR="00C620F5" w:rsidRDefault="00C620F5" w:rsidP="00107812">
            <w:pPr>
              <w:jc w:val="right"/>
              <w:cnfStyle w:val="000000100000" w:firstRow="0" w:lastRow="0" w:firstColumn="0" w:lastColumn="0" w:oddVBand="0" w:evenVBand="0" w:oddHBand="1" w:evenHBand="0" w:firstRowFirstColumn="0" w:firstRowLastColumn="0" w:lastRowFirstColumn="0" w:lastRowLastColumn="0"/>
            </w:pPr>
            <w:r w:rsidRPr="00EE08B3">
              <w:rPr>
                <w:rFonts w:ascii="Arial" w:eastAsia="Times New Roman" w:hAnsi="Arial" w:cs="Arial"/>
                <w:color w:val="215868" w:themeColor="accent5" w:themeShade="80"/>
                <w:sz w:val="18"/>
                <w:szCs w:val="18"/>
              </w:rPr>
              <w:t>$</w:t>
            </w:r>
            <w:r w:rsidR="00DC43E0">
              <w:rPr>
                <w:rFonts w:ascii="Arial" w:eastAsia="Times New Roman" w:hAnsi="Arial" w:cs="Arial"/>
                <w:color w:val="215868" w:themeColor="accent5" w:themeShade="80"/>
                <w:sz w:val="18"/>
                <w:szCs w:val="18"/>
              </w:rPr>
              <w:t>3.3</w:t>
            </w:r>
            <w:r w:rsidRPr="00EE08B3">
              <w:rPr>
                <w:rFonts w:ascii="Arial" w:eastAsia="Times New Roman" w:hAnsi="Arial" w:cs="Arial"/>
                <w:color w:val="215868" w:themeColor="accent5" w:themeShade="80"/>
                <w:sz w:val="18"/>
                <w:szCs w:val="18"/>
              </w:rPr>
              <w:t>B</w:t>
            </w:r>
          </w:p>
        </w:tc>
        <w:tc>
          <w:tcPr>
            <w:tcW w:w="2655" w:type="dxa"/>
          </w:tcPr>
          <w:p w14:paraId="06FB98FD" w14:textId="26A9E638" w:rsidR="00C620F5" w:rsidRDefault="00C620F5" w:rsidP="00107812">
            <w:pPr>
              <w:jc w:val="right"/>
              <w:cnfStyle w:val="000000100000" w:firstRow="0" w:lastRow="0" w:firstColumn="0" w:lastColumn="0" w:oddVBand="0" w:evenVBand="0" w:oddHBand="1" w:evenHBand="0" w:firstRowFirstColumn="0" w:firstRowLastColumn="0" w:lastRowFirstColumn="0" w:lastRowLastColumn="0"/>
            </w:pPr>
            <w:r w:rsidRPr="00507359">
              <w:rPr>
                <w:rFonts w:ascii="Arial" w:eastAsia="Times New Roman" w:hAnsi="Arial" w:cs="Arial"/>
                <w:color w:val="215868" w:themeColor="accent5" w:themeShade="80"/>
                <w:sz w:val="18"/>
                <w:szCs w:val="18"/>
              </w:rPr>
              <w:t>+</w:t>
            </w:r>
            <w:r w:rsidR="00DC43E0">
              <w:rPr>
                <w:rFonts w:ascii="Arial" w:eastAsia="Times New Roman" w:hAnsi="Arial" w:cs="Arial"/>
                <w:color w:val="215868" w:themeColor="accent5" w:themeShade="80"/>
                <w:sz w:val="18"/>
                <w:szCs w:val="18"/>
              </w:rPr>
              <w:t>12.0</w:t>
            </w:r>
            <w:r w:rsidRPr="00507359">
              <w:rPr>
                <w:rFonts w:ascii="Arial" w:eastAsia="Times New Roman" w:hAnsi="Arial" w:cs="Arial"/>
                <w:color w:val="215868" w:themeColor="accent5" w:themeShade="80"/>
                <w:sz w:val="18"/>
                <w:szCs w:val="18"/>
              </w:rPr>
              <w:t>%</w:t>
            </w:r>
          </w:p>
        </w:tc>
        <w:tc>
          <w:tcPr>
            <w:tcW w:w="2655" w:type="dxa"/>
          </w:tcPr>
          <w:p w14:paraId="7D28DD2D" w14:textId="6E53BE57" w:rsidR="00C620F5" w:rsidRPr="00E43E81" w:rsidRDefault="00B51D47" w:rsidP="0010781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Pr>
                <w:rFonts w:ascii="Arial" w:eastAsia="Times New Roman" w:hAnsi="Arial" w:cs="Arial"/>
                <w:color w:val="215868" w:themeColor="accent5" w:themeShade="80"/>
                <w:sz w:val="18"/>
                <w:szCs w:val="18"/>
              </w:rPr>
              <w:t>+</w:t>
            </w:r>
            <w:r w:rsidR="00DC43E0">
              <w:rPr>
                <w:rFonts w:ascii="Arial" w:eastAsia="Times New Roman" w:hAnsi="Arial" w:cs="Arial"/>
                <w:color w:val="215868" w:themeColor="accent5" w:themeShade="80"/>
                <w:sz w:val="18"/>
                <w:szCs w:val="18"/>
              </w:rPr>
              <w:t>14.5</w:t>
            </w:r>
            <w:r w:rsidR="00C620F5" w:rsidRPr="00E43E81">
              <w:rPr>
                <w:rFonts w:ascii="Arial" w:eastAsia="Times New Roman" w:hAnsi="Arial" w:cs="Arial"/>
                <w:color w:val="215868" w:themeColor="accent5" w:themeShade="80"/>
                <w:sz w:val="18"/>
                <w:szCs w:val="18"/>
              </w:rPr>
              <w:t>%</w:t>
            </w:r>
          </w:p>
        </w:tc>
      </w:tr>
      <w:tr w:rsidR="00C620F5" w:rsidRPr="00E43E81" w14:paraId="604F0DB7" w14:textId="77777777" w:rsidTr="00107812">
        <w:trPr>
          <w:trHeight w:val="227"/>
        </w:trPr>
        <w:tc>
          <w:tcPr>
            <w:cnfStyle w:val="001000000000" w:firstRow="0" w:lastRow="0" w:firstColumn="1" w:lastColumn="0" w:oddVBand="0" w:evenVBand="0" w:oddHBand="0" w:evenHBand="0" w:firstRowFirstColumn="0" w:firstRowLastColumn="0" w:lastRowFirstColumn="0" w:lastRowLastColumn="0"/>
            <w:tcW w:w="3258" w:type="dxa"/>
          </w:tcPr>
          <w:p w14:paraId="30E63362" w14:textId="77777777" w:rsidR="00C620F5" w:rsidRPr="00E43E81" w:rsidRDefault="00C620F5" w:rsidP="00107812">
            <w:pPr>
              <w:rPr>
                <w:rFonts w:ascii="Arial" w:hAnsi="Arial" w:cs="Arial"/>
                <w:b w:val="0"/>
                <w:color w:val="215868" w:themeColor="accent5" w:themeShade="80"/>
                <w:sz w:val="18"/>
                <w:szCs w:val="20"/>
              </w:rPr>
            </w:pPr>
            <w:r>
              <w:rPr>
                <w:rFonts w:ascii="Arial" w:hAnsi="Arial" w:cs="Arial"/>
                <w:b w:val="0"/>
                <w:color w:val="215868" w:themeColor="accent5" w:themeShade="80"/>
                <w:sz w:val="18"/>
                <w:szCs w:val="20"/>
              </w:rPr>
              <w:t>Bakery</w:t>
            </w:r>
          </w:p>
        </w:tc>
        <w:tc>
          <w:tcPr>
            <w:tcW w:w="2052" w:type="dxa"/>
          </w:tcPr>
          <w:p w14:paraId="0A4E135E" w14:textId="2DC7AAE1" w:rsidR="00C620F5" w:rsidRDefault="00C620F5" w:rsidP="00107812">
            <w:pPr>
              <w:jc w:val="right"/>
              <w:cnfStyle w:val="000000000000" w:firstRow="0" w:lastRow="0" w:firstColumn="0" w:lastColumn="0" w:oddVBand="0" w:evenVBand="0" w:oddHBand="0" w:evenHBand="0" w:firstRowFirstColumn="0" w:firstRowLastColumn="0" w:lastRowFirstColumn="0" w:lastRowLastColumn="0"/>
            </w:pPr>
            <w:r w:rsidRPr="00EE08B3">
              <w:rPr>
                <w:rFonts w:ascii="Arial" w:eastAsia="Times New Roman" w:hAnsi="Arial" w:cs="Arial"/>
                <w:color w:val="215868" w:themeColor="accent5" w:themeShade="80"/>
                <w:sz w:val="18"/>
                <w:szCs w:val="18"/>
              </w:rPr>
              <w:t>$</w:t>
            </w:r>
            <w:r w:rsidR="00DC43E0">
              <w:rPr>
                <w:rFonts w:ascii="Arial" w:eastAsia="Times New Roman" w:hAnsi="Arial" w:cs="Arial"/>
                <w:color w:val="215868" w:themeColor="accent5" w:themeShade="80"/>
                <w:sz w:val="18"/>
                <w:szCs w:val="18"/>
              </w:rPr>
              <w:t>3.0</w:t>
            </w:r>
            <w:r w:rsidRPr="00EE08B3">
              <w:rPr>
                <w:rFonts w:ascii="Arial" w:eastAsia="Times New Roman" w:hAnsi="Arial" w:cs="Arial"/>
                <w:color w:val="215868" w:themeColor="accent5" w:themeShade="80"/>
                <w:sz w:val="18"/>
                <w:szCs w:val="18"/>
              </w:rPr>
              <w:t>B</w:t>
            </w:r>
          </w:p>
        </w:tc>
        <w:tc>
          <w:tcPr>
            <w:tcW w:w="2655" w:type="dxa"/>
          </w:tcPr>
          <w:p w14:paraId="7049ABAD" w14:textId="68C07BBA" w:rsidR="00C620F5" w:rsidRDefault="00C620F5" w:rsidP="00107812">
            <w:pPr>
              <w:jc w:val="right"/>
              <w:cnfStyle w:val="000000000000" w:firstRow="0" w:lastRow="0" w:firstColumn="0" w:lastColumn="0" w:oddVBand="0" w:evenVBand="0" w:oddHBand="0" w:evenHBand="0" w:firstRowFirstColumn="0" w:firstRowLastColumn="0" w:lastRowFirstColumn="0" w:lastRowLastColumn="0"/>
            </w:pPr>
            <w:r w:rsidRPr="00507359">
              <w:rPr>
                <w:rFonts w:ascii="Arial" w:eastAsia="Times New Roman" w:hAnsi="Arial" w:cs="Arial"/>
                <w:color w:val="215868" w:themeColor="accent5" w:themeShade="80"/>
                <w:sz w:val="18"/>
                <w:szCs w:val="18"/>
              </w:rPr>
              <w:t>+</w:t>
            </w:r>
            <w:r w:rsidR="00DC43E0">
              <w:rPr>
                <w:rFonts w:ascii="Arial" w:eastAsia="Times New Roman" w:hAnsi="Arial" w:cs="Arial"/>
                <w:color w:val="215868" w:themeColor="accent5" w:themeShade="80"/>
                <w:sz w:val="18"/>
                <w:szCs w:val="18"/>
              </w:rPr>
              <w:t>7.7</w:t>
            </w:r>
            <w:r w:rsidRPr="00507359">
              <w:rPr>
                <w:rFonts w:ascii="Arial" w:eastAsia="Times New Roman" w:hAnsi="Arial" w:cs="Arial"/>
                <w:color w:val="215868" w:themeColor="accent5" w:themeShade="80"/>
                <w:sz w:val="18"/>
                <w:szCs w:val="18"/>
              </w:rPr>
              <w:t>%</w:t>
            </w:r>
          </w:p>
        </w:tc>
        <w:tc>
          <w:tcPr>
            <w:tcW w:w="2655" w:type="dxa"/>
          </w:tcPr>
          <w:p w14:paraId="554C0455" w14:textId="72B5E6E2" w:rsidR="00C620F5" w:rsidRPr="00E43E81" w:rsidRDefault="00B51D47" w:rsidP="0010781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Pr>
                <w:rFonts w:ascii="Arial" w:eastAsia="Times New Roman" w:hAnsi="Arial" w:cs="Arial"/>
                <w:color w:val="215868" w:themeColor="accent5" w:themeShade="80"/>
                <w:sz w:val="18"/>
                <w:szCs w:val="18"/>
              </w:rPr>
              <w:t>+</w:t>
            </w:r>
            <w:r w:rsidR="00DC43E0">
              <w:rPr>
                <w:rFonts w:ascii="Arial" w:eastAsia="Times New Roman" w:hAnsi="Arial" w:cs="Arial"/>
                <w:color w:val="215868" w:themeColor="accent5" w:themeShade="80"/>
                <w:sz w:val="18"/>
                <w:szCs w:val="18"/>
              </w:rPr>
              <w:t>12.9</w:t>
            </w:r>
            <w:r w:rsidR="00C620F5" w:rsidRPr="00E43E81">
              <w:rPr>
                <w:rFonts w:ascii="Arial" w:eastAsia="Times New Roman" w:hAnsi="Arial" w:cs="Arial"/>
                <w:color w:val="215868" w:themeColor="accent5" w:themeShade="80"/>
                <w:sz w:val="18"/>
                <w:szCs w:val="18"/>
              </w:rPr>
              <w:t>%</w:t>
            </w:r>
          </w:p>
        </w:tc>
      </w:tr>
      <w:tr w:rsidR="00C620F5" w:rsidRPr="00E43E81" w14:paraId="637275AE" w14:textId="77777777" w:rsidTr="00CD753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258" w:type="dxa"/>
          </w:tcPr>
          <w:p w14:paraId="53CE0157" w14:textId="77777777" w:rsidR="00335BB3" w:rsidRPr="00E43E81" w:rsidRDefault="00335BB3" w:rsidP="00042FD2">
            <w:pPr>
              <w:pStyle w:val="NoSpacing"/>
              <w:rPr>
                <w:rFonts w:ascii="Arial" w:hAnsi="Arial" w:cs="Arial"/>
                <w:b w:val="0"/>
                <w:color w:val="215868" w:themeColor="accent5" w:themeShade="80"/>
                <w:sz w:val="18"/>
                <w:szCs w:val="20"/>
              </w:rPr>
            </w:pPr>
            <w:r>
              <w:rPr>
                <w:rFonts w:ascii="Arial" w:hAnsi="Arial" w:cs="Arial"/>
                <w:b w:val="0"/>
                <w:color w:val="215868" w:themeColor="accent5" w:themeShade="80"/>
                <w:sz w:val="18"/>
                <w:szCs w:val="20"/>
              </w:rPr>
              <w:t>Seafood</w:t>
            </w:r>
          </w:p>
        </w:tc>
        <w:tc>
          <w:tcPr>
            <w:tcW w:w="2052" w:type="dxa"/>
          </w:tcPr>
          <w:p w14:paraId="21165AF9" w14:textId="5C19646C" w:rsidR="00335BB3" w:rsidRDefault="00335BB3" w:rsidP="00335BB3">
            <w:pPr>
              <w:jc w:val="right"/>
              <w:cnfStyle w:val="000000100000" w:firstRow="0" w:lastRow="0" w:firstColumn="0" w:lastColumn="0" w:oddVBand="0" w:evenVBand="0" w:oddHBand="1" w:evenHBand="0" w:firstRowFirstColumn="0" w:firstRowLastColumn="0" w:lastRowFirstColumn="0" w:lastRowLastColumn="0"/>
            </w:pPr>
            <w:r w:rsidRPr="00EE08B3">
              <w:rPr>
                <w:rFonts w:ascii="Arial" w:eastAsia="Times New Roman" w:hAnsi="Arial" w:cs="Arial"/>
                <w:color w:val="215868" w:themeColor="accent5" w:themeShade="80"/>
                <w:sz w:val="18"/>
                <w:szCs w:val="18"/>
              </w:rPr>
              <w:t>$</w:t>
            </w:r>
            <w:r w:rsidR="00DC43E0">
              <w:rPr>
                <w:rFonts w:ascii="Arial" w:eastAsia="Times New Roman" w:hAnsi="Arial" w:cs="Arial"/>
                <w:color w:val="215868" w:themeColor="accent5" w:themeShade="80"/>
                <w:sz w:val="18"/>
                <w:szCs w:val="18"/>
              </w:rPr>
              <w:t>456</w:t>
            </w:r>
            <w:r w:rsidR="004D26B3">
              <w:rPr>
                <w:rFonts w:ascii="Arial" w:eastAsia="Times New Roman" w:hAnsi="Arial" w:cs="Arial"/>
                <w:color w:val="215868" w:themeColor="accent5" w:themeShade="80"/>
                <w:sz w:val="18"/>
                <w:szCs w:val="18"/>
              </w:rPr>
              <w:t>M</w:t>
            </w:r>
          </w:p>
        </w:tc>
        <w:tc>
          <w:tcPr>
            <w:tcW w:w="2655" w:type="dxa"/>
          </w:tcPr>
          <w:p w14:paraId="71ACB94D" w14:textId="3BB04CF6" w:rsidR="00335BB3" w:rsidRDefault="00B51D47" w:rsidP="00335BB3">
            <w:pPr>
              <w:jc w:val="right"/>
              <w:cnfStyle w:val="000000100000" w:firstRow="0" w:lastRow="0" w:firstColumn="0" w:lastColumn="0" w:oddVBand="0" w:evenVBand="0" w:oddHBand="1" w:evenHBand="0" w:firstRowFirstColumn="0" w:firstRowLastColumn="0" w:lastRowFirstColumn="0" w:lastRowLastColumn="0"/>
            </w:pPr>
            <w:r>
              <w:rPr>
                <w:rFonts w:ascii="Arial" w:eastAsia="Times New Roman" w:hAnsi="Arial" w:cs="Arial"/>
                <w:color w:val="215868" w:themeColor="accent5" w:themeShade="80"/>
                <w:sz w:val="18"/>
                <w:szCs w:val="18"/>
              </w:rPr>
              <w:t>-</w:t>
            </w:r>
            <w:r w:rsidR="00DC43E0">
              <w:rPr>
                <w:rFonts w:ascii="Arial" w:eastAsia="Times New Roman" w:hAnsi="Arial" w:cs="Arial"/>
                <w:color w:val="215868" w:themeColor="accent5" w:themeShade="80"/>
                <w:sz w:val="18"/>
                <w:szCs w:val="18"/>
              </w:rPr>
              <w:t>0.3</w:t>
            </w:r>
            <w:r w:rsidR="00335BB3" w:rsidRPr="00507359">
              <w:rPr>
                <w:rFonts w:ascii="Arial" w:eastAsia="Times New Roman" w:hAnsi="Arial" w:cs="Arial"/>
                <w:color w:val="215868" w:themeColor="accent5" w:themeShade="80"/>
                <w:sz w:val="18"/>
                <w:szCs w:val="18"/>
              </w:rPr>
              <w:t>%</w:t>
            </w:r>
          </w:p>
        </w:tc>
        <w:tc>
          <w:tcPr>
            <w:tcW w:w="2655" w:type="dxa"/>
          </w:tcPr>
          <w:p w14:paraId="0A4DBDAE" w14:textId="40064A9A" w:rsidR="00335BB3" w:rsidRPr="00E43E81" w:rsidRDefault="004D26B3" w:rsidP="00042FD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Pr>
                <w:rFonts w:ascii="Arial" w:eastAsia="Times New Roman" w:hAnsi="Arial" w:cs="Arial"/>
                <w:color w:val="215868" w:themeColor="accent5" w:themeShade="80"/>
                <w:sz w:val="18"/>
                <w:szCs w:val="18"/>
              </w:rPr>
              <w:t>+</w:t>
            </w:r>
            <w:r w:rsidR="00DC43E0">
              <w:rPr>
                <w:rFonts w:ascii="Arial" w:eastAsia="Times New Roman" w:hAnsi="Arial" w:cs="Arial"/>
                <w:color w:val="215868" w:themeColor="accent5" w:themeShade="80"/>
                <w:sz w:val="18"/>
                <w:szCs w:val="18"/>
              </w:rPr>
              <w:t>27.9</w:t>
            </w:r>
            <w:r w:rsidR="00335BB3" w:rsidRPr="00E43E81">
              <w:rPr>
                <w:rFonts w:ascii="Arial" w:eastAsia="Times New Roman" w:hAnsi="Arial" w:cs="Arial"/>
                <w:color w:val="215868" w:themeColor="accent5" w:themeShade="80"/>
                <w:sz w:val="18"/>
                <w:szCs w:val="18"/>
              </w:rPr>
              <w:t>%</w:t>
            </w:r>
          </w:p>
        </w:tc>
      </w:tr>
    </w:tbl>
    <w:p w14:paraId="39197A44" w14:textId="77777777" w:rsidR="001024F6" w:rsidRDefault="001024F6" w:rsidP="001024F6">
      <w:pPr>
        <w:pStyle w:val="NoSpacing"/>
        <w:rPr>
          <w:rFonts w:ascii="Arial" w:hAnsi="Arial" w:cs="Arial"/>
          <w:sz w:val="16"/>
          <w:szCs w:val="16"/>
        </w:rPr>
      </w:pPr>
      <w:r w:rsidRPr="001C0658">
        <w:rPr>
          <w:noProof/>
        </w:rPr>
        <w:t xml:space="preserve"> </w:t>
      </w:r>
    </w:p>
    <w:p w14:paraId="21744551" w14:textId="77777777" w:rsidR="001024F6" w:rsidRPr="00764049" w:rsidRDefault="001024F6" w:rsidP="001024F6">
      <w:pPr>
        <w:pStyle w:val="NoSpacing"/>
        <w:rPr>
          <w:rFonts w:ascii="Arial" w:hAnsi="Arial" w:cs="Arial"/>
          <w:sz w:val="16"/>
          <w:szCs w:val="16"/>
        </w:rPr>
      </w:pPr>
      <w:r w:rsidRPr="00764049">
        <w:rPr>
          <w:rFonts w:ascii="Arial" w:hAnsi="Arial" w:cs="Arial"/>
          <w:sz w:val="16"/>
          <w:szCs w:val="16"/>
        </w:rPr>
        <w:t>Source: IRI</w:t>
      </w:r>
      <w:r>
        <w:rPr>
          <w:rFonts w:ascii="Arial" w:hAnsi="Arial" w:cs="Arial"/>
          <w:sz w:val="16"/>
          <w:szCs w:val="16"/>
        </w:rPr>
        <w:t xml:space="preserve"> Integrated Fresh,</w:t>
      </w:r>
      <w:r w:rsidRPr="00764049">
        <w:rPr>
          <w:rFonts w:ascii="Arial" w:hAnsi="Arial" w:cs="Arial"/>
          <w:sz w:val="16"/>
          <w:szCs w:val="16"/>
        </w:rPr>
        <w:t xml:space="preserve"> Total U.S., MULO, % change vs. YA</w:t>
      </w:r>
      <w:r>
        <w:rPr>
          <w:rFonts w:ascii="Arial" w:hAnsi="Arial" w:cs="Arial"/>
          <w:sz w:val="16"/>
          <w:szCs w:val="16"/>
        </w:rPr>
        <w:t>, fixed and random weight items combined into department views</w:t>
      </w:r>
    </w:p>
    <w:p w14:paraId="0493FA43" w14:textId="77777777" w:rsidR="00357E26" w:rsidRDefault="00357E26" w:rsidP="00563A06">
      <w:pPr>
        <w:pStyle w:val="NoSpacing"/>
        <w:rPr>
          <w:rFonts w:ascii="Arial" w:hAnsi="Arial" w:cs="Arial"/>
          <w:b/>
          <w:color w:val="595959" w:themeColor="text1" w:themeTint="A6"/>
          <w:sz w:val="24"/>
          <w:szCs w:val="24"/>
        </w:rPr>
      </w:pPr>
      <w:bookmarkStart w:id="0" w:name="_Hlk76989410"/>
    </w:p>
    <w:p w14:paraId="3BF49AE8" w14:textId="77777777" w:rsidR="00357E26" w:rsidRDefault="00357E26" w:rsidP="00563A06">
      <w:pPr>
        <w:pStyle w:val="NoSpacing"/>
        <w:rPr>
          <w:rFonts w:ascii="Arial" w:hAnsi="Arial" w:cs="Arial"/>
          <w:b/>
          <w:color w:val="595959" w:themeColor="text1" w:themeTint="A6"/>
          <w:sz w:val="24"/>
          <w:szCs w:val="24"/>
        </w:rPr>
      </w:pPr>
    </w:p>
    <w:p w14:paraId="31E78375" w14:textId="77777777" w:rsidR="00563A06" w:rsidRPr="00575026" w:rsidRDefault="00563A06" w:rsidP="00563A06">
      <w:pPr>
        <w:pStyle w:val="NoSpacing"/>
        <w:rPr>
          <w:rFonts w:ascii="Arial" w:hAnsi="Arial" w:cs="Arial"/>
          <w:b/>
          <w:color w:val="595959" w:themeColor="text1" w:themeTint="A6"/>
          <w:sz w:val="24"/>
          <w:szCs w:val="24"/>
        </w:rPr>
      </w:pPr>
      <w:r w:rsidRPr="00575026">
        <w:rPr>
          <w:rFonts w:ascii="Arial" w:hAnsi="Arial" w:cs="Arial"/>
          <w:b/>
          <w:color w:val="595959" w:themeColor="text1" w:themeTint="A6"/>
          <w:sz w:val="24"/>
          <w:szCs w:val="24"/>
        </w:rPr>
        <w:t>Floral</w:t>
      </w:r>
    </w:p>
    <w:p w14:paraId="31E91920" w14:textId="2A2047AB" w:rsidR="00606E2B" w:rsidRPr="00FF7558" w:rsidRDefault="00FF7558" w:rsidP="000C1222">
      <w:pPr>
        <w:pStyle w:val="NoSpacing"/>
        <w:rPr>
          <w:rFonts w:ascii="Arial" w:hAnsi="Arial" w:cs="Arial"/>
          <w:sz w:val="20"/>
          <w:szCs w:val="24"/>
        </w:rPr>
      </w:pPr>
      <w:r>
        <w:rPr>
          <w:rFonts w:ascii="Arial" w:hAnsi="Arial" w:cs="Arial"/>
          <w:sz w:val="20"/>
          <w:szCs w:val="24"/>
        </w:rPr>
        <w:t>Floral dollar sales grew by 2</w:t>
      </w:r>
      <w:r w:rsidR="00393357">
        <w:rPr>
          <w:rFonts w:ascii="Arial" w:hAnsi="Arial" w:cs="Arial"/>
          <w:sz w:val="20"/>
          <w:szCs w:val="24"/>
        </w:rPr>
        <w:t>4.5</w:t>
      </w:r>
      <w:r>
        <w:rPr>
          <w:rFonts w:ascii="Arial" w:hAnsi="Arial" w:cs="Arial"/>
          <w:sz w:val="20"/>
          <w:szCs w:val="24"/>
        </w:rPr>
        <w:t>% over the first 1</w:t>
      </w:r>
      <w:r w:rsidR="00393357">
        <w:rPr>
          <w:rFonts w:ascii="Arial" w:hAnsi="Arial" w:cs="Arial"/>
          <w:sz w:val="20"/>
          <w:szCs w:val="24"/>
        </w:rPr>
        <w:t>1</w:t>
      </w:r>
      <w:r>
        <w:rPr>
          <w:rFonts w:ascii="Arial" w:hAnsi="Arial" w:cs="Arial"/>
          <w:sz w:val="20"/>
          <w:szCs w:val="24"/>
        </w:rPr>
        <w:t xml:space="preserve"> months of 2021 compared with the same period in 2020</w:t>
      </w:r>
      <w:r w:rsidR="00465D0F">
        <w:rPr>
          <w:rFonts w:ascii="Arial" w:hAnsi="Arial" w:cs="Arial"/>
          <w:sz w:val="20"/>
          <w:szCs w:val="24"/>
        </w:rPr>
        <w:t>, reaching nearly $6.7 billion</w:t>
      </w:r>
      <w:r>
        <w:rPr>
          <w:rFonts w:ascii="Arial" w:hAnsi="Arial" w:cs="Arial"/>
          <w:sz w:val="20"/>
          <w:szCs w:val="24"/>
        </w:rPr>
        <w:t xml:space="preserve"> for the year</w:t>
      </w:r>
      <w:r w:rsidR="00FE77A5" w:rsidRPr="00FF7558">
        <w:rPr>
          <w:rFonts w:ascii="Arial" w:hAnsi="Arial" w:cs="Arial"/>
          <w:sz w:val="20"/>
          <w:szCs w:val="24"/>
        </w:rPr>
        <w:t>.</w:t>
      </w:r>
      <w:r>
        <w:rPr>
          <w:rFonts w:ascii="Arial" w:hAnsi="Arial" w:cs="Arial"/>
          <w:sz w:val="20"/>
          <w:szCs w:val="24"/>
        </w:rPr>
        <w:t xml:space="preserve"> </w:t>
      </w:r>
      <w:r w:rsidR="00393357">
        <w:rPr>
          <w:rFonts w:ascii="Arial" w:hAnsi="Arial" w:cs="Arial"/>
          <w:sz w:val="20"/>
          <w:szCs w:val="24"/>
        </w:rPr>
        <w:t xml:space="preserve">In November, sales exceeded $417 million, which was an improvement of 15.9% versus year ago. </w:t>
      </w:r>
      <w:r w:rsidR="00465D0F">
        <w:rPr>
          <w:rFonts w:ascii="Arial" w:hAnsi="Arial" w:cs="Arial"/>
          <w:sz w:val="20"/>
          <w:szCs w:val="24"/>
        </w:rPr>
        <w:t>I</w:t>
      </w:r>
      <w:r w:rsidR="00606E2B">
        <w:rPr>
          <w:rFonts w:ascii="Arial" w:hAnsi="Arial" w:cs="Arial"/>
          <w:sz w:val="20"/>
          <w:szCs w:val="24"/>
        </w:rPr>
        <w:t xml:space="preserve">t was indoor floral </w:t>
      </w:r>
      <w:r w:rsidR="00D80851">
        <w:rPr>
          <w:rFonts w:ascii="Arial" w:hAnsi="Arial" w:cs="Arial"/>
          <w:sz w:val="20"/>
          <w:szCs w:val="24"/>
        </w:rPr>
        <w:t>generating the bulk of sales, at $</w:t>
      </w:r>
      <w:r w:rsidR="00465D0F">
        <w:rPr>
          <w:rFonts w:ascii="Arial" w:hAnsi="Arial" w:cs="Arial"/>
          <w:sz w:val="20"/>
          <w:szCs w:val="24"/>
        </w:rPr>
        <w:t xml:space="preserve">388 million, which was up 17.3% versus year ago. Outdoor floral was down about 1% on sales of $28 million. </w:t>
      </w:r>
    </w:p>
    <w:p w14:paraId="4FB0B0B1" w14:textId="77777777" w:rsidR="00563A06" w:rsidRPr="00FF7558" w:rsidRDefault="00563A06" w:rsidP="000C1222">
      <w:pPr>
        <w:pStyle w:val="NoSpacing"/>
        <w:rPr>
          <w:rFonts w:ascii="Arial" w:hAnsi="Arial" w:cs="Arial"/>
          <w:sz w:val="20"/>
          <w:szCs w:val="24"/>
        </w:rPr>
      </w:pPr>
    </w:p>
    <w:tbl>
      <w:tblPr>
        <w:tblStyle w:val="LightShading-Accent5"/>
        <w:tblW w:w="10847" w:type="dxa"/>
        <w:tblBorders>
          <w:top w:val="none" w:sz="0" w:space="0" w:color="auto"/>
          <w:bottom w:val="none" w:sz="0" w:space="0" w:color="auto"/>
        </w:tblBorders>
        <w:tblLayout w:type="fixed"/>
        <w:tblLook w:val="04A0" w:firstRow="1" w:lastRow="0" w:firstColumn="1" w:lastColumn="0" w:noHBand="0" w:noVBand="1"/>
      </w:tblPr>
      <w:tblGrid>
        <w:gridCol w:w="1082"/>
        <w:gridCol w:w="1085"/>
        <w:gridCol w:w="802"/>
        <w:gridCol w:w="283"/>
        <w:gridCol w:w="1085"/>
        <w:gridCol w:w="494"/>
        <w:gridCol w:w="591"/>
        <w:gridCol w:w="1085"/>
        <w:gridCol w:w="1085"/>
        <w:gridCol w:w="1085"/>
        <w:gridCol w:w="1085"/>
        <w:gridCol w:w="1085"/>
      </w:tblGrid>
      <w:tr w:rsidR="00C620F5" w:rsidRPr="00FF7558" w14:paraId="608F68F1" w14:textId="77777777" w:rsidTr="00F85733">
        <w:trPr>
          <w:cnfStyle w:val="100000000000" w:firstRow="1" w:lastRow="0" w:firstColumn="0" w:lastColumn="0" w:oddVBand="0" w:evenVBand="0" w:oddHBand="0"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1082" w:type="dxa"/>
            <w:tcBorders>
              <w:top w:val="none" w:sz="0" w:space="0" w:color="auto"/>
              <w:left w:val="none" w:sz="0" w:space="0" w:color="auto"/>
              <w:bottom w:val="none" w:sz="0" w:space="0" w:color="auto"/>
              <w:right w:val="none" w:sz="0" w:space="0" w:color="auto"/>
            </w:tcBorders>
            <w:shd w:val="clear" w:color="auto" w:fill="17365D" w:themeFill="text2" w:themeFillShade="BF"/>
          </w:tcPr>
          <w:p w14:paraId="487751F0" w14:textId="77777777" w:rsidR="00C620F5" w:rsidRPr="00FF7558" w:rsidRDefault="00C620F5" w:rsidP="00F103B9">
            <w:pPr>
              <w:pStyle w:val="NoSpacing"/>
              <w:jc w:val="center"/>
              <w:rPr>
                <w:rFonts w:ascii="Arial" w:hAnsi="Arial" w:cs="Arial"/>
                <w:color w:val="FFFFFF" w:themeColor="background1"/>
                <w:sz w:val="18"/>
                <w:szCs w:val="18"/>
              </w:rPr>
            </w:pPr>
          </w:p>
        </w:tc>
        <w:tc>
          <w:tcPr>
            <w:tcW w:w="1887" w:type="dxa"/>
            <w:gridSpan w:val="2"/>
            <w:tcBorders>
              <w:top w:val="none" w:sz="0" w:space="0" w:color="auto"/>
              <w:left w:val="none" w:sz="0" w:space="0" w:color="auto"/>
              <w:bottom w:val="none" w:sz="0" w:space="0" w:color="auto"/>
              <w:right w:val="none" w:sz="0" w:space="0" w:color="auto"/>
            </w:tcBorders>
            <w:shd w:val="clear" w:color="auto" w:fill="17365D" w:themeFill="text2" w:themeFillShade="BF"/>
          </w:tcPr>
          <w:p w14:paraId="248F43A6" w14:textId="77777777" w:rsidR="00C620F5" w:rsidRPr="00FF7558" w:rsidRDefault="00C620F5" w:rsidP="00CD25A6">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p>
        </w:tc>
        <w:tc>
          <w:tcPr>
            <w:tcW w:w="1862" w:type="dxa"/>
            <w:gridSpan w:val="3"/>
            <w:tcBorders>
              <w:top w:val="none" w:sz="0" w:space="0" w:color="auto"/>
              <w:left w:val="none" w:sz="0" w:space="0" w:color="auto"/>
              <w:bottom w:val="none" w:sz="0" w:space="0" w:color="auto"/>
              <w:right w:val="none" w:sz="0" w:space="0" w:color="auto"/>
            </w:tcBorders>
            <w:shd w:val="clear" w:color="auto" w:fill="17365D" w:themeFill="text2" w:themeFillShade="BF"/>
          </w:tcPr>
          <w:p w14:paraId="2722FA84" w14:textId="77777777" w:rsidR="00C620F5" w:rsidRPr="00FF7558" w:rsidRDefault="00C620F5" w:rsidP="00CD25A6">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p>
        </w:tc>
        <w:tc>
          <w:tcPr>
            <w:tcW w:w="6016" w:type="dxa"/>
            <w:gridSpan w:val="6"/>
            <w:tcBorders>
              <w:top w:val="none" w:sz="0" w:space="0" w:color="auto"/>
              <w:left w:val="none" w:sz="0" w:space="0" w:color="auto"/>
              <w:bottom w:val="none" w:sz="0" w:space="0" w:color="auto"/>
              <w:right w:val="none" w:sz="0" w:space="0" w:color="auto"/>
            </w:tcBorders>
            <w:shd w:val="clear" w:color="auto" w:fill="17365D" w:themeFill="text2" w:themeFillShade="BF"/>
          </w:tcPr>
          <w:p w14:paraId="03F1712C" w14:textId="77777777" w:rsidR="00C620F5" w:rsidRPr="00FF7558" w:rsidRDefault="00C620F5" w:rsidP="00CD25A6">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FF7558">
              <w:rPr>
                <w:rFonts w:ascii="Arial" w:hAnsi="Arial" w:cs="Arial"/>
                <w:color w:val="FFFFFF" w:themeColor="background1"/>
                <w:sz w:val="18"/>
                <w:szCs w:val="18"/>
              </w:rPr>
              <w:t>Dollar sales increase over comparable period in 2019/2020</w:t>
            </w:r>
          </w:p>
        </w:tc>
      </w:tr>
      <w:tr w:rsidR="00C620F5" w:rsidRPr="00FF7558" w14:paraId="0F0DC601" w14:textId="77777777" w:rsidTr="007D3DBE">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082" w:type="dxa"/>
            <w:tcBorders>
              <w:left w:val="none" w:sz="0" w:space="0" w:color="auto"/>
              <w:right w:val="none" w:sz="0" w:space="0" w:color="auto"/>
            </w:tcBorders>
            <w:shd w:val="clear" w:color="auto" w:fill="17365D" w:themeFill="text2" w:themeFillShade="BF"/>
          </w:tcPr>
          <w:p w14:paraId="78B9DC16" w14:textId="77777777" w:rsidR="00C620F5" w:rsidRPr="00FF7558" w:rsidRDefault="00C620F5" w:rsidP="00F103B9">
            <w:pPr>
              <w:pStyle w:val="NoSpacing"/>
              <w:rPr>
                <w:rFonts w:ascii="Arial" w:hAnsi="Arial" w:cs="Arial"/>
                <w:color w:val="FFFFFF" w:themeColor="background1"/>
                <w:sz w:val="18"/>
                <w:szCs w:val="18"/>
              </w:rPr>
            </w:pPr>
          </w:p>
        </w:tc>
        <w:tc>
          <w:tcPr>
            <w:tcW w:w="1085" w:type="dxa"/>
            <w:tcBorders>
              <w:left w:val="none" w:sz="0" w:space="0" w:color="auto"/>
              <w:right w:val="none" w:sz="0" w:space="0" w:color="auto"/>
            </w:tcBorders>
            <w:shd w:val="clear" w:color="auto" w:fill="17365D" w:themeFill="text2" w:themeFillShade="BF"/>
            <w:vAlign w:val="bottom"/>
          </w:tcPr>
          <w:p w14:paraId="0D3D1F79" w14:textId="77777777" w:rsidR="00C620F5" w:rsidRPr="00FF7558" w:rsidRDefault="00C620F5" w:rsidP="00C620F5">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F7558">
              <w:rPr>
                <w:rFonts w:ascii="Arial" w:hAnsi="Arial" w:cs="Arial"/>
                <w:b/>
                <w:color w:val="FFFFFF" w:themeColor="background1"/>
                <w:sz w:val="18"/>
                <w:szCs w:val="18"/>
              </w:rPr>
              <w:t>Q1 ‘20</w:t>
            </w:r>
          </w:p>
        </w:tc>
        <w:tc>
          <w:tcPr>
            <w:tcW w:w="1085" w:type="dxa"/>
            <w:gridSpan w:val="2"/>
            <w:tcBorders>
              <w:left w:val="none" w:sz="0" w:space="0" w:color="auto"/>
              <w:right w:val="none" w:sz="0" w:space="0" w:color="auto"/>
            </w:tcBorders>
            <w:shd w:val="clear" w:color="auto" w:fill="17365D" w:themeFill="text2" w:themeFillShade="BF"/>
            <w:vAlign w:val="bottom"/>
          </w:tcPr>
          <w:p w14:paraId="7CED1296" w14:textId="77777777" w:rsidR="00C620F5" w:rsidRPr="00FF7558" w:rsidRDefault="00C620F5" w:rsidP="00C620F5">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sidRPr="00FF7558">
              <w:rPr>
                <w:rFonts w:ascii="Arial" w:hAnsi="Arial" w:cs="Arial"/>
                <w:b/>
                <w:color w:val="FFFFFF" w:themeColor="background1"/>
                <w:sz w:val="18"/>
                <w:szCs w:val="18"/>
              </w:rPr>
              <w:t>Q2 ‘20</w:t>
            </w:r>
          </w:p>
        </w:tc>
        <w:tc>
          <w:tcPr>
            <w:tcW w:w="1085" w:type="dxa"/>
            <w:tcBorders>
              <w:left w:val="none" w:sz="0" w:space="0" w:color="auto"/>
              <w:right w:val="none" w:sz="0" w:space="0" w:color="auto"/>
            </w:tcBorders>
            <w:shd w:val="clear" w:color="auto" w:fill="17365D" w:themeFill="text2" w:themeFillShade="BF"/>
            <w:vAlign w:val="bottom"/>
          </w:tcPr>
          <w:p w14:paraId="2DEEF616" w14:textId="77777777" w:rsidR="00C620F5" w:rsidRPr="00FF7558" w:rsidRDefault="00C620F5" w:rsidP="00C620F5">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sidRPr="00FF7558">
              <w:rPr>
                <w:rFonts w:ascii="Arial" w:hAnsi="Arial" w:cs="Arial"/>
                <w:b/>
                <w:color w:val="FFFFFF" w:themeColor="background1"/>
                <w:sz w:val="18"/>
                <w:szCs w:val="18"/>
              </w:rPr>
              <w:t>Q3 ‘20</w:t>
            </w:r>
          </w:p>
        </w:tc>
        <w:tc>
          <w:tcPr>
            <w:tcW w:w="1085" w:type="dxa"/>
            <w:gridSpan w:val="2"/>
            <w:tcBorders>
              <w:left w:val="none" w:sz="0" w:space="0" w:color="auto"/>
              <w:right w:val="none" w:sz="0" w:space="0" w:color="auto"/>
            </w:tcBorders>
            <w:shd w:val="clear" w:color="auto" w:fill="17365D" w:themeFill="text2" w:themeFillShade="BF"/>
            <w:vAlign w:val="bottom"/>
          </w:tcPr>
          <w:p w14:paraId="43636B8E" w14:textId="77777777" w:rsidR="00C620F5" w:rsidRPr="00FF7558" w:rsidRDefault="00C620F5" w:rsidP="00C620F5">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sidRPr="00FF7558">
              <w:rPr>
                <w:rFonts w:ascii="Arial" w:hAnsi="Arial" w:cs="Arial"/>
                <w:b/>
                <w:color w:val="FFFFFF" w:themeColor="background1"/>
                <w:sz w:val="18"/>
                <w:szCs w:val="18"/>
              </w:rPr>
              <w:t>Q4 ‘20</w:t>
            </w:r>
          </w:p>
        </w:tc>
        <w:tc>
          <w:tcPr>
            <w:tcW w:w="1085" w:type="dxa"/>
            <w:tcBorders>
              <w:left w:val="none" w:sz="0" w:space="0" w:color="auto"/>
              <w:right w:val="none" w:sz="0" w:space="0" w:color="auto"/>
            </w:tcBorders>
            <w:shd w:val="clear" w:color="auto" w:fill="17365D" w:themeFill="text2" w:themeFillShade="BF"/>
            <w:vAlign w:val="bottom"/>
          </w:tcPr>
          <w:p w14:paraId="5821FDF4" w14:textId="77777777" w:rsidR="00C620F5" w:rsidRPr="00FF7558" w:rsidRDefault="00C620F5" w:rsidP="00C620F5">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sidRPr="00FF7558">
              <w:rPr>
                <w:rFonts w:ascii="Arial" w:hAnsi="Arial" w:cs="Arial"/>
                <w:b/>
                <w:color w:val="FFFFFF" w:themeColor="background1"/>
                <w:sz w:val="18"/>
                <w:szCs w:val="18"/>
              </w:rPr>
              <w:t>Q1 ‘21</w:t>
            </w:r>
          </w:p>
        </w:tc>
        <w:tc>
          <w:tcPr>
            <w:tcW w:w="1085" w:type="dxa"/>
            <w:tcBorders>
              <w:left w:val="none" w:sz="0" w:space="0" w:color="auto"/>
              <w:right w:val="none" w:sz="0" w:space="0" w:color="auto"/>
            </w:tcBorders>
            <w:shd w:val="clear" w:color="auto" w:fill="17365D" w:themeFill="text2" w:themeFillShade="BF"/>
            <w:vAlign w:val="bottom"/>
          </w:tcPr>
          <w:p w14:paraId="2B184B8A" w14:textId="77777777" w:rsidR="00C620F5" w:rsidRPr="00FF7558" w:rsidRDefault="00C620F5" w:rsidP="00C620F5">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sidRPr="00FF7558">
              <w:rPr>
                <w:rFonts w:ascii="Arial" w:hAnsi="Arial" w:cs="Arial"/>
                <w:b/>
                <w:color w:val="FFFFFF" w:themeColor="background1"/>
                <w:sz w:val="18"/>
                <w:szCs w:val="18"/>
              </w:rPr>
              <w:t>Q2 ‘21</w:t>
            </w:r>
          </w:p>
        </w:tc>
        <w:tc>
          <w:tcPr>
            <w:tcW w:w="1085" w:type="dxa"/>
            <w:tcBorders>
              <w:left w:val="none" w:sz="0" w:space="0" w:color="auto"/>
              <w:right w:val="none" w:sz="0" w:space="0" w:color="auto"/>
            </w:tcBorders>
            <w:shd w:val="clear" w:color="auto" w:fill="17365D" w:themeFill="text2" w:themeFillShade="BF"/>
            <w:vAlign w:val="bottom"/>
          </w:tcPr>
          <w:p w14:paraId="5E16B510" w14:textId="77777777" w:rsidR="00C620F5" w:rsidRPr="00FF7558" w:rsidRDefault="00C620F5" w:rsidP="00C620F5">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sidRPr="00FF7558">
              <w:rPr>
                <w:rFonts w:ascii="Arial" w:hAnsi="Arial" w:cs="Arial"/>
                <w:b/>
                <w:color w:val="FFFFFF" w:themeColor="background1"/>
                <w:sz w:val="18"/>
                <w:szCs w:val="18"/>
              </w:rPr>
              <w:t>Q3 ‘21</w:t>
            </w:r>
          </w:p>
        </w:tc>
        <w:tc>
          <w:tcPr>
            <w:tcW w:w="1085" w:type="dxa"/>
            <w:tcBorders>
              <w:left w:val="none" w:sz="0" w:space="0" w:color="auto"/>
              <w:right w:val="none" w:sz="0" w:space="0" w:color="auto"/>
            </w:tcBorders>
            <w:shd w:val="clear" w:color="auto" w:fill="17365D" w:themeFill="text2" w:themeFillShade="BF"/>
            <w:vAlign w:val="bottom"/>
          </w:tcPr>
          <w:p w14:paraId="282D0F0A" w14:textId="06CBE279" w:rsidR="00C620F5" w:rsidRPr="00FF7558" w:rsidRDefault="00393357" w:rsidP="00C620F5">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Nov 2021</w:t>
            </w:r>
          </w:p>
        </w:tc>
        <w:tc>
          <w:tcPr>
            <w:tcW w:w="1085" w:type="dxa"/>
            <w:tcBorders>
              <w:left w:val="none" w:sz="0" w:space="0" w:color="auto"/>
              <w:right w:val="none" w:sz="0" w:space="0" w:color="auto"/>
            </w:tcBorders>
            <w:shd w:val="clear" w:color="auto" w:fill="17365D" w:themeFill="text2" w:themeFillShade="BF"/>
            <w:vAlign w:val="bottom"/>
          </w:tcPr>
          <w:p w14:paraId="63A6BF82" w14:textId="28EEBCB0" w:rsidR="00C620F5" w:rsidRPr="00FF7558" w:rsidRDefault="00393357" w:rsidP="00C620F5">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 vs. YA</w:t>
            </w:r>
          </w:p>
        </w:tc>
      </w:tr>
      <w:tr w:rsidR="00C620F5" w:rsidRPr="00FF7558" w14:paraId="106C35E6" w14:textId="77777777" w:rsidTr="00606E2B">
        <w:trPr>
          <w:trHeight w:val="310"/>
        </w:trPr>
        <w:tc>
          <w:tcPr>
            <w:cnfStyle w:val="001000000000" w:firstRow="0" w:lastRow="0" w:firstColumn="1" w:lastColumn="0" w:oddVBand="0" w:evenVBand="0" w:oddHBand="0" w:evenHBand="0" w:firstRowFirstColumn="0" w:firstRowLastColumn="0" w:lastRowFirstColumn="0" w:lastRowLastColumn="0"/>
            <w:tcW w:w="1082" w:type="dxa"/>
            <w:vAlign w:val="center"/>
          </w:tcPr>
          <w:p w14:paraId="1E71DDCC" w14:textId="77777777" w:rsidR="00C620F5" w:rsidRPr="00FF7558" w:rsidRDefault="00453713" w:rsidP="00606E2B">
            <w:pPr>
              <w:pStyle w:val="NoSpacing"/>
              <w:jc w:val="right"/>
              <w:rPr>
                <w:rFonts w:ascii="Arial" w:hAnsi="Arial" w:cs="Arial"/>
                <w:color w:val="215868" w:themeColor="accent5" w:themeShade="80"/>
                <w:sz w:val="18"/>
                <w:szCs w:val="18"/>
              </w:rPr>
            </w:pPr>
            <w:r w:rsidRPr="00FF7558">
              <w:rPr>
                <w:rFonts w:ascii="Arial" w:hAnsi="Arial" w:cs="Arial"/>
                <w:color w:val="215868" w:themeColor="accent5" w:themeShade="80"/>
                <w:sz w:val="18"/>
                <w:szCs w:val="18"/>
              </w:rPr>
              <w:t>Floral</w:t>
            </w:r>
          </w:p>
        </w:tc>
        <w:tc>
          <w:tcPr>
            <w:tcW w:w="1085" w:type="dxa"/>
            <w:vAlign w:val="center"/>
          </w:tcPr>
          <w:p w14:paraId="11568EE3" w14:textId="2759C3F9" w:rsidR="00C620F5" w:rsidRPr="00FF7558" w:rsidRDefault="00C620F5" w:rsidP="00606E2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FF7558">
              <w:rPr>
                <w:rFonts w:ascii="Arial" w:hAnsi="Arial" w:cs="Arial"/>
                <w:color w:val="215868" w:themeColor="accent5" w:themeShade="80"/>
                <w:sz w:val="18"/>
                <w:szCs w:val="18"/>
              </w:rPr>
              <w:t>-0.</w:t>
            </w:r>
            <w:r w:rsidR="00393357">
              <w:rPr>
                <w:rFonts w:ascii="Arial" w:hAnsi="Arial" w:cs="Arial"/>
                <w:color w:val="215868" w:themeColor="accent5" w:themeShade="80"/>
                <w:sz w:val="18"/>
                <w:szCs w:val="18"/>
              </w:rPr>
              <w:t>2</w:t>
            </w:r>
            <w:r w:rsidRPr="00FF7558">
              <w:rPr>
                <w:rFonts w:ascii="Arial" w:hAnsi="Arial" w:cs="Arial"/>
                <w:color w:val="215868" w:themeColor="accent5" w:themeShade="80"/>
                <w:sz w:val="18"/>
                <w:szCs w:val="18"/>
              </w:rPr>
              <w:t>%</w:t>
            </w:r>
          </w:p>
        </w:tc>
        <w:tc>
          <w:tcPr>
            <w:tcW w:w="1085" w:type="dxa"/>
            <w:gridSpan w:val="2"/>
            <w:vAlign w:val="center"/>
          </w:tcPr>
          <w:p w14:paraId="40B461A6" w14:textId="115B67B2" w:rsidR="00C620F5" w:rsidRPr="00FF7558" w:rsidRDefault="00C620F5" w:rsidP="00606E2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FF7558">
              <w:rPr>
                <w:rFonts w:ascii="Arial" w:hAnsi="Arial" w:cs="Arial"/>
                <w:color w:val="215868" w:themeColor="accent5" w:themeShade="80"/>
                <w:sz w:val="18"/>
                <w:szCs w:val="18"/>
              </w:rPr>
              <w:t>-3.</w:t>
            </w:r>
            <w:r w:rsidR="00393357">
              <w:rPr>
                <w:rFonts w:ascii="Arial" w:hAnsi="Arial" w:cs="Arial"/>
                <w:color w:val="215868" w:themeColor="accent5" w:themeShade="80"/>
                <w:sz w:val="18"/>
                <w:szCs w:val="18"/>
              </w:rPr>
              <w:t>0</w:t>
            </w:r>
            <w:r w:rsidRPr="00FF7558">
              <w:rPr>
                <w:rFonts w:ascii="Arial" w:hAnsi="Arial" w:cs="Arial"/>
                <w:color w:val="215868" w:themeColor="accent5" w:themeShade="80"/>
                <w:sz w:val="18"/>
                <w:szCs w:val="18"/>
              </w:rPr>
              <w:t>%</w:t>
            </w:r>
          </w:p>
        </w:tc>
        <w:tc>
          <w:tcPr>
            <w:tcW w:w="1085" w:type="dxa"/>
            <w:vAlign w:val="center"/>
          </w:tcPr>
          <w:p w14:paraId="6312E635" w14:textId="43B57959" w:rsidR="00C620F5" w:rsidRPr="00FF7558" w:rsidRDefault="00C620F5" w:rsidP="00606E2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FF7558">
              <w:rPr>
                <w:rFonts w:ascii="Arial" w:hAnsi="Arial" w:cs="Arial"/>
                <w:color w:val="215868" w:themeColor="accent5" w:themeShade="80"/>
                <w:sz w:val="18"/>
                <w:szCs w:val="18"/>
              </w:rPr>
              <w:t>+</w:t>
            </w:r>
            <w:r w:rsidR="00393357">
              <w:rPr>
                <w:rFonts w:ascii="Arial" w:hAnsi="Arial" w:cs="Arial"/>
                <w:color w:val="215868" w:themeColor="accent5" w:themeShade="80"/>
                <w:sz w:val="18"/>
                <w:szCs w:val="18"/>
              </w:rPr>
              <w:t>16.1</w:t>
            </w:r>
            <w:r w:rsidRPr="00FF7558">
              <w:rPr>
                <w:rFonts w:ascii="Arial" w:hAnsi="Arial" w:cs="Arial"/>
                <w:color w:val="215868" w:themeColor="accent5" w:themeShade="80"/>
                <w:sz w:val="18"/>
                <w:szCs w:val="18"/>
              </w:rPr>
              <w:t>%</w:t>
            </w:r>
          </w:p>
        </w:tc>
        <w:tc>
          <w:tcPr>
            <w:tcW w:w="1085" w:type="dxa"/>
            <w:gridSpan w:val="2"/>
            <w:vAlign w:val="center"/>
          </w:tcPr>
          <w:p w14:paraId="67167557" w14:textId="40B3243A" w:rsidR="00C620F5" w:rsidRPr="00FF7558" w:rsidRDefault="00C620F5" w:rsidP="00606E2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FF7558">
              <w:rPr>
                <w:rFonts w:ascii="Arial" w:hAnsi="Arial" w:cs="Arial"/>
                <w:color w:val="215868" w:themeColor="accent5" w:themeShade="80"/>
                <w:sz w:val="18"/>
                <w:szCs w:val="18"/>
              </w:rPr>
              <w:t>+14.</w:t>
            </w:r>
            <w:r w:rsidR="00393357">
              <w:rPr>
                <w:rFonts w:ascii="Arial" w:hAnsi="Arial" w:cs="Arial"/>
                <w:color w:val="215868" w:themeColor="accent5" w:themeShade="80"/>
                <w:sz w:val="18"/>
                <w:szCs w:val="18"/>
              </w:rPr>
              <w:t>4</w:t>
            </w:r>
            <w:r w:rsidRPr="00FF7558">
              <w:rPr>
                <w:rFonts w:ascii="Arial" w:hAnsi="Arial" w:cs="Arial"/>
                <w:color w:val="215868" w:themeColor="accent5" w:themeShade="80"/>
                <w:sz w:val="18"/>
                <w:szCs w:val="18"/>
              </w:rPr>
              <w:t>%</w:t>
            </w:r>
          </w:p>
        </w:tc>
        <w:tc>
          <w:tcPr>
            <w:tcW w:w="1085" w:type="dxa"/>
            <w:vAlign w:val="center"/>
          </w:tcPr>
          <w:p w14:paraId="63A06EA2" w14:textId="77777777" w:rsidR="00C620F5" w:rsidRPr="00FF7558" w:rsidRDefault="00C620F5" w:rsidP="00606E2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FF7558">
              <w:rPr>
                <w:rFonts w:ascii="Arial" w:hAnsi="Arial" w:cs="Arial"/>
                <w:color w:val="215868" w:themeColor="accent5" w:themeShade="80"/>
                <w:sz w:val="18"/>
                <w:szCs w:val="18"/>
              </w:rPr>
              <w:t>+26.9%</w:t>
            </w:r>
          </w:p>
        </w:tc>
        <w:tc>
          <w:tcPr>
            <w:tcW w:w="1085" w:type="dxa"/>
            <w:vAlign w:val="center"/>
          </w:tcPr>
          <w:p w14:paraId="1CC12980" w14:textId="77777777" w:rsidR="00C620F5" w:rsidRPr="00FF7558" w:rsidRDefault="00FF7558" w:rsidP="00606E2B">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+27.8%</w:t>
            </w:r>
          </w:p>
        </w:tc>
        <w:tc>
          <w:tcPr>
            <w:tcW w:w="1085" w:type="dxa"/>
            <w:vAlign w:val="center"/>
          </w:tcPr>
          <w:p w14:paraId="3961D583" w14:textId="77267FFA" w:rsidR="00C620F5" w:rsidRPr="00FF7558" w:rsidRDefault="00FF7558" w:rsidP="00606E2B">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w:t>
            </w:r>
            <w:r w:rsidR="00393357">
              <w:rPr>
                <w:rFonts w:ascii="Arial" w:hAnsi="Arial" w:cs="Arial"/>
                <w:bCs/>
                <w:color w:val="215868" w:themeColor="accent5" w:themeShade="80"/>
                <w:sz w:val="18"/>
                <w:szCs w:val="18"/>
              </w:rPr>
              <w:t>19.1</w:t>
            </w:r>
            <w:r>
              <w:rPr>
                <w:rFonts w:ascii="Arial" w:hAnsi="Arial" w:cs="Arial"/>
                <w:bCs/>
                <w:color w:val="215868" w:themeColor="accent5" w:themeShade="80"/>
                <w:sz w:val="18"/>
                <w:szCs w:val="18"/>
              </w:rPr>
              <w:t>%</w:t>
            </w:r>
          </w:p>
        </w:tc>
        <w:tc>
          <w:tcPr>
            <w:tcW w:w="1085" w:type="dxa"/>
            <w:vAlign w:val="center"/>
          </w:tcPr>
          <w:p w14:paraId="7948DD66" w14:textId="3814BF54" w:rsidR="00C620F5" w:rsidRPr="00FF7558" w:rsidRDefault="00C620F5" w:rsidP="00606E2B">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sidRPr="00FF7558">
              <w:rPr>
                <w:rFonts w:ascii="Arial" w:hAnsi="Arial" w:cs="Arial"/>
                <w:bCs/>
                <w:color w:val="215868" w:themeColor="accent5" w:themeShade="80"/>
                <w:sz w:val="18"/>
                <w:szCs w:val="18"/>
              </w:rPr>
              <w:t>$</w:t>
            </w:r>
            <w:r w:rsidR="00393357">
              <w:rPr>
                <w:rFonts w:ascii="Arial" w:hAnsi="Arial" w:cs="Arial"/>
                <w:bCs/>
                <w:color w:val="215868" w:themeColor="accent5" w:themeShade="80"/>
                <w:sz w:val="18"/>
                <w:szCs w:val="18"/>
              </w:rPr>
              <w:t>417M</w:t>
            </w:r>
          </w:p>
        </w:tc>
        <w:tc>
          <w:tcPr>
            <w:tcW w:w="1085" w:type="dxa"/>
            <w:vAlign w:val="center"/>
          </w:tcPr>
          <w:p w14:paraId="7B6297F3" w14:textId="76DED585" w:rsidR="00C620F5" w:rsidRPr="00FF7558" w:rsidRDefault="00504F5F" w:rsidP="00606E2B">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w:t>
            </w:r>
            <w:r w:rsidR="00393357">
              <w:rPr>
                <w:rFonts w:ascii="Arial" w:hAnsi="Arial" w:cs="Arial"/>
                <w:bCs/>
                <w:color w:val="215868" w:themeColor="accent5" w:themeShade="80"/>
                <w:sz w:val="18"/>
                <w:szCs w:val="18"/>
              </w:rPr>
              <w:t>15.9</w:t>
            </w:r>
            <w:r w:rsidR="00C620F5" w:rsidRPr="00FF7558">
              <w:rPr>
                <w:rFonts w:ascii="Arial" w:hAnsi="Arial" w:cs="Arial"/>
                <w:bCs/>
                <w:color w:val="215868" w:themeColor="accent5" w:themeShade="80"/>
                <w:sz w:val="18"/>
                <w:szCs w:val="18"/>
              </w:rPr>
              <w:t>%</w:t>
            </w:r>
          </w:p>
        </w:tc>
      </w:tr>
      <w:tr w:rsidR="00606E2B" w:rsidRPr="00606E2B" w14:paraId="68BDDC0E" w14:textId="77777777" w:rsidTr="007D3DBE">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082" w:type="dxa"/>
            <w:tcBorders>
              <w:left w:val="none" w:sz="0" w:space="0" w:color="auto"/>
              <w:right w:val="none" w:sz="0" w:space="0" w:color="auto"/>
            </w:tcBorders>
            <w:vAlign w:val="center"/>
          </w:tcPr>
          <w:p w14:paraId="38A22F21" w14:textId="5592A39B" w:rsidR="00606E2B" w:rsidRPr="00606E2B" w:rsidRDefault="00606E2B" w:rsidP="00606E2B">
            <w:pPr>
              <w:pStyle w:val="NoSpacing"/>
              <w:jc w:val="right"/>
              <w:rPr>
                <w:rFonts w:ascii="Arial" w:hAnsi="Arial" w:cs="Arial"/>
                <w:b w:val="0"/>
                <w:bCs w:val="0"/>
                <w:color w:val="215868" w:themeColor="accent5" w:themeShade="80"/>
                <w:sz w:val="18"/>
                <w:szCs w:val="18"/>
              </w:rPr>
            </w:pPr>
            <w:r w:rsidRPr="00606E2B">
              <w:rPr>
                <w:rFonts w:ascii="Arial" w:hAnsi="Arial" w:cs="Arial"/>
                <w:b w:val="0"/>
                <w:bCs w:val="0"/>
                <w:color w:val="215868" w:themeColor="accent5" w:themeShade="80"/>
                <w:sz w:val="18"/>
                <w:szCs w:val="18"/>
              </w:rPr>
              <w:lastRenderedPageBreak/>
              <w:t>Indoor</w:t>
            </w:r>
          </w:p>
        </w:tc>
        <w:tc>
          <w:tcPr>
            <w:tcW w:w="1085" w:type="dxa"/>
            <w:tcBorders>
              <w:left w:val="none" w:sz="0" w:space="0" w:color="auto"/>
              <w:right w:val="none" w:sz="0" w:space="0" w:color="auto"/>
            </w:tcBorders>
            <w:vAlign w:val="center"/>
          </w:tcPr>
          <w:p w14:paraId="40F6D46A" w14:textId="5B618960" w:rsidR="00606E2B" w:rsidRPr="00606E2B" w:rsidRDefault="00606E2B" w:rsidP="00606E2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+0.1%</w:t>
            </w:r>
          </w:p>
        </w:tc>
        <w:tc>
          <w:tcPr>
            <w:tcW w:w="1085" w:type="dxa"/>
            <w:gridSpan w:val="2"/>
            <w:tcBorders>
              <w:left w:val="none" w:sz="0" w:space="0" w:color="auto"/>
              <w:right w:val="none" w:sz="0" w:space="0" w:color="auto"/>
            </w:tcBorders>
            <w:vAlign w:val="center"/>
          </w:tcPr>
          <w:p w14:paraId="583FAEAA" w14:textId="19D15157" w:rsidR="00606E2B" w:rsidRPr="00606E2B" w:rsidRDefault="00606E2B" w:rsidP="00606E2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-8.0%</w:t>
            </w:r>
          </w:p>
        </w:tc>
        <w:tc>
          <w:tcPr>
            <w:tcW w:w="1085" w:type="dxa"/>
            <w:tcBorders>
              <w:left w:val="none" w:sz="0" w:space="0" w:color="auto"/>
              <w:right w:val="none" w:sz="0" w:space="0" w:color="auto"/>
            </w:tcBorders>
            <w:vAlign w:val="center"/>
          </w:tcPr>
          <w:p w14:paraId="1E1C8687" w14:textId="00873EF7" w:rsidR="00606E2B" w:rsidRPr="00606E2B" w:rsidRDefault="00606E2B" w:rsidP="00606E2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+19.1%</w:t>
            </w:r>
          </w:p>
        </w:tc>
        <w:tc>
          <w:tcPr>
            <w:tcW w:w="1085" w:type="dxa"/>
            <w:gridSpan w:val="2"/>
            <w:tcBorders>
              <w:left w:val="none" w:sz="0" w:space="0" w:color="auto"/>
              <w:right w:val="none" w:sz="0" w:space="0" w:color="auto"/>
            </w:tcBorders>
            <w:vAlign w:val="center"/>
          </w:tcPr>
          <w:p w14:paraId="4761A98E" w14:textId="3951059B" w:rsidR="00606E2B" w:rsidRPr="00606E2B" w:rsidRDefault="00606E2B" w:rsidP="00606E2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+15.8%</w:t>
            </w:r>
          </w:p>
        </w:tc>
        <w:tc>
          <w:tcPr>
            <w:tcW w:w="1085" w:type="dxa"/>
            <w:tcBorders>
              <w:left w:val="none" w:sz="0" w:space="0" w:color="auto"/>
              <w:right w:val="none" w:sz="0" w:space="0" w:color="auto"/>
            </w:tcBorders>
            <w:vAlign w:val="center"/>
          </w:tcPr>
          <w:p w14:paraId="08B2957D" w14:textId="6BCD0F2E" w:rsidR="00606E2B" w:rsidRPr="00606E2B" w:rsidRDefault="00606E2B" w:rsidP="00606E2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+26.2%</w:t>
            </w:r>
          </w:p>
        </w:tc>
        <w:tc>
          <w:tcPr>
            <w:tcW w:w="1085" w:type="dxa"/>
            <w:tcBorders>
              <w:left w:val="none" w:sz="0" w:space="0" w:color="auto"/>
              <w:right w:val="none" w:sz="0" w:space="0" w:color="auto"/>
            </w:tcBorders>
            <w:vAlign w:val="center"/>
          </w:tcPr>
          <w:p w14:paraId="461D9B46" w14:textId="5435206C" w:rsidR="00606E2B" w:rsidRPr="00606E2B" w:rsidRDefault="00606E2B" w:rsidP="00606E2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+39.6%</w:t>
            </w:r>
          </w:p>
        </w:tc>
        <w:tc>
          <w:tcPr>
            <w:tcW w:w="1085" w:type="dxa"/>
            <w:tcBorders>
              <w:left w:val="none" w:sz="0" w:space="0" w:color="auto"/>
              <w:right w:val="none" w:sz="0" w:space="0" w:color="auto"/>
            </w:tcBorders>
            <w:vAlign w:val="center"/>
          </w:tcPr>
          <w:p w14:paraId="78DAB57A" w14:textId="540D661E" w:rsidR="00606E2B" w:rsidRPr="00606E2B" w:rsidRDefault="00606E2B" w:rsidP="00606E2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+19.6%</w:t>
            </w:r>
          </w:p>
        </w:tc>
        <w:tc>
          <w:tcPr>
            <w:tcW w:w="1085" w:type="dxa"/>
            <w:tcBorders>
              <w:left w:val="none" w:sz="0" w:space="0" w:color="auto"/>
              <w:right w:val="none" w:sz="0" w:space="0" w:color="auto"/>
            </w:tcBorders>
            <w:vAlign w:val="center"/>
          </w:tcPr>
          <w:p w14:paraId="7970FC7B" w14:textId="7BD32256" w:rsidR="00606E2B" w:rsidRPr="00606E2B" w:rsidRDefault="00606E2B" w:rsidP="00606E2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465D0F">
              <w:rPr>
                <w:rFonts w:ascii="Arial" w:hAnsi="Arial" w:cs="Arial"/>
                <w:color w:val="215868" w:themeColor="accent5" w:themeShade="80"/>
                <w:sz w:val="18"/>
                <w:szCs w:val="18"/>
              </w:rPr>
              <w:t>388M</w:t>
            </w:r>
          </w:p>
        </w:tc>
        <w:tc>
          <w:tcPr>
            <w:tcW w:w="1085" w:type="dxa"/>
            <w:tcBorders>
              <w:left w:val="none" w:sz="0" w:space="0" w:color="auto"/>
              <w:right w:val="none" w:sz="0" w:space="0" w:color="auto"/>
            </w:tcBorders>
            <w:vAlign w:val="center"/>
          </w:tcPr>
          <w:p w14:paraId="7E9301ED" w14:textId="6AB6A48A" w:rsidR="00606E2B" w:rsidRPr="00606E2B" w:rsidRDefault="00606E2B" w:rsidP="00606E2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465D0F">
              <w:rPr>
                <w:rFonts w:ascii="Arial" w:hAnsi="Arial" w:cs="Arial"/>
                <w:color w:val="215868" w:themeColor="accent5" w:themeShade="80"/>
                <w:sz w:val="18"/>
                <w:szCs w:val="18"/>
              </w:rPr>
              <w:t>17.3</w:t>
            </w:r>
            <w:r>
              <w:rPr>
                <w:rFonts w:ascii="Arial" w:hAnsi="Arial" w:cs="Arial"/>
                <w:color w:val="215868" w:themeColor="accent5" w:themeShade="80"/>
                <w:sz w:val="18"/>
                <w:szCs w:val="18"/>
              </w:rPr>
              <w:t>%</w:t>
            </w:r>
          </w:p>
        </w:tc>
      </w:tr>
      <w:tr w:rsidR="00606E2B" w:rsidRPr="00606E2B" w14:paraId="405C3B46" w14:textId="77777777" w:rsidTr="00606E2B">
        <w:trPr>
          <w:trHeight w:val="310"/>
        </w:trPr>
        <w:tc>
          <w:tcPr>
            <w:cnfStyle w:val="001000000000" w:firstRow="0" w:lastRow="0" w:firstColumn="1" w:lastColumn="0" w:oddVBand="0" w:evenVBand="0" w:oddHBand="0" w:evenHBand="0" w:firstRowFirstColumn="0" w:firstRowLastColumn="0" w:lastRowFirstColumn="0" w:lastRowLastColumn="0"/>
            <w:tcW w:w="1082" w:type="dxa"/>
            <w:vAlign w:val="center"/>
          </w:tcPr>
          <w:p w14:paraId="5144BB0F" w14:textId="5052E9E5" w:rsidR="00606E2B" w:rsidRPr="00606E2B" w:rsidRDefault="00606E2B" w:rsidP="00606E2B">
            <w:pPr>
              <w:pStyle w:val="NoSpacing"/>
              <w:jc w:val="right"/>
              <w:rPr>
                <w:rFonts w:ascii="Arial" w:hAnsi="Arial" w:cs="Arial"/>
                <w:b w:val="0"/>
                <w:bCs w:val="0"/>
                <w:color w:val="215868" w:themeColor="accent5" w:themeShade="80"/>
                <w:sz w:val="18"/>
                <w:szCs w:val="18"/>
              </w:rPr>
            </w:pPr>
            <w:r w:rsidRPr="00606E2B">
              <w:rPr>
                <w:rFonts w:ascii="Arial" w:hAnsi="Arial" w:cs="Arial"/>
                <w:b w:val="0"/>
                <w:bCs w:val="0"/>
                <w:color w:val="215868" w:themeColor="accent5" w:themeShade="80"/>
                <w:sz w:val="18"/>
                <w:szCs w:val="18"/>
              </w:rPr>
              <w:t>Outdoor</w:t>
            </w:r>
          </w:p>
        </w:tc>
        <w:tc>
          <w:tcPr>
            <w:tcW w:w="1085" w:type="dxa"/>
            <w:vAlign w:val="center"/>
          </w:tcPr>
          <w:p w14:paraId="54C90511" w14:textId="515B8C05" w:rsidR="00606E2B" w:rsidRPr="00606E2B" w:rsidRDefault="00606E2B" w:rsidP="00606E2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-3.4%</w:t>
            </w:r>
          </w:p>
        </w:tc>
        <w:tc>
          <w:tcPr>
            <w:tcW w:w="1085" w:type="dxa"/>
            <w:gridSpan w:val="2"/>
            <w:vAlign w:val="center"/>
          </w:tcPr>
          <w:p w14:paraId="3ED4361E" w14:textId="4463B79D" w:rsidR="00606E2B" w:rsidRPr="00606E2B" w:rsidRDefault="00606E2B" w:rsidP="00606E2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+7.4%</w:t>
            </w:r>
          </w:p>
        </w:tc>
        <w:tc>
          <w:tcPr>
            <w:tcW w:w="1085" w:type="dxa"/>
            <w:vAlign w:val="center"/>
          </w:tcPr>
          <w:p w14:paraId="6E2CE7AD" w14:textId="5D338266" w:rsidR="00606E2B" w:rsidRPr="00606E2B" w:rsidRDefault="00606E2B" w:rsidP="00606E2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+0.7%</w:t>
            </w:r>
          </w:p>
        </w:tc>
        <w:tc>
          <w:tcPr>
            <w:tcW w:w="1085" w:type="dxa"/>
            <w:gridSpan w:val="2"/>
            <w:vAlign w:val="center"/>
          </w:tcPr>
          <w:p w14:paraId="4BC0BC53" w14:textId="3F6EEC2B" w:rsidR="00606E2B" w:rsidRPr="00606E2B" w:rsidRDefault="00606E2B" w:rsidP="00606E2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+2.3%</w:t>
            </w:r>
          </w:p>
        </w:tc>
        <w:tc>
          <w:tcPr>
            <w:tcW w:w="1085" w:type="dxa"/>
            <w:vAlign w:val="center"/>
          </w:tcPr>
          <w:p w14:paraId="3C05AC52" w14:textId="0BFAFD4A" w:rsidR="00606E2B" w:rsidRPr="00606E2B" w:rsidRDefault="00606E2B" w:rsidP="00606E2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+35.4%</w:t>
            </w:r>
          </w:p>
        </w:tc>
        <w:tc>
          <w:tcPr>
            <w:tcW w:w="1085" w:type="dxa"/>
            <w:vAlign w:val="center"/>
          </w:tcPr>
          <w:p w14:paraId="40B09C68" w14:textId="3F18A134" w:rsidR="00606E2B" w:rsidRPr="00606E2B" w:rsidRDefault="00606E2B" w:rsidP="00606E2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+6.9%</w:t>
            </w:r>
          </w:p>
        </w:tc>
        <w:tc>
          <w:tcPr>
            <w:tcW w:w="1085" w:type="dxa"/>
            <w:vAlign w:val="center"/>
          </w:tcPr>
          <w:p w14:paraId="526D1AB8" w14:textId="60AFEC75" w:rsidR="00606E2B" w:rsidRPr="00606E2B" w:rsidRDefault="00606E2B" w:rsidP="00606E2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+15.9%</w:t>
            </w:r>
          </w:p>
        </w:tc>
        <w:tc>
          <w:tcPr>
            <w:tcW w:w="1085" w:type="dxa"/>
            <w:vAlign w:val="center"/>
          </w:tcPr>
          <w:p w14:paraId="3EA6F5FC" w14:textId="1D40201D" w:rsidR="00606E2B" w:rsidRPr="00606E2B" w:rsidRDefault="00606E2B" w:rsidP="00606E2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465D0F">
              <w:rPr>
                <w:rFonts w:ascii="Arial" w:hAnsi="Arial" w:cs="Arial"/>
                <w:color w:val="215868" w:themeColor="accent5" w:themeShade="80"/>
                <w:sz w:val="18"/>
                <w:szCs w:val="18"/>
              </w:rPr>
              <w:t>28</w:t>
            </w:r>
            <w:r>
              <w:rPr>
                <w:rFonts w:ascii="Arial" w:hAnsi="Arial" w:cs="Arial"/>
                <w:color w:val="215868" w:themeColor="accent5" w:themeShade="80"/>
                <w:sz w:val="18"/>
                <w:szCs w:val="18"/>
              </w:rPr>
              <w:t>M</w:t>
            </w:r>
          </w:p>
        </w:tc>
        <w:tc>
          <w:tcPr>
            <w:tcW w:w="1085" w:type="dxa"/>
            <w:vAlign w:val="center"/>
          </w:tcPr>
          <w:p w14:paraId="2637A907" w14:textId="580B9C31" w:rsidR="00606E2B" w:rsidRPr="00606E2B" w:rsidRDefault="00465D0F" w:rsidP="00606E2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-1.1</w:t>
            </w:r>
            <w:r w:rsidR="00606E2B">
              <w:rPr>
                <w:rFonts w:ascii="Arial" w:hAnsi="Arial" w:cs="Arial"/>
                <w:color w:val="215868" w:themeColor="accent5" w:themeShade="80"/>
                <w:sz w:val="18"/>
                <w:szCs w:val="18"/>
              </w:rPr>
              <w:t>%</w:t>
            </w:r>
          </w:p>
        </w:tc>
      </w:tr>
    </w:tbl>
    <w:p w14:paraId="225C6C55" w14:textId="77777777" w:rsidR="000C1222" w:rsidRPr="00FF7558" w:rsidRDefault="000C1222" w:rsidP="000C1222">
      <w:pPr>
        <w:pStyle w:val="NoSpacing"/>
        <w:rPr>
          <w:rFonts w:ascii="Arial" w:hAnsi="Arial" w:cs="Arial"/>
          <w:sz w:val="16"/>
          <w:szCs w:val="16"/>
        </w:rPr>
      </w:pPr>
    </w:p>
    <w:p w14:paraId="4EB4C00F" w14:textId="23ED24C1" w:rsidR="00563A06" w:rsidRDefault="000C1222" w:rsidP="00207525">
      <w:pPr>
        <w:pStyle w:val="NoSpacing"/>
        <w:rPr>
          <w:rFonts w:ascii="Arial" w:hAnsi="Arial" w:cs="Arial"/>
          <w:b/>
          <w:color w:val="595959" w:themeColor="text1" w:themeTint="A6"/>
          <w:sz w:val="24"/>
          <w:szCs w:val="24"/>
        </w:rPr>
      </w:pPr>
      <w:r w:rsidRPr="00FF7558">
        <w:rPr>
          <w:rFonts w:ascii="Arial" w:hAnsi="Arial" w:cs="Arial"/>
          <w:sz w:val="16"/>
          <w:szCs w:val="16"/>
        </w:rPr>
        <w:t>Source: IRI Integrated Fresh, Total U.S., MULO, % change vs. YA</w:t>
      </w:r>
      <w:r w:rsidR="00AE2AA0" w:rsidRPr="00FF7558">
        <w:rPr>
          <w:rFonts w:ascii="Arial" w:hAnsi="Arial" w:cs="Arial"/>
          <w:sz w:val="16"/>
          <w:szCs w:val="16"/>
        </w:rPr>
        <w:t xml:space="preserve"> </w:t>
      </w:r>
      <w:bookmarkEnd w:id="0"/>
      <w:r w:rsidR="00207525">
        <w:rPr>
          <w:rFonts w:ascii="Arial" w:hAnsi="Arial" w:cs="Arial"/>
          <w:sz w:val="16"/>
          <w:szCs w:val="16"/>
        </w:rPr>
        <w:br/>
      </w:r>
    </w:p>
    <w:p w14:paraId="1F86B7DC" w14:textId="2F2EDF1D" w:rsidR="00465D0F" w:rsidRDefault="00465D0F" w:rsidP="00465D0F">
      <w:pPr>
        <w:pStyle w:val="NoSpacing"/>
      </w:pPr>
      <w:r w:rsidRPr="00465D0F">
        <w:t xml:space="preserve">The top </w:t>
      </w:r>
      <w:r w:rsidR="00581E1C">
        <w:t xml:space="preserve">three </w:t>
      </w:r>
      <w:r w:rsidRPr="00465D0F">
        <w:t>biggest</w:t>
      </w:r>
      <w:r w:rsidR="00581E1C">
        <w:t xml:space="preserve"> sellers this month were potted plants, bouquets and roses. </w:t>
      </w:r>
      <w:r w:rsidR="00F27029">
        <w:t xml:space="preserve">Growth for roses is still upwards of </w:t>
      </w:r>
      <w:r w:rsidR="00F153CA">
        <w:t xml:space="preserve">24% versus year ago and sales are up an astounding 57% versus 2019. Unit sales for roses, on the other hand, are up 11.7%. </w:t>
      </w:r>
    </w:p>
    <w:p w14:paraId="6105763B" w14:textId="77777777" w:rsidR="006A4A53" w:rsidRPr="00465D0F" w:rsidRDefault="006A4A53" w:rsidP="00465D0F">
      <w:pPr>
        <w:pStyle w:val="NoSpacing"/>
      </w:pPr>
    </w:p>
    <w:tbl>
      <w:tblPr>
        <w:tblStyle w:val="ListTable4-Accent51"/>
        <w:tblW w:w="927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160"/>
        <w:gridCol w:w="1098"/>
        <w:gridCol w:w="1530"/>
        <w:gridCol w:w="1530"/>
        <w:gridCol w:w="1602"/>
        <w:gridCol w:w="1350"/>
      </w:tblGrid>
      <w:tr w:rsidR="00581E1C" w:rsidRPr="00581E1C" w14:paraId="06630C95" w14:textId="77777777" w:rsidTr="00581E1C">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60" w:type="dxa"/>
            <w:tcBorders>
              <w:top w:val="none" w:sz="0" w:space="0" w:color="auto"/>
              <w:left w:val="none" w:sz="0" w:space="0" w:color="auto"/>
              <w:bottom w:val="none" w:sz="0" w:space="0" w:color="auto"/>
            </w:tcBorders>
            <w:shd w:val="clear" w:color="auto" w:fill="17365D" w:themeFill="text2" w:themeFillShade="BF"/>
            <w:noWrap/>
            <w:hideMark/>
          </w:tcPr>
          <w:p w14:paraId="0D3E49FF" w14:textId="77777777" w:rsidR="00581E1C" w:rsidRPr="00465D0F" w:rsidRDefault="00581E1C" w:rsidP="00465D0F">
            <w:pPr>
              <w:rPr>
                <w:rFonts w:ascii="Calibri" w:eastAsia="Times New Roman" w:hAnsi="Calibri" w:cs="Calibri"/>
                <w:sz w:val="20"/>
                <w:szCs w:val="20"/>
              </w:rPr>
            </w:pPr>
            <w:r w:rsidRPr="00465D0F">
              <w:rPr>
                <w:rFonts w:ascii="Calibri" w:eastAsia="Times New Roman" w:hAnsi="Calibri" w:cs="Calibri"/>
                <w:sz w:val="20"/>
                <w:szCs w:val="20"/>
              </w:rPr>
              <w:t>Product</w:t>
            </w:r>
          </w:p>
        </w:tc>
        <w:tc>
          <w:tcPr>
            <w:tcW w:w="1098" w:type="dxa"/>
            <w:tcBorders>
              <w:top w:val="none" w:sz="0" w:space="0" w:color="auto"/>
              <w:bottom w:val="none" w:sz="0" w:space="0" w:color="auto"/>
            </w:tcBorders>
            <w:shd w:val="clear" w:color="auto" w:fill="17365D" w:themeFill="text2" w:themeFillShade="BF"/>
            <w:noWrap/>
            <w:hideMark/>
          </w:tcPr>
          <w:p w14:paraId="29A977A8" w14:textId="1EE3AC53" w:rsidR="00581E1C" w:rsidRPr="00465D0F" w:rsidRDefault="00581E1C" w:rsidP="00581E1C">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A4A53">
              <w:rPr>
                <w:rFonts w:ascii="Calibri" w:eastAsia="Times New Roman" w:hAnsi="Calibri" w:cs="Calibri"/>
                <w:sz w:val="20"/>
                <w:szCs w:val="20"/>
              </w:rPr>
              <w:t>$ sales</w:t>
            </w:r>
          </w:p>
        </w:tc>
        <w:tc>
          <w:tcPr>
            <w:tcW w:w="1530" w:type="dxa"/>
            <w:tcBorders>
              <w:top w:val="none" w:sz="0" w:space="0" w:color="auto"/>
              <w:bottom w:val="none" w:sz="0" w:space="0" w:color="auto"/>
            </w:tcBorders>
            <w:shd w:val="clear" w:color="auto" w:fill="17365D" w:themeFill="text2" w:themeFillShade="BF"/>
            <w:noWrap/>
            <w:hideMark/>
          </w:tcPr>
          <w:p w14:paraId="65602E76" w14:textId="77777777" w:rsidR="00581E1C" w:rsidRPr="00465D0F" w:rsidRDefault="00581E1C" w:rsidP="00581E1C">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65D0F">
              <w:rPr>
                <w:rFonts w:ascii="Calibri" w:eastAsia="Times New Roman" w:hAnsi="Calibri" w:cs="Calibri"/>
                <w:sz w:val="20"/>
                <w:szCs w:val="20"/>
              </w:rPr>
              <w:t>% vs. 2020</w:t>
            </w:r>
          </w:p>
        </w:tc>
        <w:tc>
          <w:tcPr>
            <w:tcW w:w="1530" w:type="dxa"/>
            <w:tcBorders>
              <w:top w:val="none" w:sz="0" w:space="0" w:color="auto"/>
              <w:bottom w:val="none" w:sz="0" w:space="0" w:color="auto"/>
            </w:tcBorders>
            <w:shd w:val="clear" w:color="auto" w:fill="17365D" w:themeFill="text2" w:themeFillShade="BF"/>
            <w:noWrap/>
            <w:hideMark/>
          </w:tcPr>
          <w:p w14:paraId="35E35B2E" w14:textId="77777777" w:rsidR="00581E1C" w:rsidRPr="00465D0F" w:rsidRDefault="00581E1C" w:rsidP="00581E1C">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65D0F">
              <w:rPr>
                <w:rFonts w:ascii="Calibri" w:eastAsia="Times New Roman" w:hAnsi="Calibri" w:cs="Calibri"/>
                <w:sz w:val="20"/>
                <w:szCs w:val="20"/>
              </w:rPr>
              <w:t>% vs. 2019</w:t>
            </w:r>
          </w:p>
        </w:tc>
        <w:tc>
          <w:tcPr>
            <w:tcW w:w="1602" w:type="dxa"/>
            <w:tcBorders>
              <w:top w:val="none" w:sz="0" w:space="0" w:color="auto"/>
              <w:bottom w:val="none" w:sz="0" w:space="0" w:color="auto"/>
            </w:tcBorders>
            <w:shd w:val="clear" w:color="auto" w:fill="17365D" w:themeFill="text2" w:themeFillShade="BF"/>
            <w:noWrap/>
            <w:hideMark/>
          </w:tcPr>
          <w:p w14:paraId="6E2DC648" w14:textId="390412BE" w:rsidR="00581E1C" w:rsidRPr="00465D0F" w:rsidRDefault="00581E1C" w:rsidP="00581E1C">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65D0F">
              <w:rPr>
                <w:rFonts w:ascii="Calibri" w:eastAsia="Times New Roman" w:hAnsi="Calibri" w:cs="Calibri"/>
                <w:sz w:val="20"/>
                <w:szCs w:val="20"/>
              </w:rPr>
              <w:t>Unit Sales</w:t>
            </w:r>
          </w:p>
        </w:tc>
        <w:tc>
          <w:tcPr>
            <w:tcW w:w="1350" w:type="dxa"/>
            <w:tcBorders>
              <w:top w:val="none" w:sz="0" w:space="0" w:color="auto"/>
              <w:bottom w:val="none" w:sz="0" w:space="0" w:color="auto"/>
              <w:right w:val="none" w:sz="0" w:space="0" w:color="auto"/>
            </w:tcBorders>
            <w:shd w:val="clear" w:color="auto" w:fill="17365D" w:themeFill="text2" w:themeFillShade="BF"/>
            <w:noWrap/>
            <w:hideMark/>
          </w:tcPr>
          <w:p w14:paraId="6D1C9870" w14:textId="77777777" w:rsidR="00581E1C" w:rsidRPr="00465D0F" w:rsidRDefault="00581E1C" w:rsidP="00581E1C">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65D0F">
              <w:rPr>
                <w:rFonts w:ascii="Calibri" w:eastAsia="Times New Roman" w:hAnsi="Calibri" w:cs="Calibri"/>
                <w:sz w:val="20"/>
                <w:szCs w:val="20"/>
              </w:rPr>
              <w:t>% vs. 2020</w:t>
            </w:r>
          </w:p>
        </w:tc>
      </w:tr>
      <w:tr w:rsidR="00581E1C" w:rsidRPr="00581E1C" w14:paraId="05FF6E31" w14:textId="77777777" w:rsidTr="00581E1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60" w:type="dxa"/>
            <w:noWrap/>
            <w:hideMark/>
          </w:tcPr>
          <w:p w14:paraId="20E66D7F" w14:textId="556F213C" w:rsidR="00581E1C" w:rsidRPr="00465D0F" w:rsidRDefault="00581E1C" w:rsidP="00465D0F">
            <w:pPr>
              <w:rPr>
                <w:rFonts w:ascii="Calibri" w:eastAsia="Times New Roman" w:hAnsi="Calibri" w:cs="Calibri"/>
                <w:color w:val="000000"/>
                <w:sz w:val="20"/>
                <w:szCs w:val="20"/>
              </w:rPr>
            </w:pPr>
            <w:r w:rsidRPr="006A4A53">
              <w:rPr>
                <w:rFonts w:ascii="Calibri" w:eastAsia="Times New Roman" w:hAnsi="Calibri" w:cs="Calibri"/>
                <w:color w:val="000000"/>
                <w:sz w:val="20"/>
                <w:szCs w:val="20"/>
              </w:rPr>
              <w:t>Department floral</w:t>
            </w:r>
          </w:p>
        </w:tc>
        <w:tc>
          <w:tcPr>
            <w:tcW w:w="1098" w:type="dxa"/>
            <w:noWrap/>
            <w:hideMark/>
          </w:tcPr>
          <w:p w14:paraId="430371E9" w14:textId="3D95D61F" w:rsidR="00581E1C" w:rsidRPr="00465D0F" w:rsidRDefault="00581E1C" w:rsidP="00581E1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r w:rsidRPr="00465D0F">
              <w:rPr>
                <w:rFonts w:ascii="Calibri" w:eastAsia="Times New Roman" w:hAnsi="Calibri" w:cs="Calibri"/>
                <w:b/>
                <w:bCs/>
                <w:color w:val="000000"/>
                <w:sz w:val="20"/>
                <w:szCs w:val="20"/>
              </w:rPr>
              <w:t>$41</w:t>
            </w:r>
            <w:r w:rsidRPr="006A4A53">
              <w:rPr>
                <w:rFonts w:ascii="Calibri" w:eastAsia="Times New Roman" w:hAnsi="Calibri" w:cs="Calibri"/>
                <w:b/>
                <w:bCs/>
                <w:color w:val="000000"/>
                <w:sz w:val="20"/>
                <w:szCs w:val="20"/>
              </w:rPr>
              <w:t>7M</w:t>
            </w:r>
          </w:p>
        </w:tc>
        <w:tc>
          <w:tcPr>
            <w:tcW w:w="1530" w:type="dxa"/>
            <w:noWrap/>
            <w:hideMark/>
          </w:tcPr>
          <w:p w14:paraId="7635CA23" w14:textId="3F0FA750" w:rsidR="00581E1C" w:rsidRPr="00465D0F" w:rsidRDefault="00581E1C" w:rsidP="00581E1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r w:rsidRPr="006A4A53">
              <w:rPr>
                <w:rFonts w:ascii="Calibri" w:eastAsia="Times New Roman" w:hAnsi="Calibri" w:cs="Calibri"/>
                <w:b/>
                <w:bCs/>
                <w:color w:val="000000"/>
                <w:sz w:val="20"/>
                <w:szCs w:val="20"/>
              </w:rPr>
              <w:t>+</w:t>
            </w:r>
            <w:r w:rsidRPr="00465D0F">
              <w:rPr>
                <w:rFonts w:ascii="Calibri" w:eastAsia="Times New Roman" w:hAnsi="Calibri" w:cs="Calibri"/>
                <w:b/>
                <w:bCs/>
                <w:color w:val="000000"/>
                <w:sz w:val="20"/>
                <w:szCs w:val="20"/>
              </w:rPr>
              <w:t>15.9%</w:t>
            </w:r>
          </w:p>
        </w:tc>
        <w:tc>
          <w:tcPr>
            <w:tcW w:w="1530" w:type="dxa"/>
            <w:noWrap/>
            <w:hideMark/>
          </w:tcPr>
          <w:p w14:paraId="0898A065" w14:textId="090A004E" w:rsidR="00581E1C" w:rsidRPr="00465D0F" w:rsidRDefault="00581E1C" w:rsidP="00581E1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r w:rsidRPr="006A4A53">
              <w:rPr>
                <w:rFonts w:ascii="Calibri" w:eastAsia="Times New Roman" w:hAnsi="Calibri" w:cs="Calibri"/>
                <w:b/>
                <w:bCs/>
                <w:color w:val="000000"/>
                <w:sz w:val="20"/>
                <w:szCs w:val="20"/>
              </w:rPr>
              <w:t>+</w:t>
            </w:r>
            <w:r w:rsidRPr="00465D0F">
              <w:rPr>
                <w:rFonts w:ascii="Calibri" w:eastAsia="Times New Roman" w:hAnsi="Calibri" w:cs="Calibri"/>
                <w:b/>
                <w:bCs/>
                <w:color w:val="000000"/>
                <w:sz w:val="20"/>
                <w:szCs w:val="20"/>
              </w:rPr>
              <w:t>32.8%</w:t>
            </w:r>
          </w:p>
        </w:tc>
        <w:tc>
          <w:tcPr>
            <w:tcW w:w="1602" w:type="dxa"/>
            <w:noWrap/>
            <w:hideMark/>
          </w:tcPr>
          <w:p w14:paraId="624E09F2" w14:textId="32B6A78D" w:rsidR="00581E1C" w:rsidRPr="00465D0F" w:rsidRDefault="00581E1C" w:rsidP="00581E1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r w:rsidRPr="00465D0F">
              <w:rPr>
                <w:rFonts w:ascii="Calibri" w:eastAsia="Times New Roman" w:hAnsi="Calibri" w:cs="Calibri"/>
                <w:b/>
                <w:bCs/>
                <w:color w:val="000000"/>
                <w:sz w:val="20"/>
                <w:szCs w:val="20"/>
              </w:rPr>
              <w:t>42</w:t>
            </w:r>
            <w:r w:rsidRPr="006A4A53">
              <w:rPr>
                <w:rFonts w:ascii="Calibri" w:eastAsia="Times New Roman" w:hAnsi="Calibri" w:cs="Calibri"/>
                <w:b/>
                <w:bCs/>
                <w:color w:val="000000"/>
                <w:sz w:val="20"/>
                <w:szCs w:val="20"/>
              </w:rPr>
              <w:t>M</w:t>
            </w:r>
          </w:p>
        </w:tc>
        <w:tc>
          <w:tcPr>
            <w:tcW w:w="1350" w:type="dxa"/>
            <w:noWrap/>
            <w:hideMark/>
          </w:tcPr>
          <w:p w14:paraId="66E07F26" w14:textId="5002D659" w:rsidR="00581E1C" w:rsidRPr="00465D0F" w:rsidRDefault="00581E1C" w:rsidP="00581E1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r w:rsidRPr="006A4A53">
              <w:rPr>
                <w:rFonts w:ascii="Calibri" w:eastAsia="Times New Roman" w:hAnsi="Calibri" w:cs="Calibri"/>
                <w:b/>
                <w:bCs/>
                <w:color w:val="000000"/>
                <w:sz w:val="20"/>
                <w:szCs w:val="20"/>
              </w:rPr>
              <w:t>+</w:t>
            </w:r>
            <w:r w:rsidRPr="00465D0F">
              <w:rPr>
                <w:rFonts w:ascii="Calibri" w:eastAsia="Times New Roman" w:hAnsi="Calibri" w:cs="Calibri"/>
                <w:b/>
                <w:bCs/>
                <w:color w:val="000000"/>
                <w:sz w:val="20"/>
                <w:szCs w:val="20"/>
              </w:rPr>
              <w:t>6.6%</w:t>
            </w:r>
          </w:p>
        </w:tc>
      </w:tr>
      <w:tr w:rsidR="00581E1C" w:rsidRPr="00581E1C" w14:paraId="34B0F4FE" w14:textId="77777777" w:rsidTr="00581E1C">
        <w:trPr>
          <w:trHeight w:val="288"/>
        </w:trPr>
        <w:tc>
          <w:tcPr>
            <w:cnfStyle w:val="001000000000" w:firstRow="0" w:lastRow="0" w:firstColumn="1" w:lastColumn="0" w:oddVBand="0" w:evenVBand="0" w:oddHBand="0" w:evenHBand="0" w:firstRowFirstColumn="0" w:firstRowLastColumn="0" w:lastRowFirstColumn="0" w:lastRowLastColumn="0"/>
            <w:tcW w:w="2160" w:type="dxa"/>
            <w:noWrap/>
            <w:hideMark/>
          </w:tcPr>
          <w:p w14:paraId="33330B2B" w14:textId="235AECC4" w:rsidR="00581E1C" w:rsidRPr="00465D0F" w:rsidRDefault="00581E1C" w:rsidP="00465D0F">
            <w:pPr>
              <w:rPr>
                <w:rFonts w:ascii="Calibri" w:eastAsia="Times New Roman" w:hAnsi="Calibri" w:cs="Calibri"/>
                <w:b w:val="0"/>
                <w:bCs w:val="0"/>
                <w:color w:val="000000"/>
                <w:sz w:val="20"/>
                <w:szCs w:val="20"/>
              </w:rPr>
            </w:pPr>
            <w:r w:rsidRPr="006A4A53">
              <w:rPr>
                <w:rFonts w:ascii="Calibri" w:eastAsia="Times New Roman" w:hAnsi="Calibri" w:cs="Calibri"/>
                <w:b w:val="0"/>
                <w:bCs w:val="0"/>
                <w:color w:val="000000"/>
                <w:sz w:val="20"/>
                <w:szCs w:val="20"/>
              </w:rPr>
              <w:t>Potted plants</w:t>
            </w:r>
          </w:p>
        </w:tc>
        <w:tc>
          <w:tcPr>
            <w:tcW w:w="1098" w:type="dxa"/>
            <w:noWrap/>
            <w:hideMark/>
          </w:tcPr>
          <w:p w14:paraId="48404165" w14:textId="08E9241D" w:rsidR="00581E1C" w:rsidRPr="00465D0F" w:rsidRDefault="00581E1C" w:rsidP="00581E1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465D0F">
              <w:rPr>
                <w:rFonts w:ascii="Calibri" w:eastAsia="Times New Roman" w:hAnsi="Calibri" w:cs="Calibri"/>
                <w:color w:val="000000"/>
                <w:sz w:val="20"/>
                <w:szCs w:val="20"/>
              </w:rPr>
              <w:t>$8</w:t>
            </w:r>
            <w:r w:rsidRPr="006A4A53">
              <w:rPr>
                <w:rFonts w:ascii="Calibri" w:eastAsia="Times New Roman" w:hAnsi="Calibri" w:cs="Calibri"/>
                <w:color w:val="000000"/>
                <w:sz w:val="20"/>
                <w:szCs w:val="20"/>
              </w:rPr>
              <w:t>3M</w:t>
            </w:r>
          </w:p>
        </w:tc>
        <w:tc>
          <w:tcPr>
            <w:tcW w:w="1530" w:type="dxa"/>
            <w:noWrap/>
            <w:hideMark/>
          </w:tcPr>
          <w:p w14:paraId="64199230" w14:textId="56927157" w:rsidR="00581E1C" w:rsidRPr="00465D0F" w:rsidRDefault="00581E1C" w:rsidP="00581E1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6A4A53">
              <w:rPr>
                <w:rFonts w:ascii="Calibri" w:eastAsia="Times New Roman" w:hAnsi="Calibri" w:cs="Calibri"/>
                <w:color w:val="000000"/>
                <w:sz w:val="20"/>
                <w:szCs w:val="20"/>
              </w:rPr>
              <w:t>+</w:t>
            </w:r>
            <w:r w:rsidRPr="00465D0F">
              <w:rPr>
                <w:rFonts w:ascii="Calibri" w:eastAsia="Times New Roman" w:hAnsi="Calibri" w:cs="Calibri"/>
                <w:color w:val="000000"/>
                <w:sz w:val="20"/>
                <w:szCs w:val="20"/>
              </w:rPr>
              <w:t>17.1%</w:t>
            </w:r>
          </w:p>
        </w:tc>
        <w:tc>
          <w:tcPr>
            <w:tcW w:w="1530" w:type="dxa"/>
            <w:noWrap/>
            <w:hideMark/>
          </w:tcPr>
          <w:p w14:paraId="440A14C1" w14:textId="5FBA60BD" w:rsidR="00581E1C" w:rsidRPr="00465D0F" w:rsidRDefault="00581E1C" w:rsidP="00581E1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6A4A53">
              <w:rPr>
                <w:rFonts w:ascii="Calibri" w:eastAsia="Times New Roman" w:hAnsi="Calibri" w:cs="Calibri"/>
                <w:color w:val="000000"/>
                <w:sz w:val="20"/>
                <w:szCs w:val="20"/>
              </w:rPr>
              <w:t>+</w:t>
            </w:r>
            <w:r w:rsidRPr="00465D0F">
              <w:rPr>
                <w:rFonts w:ascii="Calibri" w:eastAsia="Times New Roman" w:hAnsi="Calibri" w:cs="Calibri"/>
                <w:color w:val="000000"/>
                <w:sz w:val="20"/>
                <w:szCs w:val="20"/>
              </w:rPr>
              <w:t>26.7%</w:t>
            </w:r>
          </w:p>
        </w:tc>
        <w:tc>
          <w:tcPr>
            <w:tcW w:w="1602" w:type="dxa"/>
            <w:noWrap/>
            <w:hideMark/>
          </w:tcPr>
          <w:p w14:paraId="51CAF75F" w14:textId="58C7CDEB" w:rsidR="00581E1C" w:rsidRPr="00465D0F" w:rsidRDefault="00581E1C" w:rsidP="00581E1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465D0F">
              <w:rPr>
                <w:rFonts w:ascii="Calibri" w:eastAsia="Times New Roman" w:hAnsi="Calibri" w:cs="Calibri"/>
                <w:color w:val="000000"/>
                <w:sz w:val="20"/>
                <w:szCs w:val="20"/>
              </w:rPr>
              <w:t>9</w:t>
            </w:r>
            <w:r w:rsidRPr="006A4A53">
              <w:rPr>
                <w:rFonts w:ascii="Calibri" w:eastAsia="Times New Roman" w:hAnsi="Calibri" w:cs="Calibri"/>
                <w:color w:val="000000"/>
                <w:sz w:val="20"/>
                <w:szCs w:val="20"/>
              </w:rPr>
              <w:t>.4M</w:t>
            </w:r>
          </w:p>
        </w:tc>
        <w:tc>
          <w:tcPr>
            <w:tcW w:w="1350" w:type="dxa"/>
            <w:noWrap/>
            <w:hideMark/>
          </w:tcPr>
          <w:p w14:paraId="7280C762" w14:textId="17E5FD76" w:rsidR="00581E1C" w:rsidRPr="00465D0F" w:rsidRDefault="00581E1C" w:rsidP="00581E1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6A4A53">
              <w:rPr>
                <w:rFonts w:ascii="Calibri" w:eastAsia="Times New Roman" w:hAnsi="Calibri" w:cs="Calibri"/>
                <w:color w:val="000000"/>
                <w:sz w:val="20"/>
                <w:szCs w:val="20"/>
              </w:rPr>
              <w:t>+</w:t>
            </w:r>
            <w:r w:rsidRPr="00465D0F">
              <w:rPr>
                <w:rFonts w:ascii="Calibri" w:eastAsia="Times New Roman" w:hAnsi="Calibri" w:cs="Calibri"/>
                <w:color w:val="000000"/>
                <w:sz w:val="20"/>
                <w:szCs w:val="20"/>
              </w:rPr>
              <w:t>5.1%</w:t>
            </w:r>
          </w:p>
        </w:tc>
      </w:tr>
      <w:tr w:rsidR="00581E1C" w:rsidRPr="00581E1C" w14:paraId="7BDA8A9A" w14:textId="77777777" w:rsidTr="00581E1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60" w:type="dxa"/>
            <w:noWrap/>
            <w:hideMark/>
          </w:tcPr>
          <w:p w14:paraId="03B37670" w14:textId="7239D93E" w:rsidR="00581E1C" w:rsidRPr="00465D0F" w:rsidRDefault="00581E1C" w:rsidP="00465D0F">
            <w:pPr>
              <w:rPr>
                <w:rFonts w:ascii="Calibri" w:eastAsia="Times New Roman" w:hAnsi="Calibri" w:cs="Calibri"/>
                <w:b w:val="0"/>
                <w:bCs w:val="0"/>
                <w:color w:val="000000"/>
                <w:sz w:val="20"/>
                <w:szCs w:val="20"/>
              </w:rPr>
            </w:pPr>
            <w:r w:rsidRPr="006A4A53">
              <w:rPr>
                <w:rFonts w:ascii="Calibri" w:eastAsia="Times New Roman" w:hAnsi="Calibri" w:cs="Calibri"/>
                <w:b w:val="0"/>
                <w:bCs w:val="0"/>
                <w:color w:val="000000"/>
                <w:sz w:val="20"/>
                <w:szCs w:val="20"/>
              </w:rPr>
              <w:t>Bouquets</w:t>
            </w:r>
          </w:p>
        </w:tc>
        <w:tc>
          <w:tcPr>
            <w:tcW w:w="1098" w:type="dxa"/>
            <w:noWrap/>
            <w:hideMark/>
          </w:tcPr>
          <w:p w14:paraId="16D36914" w14:textId="6A5F80E1" w:rsidR="00581E1C" w:rsidRPr="00465D0F" w:rsidRDefault="00581E1C" w:rsidP="00581E1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465D0F">
              <w:rPr>
                <w:rFonts w:ascii="Calibri" w:eastAsia="Times New Roman" w:hAnsi="Calibri" w:cs="Calibri"/>
                <w:color w:val="000000"/>
                <w:sz w:val="20"/>
                <w:szCs w:val="20"/>
              </w:rPr>
              <w:t>$8</w:t>
            </w:r>
            <w:r w:rsidRPr="006A4A53">
              <w:rPr>
                <w:rFonts w:ascii="Calibri" w:eastAsia="Times New Roman" w:hAnsi="Calibri" w:cs="Calibri"/>
                <w:color w:val="000000"/>
                <w:sz w:val="20"/>
                <w:szCs w:val="20"/>
              </w:rPr>
              <w:t>1M</w:t>
            </w:r>
          </w:p>
        </w:tc>
        <w:tc>
          <w:tcPr>
            <w:tcW w:w="1530" w:type="dxa"/>
            <w:noWrap/>
            <w:hideMark/>
          </w:tcPr>
          <w:p w14:paraId="4772D532" w14:textId="4B13092C" w:rsidR="00581E1C" w:rsidRPr="00465D0F" w:rsidRDefault="00581E1C" w:rsidP="00581E1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6A4A53">
              <w:rPr>
                <w:rFonts w:ascii="Calibri" w:eastAsia="Times New Roman" w:hAnsi="Calibri" w:cs="Calibri"/>
                <w:color w:val="000000"/>
                <w:sz w:val="20"/>
                <w:szCs w:val="20"/>
              </w:rPr>
              <w:t>+</w:t>
            </w:r>
            <w:r w:rsidRPr="00465D0F">
              <w:rPr>
                <w:rFonts w:ascii="Calibri" w:eastAsia="Times New Roman" w:hAnsi="Calibri" w:cs="Calibri"/>
                <w:color w:val="000000"/>
                <w:sz w:val="20"/>
                <w:szCs w:val="20"/>
              </w:rPr>
              <w:t>7.1%</w:t>
            </w:r>
          </w:p>
        </w:tc>
        <w:tc>
          <w:tcPr>
            <w:tcW w:w="1530" w:type="dxa"/>
            <w:noWrap/>
            <w:hideMark/>
          </w:tcPr>
          <w:p w14:paraId="1B69AA18" w14:textId="0C1E198A" w:rsidR="00581E1C" w:rsidRPr="00465D0F" w:rsidRDefault="00581E1C" w:rsidP="00581E1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6A4A53">
              <w:rPr>
                <w:rFonts w:ascii="Calibri" w:eastAsia="Times New Roman" w:hAnsi="Calibri" w:cs="Calibri"/>
                <w:color w:val="000000"/>
                <w:sz w:val="20"/>
                <w:szCs w:val="20"/>
              </w:rPr>
              <w:t>+</w:t>
            </w:r>
            <w:r w:rsidRPr="00465D0F">
              <w:rPr>
                <w:rFonts w:ascii="Calibri" w:eastAsia="Times New Roman" w:hAnsi="Calibri" w:cs="Calibri"/>
                <w:color w:val="000000"/>
                <w:sz w:val="20"/>
                <w:szCs w:val="20"/>
              </w:rPr>
              <w:t>28.1%</w:t>
            </w:r>
          </w:p>
        </w:tc>
        <w:tc>
          <w:tcPr>
            <w:tcW w:w="1602" w:type="dxa"/>
            <w:noWrap/>
            <w:hideMark/>
          </w:tcPr>
          <w:p w14:paraId="3FAF26C5" w14:textId="2DE8F07B" w:rsidR="00581E1C" w:rsidRPr="00465D0F" w:rsidRDefault="00581E1C" w:rsidP="00581E1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465D0F">
              <w:rPr>
                <w:rFonts w:ascii="Calibri" w:eastAsia="Times New Roman" w:hAnsi="Calibri" w:cs="Calibri"/>
                <w:color w:val="000000"/>
                <w:sz w:val="20"/>
                <w:szCs w:val="20"/>
              </w:rPr>
              <w:t>6</w:t>
            </w:r>
            <w:r w:rsidRPr="006A4A53">
              <w:rPr>
                <w:rFonts w:ascii="Calibri" w:eastAsia="Times New Roman" w:hAnsi="Calibri" w:cs="Calibri"/>
                <w:color w:val="000000"/>
                <w:sz w:val="20"/>
                <w:szCs w:val="20"/>
              </w:rPr>
              <w:t>.6M</w:t>
            </w:r>
          </w:p>
        </w:tc>
        <w:tc>
          <w:tcPr>
            <w:tcW w:w="1350" w:type="dxa"/>
            <w:noWrap/>
            <w:hideMark/>
          </w:tcPr>
          <w:p w14:paraId="3D6F3B6B" w14:textId="6D394545" w:rsidR="00581E1C" w:rsidRPr="00465D0F" w:rsidRDefault="00581E1C" w:rsidP="00581E1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6A4A53">
              <w:rPr>
                <w:rFonts w:ascii="Calibri" w:eastAsia="Times New Roman" w:hAnsi="Calibri" w:cs="Calibri"/>
                <w:color w:val="000000"/>
                <w:sz w:val="20"/>
                <w:szCs w:val="20"/>
              </w:rPr>
              <w:t>+</w:t>
            </w:r>
            <w:r w:rsidRPr="00465D0F">
              <w:rPr>
                <w:rFonts w:ascii="Calibri" w:eastAsia="Times New Roman" w:hAnsi="Calibri" w:cs="Calibri"/>
                <w:color w:val="000000"/>
                <w:sz w:val="20"/>
                <w:szCs w:val="20"/>
              </w:rPr>
              <w:t>0.7%</w:t>
            </w:r>
          </w:p>
        </w:tc>
      </w:tr>
      <w:tr w:rsidR="00581E1C" w:rsidRPr="00581E1C" w14:paraId="67A76242" w14:textId="77777777" w:rsidTr="00581E1C">
        <w:trPr>
          <w:trHeight w:val="288"/>
        </w:trPr>
        <w:tc>
          <w:tcPr>
            <w:cnfStyle w:val="001000000000" w:firstRow="0" w:lastRow="0" w:firstColumn="1" w:lastColumn="0" w:oddVBand="0" w:evenVBand="0" w:oddHBand="0" w:evenHBand="0" w:firstRowFirstColumn="0" w:firstRowLastColumn="0" w:lastRowFirstColumn="0" w:lastRowLastColumn="0"/>
            <w:tcW w:w="2160" w:type="dxa"/>
            <w:noWrap/>
            <w:hideMark/>
          </w:tcPr>
          <w:p w14:paraId="0A043DCB" w14:textId="305008A6" w:rsidR="00581E1C" w:rsidRPr="00465D0F" w:rsidRDefault="00581E1C" w:rsidP="00465D0F">
            <w:pPr>
              <w:rPr>
                <w:rFonts w:ascii="Calibri" w:eastAsia="Times New Roman" w:hAnsi="Calibri" w:cs="Calibri"/>
                <w:b w:val="0"/>
                <w:bCs w:val="0"/>
                <w:color w:val="000000"/>
                <w:sz w:val="20"/>
                <w:szCs w:val="20"/>
              </w:rPr>
            </w:pPr>
            <w:r w:rsidRPr="006A4A53">
              <w:rPr>
                <w:rFonts w:ascii="Calibri" w:eastAsia="Times New Roman" w:hAnsi="Calibri" w:cs="Calibri"/>
                <w:b w:val="0"/>
                <w:bCs w:val="0"/>
                <w:color w:val="000000"/>
                <w:sz w:val="20"/>
                <w:szCs w:val="20"/>
              </w:rPr>
              <w:t>Roses</w:t>
            </w:r>
          </w:p>
        </w:tc>
        <w:tc>
          <w:tcPr>
            <w:tcW w:w="1098" w:type="dxa"/>
            <w:noWrap/>
            <w:hideMark/>
          </w:tcPr>
          <w:p w14:paraId="5FC3545C" w14:textId="50F8B94C" w:rsidR="00581E1C" w:rsidRPr="00465D0F" w:rsidRDefault="00581E1C" w:rsidP="00581E1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465D0F">
              <w:rPr>
                <w:rFonts w:ascii="Calibri" w:eastAsia="Times New Roman" w:hAnsi="Calibri" w:cs="Calibri"/>
                <w:color w:val="000000"/>
                <w:sz w:val="20"/>
                <w:szCs w:val="20"/>
              </w:rPr>
              <w:t>$77</w:t>
            </w:r>
            <w:r w:rsidRPr="006A4A53">
              <w:rPr>
                <w:rFonts w:ascii="Calibri" w:eastAsia="Times New Roman" w:hAnsi="Calibri" w:cs="Calibri"/>
                <w:color w:val="000000"/>
                <w:sz w:val="20"/>
                <w:szCs w:val="20"/>
              </w:rPr>
              <w:t>M</w:t>
            </w:r>
          </w:p>
        </w:tc>
        <w:tc>
          <w:tcPr>
            <w:tcW w:w="1530" w:type="dxa"/>
            <w:noWrap/>
            <w:hideMark/>
          </w:tcPr>
          <w:p w14:paraId="63882F6D" w14:textId="3453AC69" w:rsidR="00581E1C" w:rsidRPr="00465D0F" w:rsidRDefault="00581E1C" w:rsidP="00581E1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6A4A53">
              <w:rPr>
                <w:rFonts w:ascii="Calibri" w:eastAsia="Times New Roman" w:hAnsi="Calibri" w:cs="Calibri"/>
                <w:color w:val="000000"/>
                <w:sz w:val="20"/>
                <w:szCs w:val="20"/>
              </w:rPr>
              <w:t>+</w:t>
            </w:r>
            <w:r w:rsidRPr="00465D0F">
              <w:rPr>
                <w:rFonts w:ascii="Calibri" w:eastAsia="Times New Roman" w:hAnsi="Calibri" w:cs="Calibri"/>
                <w:color w:val="000000"/>
                <w:sz w:val="20"/>
                <w:szCs w:val="20"/>
              </w:rPr>
              <w:t>24.1%</w:t>
            </w:r>
          </w:p>
        </w:tc>
        <w:tc>
          <w:tcPr>
            <w:tcW w:w="1530" w:type="dxa"/>
            <w:noWrap/>
            <w:hideMark/>
          </w:tcPr>
          <w:p w14:paraId="7A9058E9" w14:textId="79C685AA" w:rsidR="00581E1C" w:rsidRPr="00465D0F" w:rsidRDefault="00581E1C" w:rsidP="00581E1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6A4A53">
              <w:rPr>
                <w:rFonts w:ascii="Calibri" w:eastAsia="Times New Roman" w:hAnsi="Calibri" w:cs="Calibri"/>
                <w:color w:val="000000"/>
                <w:sz w:val="20"/>
                <w:szCs w:val="20"/>
              </w:rPr>
              <w:t>+</w:t>
            </w:r>
            <w:r w:rsidRPr="00465D0F">
              <w:rPr>
                <w:rFonts w:ascii="Calibri" w:eastAsia="Times New Roman" w:hAnsi="Calibri" w:cs="Calibri"/>
                <w:color w:val="000000"/>
                <w:sz w:val="20"/>
                <w:szCs w:val="20"/>
              </w:rPr>
              <w:t>57.0%</w:t>
            </w:r>
          </w:p>
        </w:tc>
        <w:tc>
          <w:tcPr>
            <w:tcW w:w="1602" w:type="dxa"/>
            <w:noWrap/>
            <w:hideMark/>
          </w:tcPr>
          <w:p w14:paraId="0EAFED91" w14:textId="520FB13F" w:rsidR="00581E1C" w:rsidRPr="00465D0F" w:rsidRDefault="00581E1C" w:rsidP="00581E1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465D0F">
              <w:rPr>
                <w:rFonts w:ascii="Calibri" w:eastAsia="Times New Roman" w:hAnsi="Calibri" w:cs="Calibri"/>
                <w:color w:val="000000"/>
                <w:sz w:val="20"/>
                <w:szCs w:val="20"/>
              </w:rPr>
              <w:t>6</w:t>
            </w:r>
            <w:r w:rsidRPr="006A4A53">
              <w:rPr>
                <w:rFonts w:ascii="Calibri" w:eastAsia="Times New Roman" w:hAnsi="Calibri" w:cs="Calibri"/>
                <w:color w:val="000000"/>
                <w:sz w:val="20"/>
                <w:szCs w:val="20"/>
              </w:rPr>
              <w:t>.6M</w:t>
            </w:r>
          </w:p>
        </w:tc>
        <w:tc>
          <w:tcPr>
            <w:tcW w:w="1350" w:type="dxa"/>
            <w:noWrap/>
            <w:hideMark/>
          </w:tcPr>
          <w:p w14:paraId="0E397E2A" w14:textId="49236B1E" w:rsidR="00581E1C" w:rsidRPr="00465D0F" w:rsidRDefault="00581E1C" w:rsidP="00581E1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6A4A53">
              <w:rPr>
                <w:rFonts w:ascii="Calibri" w:eastAsia="Times New Roman" w:hAnsi="Calibri" w:cs="Calibri"/>
                <w:color w:val="000000"/>
                <w:sz w:val="20"/>
                <w:szCs w:val="20"/>
              </w:rPr>
              <w:t>+</w:t>
            </w:r>
            <w:r w:rsidRPr="00465D0F">
              <w:rPr>
                <w:rFonts w:ascii="Calibri" w:eastAsia="Times New Roman" w:hAnsi="Calibri" w:cs="Calibri"/>
                <w:color w:val="000000"/>
                <w:sz w:val="20"/>
                <w:szCs w:val="20"/>
              </w:rPr>
              <w:t>11.7%</w:t>
            </w:r>
          </w:p>
        </w:tc>
      </w:tr>
    </w:tbl>
    <w:p w14:paraId="13886E75" w14:textId="77777777" w:rsidR="007D3DBE" w:rsidRPr="00FF7558" w:rsidRDefault="007D3DBE" w:rsidP="007D3DBE">
      <w:pPr>
        <w:pStyle w:val="NoSpacing"/>
        <w:rPr>
          <w:rFonts w:ascii="Arial" w:hAnsi="Arial" w:cs="Arial"/>
          <w:sz w:val="16"/>
          <w:szCs w:val="16"/>
        </w:rPr>
      </w:pPr>
    </w:p>
    <w:p w14:paraId="0738EEB9" w14:textId="1571E2C5" w:rsidR="00B920A9" w:rsidRPr="007D3DBE" w:rsidRDefault="007D3DBE" w:rsidP="00CF651D">
      <w:pPr>
        <w:pStyle w:val="NoSpacing"/>
        <w:rPr>
          <w:rFonts w:ascii="Arial" w:hAnsi="Arial" w:cs="Arial"/>
          <w:b/>
          <w:color w:val="7F7F7F" w:themeColor="text1" w:themeTint="80"/>
          <w:sz w:val="24"/>
          <w:szCs w:val="24"/>
        </w:rPr>
      </w:pPr>
      <w:r w:rsidRPr="00FF7558">
        <w:rPr>
          <w:rFonts w:ascii="Arial" w:hAnsi="Arial" w:cs="Arial"/>
          <w:sz w:val="16"/>
          <w:szCs w:val="16"/>
        </w:rPr>
        <w:t xml:space="preserve">Source: IRI Integrated Fresh, Total U.S., MULO, % change vs. YA </w:t>
      </w:r>
      <w:r>
        <w:rPr>
          <w:rFonts w:ascii="Arial" w:hAnsi="Arial" w:cs="Arial"/>
          <w:sz w:val="16"/>
          <w:szCs w:val="16"/>
        </w:rPr>
        <w:br/>
      </w:r>
    </w:p>
    <w:p w14:paraId="69E29F62" w14:textId="77777777" w:rsidR="006A4A53" w:rsidRPr="007D3DBE" w:rsidRDefault="006A4A53" w:rsidP="00CF651D">
      <w:pPr>
        <w:pStyle w:val="NoSpacing"/>
        <w:rPr>
          <w:rFonts w:ascii="Arial" w:hAnsi="Arial" w:cs="Arial"/>
          <w:b/>
          <w:color w:val="7F7F7F" w:themeColor="text1" w:themeTint="80"/>
          <w:sz w:val="24"/>
          <w:szCs w:val="24"/>
        </w:rPr>
      </w:pPr>
    </w:p>
    <w:p w14:paraId="2E2AD892" w14:textId="77777777" w:rsidR="00CF651D" w:rsidRPr="006879B2" w:rsidRDefault="00CF651D" w:rsidP="00CF651D">
      <w:pPr>
        <w:pStyle w:val="NoSpacing"/>
        <w:rPr>
          <w:rFonts w:ascii="Arial" w:hAnsi="Arial" w:cs="Arial"/>
          <w:b/>
          <w:color w:val="595959" w:themeColor="text1" w:themeTint="A6"/>
          <w:sz w:val="24"/>
          <w:szCs w:val="24"/>
        </w:rPr>
      </w:pPr>
      <w:r w:rsidRPr="006879B2">
        <w:rPr>
          <w:rFonts w:ascii="Arial" w:hAnsi="Arial" w:cs="Arial"/>
          <w:b/>
          <w:color w:val="595959" w:themeColor="text1" w:themeTint="A6"/>
          <w:sz w:val="24"/>
          <w:szCs w:val="24"/>
        </w:rPr>
        <w:t xml:space="preserve">What’s </w:t>
      </w:r>
      <w:r>
        <w:rPr>
          <w:rFonts w:ascii="Arial" w:hAnsi="Arial" w:cs="Arial"/>
          <w:b/>
          <w:color w:val="595959" w:themeColor="text1" w:themeTint="A6"/>
          <w:sz w:val="24"/>
          <w:szCs w:val="24"/>
        </w:rPr>
        <w:t>N</w:t>
      </w:r>
      <w:r w:rsidRPr="006879B2">
        <w:rPr>
          <w:rFonts w:ascii="Arial" w:hAnsi="Arial" w:cs="Arial"/>
          <w:b/>
          <w:color w:val="595959" w:themeColor="text1" w:themeTint="A6"/>
          <w:sz w:val="24"/>
          <w:szCs w:val="24"/>
        </w:rPr>
        <w:t xml:space="preserve">ext? </w:t>
      </w:r>
    </w:p>
    <w:p w14:paraId="2BEDDEA0" w14:textId="77777777" w:rsidR="006A4A53" w:rsidRDefault="006A4A53" w:rsidP="006A4A53">
      <w:pPr>
        <w:pStyle w:val="NoSpacing"/>
        <w:rPr>
          <w:rFonts w:ascii="Arial" w:hAnsi="Arial" w:cs="Arial"/>
          <w:color w:val="000000" w:themeColor="text1"/>
          <w:sz w:val="20"/>
          <w:szCs w:val="20"/>
        </w:rPr>
      </w:pPr>
      <w:bookmarkStart w:id="1" w:name="_Hlk79236872"/>
      <w:r>
        <w:rPr>
          <w:rFonts w:ascii="Arial" w:hAnsi="Arial" w:cs="Arial"/>
          <w:color w:val="000000" w:themeColor="text1"/>
          <w:sz w:val="20"/>
          <w:szCs w:val="20"/>
        </w:rPr>
        <w:t xml:space="preserve">The IRI primary shopper survey found many examples of consumers encountering inflation and out-of-stocks. </w:t>
      </w:r>
    </w:p>
    <w:p w14:paraId="5F827AB6" w14:textId="77777777" w:rsidR="006A4A53" w:rsidRDefault="006A4A53" w:rsidP="006A4A53">
      <w:pPr>
        <w:pStyle w:val="NoSpacing"/>
        <w:numPr>
          <w:ilvl w:val="0"/>
          <w:numId w:val="13"/>
        </w:numPr>
        <w:rPr>
          <w:rFonts w:ascii="Arial" w:hAnsi="Arial" w:cs="Arial"/>
          <w:color w:val="000000" w:themeColor="text1"/>
          <w:sz w:val="20"/>
          <w:szCs w:val="20"/>
        </w:rPr>
      </w:pPr>
      <w:r>
        <w:rPr>
          <w:rFonts w:ascii="Arial" w:hAnsi="Arial" w:cs="Arial"/>
          <w:color w:val="000000" w:themeColor="text1"/>
          <w:sz w:val="20"/>
          <w:szCs w:val="20"/>
        </w:rPr>
        <w:t xml:space="preserve">37% encountered issues with availability on their list trip. Highest out-of-stocks were reported for toilet paper, canned goods, carbonated soft drinks, paper towels and milk. </w:t>
      </w:r>
    </w:p>
    <w:p w14:paraId="2BAA891C" w14:textId="77777777" w:rsidR="006A4A53" w:rsidRDefault="006A4A53" w:rsidP="006A4A53">
      <w:pPr>
        <w:pStyle w:val="NoSpacing"/>
        <w:numPr>
          <w:ilvl w:val="0"/>
          <w:numId w:val="13"/>
        </w:numPr>
        <w:rPr>
          <w:rFonts w:ascii="Arial" w:hAnsi="Arial" w:cs="Arial"/>
          <w:color w:val="000000" w:themeColor="text1"/>
          <w:sz w:val="20"/>
          <w:szCs w:val="20"/>
        </w:rPr>
      </w:pPr>
      <w:r w:rsidRPr="00D927D0">
        <w:rPr>
          <w:rFonts w:ascii="Arial" w:hAnsi="Arial" w:cs="Arial"/>
          <w:color w:val="000000" w:themeColor="text1"/>
          <w:sz w:val="20"/>
          <w:szCs w:val="20"/>
        </w:rPr>
        <w:t>In response to not being able to buy what they came</w:t>
      </w:r>
      <w:r>
        <w:rPr>
          <w:rFonts w:ascii="Arial" w:hAnsi="Arial" w:cs="Arial"/>
          <w:color w:val="000000" w:themeColor="text1"/>
          <w:sz w:val="20"/>
          <w:szCs w:val="20"/>
        </w:rPr>
        <w:t xml:space="preserve"> for, 39% of shoppers spent their money elsewhere and 29% ended up not purchasing the planned item at all — underscoring the significant impact of out-of-stocks on sales. </w:t>
      </w:r>
      <w:r w:rsidRPr="00D927D0">
        <w:rPr>
          <w:rFonts w:ascii="Arial" w:hAnsi="Arial" w:cs="Arial"/>
          <w:color w:val="000000" w:themeColor="text1"/>
          <w:sz w:val="20"/>
          <w:szCs w:val="20"/>
        </w:rPr>
        <w:br/>
        <w:t>- 29% went to a different store and another 10% went online and bought it from another store</w:t>
      </w:r>
      <w:r w:rsidRPr="00D927D0">
        <w:rPr>
          <w:rFonts w:ascii="Arial" w:hAnsi="Arial" w:cs="Arial"/>
          <w:color w:val="000000" w:themeColor="text1"/>
          <w:sz w:val="20"/>
          <w:szCs w:val="20"/>
        </w:rPr>
        <w:br/>
      </w:r>
      <w:r>
        <w:rPr>
          <w:rFonts w:ascii="Arial" w:hAnsi="Arial" w:cs="Arial"/>
          <w:color w:val="000000" w:themeColor="text1"/>
          <w:sz w:val="20"/>
          <w:szCs w:val="20"/>
        </w:rPr>
        <w:t>- 29% forewent the purchase</w:t>
      </w:r>
      <w:r w:rsidRPr="00D927D0">
        <w:rPr>
          <w:rFonts w:ascii="Arial" w:hAnsi="Arial" w:cs="Arial"/>
          <w:color w:val="000000" w:themeColor="text1"/>
          <w:sz w:val="20"/>
          <w:szCs w:val="20"/>
        </w:rPr>
        <w:br/>
        <w:t>- 28% bought a different brand or variety</w:t>
      </w:r>
      <w:r w:rsidRPr="00D927D0">
        <w:rPr>
          <w:rFonts w:ascii="Arial" w:hAnsi="Arial" w:cs="Arial"/>
          <w:color w:val="000000" w:themeColor="text1"/>
          <w:sz w:val="20"/>
          <w:szCs w:val="20"/>
        </w:rPr>
        <w:br/>
        <w:t>- 22% returned to the store later</w:t>
      </w:r>
      <w:r>
        <w:rPr>
          <w:rFonts w:ascii="Arial" w:hAnsi="Arial" w:cs="Arial"/>
          <w:color w:val="000000" w:themeColor="text1"/>
          <w:sz w:val="20"/>
          <w:szCs w:val="20"/>
        </w:rPr>
        <w:br/>
      </w:r>
    </w:p>
    <w:p w14:paraId="485ACDB7" w14:textId="1ED2F82B" w:rsidR="006A4A53" w:rsidRDefault="006A4A53" w:rsidP="006A4A53">
      <w:pPr>
        <w:pStyle w:val="NoSpacing"/>
        <w:rPr>
          <w:rFonts w:ascii="Arial" w:hAnsi="Arial" w:cs="Arial"/>
          <w:color w:val="000000" w:themeColor="text1"/>
          <w:sz w:val="20"/>
          <w:szCs w:val="20"/>
        </w:rPr>
      </w:pPr>
      <w:r>
        <w:rPr>
          <w:rFonts w:ascii="Arial" w:hAnsi="Arial" w:cs="Arial"/>
          <w:color w:val="000000" w:themeColor="text1"/>
          <w:sz w:val="20"/>
          <w:szCs w:val="20"/>
        </w:rPr>
        <w:t xml:space="preserve">While the upswing in new COVID-19 cases in the latter half of 2021 has reversed some of the normalization seen in the first half of the year, concern levels are not quite what they have been. </w:t>
      </w:r>
      <w:r w:rsidR="00F153CA">
        <w:rPr>
          <w:rFonts w:ascii="Arial" w:hAnsi="Arial" w:cs="Arial"/>
          <w:color w:val="000000" w:themeColor="text1"/>
          <w:sz w:val="20"/>
          <w:szCs w:val="20"/>
        </w:rPr>
        <w:t>This explains the small reversals in areas such as online sales, browsing for new items and time spent in store, but not anywhere near the levels seen at the onset of the pandemic.</w:t>
      </w:r>
    </w:p>
    <w:p w14:paraId="5E92B773" w14:textId="77777777" w:rsidR="006A4A53" w:rsidRDefault="006A4A53" w:rsidP="006A4A53">
      <w:pPr>
        <w:pStyle w:val="NoSpacing"/>
        <w:numPr>
          <w:ilvl w:val="0"/>
          <w:numId w:val="14"/>
        </w:numPr>
        <w:rPr>
          <w:rFonts w:ascii="Arial" w:hAnsi="Arial" w:cs="Arial"/>
          <w:color w:val="000000" w:themeColor="text1"/>
          <w:sz w:val="20"/>
          <w:szCs w:val="20"/>
        </w:rPr>
      </w:pPr>
      <w:r>
        <w:rPr>
          <w:rFonts w:ascii="Arial" w:hAnsi="Arial" w:cs="Arial"/>
          <w:color w:val="000000" w:themeColor="text1"/>
          <w:sz w:val="20"/>
          <w:szCs w:val="20"/>
        </w:rPr>
        <w:t>33% is extremely concerned — a ratio that was double as high during the early months.</w:t>
      </w:r>
    </w:p>
    <w:p w14:paraId="3D94AC0A" w14:textId="73A5C6EA" w:rsidR="006A4A53" w:rsidRDefault="006A4A53" w:rsidP="006A4A53">
      <w:pPr>
        <w:pStyle w:val="NoSpacing"/>
        <w:numPr>
          <w:ilvl w:val="0"/>
          <w:numId w:val="14"/>
        </w:numPr>
        <w:rPr>
          <w:rFonts w:ascii="Arial" w:hAnsi="Arial" w:cs="Arial"/>
          <w:color w:val="000000" w:themeColor="text1"/>
          <w:sz w:val="20"/>
          <w:szCs w:val="20"/>
        </w:rPr>
      </w:pPr>
      <w:r>
        <w:rPr>
          <w:rFonts w:ascii="Arial" w:hAnsi="Arial" w:cs="Arial"/>
          <w:color w:val="000000" w:themeColor="text1"/>
          <w:sz w:val="20"/>
          <w:szCs w:val="20"/>
        </w:rPr>
        <w:t>Despite the arrival of the Omicron variant, 78% are not any more or less worried; 12% are more worried and 10% are less worried</w:t>
      </w:r>
    </w:p>
    <w:p w14:paraId="39CCF6D2" w14:textId="35F93F50" w:rsidR="00C170D7" w:rsidRPr="00C170D7" w:rsidRDefault="00C170D7" w:rsidP="00C170D7">
      <w:pPr>
        <w:pStyle w:val="NoSpacing"/>
        <w:numPr>
          <w:ilvl w:val="0"/>
          <w:numId w:val="14"/>
        </w:numPr>
        <w:rPr>
          <w:rFonts w:ascii="Arial" w:hAnsi="Arial" w:cs="Arial"/>
          <w:color w:val="000000" w:themeColor="text1"/>
          <w:sz w:val="20"/>
          <w:szCs w:val="20"/>
        </w:rPr>
      </w:pPr>
      <w:r>
        <w:rPr>
          <w:rFonts w:ascii="Arial" w:hAnsi="Arial" w:cs="Arial"/>
          <w:color w:val="000000" w:themeColor="text1"/>
          <w:sz w:val="20"/>
          <w:szCs w:val="20"/>
        </w:rPr>
        <w:t xml:space="preserve">50% expect to start Christmas grocery shopping a bit earlier than usual. Celebrations are likely to be very home-centric yet again, with only 3% expecting to go out to a restaurant. </w:t>
      </w:r>
    </w:p>
    <w:p w14:paraId="0B98DFBE" w14:textId="77777777" w:rsidR="006A4A53" w:rsidRDefault="006A4A53" w:rsidP="006A4A53">
      <w:pPr>
        <w:pStyle w:val="NoSpacing"/>
        <w:rPr>
          <w:rFonts w:ascii="Arial" w:hAnsi="Arial" w:cs="Arial"/>
          <w:color w:val="000000" w:themeColor="text1"/>
          <w:sz w:val="20"/>
          <w:szCs w:val="20"/>
        </w:rPr>
      </w:pPr>
    </w:p>
    <w:p w14:paraId="02CC22EA" w14:textId="432E71EC" w:rsidR="006A4A53" w:rsidRDefault="006A4A53" w:rsidP="006A4A53">
      <w:pPr>
        <w:pStyle w:val="NoSpacing"/>
        <w:rPr>
          <w:rFonts w:ascii="Arial" w:hAnsi="Arial" w:cs="Arial"/>
          <w:color w:val="000000" w:themeColor="text1"/>
          <w:sz w:val="20"/>
          <w:szCs w:val="20"/>
        </w:rPr>
      </w:pPr>
      <w:r>
        <w:rPr>
          <w:rFonts w:ascii="Arial" w:hAnsi="Arial" w:cs="Arial"/>
          <w:color w:val="000000" w:themeColor="text1"/>
          <w:sz w:val="20"/>
          <w:szCs w:val="20"/>
        </w:rPr>
        <w:t>Consumer mobility remains high</w:t>
      </w:r>
      <w:r w:rsidR="00F153CA">
        <w:rPr>
          <w:rFonts w:ascii="Arial" w:hAnsi="Arial" w:cs="Arial"/>
          <w:color w:val="000000" w:themeColor="text1"/>
          <w:sz w:val="20"/>
          <w:szCs w:val="20"/>
        </w:rPr>
        <w:t>, especially in the area of virtual versus in-person education</w:t>
      </w:r>
      <w:r>
        <w:rPr>
          <w:rFonts w:ascii="Arial" w:hAnsi="Arial" w:cs="Arial"/>
          <w:color w:val="000000" w:themeColor="text1"/>
          <w:sz w:val="20"/>
          <w:szCs w:val="20"/>
        </w:rPr>
        <w:t>:</w:t>
      </w:r>
    </w:p>
    <w:p w14:paraId="6C6428E5" w14:textId="77777777" w:rsidR="006A4A53" w:rsidRDefault="006A4A53" w:rsidP="006A4A53">
      <w:pPr>
        <w:pStyle w:val="NoSpacing"/>
        <w:numPr>
          <w:ilvl w:val="0"/>
          <w:numId w:val="15"/>
        </w:numPr>
        <w:rPr>
          <w:rFonts w:ascii="Arial" w:hAnsi="Arial" w:cs="Arial"/>
          <w:color w:val="000000" w:themeColor="text1"/>
          <w:sz w:val="20"/>
          <w:szCs w:val="20"/>
        </w:rPr>
      </w:pPr>
      <w:r>
        <w:rPr>
          <w:rFonts w:ascii="Arial" w:hAnsi="Arial" w:cs="Arial"/>
          <w:color w:val="000000" w:themeColor="text1"/>
          <w:sz w:val="20"/>
          <w:szCs w:val="20"/>
        </w:rPr>
        <w:t>81% of the nation’s children attend school in person full time, another 4% are in a hybrid system.</w:t>
      </w:r>
    </w:p>
    <w:p w14:paraId="5981DABE" w14:textId="77777777" w:rsidR="006A4A53" w:rsidRDefault="006A4A53" w:rsidP="006A4A53">
      <w:pPr>
        <w:pStyle w:val="NoSpacing"/>
        <w:numPr>
          <w:ilvl w:val="0"/>
          <w:numId w:val="15"/>
        </w:numPr>
        <w:rPr>
          <w:rFonts w:ascii="Arial" w:hAnsi="Arial" w:cs="Arial"/>
          <w:color w:val="000000" w:themeColor="text1"/>
          <w:sz w:val="20"/>
          <w:szCs w:val="20"/>
        </w:rPr>
      </w:pPr>
      <w:r>
        <w:rPr>
          <w:rFonts w:ascii="Arial" w:hAnsi="Arial" w:cs="Arial"/>
          <w:color w:val="000000" w:themeColor="text1"/>
          <w:sz w:val="20"/>
          <w:szCs w:val="20"/>
        </w:rPr>
        <w:t xml:space="preserve">15% of parents now pack food to bring to school more often that they did pre-pandemic. In contrast, 19% now do school lunch more often. 62% go about school lunch the same way they did pre-pandemic. </w:t>
      </w:r>
    </w:p>
    <w:p w14:paraId="65B19E09" w14:textId="77777777" w:rsidR="006A4A53" w:rsidRPr="00D927D0" w:rsidRDefault="006A4A53" w:rsidP="006A4A53">
      <w:pPr>
        <w:pStyle w:val="NoSpacing"/>
        <w:numPr>
          <w:ilvl w:val="0"/>
          <w:numId w:val="15"/>
        </w:numPr>
        <w:rPr>
          <w:rFonts w:ascii="Arial" w:hAnsi="Arial" w:cs="Arial"/>
          <w:color w:val="000000" w:themeColor="text1"/>
          <w:sz w:val="20"/>
          <w:szCs w:val="20"/>
        </w:rPr>
      </w:pPr>
      <w:r>
        <w:rPr>
          <w:rFonts w:ascii="Arial" w:hAnsi="Arial" w:cs="Arial"/>
          <w:color w:val="000000" w:themeColor="text1"/>
          <w:sz w:val="20"/>
          <w:szCs w:val="20"/>
        </w:rPr>
        <w:t>9% of parents pack more drinks to bring to school as water fountains remain off limits in some schools.</w:t>
      </w:r>
      <w:r w:rsidRPr="00D927D0">
        <w:rPr>
          <w:rFonts w:ascii="Arial" w:hAnsi="Arial" w:cs="Arial"/>
          <w:color w:val="000000" w:themeColor="text1"/>
          <w:sz w:val="20"/>
          <w:szCs w:val="20"/>
        </w:rPr>
        <w:br/>
      </w:r>
    </w:p>
    <w:p w14:paraId="6A08B880" w14:textId="77777777" w:rsidR="006A4A53" w:rsidRDefault="006A4A53" w:rsidP="006A4A53">
      <w:pPr>
        <w:pStyle w:val="NoSpacing"/>
        <w:rPr>
          <w:rFonts w:ascii="Arial" w:hAnsi="Arial" w:cs="Arial"/>
          <w:color w:val="000000" w:themeColor="text1"/>
          <w:sz w:val="20"/>
          <w:szCs w:val="20"/>
        </w:rPr>
      </w:pPr>
      <w:r>
        <w:rPr>
          <w:rFonts w:ascii="Arial" w:hAnsi="Arial" w:cs="Arial"/>
          <w:color w:val="000000" w:themeColor="text1"/>
          <w:sz w:val="20"/>
          <w:szCs w:val="20"/>
        </w:rPr>
        <w:t>Restaurant engagement, at 82%, remained high in November, driven by takeout and delivery:</w:t>
      </w:r>
    </w:p>
    <w:p w14:paraId="6B9B02A7" w14:textId="77777777" w:rsidR="006A4A53" w:rsidRDefault="006A4A53" w:rsidP="006A4A53">
      <w:pPr>
        <w:pStyle w:val="NoSpacing"/>
        <w:numPr>
          <w:ilvl w:val="0"/>
          <w:numId w:val="16"/>
        </w:numPr>
        <w:rPr>
          <w:rFonts w:ascii="Arial" w:hAnsi="Arial" w:cs="Arial"/>
          <w:color w:val="000000" w:themeColor="text1"/>
          <w:sz w:val="20"/>
          <w:szCs w:val="20"/>
        </w:rPr>
      </w:pPr>
      <w:r>
        <w:rPr>
          <w:rFonts w:ascii="Arial" w:hAnsi="Arial" w:cs="Arial"/>
          <w:color w:val="000000" w:themeColor="text1"/>
          <w:sz w:val="20"/>
          <w:szCs w:val="20"/>
        </w:rPr>
        <w:t>58% of primary shoppers have gotten takeout, a few points higher than in the summer, and 22% have ordered home delivery.</w:t>
      </w:r>
    </w:p>
    <w:p w14:paraId="34C1C00C" w14:textId="77777777" w:rsidR="006A4A53" w:rsidRDefault="006A4A53" w:rsidP="006A4A53">
      <w:pPr>
        <w:pStyle w:val="NoSpacing"/>
        <w:numPr>
          <w:ilvl w:val="0"/>
          <w:numId w:val="16"/>
        </w:numPr>
        <w:rPr>
          <w:rFonts w:ascii="Arial" w:hAnsi="Arial" w:cs="Arial"/>
          <w:color w:val="000000" w:themeColor="text1"/>
          <w:sz w:val="20"/>
          <w:szCs w:val="20"/>
        </w:rPr>
      </w:pPr>
      <w:r>
        <w:rPr>
          <w:rFonts w:ascii="Arial" w:hAnsi="Arial" w:cs="Arial"/>
          <w:color w:val="000000" w:themeColor="text1"/>
          <w:sz w:val="20"/>
          <w:szCs w:val="20"/>
        </w:rPr>
        <w:t>50% have dined inside at a restaurant and 15% have eaten outdoors at a restaurant.</w:t>
      </w:r>
    </w:p>
    <w:p w14:paraId="07F15E1C" w14:textId="77777777" w:rsidR="006A4A53" w:rsidRDefault="006A4A53" w:rsidP="006A4A53">
      <w:pPr>
        <w:pStyle w:val="NoSpacing"/>
        <w:rPr>
          <w:rFonts w:ascii="Arial" w:hAnsi="Arial" w:cs="Arial"/>
          <w:color w:val="000000" w:themeColor="text1"/>
          <w:sz w:val="20"/>
          <w:szCs w:val="20"/>
        </w:rPr>
      </w:pPr>
    </w:p>
    <w:p w14:paraId="42E290BB" w14:textId="6ABAB345" w:rsidR="001E19ED" w:rsidRDefault="001E19ED" w:rsidP="001E19ED">
      <w:pPr>
        <w:pStyle w:val="NoSpacing"/>
        <w:rPr>
          <w:rFonts w:ascii="Arial" w:hAnsi="Arial" w:cs="Arial"/>
          <w:sz w:val="20"/>
          <w:szCs w:val="20"/>
        </w:rPr>
      </w:pPr>
      <w:r>
        <w:rPr>
          <w:rFonts w:ascii="Arial" w:hAnsi="Arial" w:cs="Arial"/>
          <w:sz w:val="20"/>
          <w:szCs w:val="20"/>
        </w:rPr>
        <w:t xml:space="preserve">The next report, covering December, will be released in mid-January. </w:t>
      </w:r>
      <w:r w:rsidRPr="008A6A7C">
        <w:rPr>
          <w:rFonts w:ascii="Arial" w:hAnsi="Arial" w:cs="Arial"/>
          <w:sz w:val="20"/>
          <w:szCs w:val="20"/>
        </w:rPr>
        <w:t xml:space="preserve">We encourage you to contact Joe Watson, PMA’s Vice President of Membership and Engagement, at </w:t>
      </w:r>
      <w:hyperlink r:id="rId16" w:history="1">
        <w:r w:rsidRPr="008A6A7C">
          <w:rPr>
            <w:rStyle w:val="Hyperlink"/>
            <w:rFonts w:ascii="Arial" w:hAnsi="Arial" w:cs="Arial"/>
            <w:color w:val="auto"/>
            <w:sz w:val="20"/>
            <w:szCs w:val="20"/>
            <w:u w:val="none"/>
          </w:rPr>
          <w:t>jwatson@pma.com</w:t>
        </w:r>
      </w:hyperlink>
      <w:r w:rsidRPr="008A6A7C">
        <w:rPr>
          <w:rFonts w:ascii="Arial" w:hAnsi="Arial" w:cs="Arial"/>
          <w:sz w:val="20"/>
          <w:szCs w:val="20"/>
        </w:rPr>
        <w:t xml:space="preserve"> with any questions or concerns.</w:t>
      </w:r>
      <w:r>
        <w:rPr>
          <w:rFonts w:ascii="Arial" w:hAnsi="Arial" w:cs="Arial"/>
          <w:sz w:val="20"/>
          <w:szCs w:val="20"/>
        </w:rPr>
        <w:t xml:space="preserve"> </w:t>
      </w:r>
      <w:r w:rsidRPr="008A6A7C">
        <w:rPr>
          <w:rFonts w:ascii="Arial" w:hAnsi="Arial" w:cs="Arial"/>
          <w:sz w:val="20"/>
          <w:szCs w:val="20"/>
        </w:rPr>
        <w:t>Please recognize the continued dedication of the entire grocery and produce suppl</w:t>
      </w:r>
      <w:r>
        <w:rPr>
          <w:rFonts w:ascii="Arial" w:hAnsi="Arial" w:cs="Arial"/>
          <w:sz w:val="20"/>
          <w:szCs w:val="20"/>
        </w:rPr>
        <w:t>y chains, from farm to retailer</w:t>
      </w:r>
      <w:r w:rsidRPr="008A6A7C">
        <w:rPr>
          <w:rFonts w:ascii="Arial" w:hAnsi="Arial" w:cs="Arial"/>
          <w:sz w:val="20"/>
          <w:szCs w:val="20"/>
        </w:rPr>
        <w:t>. #produce #joyoffresh #SupermarketSuperHeroes.</w:t>
      </w:r>
    </w:p>
    <w:p w14:paraId="08D72BA8" w14:textId="77777777" w:rsidR="001E19ED" w:rsidRDefault="001E19ED" w:rsidP="001E19ED">
      <w:pPr>
        <w:pStyle w:val="NoSpacing"/>
        <w:rPr>
          <w:rFonts w:ascii="Arial" w:hAnsi="Arial" w:cs="Arial"/>
          <w:sz w:val="20"/>
          <w:szCs w:val="20"/>
        </w:rPr>
      </w:pPr>
    </w:p>
    <w:p w14:paraId="0429C5BB" w14:textId="77777777" w:rsidR="006A4A53" w:rsidRDefault="006A4A53" w:rsidP="006A4A53">
      <w:pPr>
        <w:pStyle w:val="NoSpacing"/>
        <w:rPr>
          <w:rFonts w:ascii="Arial" w:hAnsi="Arial" w:cs="Arial"/>
          <w:sz w:val="20"/>
          <w:szCs w:val="20"/>
        </w:rPr>
      </w:pPr>
    </w:p>
    <w:p w14:paraId="51933CB2" w14:textId="77777777" w:rsidR="006A4A53" w:rsidRPr="00DE633B" w:rsidRDefault="006A4A53" w:rsidP="006A4A53">
      <w:pPr>
        <w:pStyle w:val="NoSpacing"/>
        <w:rPr>
          <w:rFonts w:ascii="Arial" w:hAnsi="Arial" w:cs="Arial"/>
          <w:b/>
          <w:sz w:val="20"/>
          <w:szCs w:val="20"/>
        </w:rPr>
      </w:pPr>
      <w:r w:rsidRPr="00DE633B">
        <w:rPr>
          <w:rFonts w:ascii="Arial" w:hAnsi="Arial" w:cs="Arial"/>
          <w:b/>
          <w:sz w:val="20"/>
          <w:szCs w:val="20"/>
        </w:rPr>
        <w:t xml:space="preserve">Date ranges: </w:t>
      </w:r>
    </w:p>
    <w:p w14:paraId="188C677C" w14:textId="77777777" w:rsidR="006A4A53" w:rsidRDefault="006A4A53" w:rsidP="006A4A53">
      <w:pPr>
        <w:pStyle w:val="NoSpacing"/>
        <w:rPr>
          <w:rFonts w:ascii="Arial" w:hAnsi="Arial" w:cs="Arial"/>
          <w:sz w:val="20"/>
          <w:szCs w:val="20"/>
        </w:rPr>
      </w:pPr>
      <w:r>
        <w:rPr>
          <w:rFonts w:ascii="Arial" w:hAnsi="Arial" w:cs="Arial"/>
          <w:sz w:val="20"/>
          <w:szCs w:val="20"/>
        </w:rPr>
        <w:t>2019: 52 weeks ending 12/28/2019</w:t>
      </w:r>
    </w:p>
    <w:p w14:paraId="5D6ACC53" w14:textId="77777777" w:rsidR="006A4A53" w:rsidRDefault="006A4A53" w:rsidP="006A4A53">
      <w:pPr>
        <w:pStyle w:val="NoSpacing"/>
        <w:rPr>
          <w:rFonts w:ascii="Arial" w:hAnsi="Arial" w:cs="Arial"/>
          <w:sz w:val="20"/>
          <w:szCs w:val="20"/>
        </w:rPr>
      </w:pPr>
      <w:r>
        <w:rPr>
          <w:rFonts w:ascii="Arial" w:hAnsi="Arial" w:cs="Arial"/>
          <w:sz w:val="20"/>
          <w:szCs w:val="20"/>
        </w:rPr>
        <w:t>Q1 2020: 13 weeks ending 3/29/2020</w:t>
      </w:r>
    </w:p>
    <w:p w14:paraId="652D628B" w14:textId="77777777" w:rsidR="006A4A53" w:rsidRDefault="006A4A53" w:rsidP="006A4A53">
      <w:pPr>
        <w:pStyle w:val="NoSpacing"/>
        <w:rPr>
          <w:rFonts w:ascii="Arial" w:hAnsi="Arial" w:cs="Arial"/>
          <w:sz w:val="20"/>
          <w:szCs w:val="20"/>
        </w:rPr>
      </w:pPr>
      <w:r>
        <w:rPr>
          <w:rFonts w:ascii="Arial" w:hAnsi="Arial" w:cs="Arial"/>
          <w:sz w:val="20"/>
          <w:szCs w:val="20"/>
        </w:rPr>
        <w:t>Q2 2020: 13 weeks ending 6/28/2020</w:t>
      </w:r>
    </w:p>
    <w:p w14:paraId="192A58E6" w14:textId="77777777" w:rsidR="006A4A53" w:rsidRDefault="006A4A53" w:rsidP="006A4A53">
      <w:pPr>
        <w:pStyle w:val="NoSpacing"/>
        <w:rPr>
          <w:rFonts w:ascii="Arial" w:hAnsi="Arial" w:cs="Arial"/>
          <w:sz w:val="20"/>
          <w:szCs w:val="20"/>
        </w:rPr>
      </w:pPr>
      <w:r>
        <w:rPr>
          <w:rFonts w:ascii="Arial" w:hAnsi="Arial" w:cs="Arial"/>
          <w:sz w:val="20"/>
          <w:szCs w:val="20"/>
        </w:rPr>
        <w:t>Q3 2020: 13 weeks ending 9/27/2020</w:t>
      </w:r>
    </w:p>
    <w:p w14:paraId="08A12056" w14:textId="77777777" w:rsidR="006A4A53" w:rsidRDefault="006A4A53" w:rsidP="006A4A53">
      <w:pPr>
        <w:pStyle w:val="NoSpacing"/>
        <w:rPr>
          <w:rFonts w:ascii="Arial" w:hAnsi="Arial" w:cs="Arial"/>
          <w:sz w:val="20"/>
          <w:szCs w:val="20"/>
        </w:rPr>
      </w:pPr>
      <w:r>
        <w:rPr>
          <w:rFonts w:ascii="Arial" w:hAnsi="Arial" w:cs="Arial"/>
          <w:sz w:val="20"/>
          <w:szCs w:val="20"/>
        </w:rPr>
        <w:t>Q4 2020: 13 weeks ending 12/27/2020</w:t>
      </w:r>
    </w:p>
    <w:p w14:paraId="2862403C" w14:textId="77777777" w:rsidR="006A4A53" w:rsidRDefault="006A4A53" w:rsidP="006A4A53">
      <w:pPr>
        <w:pStyle w:val="NoSpacing"/>
        <w:rPr>
          <w:rFonts w:ascii="Arial" w:hAnsi="Arial" w:cs="Arial"/>
          <w:sz w:val="20"/>
          <w:szCs w:val="20"/>
        </w:rPr>
      </w:pPr>
      <w:r>
        <w:rPr>
          <w:rFonts w:ascii="Arial" w:hAnsi="Arial" w:cs="Arial"/>
          <w:sz w:val="20"/>
          <w:szCs w:val="20"/>
        </w:rPr>
        <w:t>Q1 2021: 13 weeks ending 3/28/2021</w:t>
      </w:r>
    </w:p>
    <w:p w14:paraId="5C471217" w14:textId="77777777" w:rsidR="006A4A53" w:rsidRDefault="006A4A53" w:rsidP="006A4A53">
      <w:pPr>
        <w:pStyle w:val="NoSpacing"/>
        <w:rPr>
          <w:rFonts w:ascii="Arial" w:hAnsi="Arial" w:cs="Arial"/>
          <w:sz w:val="20"/>
          <w:szCs w:val="20"/>
        </w:rPr>
      </w:pPr>
      <w:r>
        <w:rPr>
          <w:rFonts w:ascii="Arial" w:hAnsi="Arial" w:cs="Arial"/>
          <w:sz w:val="20"/>
          <w:szCs w:val="20"/>
        </w:rPr>
        <w:t>Q2 2021: 13 weeks ending 6/27/2021</w:t>
      </w:r>
    </w:p>
    <w:p w14:paraId="2D8DE375" w14:textId="77777777" w:rsidR="006A4A53" w:rsidRDefault="006A4A53" w:rsidP="006A4A53">
      <w:pPr>
        <w:pStyle w:val="NoSpacing"/>
        <w:rPr>
          <w:rFonts w:ascii="Arial" w:hAnsi="Arial" w:cs="Arial"/>
          <w:sz w:val="20"/>
          <w:szCs w:val="20"/>
        </w:rPr>
      </w:pPr>
      <w:r>
        <w:rPr>
          <w:rFonts w:ascii="Arial" w:hAnsi="Arial" w:cs="Arial"/>
          <w:sz w:val="20"/>
          <w:szCs w:val="20"/>
        </w:rPr>
        <w:t>Q3 2021: 13 weeks ending 9/26/2021</w:t>
      </w:r>
    </w:p>
    <w:p w14:paraId="375BD6F2" w14:textId="77777777" w:rsidR="006A4A53" w:rsidRPr="00D42D94" w:rsidRDefault="006A4A53" w:rsidP="006A4A53">
      <w:pPr>
        <w:pStyle w:val="NoSpacing"/>
        <w:rPr>
          <w:rFonts w:ascii="Arial" w:hAnsi="Arial" w:cs="Arial"/>
          <w:sz w:val="20"/>
          <w:szCs w:val="20"/>
        </w:rPr>
      </w:pPr>
      <w:r>
        <w:rPr>
          <w:rFonts w:ascii="Arial" w:hAnsi="Arial" w:cs="Arial"/>
          <w:sz w:val="20"/>
          <w:szCs w:val="20"/>
        </w:rPr>
        <w:t>November 2021: 4 weeks ending 11/28/2021</w:t>
      </w:r>
      <w:bookmarkEnd w:id="1"/>
    </w:p>
    <w:p w14:paraId="2B2138F7" w14:textId="77777777" w:rsidR="00C826C2" w:rsidRPr="008A6A7C" w:rsidRDefault="00C826C2" w:rsidP="006A4A53">
      <w:pPr>
        <w:pStyle w:val="NoSpacing"/>
        <w:rPr>
          <w:rFonts w:ascii="Arial" w:hAnsi="Arial" w:cs="Arial"/>
          <w:sz w:val="20"/>
          <w:szCs w:val="20"/>
        </w:rPr>
      </w:pPr>
    </w:p>
    <w:sectPr w:rsidR="00C826C2" w:rsidRPr="008A6A7C" w:rsidSect="009172A3">
      <w:headerReference w:type="default" r:id="rId17"/>
      <w:footerReference w:type="default" r:id="rId18"/>
      <w:pgSz w:w="12240" w:h="15840"/>
      <w:pgMar w:top="1276" w:right="758" w:bottom="851"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39DBA" w14:textId="77777777" w:rsidR="005D2937" w:rsidRDefault="005D2937" w:rsidP="007E1D2E">
      <w:pPr>
        <w:spacing w:after="0" w:line="240" w:lineRule="auto"/>
      </w:pPr>
      <w:r>
        <w:separator/>
      </w:r>
    </w:p>
  </w:endnote>
  <w:endnote w:type="continuationSeparator" w:id="0">
    <w:p w14:paraId="3D1FD0FC" w14:textId="77777777" w:rsidR="005D2937" w:rsidRDefault="005D2937" w:rsidP="007E1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AD214" w14:textId="77777777" w:rsidR="00340AA9" w:rsidRPr="001C4C48" w:rsidRDefault="005D2937" w:rsidP="009172A3">
    <w:pPr>
      <w:spacing w:before="68" w:after="71" w:line="210" w:lineRule="atLeast"/>
      <w:rPr>
        <w:rFonts w:ascii="Verdana" w:hAnsi="Verdana" w:cs="Times New Roman"/>
        <w:color w:val="000000" w:themeColor="text1"/>
        <w:sz w:val="14"/>
        <w:szCs w:val="14"/>
      </w:rPr>
    </w:pPr>
    <w:r>
      <w:rPr>
        <w:rFonts w:ascii="Verdana" w:hAnsi="Verdana" w:cs="Times New Roman"/>
        <w:b/>
        <w:bCs/>
        <w:noProof/>
        <w:color w:val="000000" w:themeColor="text1"/>
        <w:sz w:val="14"/>
        <w:szCs w:val="14"/>
      </w:rPr>
      <w:pict w14:anchorId="2E6D7BDE">
        <v:line id="Straight Connector 42" o:spid="_x0000_s1026" style="position:absolute;z-index:251658240;visibility:visible;mso-position-horizontal-relative:page;mso-width-relative:margin;mso-height-relative:margin" from="36pt,11.7pt" to="8in,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" strokecolor="#4f81bd [3204]">
          <o:lock v:ext="edit" shapetype="f"/>
          <w10:wrap anchorx="page"/>
        </v:line>
      </w:pict>
    </w:r>
  </w:p>
  <w:p w14:paraId="409A1F22" w14:textId="77777777" w:rsidR="00340AA9" w:rsidRPr="00030F05" w:rsidRDefault="005D2937" w:rsidP="009172A3">
    <w:pPr>
      <w:pStyle w:val="NoSpacing"/>
      <w:rPr>
        <w:sz w:val="16"/>
      </w:rPr>
    </w:pPr>
    <w:r>
      <w:rPr>
        <w:noProof/>
        <w:sz w:val="16"/>
      </w:rPr>
      <w:pict w14:anchorId="3935BC1B">
        <v:shapetype id="_x0000_t202" coordsize="21600,21600" o:spt="202" path="m,l,21600r21600,l21600,xe">
          <v:stroke joinstyle="miter"/>
          <v:path gradientshapeok="t" o:connecttype="rect"/>
        </v:shapetype>
        <v:shape id="Text Box 41" o:spid="_x0000_s1027" type="#_x0000_t202" style="position:absolute;margin-left:396.5pt;margin-top:752.5pt;width:185.75pt;height:27.35pt;z-index:25165926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" filled="f" stroked="f">
          <v:textbox>
            <w:txbxContent>
              <w:p w14:paraId="1F4B2F25" w14:textId="77777777" w:rsidR="00340AA9" w:rsidRPr="002E71F7" w:rsidRDefault="00340AA9" w:rsidP="009172A3">
                <w:pPr>
                  <w:jc w:val="right"/>
                  <w:rPr>
                    <w:rFonts w:ascii="Arial" w:hAnsi="Arial" w:cs="Arial"/>
                    <w:color w:val="000000" w:themeColor="text1"/>
                    <w:sz w:val="14"/>
                    <w:szCs w:val="14"/>
                  </w:rPr>
                </w:pPr>
                <w:r w:rsidRPr="002E71F7">
                  <w:rPr>
                    <w:rFonts w:ascii="Arial" w:hAnsi="Arial" w:cs="Arial"/>
                    <w:color w:val="000000" w:themeColor="text1"/>
                    <w:sz w:val="14"/>
                    <w:szCs w:val="14"/>
                  </w:rPr>
                  <w:t xml:space="preserve">Copyright © </w:t>
                </w:r>
                <w:r>
                  <w:rPr>
                    <w:rFonts w:ascii="Arial" w:hAnsi="Arial" w:cs="Arial"/>
                    <w:color w:val="000000" w:themeColor="text1"/>
                    <w:sz w:val="14"/>
                    <w:szCs w:val="14"/>
                  </w:rPr>
                  <w:t xml:space="preserve">210 Analytics and </w:t>
                </w:r>
                <w:r>
                  <w:rPr>
                    <w:rFonts w:ascii="Arial" w:hAnsi="Arial" w:cs="Arial"/>
                    <w:color w:val="000000" w:themeColor="text1"/>
                    <w:sz w:val="14"/>
                    <w:szCs w:val="14"/>
                  </w:rPr>
                  <w:br/>
                </w:r>
                <w:r w:rsidRPr="002E71F7">
                  <w:rPr>
                    <w:rFonts w:ascii="Arial" w:hAnsi="Arial" w:cs="Arial"/>
                    <w:color w:val="000000" w:themeColor="text1"/>
                    <w:sz w:val="14"/>
                    <w:szCs w:val="14"/>
                  </w:rPr>
                  <w:t>Information Resources, Inc. (IRI)</w:t>
                </w:r>
              </w:p>
            </w:txbxContent>
          </v:textbox>
          <w10:wrap anchorx="page" anchory="page"/>
        </v:shape>
      </w:pict>
    </w:r>
    <w:r w:rsidR="00340AA9" w:rsidRPr="00030F05">
      <w:rPr>
        <w:sz w:val="16"/>
      </w:rPr>
      <w:t>Need more information?</w:t>
    </w:r>
    <w:r w:rsidR="00340AA9" w:rsidRPr="00030F05">
      <w:rPr>
        <w:sz w:val="16"/>
      </w:rPr>
      <w:br/>
      <w:t>www.IRIworldwide.com</w:t>
    </w:r>
    <w:r w:rsidR="00340AA9">
      <w:rPr>
        <w:sz w:val="16"/>
      </w:rPr>
      <w:tab/>
    </w:r>
    <w:r w:rsidR="00340AA9">
      <w:rPr>
        <w:sz w:val="16"/>
      </w:rPr>
      <w:tab/>
    </w:r>
    <w:r w:rsidR="00340AA9">
      <w:rPr>
        <w:sz w:val="16"/>
      </w:rPr>
      <w:tab/>
      <w:t>210 Analytics</w:t>
    </w:r>
  </w:p>
  <w:p w14:paraId="73A93B55" w14:textId="77777777" w:rsidR="00340AA9" w:rsidRPr="00030F05" w:rsidRDefault="00340AA9" w:rsidP="009172A3">
    <w:pPr>
      <w:pStyle w:val="NoSpacing"/>
      <w:rPr>
        <w:sz w:val="16"/>
      </w:rPr>
    </w:pPr>
    <w:r w:rsidRPr="00030F05">
      <w:rPr>
        <w:sz w:val="16"/>
      </w:rPr>
      <w:t>Headquarters:   +1.312.726.1221</w:t>
    </w:r>
    <w:r>
      <w:rPr>
        <w:sz w:val="16"/>
      </w:rPr>
      <w:tab/>
    </w:r>
    <w:r>
      <w:rPr>
        <w:sz w:val="16"/>
      </w:rPr>
      <w:tab/>
    </w:r>
    <w:r>
      <w:rPr>
        <w:sz w:val="16"/>
      </w:rPr>
      <w:tab/>
      <w:t>aroerink@210analytics.com</w:t>
    </w:r>
  </w:p>
  <w:p w14:paraId="3E561FDE" w14:textId="77777777" w:rsidR="00340AA9" w:rsidRDefault="00340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847C1" w14:textId="77777777" w:rsidR="005D2937" w:rsidRDefault="005D2937" w:rsidP="007E1D2E">
      <w:pPr>
        <w:spacing w:after="0" w:line="240" w:lineRule="auto"/>
      </w:pPr>
      <w:r>
        <w:separator/>
      </w:r>
    </w:p>
  </w:footnote>
  <w:footnote w:type="continuationSeparator" w:id="0">
    <w:p w14:paraId="4FF153FE" w14:textId="77777777" w:rsidR="005D2937" w:rsidRDefault="005D2937" w:rsidP="007E1D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B11C0" w14:textId="77777777" w:rsidR="00340AA9" w:rsidRDefault="00340AA9">
    <w:pPr>
      <w:pStyle w:val="Header"/>
    </w:pPr>
    <w:r w:rsidRPr="00030F05">
      <w:rPr>
        <w:noProof/>
      </w:rPr>
      <w:drawing>
        <wp:anchor distT="0" distB="0" distL="114300" distR="114300" simplePos="0" relativeHeight="251657216" behindDoc="1" locked="1" layoutInCell="1" allowOverlap="1" wp14:anchorId="18046EF6" wp14:editId="7D219DC4">
          <wp:simplePos x="0" y="0"/>
          <wp:positionH relativeFrom="page">
            <wp:posOffset>1521847</wp:posOffset>
          </wp:positionH>
          <wp:positionV relativeFrom="page">
            <wp:posOffset>0</wp:posOffset>
          </wp:positionV>
          <wp:extent cx="6270431" cy="787179"/>
          <wp:effectExtent l="19050" t="0" r="0" b="0"/>
          <wp:wrapNone/>
          <wp:docPr id="1" name="Picture 12"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rcRect b="28448"/>
                  <a:stretch>
                    <a:fillRect/>
                  </a:stretch>
                </pic:blipFill>
                <pic:spPr>
                  <a:xfrm>
                    <a:off x="0" y="0"/>
                    <a:ext cx="6267450" cy="790575"/>
                  </a:xfrm>
                  <a:prstGeom prst="rect">
                    <a:avLst/>
                  </a:prstGeom>
                </pic:spPr>
              </pic:pic>
            </a:graphicData>
          </a:graphic>
        </wp:anchor>
      </w:drawing>
    </w:r>
    <w:r w:rsidRPr="00030F05">
      <w:rPr>
        <w:noProof/>
      </w:rPr>
      <w:drawing>
        <wp:anchor distT="0" distB="0" distL="114300" distR="114300" simplePos="0" relativeHeight="251656192" behindDoc="0" locked="1" layoutInCell="1" allowOverlap="1" wp14:anchorId="0DAE7692" wp14:editId="79077702">
          <wp:simplePos x="0" y="0"/>
          <wp:positionH relativeFrom="page">
            <wp:posOffset>-55659</wp:posOffset>
          </wp:positionH>
          <wp:positionV relativeFrom="page">
            <wp:posOffset>0</wp:posOffset>
          </wp:positionV>
          <wp:extent cx="7903596" cy="289450"/>
          <wp:effectExtent l="0" t="0" r="0" b="12700"/>
          <wp:wrapNone/>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eader.jpg"/>
                  <pic:cNvPicPr/>
                </pic:nvPicPr>
                <pic:blipFill rotWithShape="1">
                  <a:blip r:embed="rId2">
                    <a:extLst>
                      <a:ext uri="{28A0092B-C50C-407E-A947-70E740481C1C}">
                        <a14:useLocalDpi xmlns:a14="http://schemas.microsoft.com/office/drawing/2010/main"/>
                      </a:ext>
                    </a:extLst>
                  </a:blip>
                  <a:srcRect/>
                  <a:stretch/>
                </pic:blipFill>
                <pic:spPr bwMode="auto">
                  <a:xfrm>
                    <a:off x="0" y="0"/>
                    <a:ext cx="7909560" cy="29210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5C90"/>
    <w:multiLevelType w:val="hybridMultilevel"/>
    <w:tmpl w:val="752ED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8040D6"/>
    <w:multiLevelType w:val="hybridMultilevel"/>
    <w:tmpl w:val="11A09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C302F0"/>
    <w:multiLevelType w:val="hybridMultilevel"/>
    <w:tmpl w:val="E138C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A0879"/>
    <w:multiLevelType w:val="hybridMultilevel"/>
    <w:tmpl w:val="69AC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D3521"/>
    <w:multiLevelType w:val="hybridMultilevel"/>
    <w:tmpl w:val="4676A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5A15C7"/>
    <w:multiLevelType w:val="hybridMultilevel"/>
    <w:tmpl w:val="38A47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924DE6"/>
    <w:multiLevelType w:val="hybridMultilevel"/>
    <w:tmpl w:val="649E6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E5042CF"/>
    <w:multiLevelType w:val="hybridMultilevel"/>
    <w:tmpl w:val="A328D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1FF24BB"/>
    <w:multiLevelType w:val="hybridMultilevel"/>
    <w:tmpl w:val="A492F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FB31247"/>
    <w:multiLevelType w:val="hybridMultilevel"/>
    <w:tmpl w:val="A3E05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47A61B6"/>
    <w:multiLevelType w:val="hybridMultilevel"/>
    <w:tmpl w:val="85081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EE87EF7"/>
    <w:multiLevelType w:val="hybridMultilevel"/>
    <w:tmpl w:val="3FBA4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F5D18DB"/>
    <w:multiLevelType w:val="hybridMultilevel"/>
    <w:tmpl w:val="C2640D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5034E9D"/>
    <w:multiLevelType w:val="hybridMultilevel"/>
    <w:tmpl w:val="B81EDA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5464BB5"/>
    <w:multiLevelType w:val="hybridMultilevel"/>
    <w:tmpl w:val="53684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CED5576"/>
    <w:multiLevelType w:val="hybridMultilevel"/>
    <w:tmpl w:val="64E2B4B6"/>
    <w:lvl w:ilvl="0" w:tplc="D1F2BFBE">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4"/>
  </w:num>
  <w:num w:numId="3">
    <w:abstractNumId w:val="12"/>
  </w:num>
  <w:num w:numId="4">
    <w:abstractNumId w:val="13"/>
  </w:num>
  <w:num w:numId="5">
    <w:abstractNumId w:val="15"/>
  </w:num>
  <w:num w:numId="6">
    <w:abstractNumId w:val="2"/>
  </w:num>
  <w:num w:numId="7">
    <w:abstractNumId w:val="5"/>
  </w:num>
  <w:num w:numId="8">
    <w:abstractNumId w:val="6"/>
  </w:num>
  <w:num w:numId="9">
    <w:abstractNumId w:val="11"/>
  </w:num>
  <w:num w:numId="10">
    <w:abstractNumId w:val="9"/>
  </w:num>
  <w:num w:numId="11">
    <w:abstractNumId w:val="7"/>
  </w:num>
  <w:num w:numId="12">
    <w:abstractNumId w:val="3"/>
  </w:num>
  <w:num w:numId="13">
    <w:abstractNumId w:val="1"/>
  </w:num>
  <w:num w:numId="14">
    <w:abstractNumId w:val="0"/>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712D"/>
    <w:rsid w:val="00000581"/>
    <w:rsid w:val="00007A72"/>
    <w:rsid w:val="00010D51"/>
    <w:rsid w:val="0001120A"/>
    <w:rsid w:val="000117EF"/>
    <w:rsid w:val="00012355"/>
    <w:rsid w:val="000166DA"/>
    <w:rsid w:val="00017F7D"/>
    <w:rsid w:val="00020882"/>
    <w:rsid w:val="00022AE5"/>
    <w:rsid w:val="00022DA3"/>
    <w:rsid w:val="00023C8F"/>
    <w:rsid w:val="000263ED"/>
    <w:rsid w:val="0003459A"/>
    <w:rsid w:val="000369B9"/>
    <w:rsid w:val="00036B2C"/>
    <w:rsid w:val="000375AF"/>
    <w:rsid w:val="00042FD2"/>
    <w:rsid w:val="000439A5"/>
    <w:rsid w:val="00043B43"/>
    <w:rsid w:val="0005157F"/>
    <w:rsid w:val="00051887"/>
    <w:rsid w:val="000526EA"/>
    <w:rsid w:val="00052CF6"/>
    <w:rsid w:val="000538C0"/>
    <w:rsid w:val="00053F8C"/>
    <w:rsid w:val="000544E1"/>
    <w:rsid w:val="000545C1"/>
    <w:rsid w:val="000554A9"/>
    <w:rsid w:val="00055F57"/>
    <w:rsid w:val="00057ED6"/>
    <w:rsid w:val="000607BB"/>
    <w:rsid w:val="00060A46"/>
    <w:rsid w:val="00061736"/>
    <w:rsid w:val="00062D68"/>
    <w:rsid w:val="00064FBD"/>
    <w:rsid w:val="000658F7"/>
    <w:rsid w:val="0006645D"/>
    <w:rsid w:val="000670BC"/>
    <w:rsid w:val="00070D2B"/>
    <w:rsid w:val="00070E17"/>
    <w:rsid w:val="00071A3E"/>
    <w:rsid w:val="00073676"/>
    <w:rsid w:val="00083DB0"/>
    <w:rsid w:val="00083EF7"/>
    <w:rsid w:val="00084469"/>
    <w:rsid w:val="0009337A"/>
    <w:rsid w:val="000A1FB2"/>
    <w:rsid w:val="000A3E66"/>
    <w:rsid w:val="000A543A"/>
    <w:rsid w:val="000A7CDC"/>
    <w:rsid w:val="000B035F"/>
    <w:rsid w:val="000B0AF5"/>
    <w:rsid w:val="000B0C6D"/>
    <w:rsid w:val="000B16D5"/>
    <w:rsid w:val="000B44E8"/>
    <w:rsid w:val="000B4FD7"/>
    <w:rsid w:val="000B5FE1"/>
    <w:rsid w:val="000B705A"/>
    <w:rsid w:val="000B73DB"/>
    <w:rsid w:val="000C0984"/>
    <w:rsid w:val="000C1222"/>
    <w:rsid w:val="000C2C93"/>
    <w:rsid w:val="000C757A"/>
    <w:rsid w:val="000D036B"/>
    <w:rsid w:val="000D0664"/>
    <w:rsid w:val="000D5031"/>
    <w:rsid w:val="000D5DA3"/>
    <w:rsid w:val="000D5E13"/>
    <w:rsid w:val="000D6CF5"/>
    <w:rsid w:val="000D6E48"/>
    <w:rsid w:val="000E02DD"/>
    <w:rsid w:val="000E109F"/>
    <w:rsid w:val="000E2CB5"/>
    <w:rsid w:val="000F1852"/>
    <w:rsid w:val="000F1BEC"/>
    <w:rsid w:val="000F3291"/>
    <w:rsid w:val="000F5310"/>
    <w:rsid w:val="000F55C0"/>
    <w:rsid w:val="000F7521"/>
    <w:rsid w:val="000F7549"/>
    <w:rsid w:val="000F7932"/>
    <w:rsid w:val="000F7F92"/>
    <w:rsid w:val="001008BD"/>
    <w:rsid w:val="0010093C"/>
    <w:rsid w:val="00100F44"/>
    <w:rsid w:val="00101C4E"/>
    <w:rsid w:val="001024F6"/>
    <w:rsid w:val="0010503A"/>
    <w:rsid w:val="00105352"/>
    <w:rsid w:val="0010695F"/>
    <w:rsid w:val="00106F0B"/>
    <w:rsid w:val="00112A5A"/>
    <w:rsid w:val="001141CA"/>
    <w:rsid w:val="0011420E"/>
    <w:rsid w:val="00114591"/>
    <w:rsid w:val="0011663F"/>
    <w:rsid w:val="00116FC7"/>
    <w:rsid w:val="0011773C"/>
    <w:rsid w:val="001210D2"/>
    <w:rsid w:val="001213B4"/>
    <w:rsid w:val="00121989"/>
    <w:rsid w:val="00121E18"/>
    <w:rsid w:val="00125FAE"/>
    <w:rsid w:val="00130D41"/>
    <w:rsid w:val="00131954"/>
    <w:rsid w:val="00131B9A"/>
    <w:rsid w:val="00133959"/>
    <w:rsid w:val="001344E1"/>
    <w:rsid w:val="00140A5F"/>
    <w:rsid w:val="00141DBA"/>
    <w:rsid w:val="001420B1"/>
    <w:rsid w:val="00143527"/>
    <w:rsid w:val="001452A1"/>
    <w:rsid w:val="00150F33"/>
    <w:rsid w:val="00151C32"/>
    <w:rsid w:val="00151CCC"/>
    <w:rsid w:val="00152095"/>
    <w:rsid w:val="00155142"/>
    <w:rsid w:val="00155ACB"/>
    <w:rsid w:val="00157669"/>
    <w:rsid w:val="00157776"/>
    <w:rsid w:val="0016082C"/>
    <w:rsid w:val="00160D1A"/>
    <w:rsid w:val="00162C95"/>
    <w:rsid w:val="00163CF9"/>
    <w:rsid w:val="00163F0B"/>
    <w:rsid w:val="0016509F"/>
    <w:rsid w:val="001676D0"/>
    <w:rsid w:val="0017206C"/>
    <w:rsid w:val="001823F0"/>
    <w:rsid w:val="0018439F"/>
    <w:rsid w:val="001904BA"/>
    <w:rsid w:val="00190A58"/>
    <w:rsid w:val="00192C41"/>
    <w:rsid w:val="00192E8C"/>
    <w:rsid w:val="001937D1"/>
    <w:rsid w:val="001946FE"/>
    <w:rsid w:val="00194FCF"/>
    <w:rsid w:val="0019681B"/>
    <w:rsid w:val="0019735A"/>
    <w:rsid w:val="0019737A"/>
    <w:rsid w:val="001A1830"/>
    <w:rsid w:val="001A2844"/>
    <w:rsid w:val="001A2FCB"/>
    <w:rsid w:val="001A4F53"/>
    <w:rsid w:val="001B04C2"/>
    <w:rsid w:val="001B27BC"/>
    <w:rsid w:val="001B2A5E"/>
    <w:rsid w:val="001B361F"/>
    <w:rsid w:val="001B5D83"/>
    <w:rsid w:val="001B6F56"/>
    <w:rsid w:val="001C0658"/>
    <w:rsid w:val="001C0962"/>
    <w:rsid w:val="001C454A"/>
    <w:rsid w:val="001C5358"/>
    <w:rsid w:val="001C56E4"/>
    <w:rsid w:val="001C6281"/>
    <w:rsid w:val="001C6B93"/>
    <w:rsid w:val="001D0A38"/>
    <w:rsid w:val="001D0C47"/>
    <w:rsid w:val="001D13E3"/>
    <w:rsid w:val="001D1C94"/>
    <w:rsid w:val="001D1FD7"/>
    <w:rsid w:val="001D5464"/>
    <w:rsid w:val="001D5C1A"/>
    <w:rsid w:val="001E19ED"/>
    <w:rsid w:val="001E1AD8"/>
    <w:rsid w:val="001E2207"/>
    <w:rsid w:val="001E26EB"/>
    <w:rsid w:val="001E28F9"/>
    <w:rsid w:val="001E3E8E"/>
    <w:rsid w:val="001E4381"/>
    <w:rsid w:val="001E4CD3"/>
    <w:rsid w:val="001E4D03"/>
    <w:rsid w:val="001E5E9F"/>
    <w:rsid w:val="001F04FA"/>
    <w:rsid w:val="001F292B"/>
    <w:rsid w:val="001F512A"/>
    <w:rsid w:val="001F53D3"/>
    <w:rsid w:val="001F7395"/>
    <w:rsid w:val="00200C0F"/>
    <w:rsid w:val="00200D19"/>
    <w:rsid w:val="00203B6C"/>
    <w:rsid w:val="00206FA1"/>
    <w:rsid w:val="00207525"/>
    <w:rsid w:val="0021074E"/>
    <w:rsid w:val="002137F5"/>
    <w:rsid w:val="00213F99"/>
    <w:rsid w:val="0021462C"/>
    <w:rsid w:val="00214C85"/>
    <w:rsid w:val="0021673D"/>
    <w:rsid w:val="00216752"/>
    <w:rsid w:val="0021684E"/>
    <w:rsid w:val="00217E85"/>
    <w:rsid w:val="0022022C"/>
    <w:rsid w:val="00220B71"/>
    <w:rsid w:val="0022252A"/>
    <w:rsid w:val="00226322"/>
    <w:rsid w:val="00227ED7"/>
    <w:rsid w:val="00230E25"/>
    <w:rsid w:val="00231015"/>
    <w:rsid w:val="002314B8"/>
    <w:rsid w:val="00231A49"/>
    <w:rsid w:val="00231B9B"/>
    <w:rsid w:val="00231DF3"/>
    <w:rsid w:val="00232B19"/>
    <w:rsid w:val="002358BA"/>
    <w:rsid w:val="00235FBD"/>
    <w:rsid w:val="002450E6"/>
    <w:rsid w:val="0024650C"/>
    <w:rsid w:val="00247235"/>
    <w:rsid w:val="00250FB7"/>
    <w:rsid w:val="00251476"/>
    <w:rsid w:val="00252AC4"/>
    <w:rsid w:val="00254063"/>
    <w:rsid w:val="00254795"/>
    <w:rsid w:val="00254FD3"/>
    <w:rsid w:val="002559AC"/>
    <w:rsid w:val="002577CE"/>
    <w:rsid w:val="0026038C"/>
    <w:rsid w:val="00260E1C"/>
    <w:rsid w:val="00262B7A"/>
    <w:rsid w:val="00263C9F"/>
    <w:rsid w:val="00265A50"/>
    <w:rsid w:val="00267E57"/>
    <w:rsid w:val="00271EF8"/>
    <w:rsid w:val="00272C41"/>
    <w:rsid w:val="00273813"/>
    <w:rsid w:val="00274C89"/>
    <w:rsid w:val="00281DD0"/>
    <w:rsid w:val="002829C4"/>
    <w:rsid w:val="00283FD8"/>
    <w:rsid w:val="00284D1B"/>
    <w:rsid w:val="002855FE"/>
    <w:rsid w:val="00285C02"/>
    <w:rsid w:val="00286F2E"/>
    <w:rsid w:val="002909D7"/>
    <w:rsid w:val="00290E49"/>
    <w:rsid w:val="00292CDE"/>
    <w:rsid w:val="00292EC7"/>
    <w:rsid w:val="002938C6"/>
    <w:rsid w:val="00296016"/>
    <w:rsid w:val="002968B4"/>
    <w:rsid w:val="002979E1"/>
    <w:rsid w:val="00297D11"/>
    <w:rsid w:val="002A4D9A"/>
    <w:rsid w:val="002B1115"/>
    <w:rsid w:val="002B46DD"/>
    <w:rsid w:val="002B647B"/>
    <w:rsid w:val="002C0E44"/>
    <w:rsid w:val="002C22DF"/>
    <w:rsid w:val="002C64EC"/>
    <w:rsid w:val="002C6B59"/>
    <w:rsid w:val="002C7619"/>
    <w:rsid w:val="002D28F4"/>
    <w:rsid w:val="002D3293"/>
    <w:rsid w:val="002D3EC8"/>
    <w:rsid w:val="002D5486"/>
    <w:rsid w:val="002D7676"/>
    <w:rsid w:val="002D7D39"/>
    <w:rsid w:val="002D7F8D"/>
    <w:rsid w:val="002E0575"/>
    <w:rsid w:val="002E09F5"/>
    <w:rsid w:val="002E3448"/>
    <w:rsid w:val="002E3E0D"/>
    <w:rsid w:val="002E4BE8"/>
    <w:rsid w:val="002E5503"/>
    <w:rsid w:val="002E5A54"/>
    <w:rsid w:val="002E6833"/>
    <w:rsid w:val="002E76F7"/>
    <w:rsid w:val="002E78E1"/>
    <w:rsid w:val="002E7CDB"/>
    <w:rsid w:val="002F3E80"/>
    <w:rsid w:val="002F74F6"/>
    <w:rsid w:val="002F7B5D"/>
    <w:rsid w:val="00300012"/>
    <w:rsid w:val="00301A27"/>
    <w:rsid w:val="00302080"/>
    <w:rsid w:val="003025A7"/>
    <w:rsid w:val="00305692"/>
    <w:rsid w:val="003057CD"/>
    <w:rsid w:val="00307723"/>
    <w:rsid w:val="00310171"/>
    <w:rsid w:val="0031035E"/>
    <w:rsid w:val="00310885"/>
    <w:rsid w:val="00311B6D"/>
    <w:rsid w:val="00313FC0"/>
    <w:rsid w:val="003150F5"/>
    <w:rsid w:val="00315642"/>
    <w:rsid w:val="00315C59"/>
    <w:rsid w:val="00317658"/>
    <w:rsid w:val="00321D95"/>
    <w:rsid w:val="00323CA3"/>
    <w:rsid w:val="00324012"/>
    <w:rsid w:val="00324348"/>
    <w:rsid w:val="00324547"/>
    <w:rsid w:val="003269C9"/>
    <w:rsid w:val="003304F8"/>
    <w:rsid w:val="00330FD7"/>
    <w:rsid w:val="0033194E"/>
    <w:rsid w:val="00331E0B"/>
    <w:rsid w:val="00332630"/>
    <w:rsid w:val="00332866"/>
    <w:rsid w:val="00334213"/>
    <w:rsid w:val="0033541D"/>
    <w:rsid w:val="00335BB3"/>
    <w:rsid w:val="00335E8D"/>
    <w:rsid w:val="003400E7"/>
    <w:rsid w:val="00340AA9"/>
    <w:rsid w:val="00342B2D"/>
    <w:rsid w:val="003441BB"/>
    <w:rsid w:val="00345BA2"/>
    <w:rsid w:val="00345E41"/>
    <w:rsid w:val="003507F8"/>
    <w:rsid w:val="003538DC"/>
    <w:rsid w:val="003555F0"/>
    <w:rsid w:val="0035616A"/>
    <w:rsid w:val="00357E26"/>
    <w:rsid w:val="00361BCC"/>
    <w:rsid w:val="003627EF"/>
    <w:rsid w:val="003671FD"/>
    <w:rsid w:val="00367C42"/>
    <w:rsid w:val="00373662"/>
    <w:rsid w:val="00375DB1"/>
    <w:rsid w:val="0038311D"/>
    <w:rsid w:val="00384446"/>
    <w:rsid w:val="00384746"/>
    <w:rsid w:val="0038533A"/>
    <w:rsid w:val="00386440"/>
    <w:rsid w:val="00392773"/>
    <w:rsid w:val="00392F8D"/>
    <w:rsid w:val="00393115"/>
    <w:rsid w:val="00393357"/>
    <w:rsid w:val="003935EB"/>
    <w:rsid w:val="00393E83"/>
    <w:rsid w:val="00394F89"/>
    <w:rsid w:val="00395431"/>
    <w:rsid w:val="0039690E"/>
    <w:rsid w:val="003A0E9C"/>
    <w:rsid w:val="003A1E76"/>
    <w:rsid w:val="003A20BE"/>
    <w:rsid w:val="003A7E92"/>
    <w:rsid w:val="003B041E"/>
    <w:rsid w:val="003B0512"/>
    <w:rsid w:val="003B22D4"/>
    <w:rsid w:val="003B318C"/>
    <w:rsid w:val="003B6387"/>
    <w:rsid w:val="003C39A1"/>
    <w:rsid w:val="003C455D"/>
    <w:rsid w:val="003C4C33"/>
    <w:rsid w:val="003C6387"/>
    <w:rsid w:val="003C63CD"/>
    <w:rsid w:val="003C7643"/>
    <w:rsid w:val="003C782B"/>
    <w:rsid w:val="003C7846"/>
    <w:rsid w:val="003C7D7A"/>
    <w:rsid w:val="003D0AE6"/>
    <w:rsid w:val="003D0C38"/>
    <w:rsid w:val="003D2003"/>
    <w:rsid w:val="003D2D37"/>
    <w:rsid w:val="003D31A0"/>
    <w:rsid w:val="003D46CC"/>
    <w:rsid w:val="003E0C1E"/>
    <w:rsid w:val="003E0E97"/>
    <w:rsid w:val="003E1146"/>
    <w:rsid w:val="003E1B5F"/>
    <w:rsid w:val="003E2198"/>
    <w:rsid w:val="003E330D"/>
    <w:rsid w:val="003E4829"/>
    <w:rsid w:val="003E55E0"/>
    <w:rsid w:val="003E5674"/>
    <w:rsid w:val="003F1982"/>
    <w:rsid w:val="003F22C7"/>
    <w:rsid w:val="003F230B"/>
    <w:rsid w:val="003F3DAA"/>
    <w:rsid w:val="003F513E"/>
    <w:rsid w:val="003F5D02"/>
    <w:rsid w:val="003F676E"/>
    <w:rsid w:val="00401D64"/>
    <w:rsid w:val="00402E47"/>
    <w:rsid w:val="00403382"/>
    <w:rsid w:val="00403929"/>
    <w:rsid w:val="00403A49"/>
    <w:rsid w:val="004045F4"/>
    <w:rsid w:val="00405174"/>
    <w:rsid w:val="00405372"/>
    <w:rsid w:val="00406AA9"/>
    <w:rsid w:val="00412BCF"/>
    <w:rsid w:val="004146EF"/>
    <w:rsid w:val="00414983"/>
    <w:rsid w:val="004164A0"/>
    <w:rsid w:val="00421894"/>
    <w:rsid w:val="00422CBC"/>
    <w:rsid w:val="00423839"/>
    <w:rsid w:val="00423AA6"/>
    <w:rsid w:val="0042476D"/>
    <w:rsid w:val="00424B0A"/>
    <w:rsid w:val="004262CE"/>
    <w:rsid w:val="00427A55"/>
    <w:rsid w:val="004304A7"/>
    <w:rsid w:val="004324AC"/>
    <w:rsid w:val="00434A67"/>
    <w:rsid w:val="00434B5E"/>
    <w:rsid w:val="00435088"/>
    <w:rsid w:val="00437E02"/>
    <w:rsid w:val="00440E23"/>
    <w:rsid w:val="00441424"/>
    <w:rsid w:val="00441E8F"/>
    <w:rsid w:val="00443A78"/>
    <w:rsid w:val="00444E82"/>
    <w:rsid w:val="00444F30"/>
    <w:rsid w:val="00445232"/>
    <w:rsid w:val="00445503"/>
    <w:rsid w:val="004460B5"/>
    <w:rsid w:val="00447877"/>
    <w:rsid w:val="00453713"/>
    <w:rsid w:val="004563F4"/>
    <w:rsid w:val="00460FB7"/>
    <w:rsid w:val="0046208B"/>
    <w:rsid w:val="004634E6"/>
    <w:rsid w:val="004647C0"/>
    <w:rsid w:val="004649F1"/>
    <w:rsid w:val="00465D0F"/>
    <w:rsid w:val="00466863"/>
    <w:rsid w:val="00466C35"/>
    <w:rsid w:val="00466D79"/>
    <w:rsid w:val="00470A5F"/>
    <w:rsid w:val="00472A5B"/>
    <w:rsid w:val="00474357"/>
    <w:rsid w:val="00476037"/>
    <w:rsid w:val="004773E0"/>
    <w:rsid w:val="0047795F"/>
    <w:rsid w:val="00480D74"/>
    <w:rsid w:val="004816C6"/>
    <w:rsid w:val="00482A2D"/>
    <w:rsid w:val="004850A1"/>
    <w:rsid w:val="00486117"/>
    <w:rsid w:val="00486A68"/>
    <w:rsid w:val="00487253"/>
    <w:rsid w:val="00490DEA"/>
    <w:rsid w:val="00491167"/>
    <w:rsid w:val="00493F7F"/>
    <w:rsid w:val="004940C4"/>
    <w:rsid w:val="00495014"/>
    <w:rsid w:val="00495F2C"/>
    <w:rsid w:val="004A11C3"/>
    <w:rsid w:val="004A4F04"/>
    <w:rsid w:val="004B1860"/>
    <w:rsid w:val="004B21FF"/>
    <w:rsid w:val="004B2C15"/>
    <w:rsid w:val="004B4107"/>
    <w:rsid w:val="004B5E72"/>
    <w:rsid w:val="004B7B04"/>
    <w:rsid w:val="004C079D"/>
    <w:rsid w:val="004C2A38"/>
    <w:rsid w:val="004C2B65"/>
    <w:rsid w:val="004C48C8"/>
    <w:rsid w:val="004C5A19"/>
    <w:rsid w:val="004C6EF6"/>
    <w:rsid w:val="004C74E9"/>
    <w:rsid w:val="004D185B"/>
    <w:rsid w:val="004D26B3"/>
    <w:rsid w:val="004D2786"/>
    <w:rsid w:val="004D2E26"/>
    <w:rsid w:val="004D3159"/>
    <w:rsid w:val="004D582E"/>
    <w:rsid w:val="004D611F"/>
    <w:rsid w:val="004D6484"/>
    <w:rsid w:val="004D72F0"/>
    <w:rsid w:val="004E17F7"/>
    <w:rsid w:val="004E1D60"/>
    <w:rsid w:val="004E1FBB"/>
    <w:rsid w:val="004F346A"/>
    <w:rsid w:val="004F61B9"/>
    <w:rsid w:val="004F66AC"/>
    <w:rsid w:val="004F7335"/>
    <w:rsid w:val="005041EB"/>
    <w:rsid w:val="00504AF6"/>
    <w:rsid w:val="00504E6B"/>
    <w:rsid w:val="00504EC1"/>
    <w:rsid w:val="00504F5F"/>
    <w:rsid w:val="005070E3"/>
    <w:rsid w:val="00507D74"/>
    <w:rsid w:val="0051320B"/>
    <w:rsid w:val="00514512"/>
    <w:rsid w:val="00516F4B"/>
    <w:rsid w:val="00517A63"/>
    <w:rsid w:val="00517D7F"/>
    <w:rsid w:val="00520731"/>
    <w:rsid w:val="00521574"/>
    <w:rsid w:val="00524358"/>
    <w:rsid w:val="00525BFD"/>
    <w:rsid w:val="0053257C"/>
    <w:rsid w:val="00533970"/>
    <w:rsid w:val="00534F05"/>
    <w:rsid w:val="00540B8A"/>
    <w:rsid w:val="00541668"/>
    <w:rsid w:val="00542741"/>
    <w:rsid w:val="00542BDA"/>
    <w:rsid w:val="00543085"/>
    <w:rsid w:val="00546508"/>
    <w:rsid w:val="00547E8F"/>
    <w:rsid w:val="00550F90"/>
    <w:rsid w:val="005512D4"/>
    <w:rsid w:val="0055305F"/>
    <w:rsid w:val="005561B1"/>
    <w:rsid w:val="005565BE"/>
    <w:rsid w:val="005575E8"/>
    <w:rsid w:val="005627D0"/>
    <w:rsid w:val="00563A06"/>
    <w:rsid w:val="00565FD2"/>
    <w:rsid w:val="00566B14"/>
    <w:rsid w:val="00570B51"/>
    <w:rsid w:val="00571158"/>
    <w:rsid w:val="005729FD"/>
    <w:rsid w:val="00574B6E"/>
    <w:rsid w:val="00574C00"/>
    <w:rsid w:val="00575026"/>
    <w:rsid w:val="00576016"/>
    <w:rsid w:val="005761CC"/>
    <w:rsid w:val="00576207"/>
    <w:rsid w:val="00581E1C"/>
    <w:rsid w:val="00582663"/>
    <w:rsid w:val="00592B01"/>
    <w:rsid w:val="00592DB1"/>
    <w:rsid w:val="005935E4"/>
    <w:rsid w:val="00593BC6"/>
    <w:rsid w:val="00594573"/>
    <w:rsid w:val="00595F74"/>
    <w:rsid w:val="00596B93"/>
    <w:rsid w:val="005A0868"/>
    <w:rsid w:val="005A0A2F"/>
    <w:rsid w:val="005A5440"/>
    <w:rsid w:val="005A5F29"/>
    <w:rsid w:val="005B75A0"/>
    <w:rsid w:val="005C201D"/>
    <w:rsid w:val="005C3E8E"/>
    <w:rsid w:val="005C6FBA"/>
    <w:rsid w:val="005C7FDD"/>
    <w:rsid w:val="005D2937"/>
    <w:rsid w:val="005D30ED"/>
    <w:rsid w:val="005D3C9F"/>
    <w:rsid w:val="005D5770"/>
    <w:rsid w:val="005D5EFC"/>
    <w:rsid w:val="005E2F61"/>
    <w:rsid w:val="005E370A"/>
    <w:rsid w:val="005E5225"/>
    <w:rsid w:val="005F15CB"/>
    <w:rsid w:val="005F4FE9"/>
    <w:rsid w:val="005F5578"/>
    <w:rsid w:val="00601D6D"/>
    <w:rsid w:val="00601E38"/>
    <w:rsid w:val="006024AB"/>
    <w:rsid w:val="006054BA"/>
    <w:rsid w:val="006069A6"/>
    <w:rsid w:val="00606E2B"/>
    <w:rsid w:val="00611143"/>
    <w:rsid w:val="0061115A"/>
    <w:rsid w:val="00622C36"/>
    <w:rsid w:val="00622DC0"/>
    <w:rsid w:val="00623FE0"/>
    <w:rsid w:val="00624AD9"/>
    <w:rsid w:val="006266CC"/>
    <w:rsid w:val="006273E4"/>
    <w:rsid w:val="006324AE"/>
    <w:rsid w:val="00632BEE"/>
    <w:rsid w:val="00633BA9"/>
    <w:rsid w:val="00633BC2"/>
    <w:rsid w:val="00634631"/>
    <w:rsid w:val="00634B86"/>
    <w:rsid w:val="0063542C"/>
    <w:rsid w:val="006356F8"/>
    <w:rsid w:val="0064024D"/>
    <w:rsid w:val="0064120A"/>
    <w:rsid w:val="0064192B"/>
    <w:rsid w:val="006424E6"/>
    <w:rsid w:val="00643B46"/>
    <w:rsid w:val="00644477"/>
    <w:rsid w:val="006451B9"/>
    <w:rsid w:val="0064743B"/>
    <w:rsid w:val="006502E8"/>
    <w:rsid w:val="00655108"/>
    <w:rsid w:val="00656757"/>
    <w:rsid w:val="00656B34"/>
    <w:rsid w:val="006601AF"/>
    <w:rsid w:val="006637F6"/>
    <w:rsid w:val="00664D47"/>
    <w:rsid w:val="00665E7E"/>
    <w:rsid w:val="00666497"/>
    <w:rsid w:val="00670599"/>
    <w:rsid w:val="00671962"/>
    <w:rsid w:val="00673BDC"/>
    <w:rsid w:val="00681E68"/>
    <w:rsid w:val="00682EC3"/>
    <w:rsid w:val="0068309E"/>
    <w:rsid w:val="00683168"/>
    <w:rsid w:val="00683227"/>
    <w:rsid w:val="00683F16"/>
    <w:rsid w:val="00685838"/>
    <w:rsid w:val="0068714A"/>
    <w:rsid w:val="00687A24"/>
    <w:rsid w:val="00690B89"/>
    <w:rsid w:val="0069149A"/>
    <w:rsid w:val="006965D0"/>
    <w:rsid w:val="006A4A53"/>
    <w:rsid w:val="006A57AF"/>
    <w:rsid w:val="006A67F6"/>
    <w:rsid w:val="006A75A2"/>
    <w:rsid w:val="006B0746"/>
    <w:rsid w:val="006C078E"/>
    <w:rsid w:val="006C230E"/>
    <w:rsid w:val="006C2468"/>
    <w:rsid w:val="006C2F8A"/>
    <w:rsid w:val="006C3FCE"/>
    <w:rsid w:val="006C5680"/>
    <w:rsid w:val="006C5F8E"/>
    <w:rsid w:val="006D13E5"/>
    <w:rsid w:val="006D3BA1"/>
    <w:rsid w:val="006D6B85"/>
    <w:rsid w:val="006E07FB"/>
    <w:rsid w:val="006E1337"/>
    <w:rsid w:val="006E29DB"/>
    <w:rsid w:val="006E44AE"/>
    <w:rsid w:val="006E5601"/>
    <w:rsid w:val="006E61B3"/>
    <w:rsid w:val="006E7826"/>
    <w:rsid w:val="006F463B"/>
    <w:rsid w:val="006F4845"/>
    <w:rsid w:val="006F4B6C"/>
    <w:rsid w:val="00701867"/>
    <w:rsid w:val="00702075"/>
    <w:rsid w:val="007020B3"/>
    <w:rsid w:val="0070210F"/>
    <w:rsid w:val="007038C4"/>
    <w:rsid w:val="00704131"/>
    <w:rsid w:val="0070639F"/>
    <w:rsid w:val="007072D7"/>
    <w:rsid w:val="00710652"/>
    <w:rsid w:val="00711016"/>
    <w:rsid w:val="00712AD0"/>
    <w:rsid w:val="00712D94"/>
    <w:rsid w:val="007145CB"/>
    <w:rsid w:val="0071505A"/>
    <w:rsid w:val="00715C16"/>
    <w:rsid w:val="0071719D"/>
    <w:rsid w:val="00720CF5"/>
    <w:rsid w:val="0072249B"/>
    <w:rsid w:val="0072268E"/>
    <w:rsid w:val="0072292E"/>
    <w:rsid w:val="007248D9"/>
    <w:rsid w:val="00725919"/>
    <w:rsid w:val="007260F5"/>
    <w:rsid w:val="00726326"/>
    <w:rsid w:val="007273B2"/>
    <w:rsid w:val="007328E0"/>
    <w:rsid w:val="00732C43"/>
    <w:rsid w:val="00732CE6"/>
    <w:rsid w:val="00733C3B"/>
    <w:rsid w:val="00733D34"/>
    <w:rsid w:val="007354E2"/>
    <w:rsid w:val="00736F10"/>
    <w:rsid w:val="00737428"/>
    <w:rsid w:val="00737D50"/>
    <w:rsid w:val="0074069D"/>
    <w:rsid w:val="00740BDC"/>
    <w:rsid w:val="007437B7"/>
    <w:rsid w:val="00744F45"/>
    <w:rsid w:val="0074727A"/>
    <w:rsid w:val="00747EEE"/>
    <w:rsid w:val="00750132"/>
    <w:rsid w:val="0075209A"/>
    <w:rsid w:val="00752D23"/>
    <w:rsid w:val="00753E6A"/>
    <w:rsid w:val="00754B67"/>
    <w:rsid w:val="007566E4"/>
    <w:rsid w:val="00756B1E"/>
    <w:rsid w:val="00762631"/>
    <w:rsid w:val="007631ED"/>
    <w:rsid w:val="00764049"/>
    <w:rsid w:val="00764CD2"/>
    <w:rsid w:val="00764F1B"/>
    <w:rsid w:val="0076584E"/>
    <w:rsid w:val="00765C13"/>
    <w:rsid w:val="00765D68"/>
    <w:rsid w:val="00766709"/>
    <w:rsid w:val="00772557"/>
    <w:rsid w:val="00773CA3"/>
    <w:rsid w:val="00775BB4"/>
    <w:rsid w:val="00780FBE"/>
    <w:rsid w:val="0078177E"/>
    <w:rsid w:val="0078184A"/>
    <w:rsid w:val="00782E51"/>
    <w:rsid w:val="007874C4"/>
    <w:rsid w:val="00792E7B"/>
    <w:rsid w:val="007942A7"/>
    <w:rsid w:val="007947E9"/>
    <w:rsid w:val="007A1C17"/>
    <w:rsid w:val="007A211F"/>
    <w:rsid w:val="007A379A"/>
    <w:rsid w:val="007A3C43"/>
    <w:rsid w:val="007A68CD"/>
    <w:rsid w:val="007A7087"/>
    <w:rsid w:val="007B0257"/>
    <w:rsid w:val="007B056D"/>
    <w:rsid w:val="007B2389"/>
    <w:rsid w:val="007B27CB"/>
    <w:rsid w:val="007B30EE"/>
    <w:rsid w:val="007B6172"/>
    <w:rsid w:val="007B70C7"/>
    <w:rsid w:val="007B7B59"/>
    <w:rsid w:val="007C037B"/>
    <w:rsid w:val="007C0523"/>
    <w:rsid w:val="007C64D5"/>
    <w:rsid w:val="007C6F86"/>
    <w:rsid w:val="007D0BDF"/>
    <w:rsid w:val="007D1F9F"/>
    <w:rsid w:val="007D25D5"/>
    <w:rsid w:val="007D3DBE"/>
    <w:rsid w:val="007D3E81"/>
    <w:rsid w:val="007D41CC"/>
    <w:rsid w:val="007D4DC6"/>
    <w:rsid w:val="007D58E6"/>
    <w:rsid w:val="007D6561"/>
    <w:rsid w:val="007D6C58"/>
    <w:rsid w:val="007D6F08"/>
    <w:rsid w:val="007E05E4"/>
    <w:rsid w:val="007E1D2E"/>
    <w:rsid w:val="007E4B08"/>
    <w:rsid w:val="007E5948"/>
    <w:rsid w:val="007E6C97"/>
    <w:rsid w:val="007E7F27"/>
    <w:rsid w:val="007F06A9"/>
    <w:rsid w:val="007F3002"/>
    <w:rsid w:val="007F5D0A"/>
    <w:rsid w:val="008000D5"/>
    <w:rsid w:val="00802488"/>
    <w:rsid w:val="00802FF9"/>
    <w:rsid w:val="00805821"/>
    <w:rsid w:val="008064A5"/>
    <w:rsid w:val="00810A59"/>
    <w:rsid w:val="008111C0"/>
    <w:rsid w:val="00812AF9"/>
    <w:rsid w:val="00815B38"/>
    <w:rsid w:val="008166ED"/>
    <w:rsid w:val="00821F4E"/>
    <w:rsid w:val="0082522D"/>
    <w:rsid w:val="00825C5D"/>
    <w:rsid w:val="00825EEA"/>
    <w:rsid w:val="008269D0"/>
    <w:rsid w:val="008276A2"/>
    <w:rsid w:val="00832644"/>
    <w:rsid w:val="008340B5"/>
    <w:rsid w:val="00835D0B"/>
    <w:rsid w:val="008361EF"/>
    <w:rsid w:val="008369BD"/>
    <w:rsid w:val="00836A3F"/>
    <w:rsid w:val="00836D73"/>
    <w:rsid w:val="008370F1"/>
    <w:rsid w:val="0083795B"/>
    <w:rsid w:val="0084072F"/>
    <w:rsid w:val="008436E5"/>
    <w:rsid w:val="00843DBE"/>
    <w:rsid w:val="008449E0"/>
    <w:rsid w:val="00844CCD"/>
    <w:rsid w:val="00850F54"/>
    <w:rsid w:val="008536E5"/>
    <w:rsid w:val="00853775"/>
    <w:rsid w:val="008542A6"/>
    <w:rsid w:val="00854BA0"/>
    <w:rsid w:val="008550DF"/>
    <w:rsid w:val="0085632A"/>
    <w:rsid w:val="00856BFE"/>
    <w:rsid w:val="00857840"/>
    <w:rsid w:val="00860188"/>
    <w:rsid w:val="00861CC3"/>
    <w:rsid w:val="00861EB4"/>
    <w:rsid w:val="00862FC2"/>
    <w:rsid w:val="008631AD"/>
    <w:rsid w:val="00863383"/>
    <w:rsid w:val="008634AA"/>
    <w:rsid w:val="00865365"/>
    <w:rsid w:val="00866232"/>
    <w:rsid w:val="008674EE"/>
    <w:rsid w:val="00867AC1"/>
    <w:rsid w:val="00867D02"/>
    <w:rsid w:val="00871D48"/>
    <w:rsid w:val="00874251"/>
    <w:rsid w:val="00874C4A"/>
    <w:rsid w:val="0087790F"/>
    <w:rsid w:val="0088076E"/>
    <w:rsid w:val="00880C1C"/>
    <w:rsid w:val="00880EA2"/>
    <w:rsid w:val="00880F21"/>
    <w:rsid w:val="008827C6"/>
    <w:rsid w:val="008851B3"/>
    <w:rsid w:val="00887E3D"/>
    <w:rsid w:val="0089379E"/>
    <w:rsid w:val="008967D3"/>
    <w:rsid w:val="00897F1B"/>
    <w:rsid w:val="008A16B8"/>
    <w:rsid w:val="008A194F"/>
    <w:rsid w:val="008A20BE"/>
    <w:rsid w:val="008A2C58"/>
    <w:rsid w:val="008A349E"/>
    <w:rsid w:val="008A538A"/>
    <w:rsid w:val="008A577D"/>
    <w:rsid w:val="008A6A7C"/>
    <w:rsid w:val="008B05F8"/>
    <w:rsid w:val="008B5438"/>
    <w:rsid w:val="008C32D4"/>
    <w:rsid w:val="008C3726"/>
    <w:rsid w:val="008C52F0"/>
    <w:rsid w:val="008C5947"/>
    <w:rsid w:val="008C5A40"/>
    <w:rsid w:val="008C5E14"/>
    <w:rsid w:val="008C6259"/>
    <w:rsid w:val="008C760B"/>
    <w:rsid w:val="008D0296"/>
    <w:rsid w:val="008D0413"/>
    <w:rsid w:val="008D0B2F"/>
    <w:rsid w:val="008D19D4"/>
    <w:rsid w:val="008D1E6D"/>
    <w:rsid w:val="008D279D"/>
    <w:rsid w:val="008D28AD"/>
    <w:rsid w:val="008D6C3A"/>
    <w:rsid w:val="008D7B46"/>
    <w:rsid w:val="008E2423"/>
    <w:rsid w:val="008E26AD"/>
    <w:rsid w:val="008E26D5"/>
    <w:rsid w:val="008E4F9B"/>
    <w:rsid w:val="008E6AC3"/>
    <w:rsid w:val="008F0972"/>
    <w:rsid w:val="008F2DAB"/>
    <w:rsid w:val="008F2E46"/>
    <w:rsid w:val="008F45FB"/>
    <w:rsid w:val="008F5FF6"/>
    <w:rsid w:val="00901F1D"/>
    <w:rsid w:val="00905C56"/>
    <w:rsid w:val="00906C46"/>
    <w:rsid w:val="00907D5A"/>
    <w:rsid w:val="0091114D"/>
    <w:rsid w:val="00912595"/>
    <w:rsid w:val="00912E70"/>
    <w:rsid w:val="009135EA"/>
    <w:rsid w:val="009172A3"/>
    <w:rsid w:val="00922D1D"/>
    <w:rsid w:val="00926C6E"/>
    <w:rsid w:val="00927255"/>
    <w:rsid w:val="009273DB"/>
    <w:rsid w:val="00927870"/>
    <w:rsid w:val="00931093"/>
    <w:rsid w:val="009340F2"/>
    <w:rsid w:val="009372B9"/>
    <w:rsid w:val="00940BF0"/>
    <w:rsid w:val="00942054"/>
    <w:rsid w:val="00944DAA"/>
    <w:rsid w:val="009462B6"/>
    <w:rsid w:val="00946FA4"/>
    <w:rsid w:val="00955400"/>
    <w:rsid w:val="00956BB1"/>
    <w:rsid w:val="00960617"/>
    <w:rsid w:val="0096076B"/>
    <w:rsid w:val="0096226E"/>
    <w:rsid w:val="0096275C"/>
    <w:rsid w:val="0096285B"/>
    <w:rsid w:val="00964A8B"/>
    <w:rsid w:val="00965331"/>
    <w:rsid w:val="00965338"/>
    <w:rsid w:val="00965483"/>
    <w:rsid w:val="009666B0"/>
    <w:rsid w:val="009759B0"/>
    <w:rsid w:val="00975F30"/>
    <w:rsid w:val="0098003F"/>
    <w:rsid w:val="009808AA"/>
    <w:rsid w:val="00980CCB"/>
    <w:rsid w:val="00981177"/>
    <w:rsid w:val="00981B55"/>
    <w:rsid w:val="0098427E"/>
    <w:rsid w:val="00985228"/>
    <w:rsid w:val="00986FB1"/>
    <w:rsid w:val="0098718A"/>
    <w:rsid w:val="0098771F"/>
    <w:rsid w:val="009926A4"/>
    <w:rsid w:val="00993AE0"/>
    <w:rsid w:val="00993F23"/>
    <w:rsid w:val="009960D3"/>
    <w:rsid w:val="009A07EF"/>
    <w:rsid w:val="009A0F69"/>
    <w:rsid w:val="009A1090"/>
    <w:rsid w:val="009A393E"/>
    <w:rsid w:val="009B0D12"/>
    <w:rsid w:val="009B1032"/>
    <w:rsid w:val="009B1F30"/>
    <w:rsid w:val="009B440A"/>
    <w:rsid w:val="009B4884"/>
    <w:rsid w:val="009B653F"/>
    <w:rsid w:val="009C0A78"/>
    <w:rsid w:val="009C0B40"/>
    <w:rsid w:val="009C1BD1"/>
    <w:rsid w:val="009C1E9B"/>
    <w:rsid w:val="009C22F4"/>
    <w:rsid w:val="009C48A3"/>
    <w:rsid w:val="009C5CE6"/>
    <w:rsid w:val="009C5D61"/>
    <w:rsid w:val="009C6825"/>
    <w:rsid w:val="009C72C8"/>
    <w:rsid w:val="009D0F34"/>
    <w:rsid w:val="009D1A60"/>
    <w:rsid w:val="009D4100"/>
    <w:rsid w:val="009D4C1B"/>
    <w:rsid w:val="009D5406"/>
    <w:rsid w:val="009D63EC"/>
    <w:rsid w:val="009D6933"/>
    <w:rsid w:val="009E1DF8"/>
    <w:rsid w:val="009E2F2E"/>
    <w:rsid w:val="009E3E7D"/>
    <w:rsid w:val="009E5093"/>
    <w:rsid w:val="009E512D"/>
    <w:rsid w:val="009E5261"/>
    <w:rsid w:val="009E5FB1"/>
    <w:rsid w:val="009F1D55"/>
    <w:rsid w:val="009F213D"/>
    <w:rsid w:val="009F27B4"/>
    <w:rsid w:val="009F295D"/>
    <w:rsid w:val="009F417C"/>
    <w:rsid w:val="009F5E32"/>
    <w:rsid w:val="009F65EA"/>
    <w:rsid w:val="009F6D7D"/>
    <w:rsid w:val="00A01F35"/>
    <w:rsid w:val="00A043BD"/>
    <w:rsid w:val="00A04998"/>
    <w:rsid w:val="00A04CFB"/>
    <w:rsid w:val="00A0597E"/>
    <w:rsid w:val="00A07F7A"/>
    <w:rsid w:val="00A128EA"/>
    <w:rsid w:val="00A13BC2"/>
    <w:rsid w:val="00A15500"/>
    <w:rsid w:val="00A1610F"/>
    <w:rsid w:val="00A20B81"/>
    <w:rsid w:val="00A225AD"/>
    <w:rsid w:val="00A225C7"/>
    <w:rsid w:val="00A256D4"/>
    <w:rsid w:val="00A26555"/>
    <w:rsid w:val="00A269BE"/>
    <w:rsid w:val="00A30A8B"/>
    <w:rsid w:val="00A310F7"/>
    <w:rsid w:val="00A33B3B"/>
    <w:rsid w:val="00A34F9D"/>
    <w:rsid w:val="00A3594A"/>
    <w:rsid w:val="00A36161"/>
    <w:rsid w:val="00A424EA"/>
    <w:rsid w:val="00A425BE"/>
    <w:rsid w:val="00A42613"/>
    <w:rsid w:val="00A431AD"/>
    <w:rsid w:val="00A43207"/>
    <w:rsid w:val="00A45861"/>
    <w:rsid w:val="00A46318"/>
    <w:rsid w:val="00A51C9D"/>
    <w:rsid w:val="00A526E8"/>
    <w:rsid w:val="00A5428B"/>
    <w:rsid w:val="00A5606E"/>
    <w:rsid w:val="00A560BF"/>
    <w:rsid w:val="00A56B3F"/>
    <w:rsid w:val="00A56B7C"/>
    <w:rsid w:val="00A6005A"/>
    <w:rsid w:val="00A60628"/>
    <w:rsid w:val="00A61CB3"/>
    <w:rsid w:val="00A62860"/>
    <w:rsid w:val="00A62ABD"/>
    <w:rsid w:val="00A64C99"/>
    <w:rsid w:val="00A735EC"/>
    <w:rsid w:val="00A753BE"/>
    <w:rsid w:val="00A80C20"/>
    <w:rsid w:val="00A81493"/>
    <w:rsid w:val="00A823C9"/>
    <w:rsid w:val="00A83523"/>
    <w:rsid w:val="00A85336"/>
    <w:rsid w:val="00A869FB"/>
    <w:rsid w:val="00A873BD"/>
    <w:rsid w:val="00A87E10"/>
    <w:rsid w:val="00A90E70"/>
    <w:rsid w:val="00A9120F"/>
    <w:rsid w:val="00A956DE"/>
    <w:rsid w:val="00A95927"/>
    <w:rsid w:val="00A960AB"/>
    <w:rsid w:val="00A96741"/>
    <w:rsid w:val="00A96B52"/>
    <w:rsid w:val="00A9759E"/>
    <w:rsid w:val="00A977DB"/>
    <w:rsid w:val="00AA181D"/>
    <w:rsid w:val="00AA21F4"/>
    <w:rsid w:val="00AA4C1A"/>
    <w:rsid w:val="00AA5716"/>
    <w:rsid w:val="00AA6AEB"/>
    <w:rsid w:val="00AA781A"/>
    <w:rsid w:val="00AB0213"/>
    <w:rsid w:val="00AB04D3"/>
    <w:rsid w:val="00AB1306"/>
    <w:rsid w:val="00AB421F"/>
    <w:rsid w:val="00AB7EF4"/>
    <w:rsid w:val="00AC1329"/>
    <w:rsid w:val="00AC194D"/>
    <w:rsid w:val="00AC23A8"/>
    <w:rsid w:val="00AC3D2B"/>
    <w:rsid w:val="00AC402C"/>
    <w:rsid w:val="00AC4463"/>
    <w:rsid w:val="00AC478B"/>
    <w:rsid w:val="00AC5330"/>
    <w:rsid w:val="00AC5D4E"/>
    <w:rsid w:val="00AC64F2"/>
    <w:rsid w:val="00AC7A77"/>
    <w:rsid w:val="00AD2C35"/>
    <w:rsid w:val="00AE2AA0"/>
    <w:rsid w:val="00AE2CEA"/>
    <w:rsid w:val="00AE3045"/>
    <w:rsid w:val="00AE3C13"/>
    <w:rsid w:val="00AE509A"/>
    <w:rsid w:val="00AE6A20"/>
    <w:rsid w:val="00AF0999"/>
    <w:rsid w:val="00AF21A4"/>
    <w:rsid w:val="00AF3E13"/>
    <w:rsid w:val="00AF4493"/>
    <w:rsid w:val="00AF7EDF"/>
    <w:rsid w:val="00B01670"/>
    <w:rsid w:val="00B02D10"/>
    <w:rsid w:val="00B02ED1"/>
    <w:rsid w:val="00B05254"/>
    <w:rsid w:val="00B05A20"/>
    <w:rsid w:val="00B05EC1"/>
    <w:rsid w:val="00B06717"/>
    <w:rsid w:val="00B0769C"/>
    <w:rsid w:val="00B10C22"/>
    <w:rsid w:val="00B10EED"/>
    <w:rsid w:val="00B1417F"/>
    <w:rsid w:val="00B154A1"/>
    <w:rsid w:val="00B163DB"/>
    <w:rsid w:val="00B17BA1"/>
    <w:rsid w:val="00B20655"/>
    <w:rsid w:val="00B21410"/>
    <w:rsid w:val="00B227ED"/>
    <w:rsid w:val="00B23C22"/>
    <w:rsid w:val="00B25D8D"/>
    <w:rsid w:val="00B265F0"/>
    <w:rsid w:val="00B30587"/>
    <w:rsid w:val="00B34298"/>
    <w:rsid w:val="00B34F5D"/>
    <w:rsid w:val="00B35CE9"/>
    <w:rsid w:val="00B40F5F"/>
    <w:rsid w:val="00B414B2"/>
    <w:rsid w:val="00B41764"/>
    <w:rsid w:val="00B418C8"/>
    <w:rsid w:val="00B4410E"/>
    <w:rsid w:val="00B4527D"/>
    <w:rsid w:val="00B45851"/>
    <w:rsid w:val="00B46633"/>
    <w:rsid w:val="00B47035"/>
    <w:rsid w:val="00B47388"/>
    <w:rsid w:val="00B474E2"/>
    <w:rsid w:val="00B51D47"/>
    <w:rsid w:val="00B522AE"/>
    <w:rsid w:val="00B529F0"/>
    <w:rsid w:val="00B52DB0"/>
    <w:rsid w:val="00B53971"/>
    <w:rsid w:val="00B55F1A"/>
    <w:rsid w:val="00B63160"/>
    <w:rsid w:val="00B64173"/>
    <w:rsid w:val="00B64A01"/>
    <w:rsid w:val="00B65D8F"/>
    <w:rsid w:val="00B65E56"/>
    <w:rsid w:val="00B66C37"/>
    <w:rsid w:val="00B679A9"/>
    <w:rsid w:val="00B67D94"/>
    <w:rsid w:val="00B71FC0"/>
    <w:rsid w:val="00B72013"/>
    <w:rsid w:val="00B7428E"/>
    <w:rsid w:val="00B75CF4"/>
    <w:rsid w:val="00B80CC5"/>
    <w:rsid w:val="00B82411"/>
    <w:rsid w:val="00B8716D"/>
    <w:rsid w:val="00B87A29"/>
    <w:rsid w:val="00B87F76"/>
    <w:rsid w:val="00B906F3"/>
    <w:rsid w:val="00B920A9"/>
    <w:rsid w:val="00B93932"/>
    <w:rsid w:val="00B94825"/>
    <w:rsid w:val="00B96776"/>
    <w:rsid w:val="00BA02A6"/>
    <w:rsid w:val="00BA12AB"/>
    <w:rsid w:val="00BA2335"/>
    <w:rsid w:val="00BA2B19"/>
    <w:rsid w:val="00BA516E"/>
    <w:rsid w:val="00BA664A"/>
    <w:rsid w:val="00BA715A"/>
    <w:rsid w:val="00BA7456"/>
    <w:rsid w:val="00BB001C"/>
    <w:rsid w:val="00BB141F"/>
    <w:rsid w:val="00BB2B8E"/>
    <w:rsid w:val="00BB45F4"/>
    <w:rsid w:val="00BB5C92"/>
    <w:rsid w:val="00BB7EE1"/>
    <w:rsid w:val="00BC0F48"/>
    <w:rsid w:val="00BC17F9"/>
    <w:rsid w:val="00BC5030"/>
    <w:rsid w:val="00BC59A0"/>
    <w:rsid w:val="00BC79B3"/>
    <w:rsid w:val="00BD01F7"/>
    <w:rsid w:val="00BD26B6"/>
    <w:rsid w:val="00BD270B"/>
    <w:rsid w:val="00BD4960"/>
    <w:rsid w:val="00BD4CDA"/>
    <w:rsid w:val="00BE2D01"/>
    <w:rsid w:val="00BE2F63"/>
    <w:rsid w:val="00BE4117"/>
    <w:rsid w:val="00BE4D0C"/>
    <w:rsid w:val="00BF1BA2"/>
    <w:rsid w:val="00BF3299"/>
    <w:rsid w:val="00BF3DE4"/>
    <w:rsid w:val="00BF447C"/>
    <w:rsid w:val="00BF5590"/>
    <w:rsid w:val="00BF5D2A"/>
    <w:rsid w:val="00BF6E18"/>
    <w:rsid w:val="00BF7B2A"/>
    <w:rsid w:val="00C00E73"/>
    <w:rsid w:val="00C078C4"/>
    <w:rsid w:val="00C07962"/>
    <w:rsid w:val="00C1272F"/>
    <w:rsid w:val="00C13CBF"/>
    <w:rsid w:val="00C1618C"/>
    <w:rsid w:val="00C16C18"/>
    <w:rsid w:val="00C17060"/>
    <w:rsid w:val="00C170D7"/>
    <w:rsid w:val="00C17834"/>
    <w:rsid w:val="00C24977"/>
    <w:rsid w:val="00C24BE6"/>
    <w:rsid w:val="00C30167"/>
    <w:rsid w:val="00C30B2D"/>
    <w:rsid w:val="00C33146"/>
    <w:rsid w:val="00C33DFE"/>
    <w:rsid w:val="00C34E13"/>
    <w:rsid w:val="00C373EC"/>
    <w:rsid w:val="00C400DC"/>
    <w:rsid w:val="00C450D4"/>
    <w:rsid w:val="00C46B4A"/>
    <w:rsid w:val="00C50733"/>
    <w:rsid w:val="00C511F1"/>
    <w:rsid w:val="00C513EC"/>
    <w:rsid w:val="00C51566"/>
    <w:rsid w:val="00C5173F"/>
    <w:rsid w:val="00C52F97"/>
    <w:rsid w:val="00C53684"/>
    <w:rsid w:val="00C53871"/>
    <w:rsid w:val="00C56329"/>
    <w:rsid w:val="00C573F6"/>
    <w:rsid w:val="00C6009B"/>
    <w:rsid w:val="00C609A2"/>
    <w:rsid w:val="00C620F5"/>
    <w:rsid w:val="00C63BCE"/>
    <w:rsid w:val="00C65CED"/>
    <w:rsid w:val="00C675C5"/>
    <w:rsid w:val="00C71CF7"/>
    <w:rsid w:val="00C7382E"/>
    <w:rsid w:val="00C76128"/>
    <w:rsid w:val="00C7789D"/>
    <w:rsid w:val="00C80A17"/>
    <w:rsid w:val="00C826C2"/>
    <w:rsid w:val="00C858B3"/>
    <w:rsid w:val="00C867B8"/>
    <w:rsid w:val="00C86E94"/>
    <w:rsid w:val="00C90196"/>
    <w:rsid w:val="00C9097A"/>
    <w:rsid w:val="00C90B00"/>
    <w:rsid w:val="00C96000"/>
    <w:rsid w:val="00C96A36"/>
    <w:rsid w:val="00C96B2E"/>
    <w:rsid w:val="00C970E6"/>
    <w:rsid w:val="00C9712F"/>
    <w:rsid w:val="00C9773E"/>
    <w:rsid w:val="00CA25CA"/>
    <w:rsid w:val="00CA499C"/>
    <w:rsid w:val="00CA6213"/>
    <w:rsid w:val="00CB06C1"/>
    <w:rsid w:val="00CB11FF"/>
    <w:rsid w:val="00CB1955"/>
    <w:rsid w:val="00CB5465"/>
    <w:rsid w:val="00CB6454"/>
    <w:rsid w:val="00CB64D9"/>
    <w:rsid w:val="00CB76FB"/>
    <w:rsid w:val="00CB799E"/>
    <w:rsid w:val="00CC1B1C"/>
    <w:rsid w:val="00CC6288"/>
    <w:rsid w:val="00CC792C"/>
    <w:rsid w:val="00CD0219"/>
    <w:rsid w:val="00CD0494"/>
    <w:rsid w:val="00CD165B"/>
    <w:rsid w:val="00CD176C"/>
    <w:rsid w:val="00CD25A6"/>
    <w:rsid w:val="00CD34F8"/>
    <w:rsid w:val="00CD46AB"/>
    <w:rsid w:val="00CD5009"/>
    <w:rsid w:val="00CD753C"/>
    <w:rsid w:val="00CE028A"/>
    <w:rsid w:val="00CE0741"/>
    <w:rsid w:val="00CE165E"/>
    <w:rsid w:val="00CE3182"/>
    <w:rsid w:val="00CE4E5B"/>
    <w:rsid w:val="00CE5BD4"/>
    <w:rsid w:val="00CE5DAF"/>
    <w:rsid w:val="00CE678D"/>
    <w:rsid w:val="00CF1139"/>
    <w:rsid w:val="00CF2FF0"/>
    <w:rsid w:val="00CF309B"/>
    <w:rsid w:val="00CF30D8"/>
    <w:rsid w:val="00CF3159"/>
    <w:rsid w:val="00CF3BFD"/>
    <w:rsid w:val="00CF43CE"/>
    <w:rsid w:val="00CF5A5C"/>
    <w:rsid w:val="00CF61E8"/>
    <w:rsid w:val="00CF651D"/>
    <w:rsid w:val="00CF7D61"/>
    <w:rsid w:val="00D00701"/>
    <w:rsid w:val="00D014A0"/>
    <w:rsid w:val="00D046A6"/>
    <w:rsid w:val="00D05F99"/>
    <w:rsid w:val="00D06621"/>
    <w:rsid w:val="00D078F7"/>
    <w:rsid w:val="00D07FD3"/>
    <w:rsid w:val="00D110C6"/>
    <w:rsid w:val="00D11B4A"/>
    <w:rsid w:val="00D1385F"/>
    <w:rsid w:val="00D14741"/>
    <w:rsid w:val="00D15A58"/>
    <w:rsid w:val="00D20A0A"/>
    <w:rsid w:val="00D23FC8"/>
    <w:rsid w:val="00D244FF"/>
    <w:rsid w:val="00D2524A"/>
    <w:rsid w:val="00D31C35"/>
    <w:rsid w:val="00D328FE"/>
    <w:rsid w:val="00D32D11"/>
    <w:rsid w:val="00D32DE5"/>
    <w:rsid w:val="00D35394"/>
    <w:rsid w:val="00D3750C"/>
    <w:rsid w:val="00D44187"/>
    <w:rsid w:val="00D460F3"/>
    <w:rsid w:val="00D4705D"/>
    <w:rsid w:val="00D47F5B"/>
    <w:rsid w:val="00D52EC4"/>
    <w:rsid w:val="00D553EE"/>
    <w:rsid w:val="00D5634C"/>
    <w:rsid w:val="00D577E8"/>
    <w:rsid w:val="00D60950"/>
    <w:rsid w:val="00D64EB4"/>
    <w:rsid w:val="00D661F2"/>
    <w:rsid w:val="00D677B3"/>
    <w:rsid w:val="00D72965"/>
    <w:rsid w:val="00D76410"/>
    <w:rsid w:val="00D765CD"/>
    <w:rsid w:val="00D77735"/>
    <w:rsid w:val="00D778DC"/>
    <w:rsid w:val="00D80851"/>
    <w:rsid w:val="00D81AC2"/>
    <w:rsid w:val="00D81ADA"/>
    <w:rsid w:val="00D82D94"/>
    <w:rsid w:val="00D832FC"/>
    <w:rsid w:val="00D83BB6"/>
    <w:rsid w:val="00D83F79"/>
    <w:rsid w:val="00D855DD"/>
    <w:rsid w:val="00D870ED"/>
    <w:rsid w:val="00D913D9"/>
    <w:rsid w:val="00D943BB"/>
    <w:rsid w:val="00D96437"/>
    <w:rsid w:val="00D97697"/>
    <w:rsid w:val="00D97905"/>
    <w:rsid w:val="00DA120C"/>
    <w:rsid w:val="00DA19D3"/>
    <w:rsid w:val="00DA4EEF"/>
    <w:rsid w:val="00DA5072"/>
    <w:rsid w:val="00DA7952"/>
    <w:rsid w:val="00DB1D9D"/>
    <w:rsid w:val="00DB444F"/>
    <w:rsid w:val="00DB7061"/>
    <w:rsid w:val="00DB79D2"/>
    <w:rsid w:val="00DC0A82"/>
    <w:rsid w:val="00DC43E0"/>
    <w:rsid w:val="00DC5CE6"/>
    <w:rsid w:val="00DC5E32"/>
    <w:rsid w:val="00DC66BC"/>
    <w:rsid w:val="00DC7894"/>
    <w:rsid w:val="00DD4400"/>
    <w:rsid w:val="00DE2445"/>
    <w:rsid w:val="00DE3692"/>
    <w:rsid w:val="00DE4141"/>
    <w:rsid w:val="00DE6DF3"/>
    <w:rsid w:val="00DF12AE"/>
    <w:rsid w:val="00DF15D5"/>
    <w:rsid w:val="00DF3970"/>
    <w:rsid w:val="00DF4495"/>
    <w:rsid w:val="00DF671A"/>
    <w:rsid w:val="00DF6A62"/>
    <w:rsid w:val="00E00543"/>
    <w:rsid w:val="00E01B25"/>
    <w:rsid w:val="00E0228D"/>
    <w:rsid w:val="00E04507"/>
    <w:rsid w:val="00E0613E"/>
    <w:rsid w:val="00E0645D"/>
    <w:rsid w:val="00E07A83"/>
    <w:rsid w:val="00E11EB4"/>
    <w:rsid w:val="00E15013"/>
    <w:rsid w:val="00E15889"/>
    <w:rsid w:val="00E176AF"/>
    <w:rsid w:val="00E20669"/>
    <w:rsid w:val="00E2235D"/>
    <w:rsid w:val="00E22C87"/>
    <w:rsid w:val="00E23AF6"/>
    <w:rsid w:val="00E24425"/>
    <w:rsid w:val="00E3183D"/>
    <w:rsid w:val="00E32CAF"/>
    <w:rsid w:val="00E32CCB"/>
    <w:rsid w:val="00E42F81"/>
    <w:rsid w:val="00E43E81"/>
    <w:rsid w:val="00E4420B"/>
    <w:rsid w:val="00E449F2"/>
    <w:rsid w:val="00E450AE"/>
    <w:rsid w:val="00E4510B"/>
    <w:rsid w:val="00E45902"/>
    <w:rsid w:val="00E46385"/>
    <w:rsid w:val="00E508BC"/>
    <w:rsid w:val="00E53110"/>
    <w:rsid w:val="00E53629"/>
    <w:rsid w:val="00E53AE9"/>
    <w:rsid w:val="00E54996"/>
    <w:rsid w:val="00E56660"/>
    <w:rsid w:val="00E569E2"/>
    <w:rsid w:val="00E56AA2"/>
    <w:rsid w:val="00E575CB"/>
    <w:rsid w:val="00E60412"/>
    <w:rsid w:val="00E614AD"/>
    <w:rsid w:val="00E62323"/>
    <w:rsid w:val="00E62AA9"/>
    <w:rsid w:val="00E62B72"/>
    <w:rsid w:val="00E633B0"/>
    <w:rsid w:val="00E65295"/>
    <w:rsid w:val="00E67891"/>
    <w:rsid w:val="00E7405A"/>
    <w:rsid w:val="00E76864"/>
    <w:rsid w:val="00E775E7"/>
    <w:rsid w:val="00E7781E"/>
    <w:rsid w:val="00E82AEF"/>
    <w:rsid w:val="00E82FE3"/>
    <w:rsid w:val="00E843B4"/>
    <w:rsid w:val="00E86435"/>
    <w:rsid w:val="00E86788"/>
    <w:rsid w:val="00E86C64"/>
    <w:rsid w:val="00E92520"/>
    <w:rsid w:val="00E9324D"/>
    <w:rsid w:val="00E96D1E"/>
    <w:rsid w:val="00E97EAD"/>
    <w:rsid w:val="00E97EEF"/>
    <w:rsid w:val="00EA009F"/>
    <w:rsid w:val="00EA1EBF"/>
    <w:rsid w:val="00EA1FE4"/>
    <w:rsid w:val="00EA326A"/>
    <w:rsid w:val="00EA32B7"/>
    <w:rsid w:val="00EA3D43"/>
    <w:rsid w:val="00EA4935"/>
    <w:rsid w:val="00EB0739"/>
    <w:rsid w:val="00EB0B1D"/>
    <w:rsid w:val="00EB0E0E"/>
    <w:rsid w:val="00EB0E7B"/>
    <w:rsid w:val="00EB211E"/>
    <w:rsid w:val="00EB319F"/>
    <w:rsid w:val="00EB33CE"/>
    <w:rsid w:val="00EB367C"/>
    <w:rsid w:val="00EB3E0D"/>
    <w:rsid w:val="00EB6614"/>
    <w:rsid w:val="00EB6BCC"/>
    <w:rsid w:val="00EC0786"/>
    <w:rsid w:val="00EC2806"/>
    <w:rsid w:val="00EC369F"/>
    <w:rsid w:val="00EC62BA"/>
    <w:rsid w:val="00EC73D8"/>
    <w:rsid w:val="00ED011A"/>
    <w:rsid w:val="00ED0BA8"/>
    <w:rsid w:val="00ED2205"/>
    <w:rsid w:val="00ED477A"/>
    <w:rsid w:val="00ED58AA"/>
    <w:rsid w:val="00ED6961"/>
    <w:rsid w:val="00ED6BB6"/>
    <w:rsid w:val="00ED74DD"/>
    <w:rsid w:val="00EE00E5"/>
    <w:rsid w:val="00EE0DB9"/>
    <w:rsid w:val="00EE1154"/>
    <w:rsid w:val="00EE2214"/>
    <w:rsid w:val="00EE3CF4"/>
    <w:rsid w:val="00EE5FDD"/>
    <w:rsid w:val="00EE62DD"/>
    <w:rsid w:val="00EE6659"/>
    <w:rsid w:val="00EE720B"/>
    <w:rsid w:val="00EF0B26"/>
    <w:rsid w:val="00EF11C6"/>
    <w:rsid w:val="00EF1EF8"/>
    <w:rsid w:val="00EF394C"/>
    <w:rsid w:val="00EF6473"/>
    <w:rsid w:val="00F0002F"/>
    <w:rsid w:val="00F006F5"/>
    <w:rsid w:val="00F00F9A"/>
    <w:rsid w:val="00F01B8A"/>
    <w:rsid w:val="00F03833"/>
    <w:rsid w:val="00F103B9"/>
    <w:rsid w:val="00F125A2"/>
    <w:rsid w:val="00F146EB"/>
    <w:rsid w:val="00F153CA"/>
    <w:rsid w:val="00F215A6"/>
    <w:rsid w:val="00F216C1"/>
    <w:rsid w:val="00F248CB"/>
    <w:rsid w:val="00F25253"/>
    <w:rsid w:val="00F25C7A"/>
    <w:rsid w:val="00F27029"/>
    <w:rsid w:val="00F2712D"/>
    <w:rsid w:val="00F279E5"/>
    <w:rsid w:val="00F30D44"/>
    <w:rsid w:val="00F32ADF"/>
    <w:rsid w:val="00F3330C"/>
    <w:rsid w:val="00F34AEA"/>
    <w:rsid w:val="00F50B81"/>
    <w:rsid w:val="00F53078"/>
    <w:rsid w:val="00F55870"/>
    <w:rsid w:val="00F56532"/>
    <w:rsid w:val="00F56D59"/>
    <w:rsid w:val="00F57312"/>
    <w:rsid w:val="00F5745D"/>
    <w:rsid w:val="00F578C0"/>
    <w:rsid w:val="00F60225"/>
    <w:rsid w:val="00F60611"/>
    <w:rsid w:val="00F63F15"/>
    <w:rsid w:val="00F64AE5"/>
    <w:rsid w:val="00F6669E"/>
    <w:rsid w:val="00F67DC6"/>
    <w:rsid w:val="00F72FA2"/>
    <w:rsid w:val="00F73AC7"/>
    <w:rsid w:val="00F74E79"/>
    <w:rsid w:val="00F754E9"/>
    <w:rsid w:val="00F75A8C"/>
    <w:rsid w:val="00F75CF8"/>
    <w:rsid w:val="00F76E3D"/>
    <w:rsid w:val="00F80CE4"/>
    <w:rsid w:val="00F80E97"/>
    <w:rsid w:val="00F82F23"/>
    <w:rsid w:val="00F8382F"/>
    <w:rsid w:val="00F85733"/>
    <w:rsid w:val="00F85A8A"/>
    <w:rsid w:val="00F87064"/>
    <w:rsid w:val="00F90F58"/>
    <w:rsid w:val="00F91260"/>
    <w:rsid w:val="00F9167D"/>
    <w:rsid w:val="00F91C67"/>
    <w:rsid w:val="00F92077"/>
    <w:rsid w:val="00F960AA"/>
    <w:rsid w:val="00F962B2"/>
    <w:rsid w:val="00FA1373"/>
    <w:rsid w:val="00FA3B84"/>
    <w:rsid w:val="00FA4BE1"/>
    <w:rsid w:val="00FA4FE7"/>
    <w:rsid w:val="00FA5F3C"/>
    <w:rsid w:val="00FA64D3"/>
    <w:rsid w:val="00FA6D34"/>
    <w:rsid w:val="00FB130D"/>
    <w:rsid w:val="00FB38A9"/>
    <w:rsid w:val="00FB4EC7"/>
    <w:rsid w:val="00FB5652"/>
    <w:rsid w:val="00FB648A"/>
    <w:rsid w:val="00FC00DE"/>
    <w:rsid w:val="00FC0E2F"/>
    <w:rsid w:val="00FC1871"/>
    <w:rsid w:val="00FC3CB9"/>
    <w:rsid w:val="00FC5204"/>
    <w:rsid w:val="00FC5EC6"/>
    <w:rsid w:val="00FC685E"/>
    <w:rsid w:val="00FC7844"/>
    <w:rsid w:val="00FD1952"/>
    <w:rsid w:val="00FD2030"/>
    <w:rsid w:val="00FD27EA"/>
    <w:rsid w:val="00FD286B"/>
    <w:rsid w:val="00FD42B1"/>
    <w:rsid w:val="00FD619D"/>
    <w:rsid w:val="00FE03D5"/>
    <w:rsid w:val="00FE1936"/>
    <w:rsid w:val="00FE1C56"/>
    <w:rsid w:val="00FE2632"/>
    <w:rsid w:val="00FE532E"/>
    <w:rsid w:val="00FE5CFB"/>
    <w:rsid w:val="00FE5D0F"/>
    <w:rsid w:val="00FE759E"/>
    <w:rsid w:val="00FE77A5"/>
    <w:rsid w:val="00FE7DF5"/>
    <w:rsid w:val="00FE7DF7"/>
    <w:rsid w:val="00FE7EF5"/>
    <w:rsid w:val="00FF2D6B"/>
    <w:rsid w:val="00FF31EA"/>
    <w:rsid w:val="00FF5F7E"/>
    <w:rsid w:val="00FF5FAB"/>
    <w:rsid w:val="00FF7209"/>
    <w:rsid w:val="00FF7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810447B"/>
  <w15:docId w15:val="{616DBFB2-3934-43C8-A666-FBF85FC6D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260"/>
  </w:style>
  <w:style w:type="paragraph" w:styleId="Heading1">
    <w:name w:val="heading 1"/>
    <w:basedOn w:val="Normal"/>
    <w:next w:val="Normal"/>
    <w:link w:val="Heading1Char"/>
    <w:uiPriority w:val="9"/>
    <w:qFormat/>
    <w:rsid w:val="00F271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12D"/>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F2712D"/>
    <w:pPr>
      <w:spacing w:after="0" w:line="240" w:lineRule="auto"/>
    </w:pPr>
  </w:style>
  <w:style w:type="paragraph" w:styleId="BalloonText">
    <w:name w:val="Balloon Text"/>
    <w:basedOn w:val="Normal"/>
    <w:link w:val="BalloonTextChar"/>
    <w:uiPriority w:val="99"/>
    <w:semiHidden/>
    <w:unhideWhenUsed/>
    <w:rsid w:val="00F27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12D"/>
    <w:rPr>
      <w:rFonts w:ascii="Tahoma" w:hAnsi="Tahoma" w:cs="Tahoma"/>
      <w:sz w:val="16"/>
      <w:szCs w:val="16"/>
    </w:rPr>
  </w:style>
  <w:style w:type="table" w:styleId="TableGrid">
    <w:name w:val="Table Grid"/>
    <w:basedOn w:val="TableNormal"/>
    <w:uiPriority w:val="59"/>
    <w:rsid w:val="00254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B10EE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Hyperlink">
    <w:name w:val="Hyperlink"/>
    <w:basedOn w:val="DefaultParagraphFont"/>
    <w:uiPriority w:val="99"/>
    <w:semiHidden/>
    <w:unhideWhenUsed/>
    <w:rsid w:val="00CD5009"/>
    <w:rPr>
      <w:color w:val="0000FF"/>
      <w:u w:val="single"/>
    </w:rPr>
  </w:style>
  <w:style w:type="paragraph" w:styleId="Header">
    <w:name w:val="header"/>
    <w:basedOn w:val="Normal"/>
    <w:link w:val="HeaderChar"/>
    <w:uiPriority w:val="99"/>
    <w:semiHidden/>
    <w:unhideWhenUsed/>
    <w:rsid w:val="007E1D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1D2E"/>
  </w:style>
  <w:style w:type="paragraph" w:styleId="Footer">
    <w:name w:val="footer"/>
    <w:basedOn w:val="Normal"/>
    <w:link w:val="FooterChar"/>
    <w:uiPriority w:val="99"/>
    <w:semiHidden/>
    <w:unhideWhenUsed/>
    <w:rsid w:val="007E1D2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E1D2E"/>
  </w:style>
  <w:style w:type="character" w:styleId="CommentReference">
    <w:name w:val="annotation reference"/>
    <w:basedOn w:val="DefaultParagraphFont"/>
    <w:uiPriority w:val="99"/>
    <w:semiHidden/>
    <w:unhideWhenUsed/>
    <w:rsid w:val="00BD270B"/>
    <w:rPr>
      <w:sz w:val="16"/>
      <w:szCs w:val="16"/>
    </w:rPr>
  </w:style>
  <w:style w:type="paragraph" w:styleId="CommentText">
    <w:name w:val="annotation text"/>
    <w:basedOn w:val="Normal"/>
    <w:link w:val="CommentTextChar"/>
    <w:uiPriority w:val="99"/>
    <w:semiHidden/>
    <w:unhideWhenUsed/>
    <w:rsid w:val="00BD270B"/>
    <w:pPr>
      <w:spacing w:line="240" w:lineRule="auto"/>
    </w:pPr>
    <w:rPr>
      <w:sz w:val="20"/>
      <w:szCs w:val="20"/>
    </w:rPr>
  </w:style>
  <w:style w:type="character" w:customStyle="1" w:styleId="CommentTextChar">
    <w:name w:val="Comment Text Char"/>
    <w:basedOn w:val="DefaultParagraphFont"/>
    <w:link w:val="CommentText"/>
    <w:uiPriority w:val="99"/>
    <w:semiHidden/>
    <w:rsid w:val="00BD270B"/>
    <w:rPr>
      <w:sz w:val="20"/>
      <w:szCs w:val="20"/>
    </w:rPr>
  </w:style>
  <w:style w:type="paragraph" w:styleId="CommentSubject">
    <w:name w:val="annotation subject"/>
    <w:basedOn w:val="CommentText"/>
    <w:next w:val="CommentText"/>
    <w:link w:val="CommentSubjectChar"/>
    <w:uiPriority w:val="99"/>
    <w:semiHidden/>
    <w:unhideWhenUsed/>
    <w:rsid w:val="00BD270B"/>
    <w:rPr>
      <w:b/>
      <w:bCs/>
    </w:rPr>
  </w:style>
  <w:style w:type="character" w:customStyle="1" w:styleId="CommentSubjectChar">
    <w:name w:val="Comment Subject Char"/>
    <w:basedOn w:val="CommentTextChar"/>
    <w:link w:val="CommentSubject"/>
    <w:uiPriority w:val="99"/>
    <w:semiHidden/>
    <w:rsid w:val="00BD270B"/>
    <w:rPr>
      <w:b/>
      <w:bCs/>
      <w:sz w:val="20"/>
      <w:szCs w:val="20"/>
    </w:rPr>
  </w:style>
  <w:style w:type="character" w:customStyle="1" w:styleId="NoSpacingChar">
    <w:name w:val="No Spacing Char"/>
    <w:basedOn w:val="DefaultParagraphFont"/>
    <w:link w:val="NoSpacing"/>
    <w:uiPriority w:val="1"/>
    <w:rsid w:val="00782E51"/>
  </w:style>
  <w:style w:type="paragraph" w:styleId="ListParagraph">
    <w:name w:val="List Paragraph"/>
    <w:basedOn w:val="Normal"/>
    <w:uiPriority w:val="34"/>
    <w:qFormat/>
    <w:rsid w:val="00BE4117"/>
    <w:pPr>
      <w:spacing w:after="160" w:line="259" w:lineRule="auto"/>
      <w:ind w:left="720"/>
      <w:contextualSpacing/>
    </w:pPr>
  </w:style>
  <w:style w:type="table" w:customStyle="1" w:styleId="ListTable4-Accent51">
    <w:name w:val="List Table 4 - Accent 51"/>
    <w:basedOn w:val="TableNormal"/>
    <w:uiPriority w:val="49"/>
    <w:rsid w:val="00232B1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9714">
      <w:bodyDiv w:val="1"/>
      <w:marLeft w:val="0"/>
      <w:marRight w:val="0"/>
      <w:marTop w:val="0"/>
      <w:marBottom w:val="0"/>
      <w:divBdr>
        <w:top w:val="none" w:sz="0" w:space="0" w:color="auto"/>
        <w:left w:val="none" w:sz="0" w:space="0" w:color="auto"/>
        <w:bottom w:val="none" w:sz="0" w:space="0" w:color="auto"/>
        <w:right w:val="none" w:sz="0" w:space="0" w:color="auto"/>
      </w:divBdr>
    </w:div>
    <w:div w:id="484712557">
      <w:bodyDiv w:val="1"/>
      <w:marLeft w:val="0"/>
      <w:marRight w:val="0"/>
      <w:marTop w:val="0"/>
      <w:marBottom w:val="0"/>
      <w:divBdr>
        <w:top w:val="none" w:sz="0" w:space="0" w:color="auto"/>
        <w:left w:val="none" w:sz="0" w:space="0" w:color="auto"/>
        <w:bottom w:val="none" w:sz="0" w:space="0" w:color="auto"/>
        <w:right w:val="none" w:sz="0" w:space="0" w:color="auto"/>
      </w:divBdr>
    </w:div>
    <w:div w:id="571233653">
      <w:bodyDiv w:val="1"/>
      <w:marLeft w:val="0"/>
      <w:marRight w:val="0"/>
      <w:marTop w:val="0"/>
      <w:marBottom w:val="0"/>
      <w:divBdr>
        <w:top w:val="none" w:sz="0" w:space="0" w:color="auto"/>
        <w:left w:val="none" w:sz="0" w:space="0" w:color="auto"/>
        <w:bottom w:val="none" w:sz="0" w:space="0" w:color="auto"/>
        <w:right w:val="none" w:sz="0" w:space="0" w:color="auto"/>
      </w:divBdr>
    </w:div>
    <w:div w:id="588974724">
      <w:bodyDiv w:val="1"/>
      <w:marLeft w:val="0"/>
      <w:marRight w:val="0"/>
      <w:marTop w:val="0"/>
      <w:marBottom w:val="0"/>
      <w:divBdr>
        <w:top w:val="none" w:sz="0" w:space="0" w:color="auto"/>
        <w:left w:val="none" w:sz="0" w:space="0" w:color="auto"/>
        <w:bottom w:val="none" w:sz="0" w:space="0" w:color="auto"/>
        <w:right w:val="none" w:sz="0" w:space="0" w:color="auto"/>
      </w:divBdr>
    </w:div>
    <w:div w:id="616985097">
      <w:bodyDiv w:val="1"/>
      <w:marLeft w:val="0"/>
      <w:marRight w:val="0"/>
      <w:marTop w:val="0"/>
      <w:marBottom w:val="0"/>
      <w:divBdr>
        <w:top w:val="none" w:sz="0" w:space="0" w:color="auto"/>
        <w:left w:val="none" w:sz="0" w:space="0" w:color="auto"/>
        <w:bottom w:val="none" w:sz="0" w:space="0" w:color="auto"/>
        <w:right w:val="none" w:sz="0" w:space="0" w:color="auto"/>
      </w:divBdr>
    </w:div>
    <w:div w:id="692338332">
      <w:bodyDiv w:val="1"/>
      <w:marLeft w:val="0"/>
      <w:marRight w:val="0"/>
      <w:marTop w:val="0"/>
      <w:marBottom w:val="0"/>
      <w:divBdr>
        <w:top w:val="none" w:sz="0" w:space="0" w:color="auto"/>
        <w:left w:val="none" w:sz="0" w:space="0" w:color="auto"/>
        <w:bottom w:val="none" w:sz="0" w:space="0" w:color="auto"/>
        <w:right w:val="none" w:sz="0" w:space="0" w:color="auto"/>
      </w:divBdr>
    </w:div>
    <w:div w:id="723069261">
      <w:bodyDiv w:val="1"/>
      <w:marLeft w:val="0"/>
      <w:marRight w:val="0"/>
      <w:marTop w:val="0"/>
      <w:marBottom w:val="0"/>
      <w:divBdr>
        <w:top w:val="none" w:sz="0" w:space="0" w:color="auto"/>
        <w:left w:val="none" w:sz="0" w:space="0" w:color="auto"/>
        <w:bottom w:val="none" w:sz="0" w:space="0" w:color="auto"/>
        <w:right w:val="none" w:sz="0" w:space="0" w:color="auto"/>
      </w:divBdr>
    </w:div>
    <w:div w:id="742921274">
      <w:bodyDiv w:val="1"/>
      <w:marLeft w:val="0"/>
      <w:marRight w:val="0"/>
      <w:marTop w:val="0"/>
      <w:marBottom w:val="0"/>
      <w:divBdr>
        <w:top w:val="none" w:sz="0" w:space="0" w:color="auto"/>
        <w:left w:val="none" w:sz="0" w:space="0" w:color="auto"/>
        <w:bottom w:val="none" w:sz="0" w:space="0" w:color="auto"/>
        <w:right w:val="none" w:sz="0" w:space="0" w:color="auto"/>
      </w:divBdr>
    </w:div>
    <w:div w:id="908079451">
      <w:bodyDiv w:val="1"/>
      <w:marLeft w:val="0"/>
      <w:marRight w:val="0"/>
      <w:marTop w:val="0"/>
      <w:marBottom w:val="0"/>
      <w:divBdr>
        <w:top w:val="none" w:sz="0" w:space="0" w:color="auto"/>
        <w:left w:val="none" w:sz="0" w:space="0" w:color="auto"/>
        <w:bottom w:val="none" w:sz="0" w:space="0" w:color="auto"/>
        <w:right w:val="none" w:sz="0" w:space="0" w:color="auto"/>
      </w:divBdr>
    </w:div>
    <w:div w:id="920066878">
      <w:bodyDiv w:val="1"/>
      <w:marLeft w:val="0"/>
      <w:marRight w:val="0"/>
      <w:marTop w:val="0"/>
      <w:marBottom w:val="0"/>
      <w:divBdr>
        <w:top w:val="none" w:sz="0" w:space="0" w:color="auto"/>
        <w:left w:val="none" w:sz="0" w:space="0" w:color="auto"/>
        <w:bottom w:val="none" w:sz="0" w:space="0" w:color="auto"/>
        <w:right w:val="none" w:sz="0" w:space="0" w:color="auto"/>
      </w:divBdr>
    </w:div>
    <w:div w:id="958537348">
      <w:bodyDiv w:val="1"/>
      <w:marLeft w:val="0"/>
      <w:marRight w:val="0"/>
      <w:marTop w:val="0"/>
      <w:marBottom w:val="0"/>
      <w:divBdr>
        <w:top w:val="none" w:sz="0" w:space="0" w:color="auto"/>
        <w:left w:val="none" w:sz="0" w:space="0" w:color="auto"/>
        <w:bottom w:val="none" w:sz="0" w:space="0" w:color="auto"/>
        <w:right w:val="none" w:sz="0" w:space="0" w:color="auto"/>
      </w:divBdr>
    </w:div>
    <w:div w:id="1066418647">
      <w:bodyDiv w:val="1"/>
      <w:marLeft w:val="0"/>
      <w:marRight w:val="0"/>
      <w:marTop w:val="0"/>
      <w:marBottom w:val="0"/>
      <w:divBdr>
        <w:top w:val="none" w:sz="0" w:space="0" w:color="auto"/>
        <w:left w:val="none" w:sz="0" w:space="0" w:color="auto"/>
        <w:bottom w:val="none" w:sz="0" w:space="0" w:color="auto"/>
        <w:right w:val="none" w:sz="0" w:space="0" w:color="auto"/>
      </w:divBdr>
    </w:div>
    <w:div w:id="1193878164">
      <w:bodyDiv w:val="1"/>
      <w:marLeft w:val="0"/>
      <w:marRight w:val="0"/>
      <w:marTop w:val="0"/>
      <w:marBottom w:val="0"/>
      <w:divBdr>
        <w:top w:val="none" w:sz="0" w:space="0" w:color="auto"/>
        <w:left w:val="none" w:sz="0" w:space="0" w:color="auto"/>
        <w:bottom w:val="none" w:sz="0" w:space="0" w:color="auto"/>
        <w:right w:val="none" w:sz="0" w:space="0" w:color="auto"/>
      </w:divBdr>
    </w:div>
    <w:div w:id="1209026870">
      <w:bodyDiv w:val="1"/>
      <w:marLeft w:val="0"/>
      <w:marRight w:val="0"/>
      <w:marTop w:val="0"/>
      <w:marBottom w:val="0"/>
      <w:divBdr>
        <w:top w:val="none" w:sz="0" w:space="0" w:color="auto"/>
        <w:left w:val="none" w:sz="0" w:space="0" w:color="auto"/>
        <w:bottom w:val="none" w:sz="0" w:space="0" w:color="auto"/>
        <w:right w:val="none" w:sz="0" w:space="0" w:color="auto"/>
      </w:divBdr>
    </w:div>
    <w:div w:id="1263760097">
      <w:bodyDiv w:val="1"/>
      <w:marLeft w:val="0"/>
      <w:marRight w:val="0"/>
      <w:marTop w:val="0"/>
      <w:marBottom w:val="0"/>
      <w:divBdr>
        <w:top w:val="none" w:sz="0" w:space="0" w:color="auto"/>
        <w:left w:val="none" w:sz="0" w:space="0" w:color="auto"/>
        <w:bottom w:val="none" w:sz="0" w:space="0" w:color="auto"/>
        <w:right w:val="none" w:sz="0" w:space="0" w:color="auto"/>
      </w:divBdr>
    </w:div>
    <w:div w:id="1319967319">
      <w:bodyDiv w:val="1"/>
      <w:marLeft w:val="0"/>
      <w:marRight w:val="0"/>
      <w:marTop w:val="0"/>
      <w:marBottom w:val="0"/>
      <w:divBdr>
        <w:top w:val="none" w:sz="0" w:space="0" w:color="auto"/>
        <w:left w:val="none" w:sz="0" w:space="0" w:color="auto"/>
        <w:bottom w:val="none" w:sz="0" w:space="0" w:color="auto"/>
        <w:right w:val="none" w:sz="0" w:space="0" w:color="auto"/>
      </w:divBdr>
    </w:div>
    <w:div w:id="1476682346">
      <w:bodyDiv w:val="1"/>
      <w:marLeft w:val="0"/>
      <w:marRight w:val="0"/>
      <w:marTop w:val="0"/>
      <w:marBottom w:val="0"/>
      <w:divBdr>
        <w:top w:val="none" w:sz="0" w:space="0" w:color="auto"/>
        <w:left w:val="none" w:sz="0" w:space="0" w:color="auto"/>
        <w:bottom w:val="none" w:sz="0" w:space="0" w:color="auto"/>
        <w:right w:val="none" w:sz="0" w:space="0" w:color="auto"/>
      </w:divBdr>
    </w:div>
    <w:div w:id="1542552639">
      <w:bodyDiv w:val="1"/>
      <w:marLeft w:val="0"/>
      <w:marRight w:val="0"/>
      <w:marTop w:val="0"/>
      <w:marBottom w:val="0"/>
      <w:divBdr>
        <w:top w:val="none" w:sz="0" w:space="0" w:color="auto"/>
        <w:left w:val="none" w:sz="0" w:space="0" w:color="auto"/>
        <w:bottom w:val="none" w:sz="0" w:space="0" w:color="auto"/>
        <w:right w:val="none" w:sz="0" w:space="0" w:color="auto"/>
      </w:divBdr>
    </w:div>
    <w:div w:id="1726249752">
      <w:bodyDiv w:val="1"/>
      <w:marLeft w:val="0"/>
      <w:marRight w:val="0"/>
      <w:marTop w:val="0"/>
      <w:marBottom w:val="0"/>
      <w:divBdr>
        <w:top w:val="none" w:sz="0" w:space="0" w:color="auto"/>
        <w:left w:val="none" w:sz="0" w:space="0" w:color="auto"/>
        <w:bottom w:val="none" w:sz="0" w:space="0" w:color="auto"/>
        <w:right w:val="none" w:sz="0" w:space="0" w:color="auto"/>
      </w:divBdr>
    </w:div>
    <w:div w:id="214624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watson@pm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hart" Target="charts/chart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Anne-Marie\Documents\210%20Analytics\Clients\IRI\2021\coronavirus\July%20files\share%20of%20meals%20graph.xlsx"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Anne-Marie\Documents\210%20Analytics\Clients\IRI\2021\coronavirus\November%20files\Line_graph_produce%20Nov-2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nne-Marie\Documents\210%20Analytics\Clients\IRI\2021\coronavirus\November%20files\Line_graph_produce%20Nov-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000"/>
            </a:pPr>
            <a:r>
              <a:rPr lang="en-US" sz="1000"/>
              <a:t>Share of total meals prepared at home by month (%)</a:t>
            </a:r>
          </a:p>
        </c:rich>
      </c:tx>
      <c:overlay val="0"/>
      <c:spPr>
        <a:noFill/>
        <a:ln>
          <a:noFill/>
        </a:ln>
        <a:effectLst/>
      </c:spPr>
    </c:title>
    <c:autoTitleDeleted val="0"/>
    <c:plotArea>
      <c:layout>
        <c:manualLayout>
          <c:layoutTarget val="inner"/>
          <c:xMode val="edge"/>
          <c:yMode val="edge"/>
          <c:x val="2.3182502600388771E-3"/>
          <c:y val="0.15406781387837903"/>
          <c:w val="0.99768174973996038"/>
          <c:h val="0.6287891886474426"/>
        </c:manualLayout>
      </c:layout>
      <c:lineChart>
        <c:grouping val="standard"/>
        <c:varyColors val="0"/>
        <c:ser>
          <c:idx val="0"/>
          <c:order val="0"/>
          <c:tx>
            <c:strRef>
              <c:f>Sheet1!$A$2</c:f>
              <c:strCache>
                <c:ptCount val="1"/>
                <c:pt idx="0">
                  <c:v>MEAN</c:v>
                </c:pt>
              </c:strCache>
            </c:strRef>
          </c:tx>
          <c:spPr>
            <a:ln w="28575" cap="rnd">
              <a:solidFill>
                <a:schemeClr val="accent1"/>
              </a:solidFill>
              <a:round/>
            </a:ln>
            <a:effectLst/>
          </c:spPr>
          <c:marker>
            <c:symbol val="none"/>
          </c:marker>
          <c:dLbls>
            <c:dLbl>
              <c:idx val="15"/>
              <c:layout>
                <c:manualLayout>
                  <c:x val="-3.9949576888956E-2"/>
                  <c:y val="3.839977679955361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E61-4549-BFA3-8CAF4994B425}"/>
                </c:ext>
              </c:extLst>
            </c:dLbl>
            <c:dLbl>
              <c:idx val="16"/>
              <c:layout>
                <c:manualLayout>
                  <c:x val="-3.4474056127599434E-2"/>
                  <c:y val="4.224685482153926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E61-4549-BFA3-8CAF4994B425}"/>
                </c:ext>
              </c:extLst>
            </c:dLbl>
            <c:dLbl>
              <c:idx val="17"/>
              <c:layout>
                <c:manualLayout>
                  <c:x val="-2.9551584898041591E-2"/>
                  <c:y val="3.746102088997660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E61-4549-BFA3-8CAF4994B425}"/>
                </c:ext>
              </c:extLst>
            </c:dLbl>
            <c:dLbl>
              <c:idx val="18"/>
              <c:layout>
                <c:manualLayout>
                  <c:x val="-5.9634766807995156E-2"/>
                  <c:y val="-5.346982380971226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E61-4549-BFA3-8CAF4994B425}"/>
                </c:ext>
              </c:extLst>
            </c:dLbl>
            <c:spPr>
              <a:noFill/>
              <a:ln>
                <a:noFill/>
              </a:ln>
              <a:effectLst/>
            </c:spPr>
            <c:txPr>
              <a:bodyPr rot="0" vert="horz"/>
              <a:lstStyle/>
              <a:p>
                <a:pPr>
                  <a:defRPr sz="900">
                    <a:solidFill>
                      <a:schemeClr val="accent1"/>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Sheet1!$B$1:$U$1</c:f>
              <c:strCache>
                <c:ptCount val="20"/>
                <c:pt idx="0">
                  <c:v>Apr-20</c:v>
                </c:pt>
                <c:pt idx="1">
                  <c:v>May-20</c:v>
                </c:pt>
                <c:pt idx="2">
                  <c:v>Jun-20</c:v>
                </c:pt>
                <c:pt idx="3">
                  <c:v>Jul-20</c:v>
                </c:pt>
                <c:pt idx="4">
                  <c:v>Aug-20</c:v>
                </c:pt>
                <c:pt idx="5">
                  <c:v>Sep-20</c:v>
                </c:pt>
                <c:pt idx="6">
                  <c:v>Oct-20</c:v>
                </c:pt>
                <c:pt idx="7">
                  <c:v>Nov-20</c:v>
                </c:pt>
                <c:pt idx="8">
                  <c:v>Dec-20</c:v>
                </c:pt>
                <c:pt idx="9">
                  <c:v>Jan-21</c:v>
                </c:pt>
                <c:pt idx="10">
                  <c:v>Feb-21</c:v>
                </c:pt>
                <c:pt idx="11">
                  <c:v>Mar-21</c:v>
                </c:pt>
                <c:pt idx="12">
                  <c:v>Apr-21</c:v>
                </c:pt>
                <c:pt idx="13">
                  <c:v>May-21</c:v>
                </c:pt>
                <c:pt idx="14">
                  <c:v>Jun-21</c:v>
                </c:pt>
                <c:pt idx="15">
                  <c:v>Jul-21</c:v>
                </c:pt>
                <c:pt idx="16">
                  <c:v>Aug 21</c:v>
                </c:pt>
                <c:pt idx="17">
                  <c:v>Sep 21</c:v>
                </c:pt>
                <c:pt idx="18">
                  <c:v>Oct 21</c:v>
                </c:pt>
                <c:pt idx="19">
                  <c:v>Nov 21</c:v>
                </c:pt>
              </c:strCache>
            </c:strRef>
          </c:cat>
          <c:val>
            <c:numRef>
              <c:f>Sheet1!$B$2:$U$2</c:f>
              <c:numCache>
                <c:formatCode>General</c:formatCode>
                <c:ptCount val="20"/>
                <c:pt idx="0" formatCode="0.0">
                  <c:v>88.1</c:v>
                </c:pt>
                <c:pt idx="1">
                  <c:v>85.2</c:v>
                </c:pt>
                <c:pt idx="2" formatCode="0.0">
                  <c:v>84</c:v>
                </c:pt>
                <c:pt idx="3">
                  <c:v>82</c:v>
                </c:pt>
                <c:pt idx="4" formatCode="0.0">
                  <c:v>82.4</c:v>
                </c:pt>
                <c:pt idx="5">
                  <c:v>81.400000000000006</c:v>
                </c:pt>
                <c:pt idx="6">
                  <c:v>81.900000000000006</c:v>
                </c:pt>
                <c:pt idx="7">
                  <c:v>83.6</c:v>
                </c:pt>
                <c:pt idx="8">
                  <c:v>82.4</c:v>
                </c:pt>
                <c:pt idx="9">
                  <c:v>84.2</c:v>
                </c:pt>
                <c:pt idx="10">
                  <c:v>83.4</c:v>
                </c:pt>
                <c:pt idx="11">
                  <c:v>81.400000000000006</c:v>
                </c:pt>
                <c:pt idx="12">
                  <c:v>80.7</c:v>
                </c:pt>
                <c:pt idx="13">
                  <c:v>80.099999999999994</c:v>
                </c:pt>
                <c:pt idx="14">
                  <c:v>80.3</c:v>
                </c:pt>
                <c:pt idx="15">
                  <c:v>76.599999999999994</c:v>
                </c:pt>
                <c:pt idx="16">
                  <c:v>79.900000000000006</c:v>
                </c:pt>
                <c:pt idx="17">
                  <c:v>79.8</c:v>
                </c:pt>
                <c:pt idx="18">
                  <c:v>80.3</c:v>
                </c:pt>
                <c:pt idx="19" formatCode="0.0">
                  <c:v>80</c:v>
                </c:pt>
              </c:numCache>
            </c:numRef>
          </c:val>
          <c:smooth val="0"/>
          <c:extLst>
            <c:ext xmlns:c16="http://schemas.microsoft.com/office/drawing/2014/chart" uri="{C3380CC4-5D6E-409C-BE32-E72D297353CC}">
              <c16:uniqueId val="{00000004-BE61-4549-BFA3-8CAF4994B425}"/>
            </c:ext>
          </c:extLst>
        </c:ser>
        <c:dLbls>
          <c:showLegendKey val="0"/>
          <c:showVal val="0"/>
          <c:showCatName val="0"/>
          <c:showSerName val="0"/>
          <c:showPercent val="0"/>
          <c:showBubbleSize val="0"/>
        </c:dLbls>
        <c:smooth val="0"/>
        <c:axId val="190626048"/>
        <c:axId val="190627840"/>
      </c:lineChart>
      <c:catAx>
        <c:axId val="19062604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vert="horz"/>
          <a:lstStyle/>
          <a:p>
            <a:pPr>
              <a:defRPr sz="900"/>
            </a:pPr>
            <a:endParaRPr lang="en-US"/>
          </a:p>
        </c:txPr>
        <c:crossAx val="190627840"/>
        <c:crosses val="autoZero"/>
        <c:auto val="1"/>
        <c:lblAlgn val="ctr"/>
        <c:lblOffset val="100"/>
        <c:noMultiLvlLbl val="1"/>
      </c:catAx>
      <c:valAx>
        <c:axId val="190627840"/>
        <c:scaling>
          <c:orientation val="minMax"/>
        </c:scaling>
        <c:delete val="1"/>
        <c:axPos val="l"/>
        <c:majorGridlines>
          <c:spPr>
            <a:ln w="9525" cap="flat" cmpd="sng" algn="ctr">
              <a:solidFill>
                <a:schemeClr val="bg1">
                  <a:lumMod val="95000"/>
                </a:schemeClr>
              </a:solidFill>
              <a:round/>
            </a:ln>
            <a:effectLst/>
          </c:spPr>
        </c:majorGridlines>
        <c:numFmt formatCode="0.0" sourceLinked="1"/>
        <c:majorTickMark val="none"/>
        <c:minorTickMark val="none"/>
        <c:tickLblPos val="none"/>
        <c:crossAx val="1906260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solidFill>
            <a:schemeClr val="tx1">
              <a:lumMod val="95000"/>
              <a:lumOff val="5000"/>
            </a:schemeClr>
          </a:solidFill>
          <a:latin typeface="Arial" panose="020B0604020202020204" pitchFamily="34" charset="0"/>
          <a:cs typeface="Arial" panose="020B060402020202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rtl="0">
              <a:defRPr sz="1050"/>
            </a:pPr>
            <a:r>
              <a:rPr lang="en-US" sz="1050"/>
              <a:t>% Dollar growth versus the same time period year ago</a:t>
            </a:r>
          </a:p>
        </c:rich>
      </c:tx>
      <c:overlay val="0"/>
    </c:title>
    <c:autoTitleDeleted val="0"/>
    <c:plotArea>
      <c:layout/>
      <c:lineChart>
        <c:grouping val="standard"/>
        <c:varyColors val="0"/>
        <c:ser>
          <c:idx val="0"/>
          <c:order val="0"/>
          <c:tx>
            <c:strRef>
              <c:f>Sheet1!$A$30</c:f>
              <c:strCache>
                <c:ptCount val="1"/>
                <c:pt idx="0">
                  <c:v>Produce dpt  </c:v>
                </c:pt>
              </c:strCache>
            </c:strRef>
          </c:tx>
          <c:marker>
            <c:symbol val="none"/>
          </c:marker>
          <c:dLbls>
            <c:dLbl>
              <c:idx val="0"/>
              <c:layout>
                <c:manualLayout>
                  <c:x val="-6.3073042185404743E-2"/>
                  <c:y val="-1.099999653543411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75C-49A3-A1E0-D587F06A283B}"/>
                </c:ext>
              </c:extLst>
            </c:dLbl>
            <c:dLbl>
              <c:idx val="1"/>
              <c:layout>
                <c:manualLayout>
                  <c:x val="-3.2262228751839012E-2"/>
                  <c:y val="-1.899999401574991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75C-49A3-A1E0-D587F06A283B}"/>
                </c:ext>
              </c:extLst>
            </c:dLbl>
            <c:dLbl>
              <c:idx val="5"/>
              <c:layout>
                <c:manualLayout>
                  <c:x val="-2.4229214437575215E-2"/>
                  <c:y val="-1.499999527559203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75C-49A3-A1E0-D587F06A283B}"/>
                </c:ext>
              </c:extLst>
            </c:dLbl>
            <c:dLbl>
              <c:idx val="6"/>
              <c:layout>
                <c:manualLayout>
                  <c:x val="-3.6881075840587842E-2"/>
                  <c:y val="-2.008638625656499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75C-49A3-A1E0-D587F06A283B}"/>
                </c:ext>
              </c:extLst>
            </c:dLbl>
            <c:dLbl>
              <c:idx val="7"/>
              <c:layout>
                <c:manualLayout>
                  <c:x val="-1.7440512703191361E-2"/>
                  <c:y val="2.397407391912589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75C-49A3-A1E0-D587F06A283B}"/>
                </c:ext>
              </c:extLst>
            </c:dLbl>
            <c:dLbl>
              <c:idx val="8"/>
              <c:layout>
                <c:manualLayout>
                  <c:x val="-1.8726686206376564E-2"/>
                  <c:y val="1.879049036904462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75C-49A3-A1E0-D587F06A283B}"/>
                </c:ext>
              </c:extLst>
            </c:dLbl>
            <c:dLbl>
              <c:idx val="9"/>
              <c:layout>
                <c:manualLayout>
                  <c:x val="-2.0064306649689198E-3"/>
                  <c:y val="6.479479437600656E-4"/>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75C-49A3-A1E0-D587F06A283B}"/>
                </c:ext>
              </c:extLst>
            </c:dLbl>
            <c:dLbl>
              <c:idx val="11"/>
              <c:layout>
                <c:manualLayout>
                  <c:x val="-2.4693211455823771E-2"/>
                  <c:y val="2.811193205559667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75C-49A3-A1E0-D587F06A283B}"/>
                </c:ext>
              </c:extLst>
            </c:dLbl>
            <c:dLbl>
              <c:idx val="12"/>
              <c:layout>
                <c:manualLayout>
                  <c:x val="-2.3484444590904287E-2"/>
                  <c:y val="-1.794241191663353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75C-49A3-A1E0-D587F06A283B}"/>
                </c:ext>
              </c:extLst>
            </c:dLbl>
            <c:dLbl>
              <c:idx val="13"/>
              <c:layout>
                <c:manualLayout>
                  <c:x val="-1.8576973326594252E-2"/>
                  <c:y val="3.085995100854532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75C-49A3-A1E0-D587F06A283B}"/>
                </c:ext>
              </c:extLst>
            </c:dLbl>
            <c:spPr>
              <a:noFill/>
              <a:ln>
                <a:noFill/>
              </a:ln>
              <a:effectLst/>
            </c:spPr>
            <c:txPr>
              <a:bodyPr/>
              <a:lstStyle/>
              <a:p>
                <a:pPr>
                  <a:defRPr sz="900">
                    <a:solidFill>
                      <a:schemeClr val="accent1"/>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Sheet1!$B$29:$K$29</c:f>
              <c:strCache>
                <c:ptCount val="10"/>
                <c:pt idx="0">
                  <c:v>2019</c:v>
                </c:pt>
                <c:pt idx="1">
                  <c:v>Q1 '20</c:v>
                </c:pt>
                <c:pt idx="2">
                  <c:v>Q2 '20</c:v>
                </c:pt>
                <c:pt idx="3">
                  <c:v>Q3 '20</c:v>
                </c:pt>
                <c:pt idx="4">
                  <c:v>Q4 '20</c:v>
                </c:pt>
                <c:pt idx="5">
                  <c:v>Q1 '21</c:v>
                </c:pt>
                <c:pt idx="6">
                  <c:v>Q2 '21</c:v>
                </c:pt>
                <c:pt idx="7">
                  <c:v>Q3 '21</c:v>
                </c:pt>
                <c:pt idx="8">
                  <c:v>Oct '21</c:v>
                </c:pt>
                <c:pt idx="9">
                  <c:v>Nov '21</c:v>
                </c:pt>
              </c:strCache>
            </c:strRef>
          </c:cat>
          <c:val>
            <c:numRef>
              <c:f>Sheet1!$B$30:$K$30</c:f>
              <c:numCache>
                <c:formatCode>0.0%</c:formatCode>
                <c:ptCount val="10"/>
                <c:pt idx="0">
                  <c:v>1.7999999999999999E-2</c:v>
                </c:pt>
                <c:pt idx="1">
                  <c:v>6.8000000000000005E-2</c:v>
                </c:pt>
                <c:pt idx="2">
                  <c:v>0.151</c:v>
                </c:pt>
                <c:pt idx="3">
                  <c:v>0.121</c:v>
                </c:pt>
                <c:pt idx="4">
                  <c:v>0.11700000000000001</c:v>
                </c:pt>
                <c:pt idx="5">
                  <c:v>4.8000000000000001E-2</c:v>
                </c:pt>
                <c:pt idx="6">
                  <c:v>-1.0999999999999999E-2</c:v>
                </c:pt>
                <c:pt idx="7">
                  <c:v>0.02</c:v>
                </c:pt>
                <c:pt idx="8">
                  <c:v>3.7999999999999999E-2</c:v>
                </c:pt>
                <c:pt idx="9">
                  <c:v>0.04</c:v>
                </c:pt>
              </c:numCache>
            </c:numRef>
          </c:val>
          <c:smooth val="0"/>
          <c:extLst>
            <c:ext xmlns:c16="http://schemas.microsoft.com/office/drawing/2014/chart" uri="{C3380CC4-5D6E-409C-BE32-E72D297353CC}">
              <c16:uniqueId val="{0000000A-675C-49A3-A1E0-D587F06A283B}"/>
            </c:ext>
          </c:extLst>
        </c:ser>
        <c:ser>
          <c:idx val="1"/>
          <c:order val="1"/>
          <c:tx>
            <c:strRef>
              <c:f>Sheet1!$A$31</c:f>
              <c:strCache>
                <c:ptCount val="1"/>
                <c:pt idx="0">
                  <c:v>Fresh fruit</c:v>
                </c:pt>
              </c:strCache>
            </c:strRef>
          </c:tx>
          <c:marker>
            <c:symbol val="none"/>
          </c:marker>
          <c:dLbls>
            <c:dLbl>
              <c:idx val="0"/>
              <c:layout>
                <c:manualLayout>
                  <c:x val="-6.4151356812203172E-2"/>
                  <c:y val="-4.9999984251973793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75C-49A3-A1E0-D587F06A283B}"/>
                </c:ext>
              </c:extLst>
            </c:dLbl>
            <c:dLbl>
              <c:idx val="5"/>
              <c:layout>
                <c:manualLayout>
                  <c:x val="-2.5939110462519059E-2"/>
                  <c:y val="4.69999851968550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675C-49A3-A1E0-D587F06A283B}"/>
                </c:ext>
              </c:extLst>
            </c:dLbl>
            <c:dLbl>
              <c:idx val="7"/>
              <c:layout>
                <c:manualLayout>
                  <c:x val="-2.0012859709561771E-2"/>
                  <c:y val="1.74945944815243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75C-49A3-A1E0-D587F06A283B}"/>
                </c:ext>
              </c:extLst>
            </c:dLbl>
            <c:dLbl>
              <c:idx val="8"/>
              <c:layout>
                <c:manualLayout>
                  <c:x val="-2.558847248262176E-2"/>
                  <c:y val="-2.138228214408525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675C-49A3-A1E0-D587F06A283B}"/>
                </c:ext>
              </c:extLst>
            </c:dLbl>
            <c:dLbl>
              <c:idx val="9"/>
              <c:layout>
                <c:manualLayout>
                  <c:x val="1.3499758108235263E-4"/>
                  <c:y val="-5.8315314938413489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675C-49A3-A1E0-D587F06A283B}"/>
                </c:ext>
              </c:extLst>
            </c:dLbl>
            <c:dLbl>
              <c:idx val="11"/>
              <c:layout>
                <c:manualLayout>
                  <c:x val="-1.6288929183536787E-2"/>
                  <c:y val="-2.81119320555967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675C-49A3-A1E0-D587F06A283B}"/>
                </c:ext>
              </c:extLst>
            </c:dLbl>
            <c:dLbl>
              <c:idx val="12"/>
              <c:layout>
                <c:manualLayout>
                  <c:x val="-2.6024411456978667E-2"/>
                  <c:y val="-1.676099709159728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675C-49A3-A1E0-D587F06A283B}"/>
                </c:ext>
              </c:extLst>
            </c:dLbl>
            <c:spPr>
              <a:noFill/>
              <a:ln>
                <a:noFill/>
              </a:ln>
              <a:effectLst/>
            </c:spPr>
            <c:txPr>
              <a:bodyPr/>
              <a:lstStyle/>
              <a:p>
                <a:pPr>
                  <a:defRPr sz="900">
                    <a:solidFill>
                      <a:schemeClr val="accent2"/>
                    </a:solidFill>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Sheet1!$B$29:$K$29</c:f>
              <c:strCache>
                <c:ptCount val="10"/>
                <c:pt idx="0">
                  <c:v>2019</c:v>
                </c:pt>
                <c:pt idx="1">
                  <c:v>Q1 '20</c:v>
                </c:pt>
                <c:pt idx="2">
                  <c:v>Q2 '20</c:v>
                </c:pt>
                <c:pt idx="3">
                  <c:v>Q3 '20</c:v>
                </c:pt>
                <c:pt idx="4">
                  <c:v>Q4 '20</c:v>
                </c:pt>
                <c:pt idx="5">
                  <c:v>Q1 '21</c:v>
                </c:pt>
                <c:pt idx="6">
                  <c:v>Q2 '21</c:v>
                </c:pt>
                <c:pt idx="7">
                  <c:v>Q3 '21</c:v>
                </c:pt>
                <c:pt idx="8">
                  <c:v>Oct '21</c:v>
                </c:pt>
                <c:pt idx="9">
                  <c:v>Nov '21</c:v>
                </c:pt>
              </c:strCache>
            </c:strRef>
          </c:cat>
          <c:val>
            <c:numRef>
              <c:f>Sheet1!$B$31:$K$31</c:f>
              <c:numCache>
                <c:formatCode>0.0%</c:formatCode>
                <c:ptCount val="10"/>
                <c:pt idx="0">
                  <c:v>-2E-3</c:v>
                </c:pt>
                <c:pt idx="1">
                  <c:v>5.2999999999999999E-2</c:v>
                </c:pt>
                <c:pt idx="2">
                  <c:v>0.106</c:v>
                </c:pt>
                <c:pt idx="3">
                  <c:v>9.5000000000000001E-2</c:v>
                </c:pt>
                <c:pt idx="4">
                  <c:v>8.6999999999999994E-2</c:v>
                </c:pt>
                <c:pt idx="5">
                  <c:v>5.0999999999999997E-2</c:v>
                </c:pt>
                <c:pt idx="6">
                  <c:v>4.4999999999999998E-2</c:v>
                </c:pt>
                <c:pt idx="7">
                  <c:v>6.0999999999999999E-2</c:v>
                </c:pt>
                <c:pt idx="8">
                  <c:v>9.4E-2</c:v>
                </c:pt>
                <c:pt idx="9">
                  <c:v>8.5000000000000006E-2</c:v>
                </c:pt>
              </c:numCache>
            </c:numRef>
          </c:val>
          <c:smooth val="0"/>
          <c:extLst>
            <c:ext xmlns:c16="http://schemas.microsoft.com/office/drawing/2014/chart" uri="{C3380CC4-5D6E-409C-BE32-E72D297353CC}">
              <c16:uniqueId val="{00000012-675C-49A3-A1E0-D587F06A283B}"/>
            </c:ext>
          </c:extLst>
        </c:ser>
        <c:ser>
          <c:idx val="2"/>
          <c:order val="2"/>
          <c:tx>
            <c:strRef>
              <c:f>Sheet1!$A$32</c:f>
              <c:strCache>
                <c:ptCount val="1"/>
                <c:pt idx="0">
                  <c:v>Fresh vegetables</c:v>
                </c:pt>
              </c:strCache>
            </c:strRef>
          </c:tx>
          <c:marker>
            <c:symbol val="none"/>
          </c:marker>
          <c:dLbls>
            <c:dLbl>
              <c:idx val="0"/>
              <c:layout>
                <c:manualLayout>
                  <c:x val="-5.6586555146759317E-2"/>
                  <c:y val="-2.699999149606569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675C-49A3-A1E0-D587F06A283B}"/>
                </c:ext>
              </c:extLst>
            </c:dLbl>
            <c:dLbl>
              <c:idx val="5"/>
              <c:layout>
                <c:manualLayout>
                  <c:x val="-3.16017390174156E-2"/>
                  <c:y val="-4.69999851968550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675C-49A3-A1E0-D587F06A283B}"/>
                </c:ext>
              </c:extLst>
            </c:dLbl>
            <c:dLbl>
              <c:idx val="7"/>
              <c:layout>
                <c:manualLayout>
                  <c:x val="-2.3588523321920823E-2"/>
                  <c:y val="3.43412410192884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675C-49A3-A1E0-D587F06A283B}"/>
                </c:ext>
              </c:extLst>
            </c:dLbl>
            <c:dLbl>
              <c:idx val="8"/>
              <c:layout>
                <c:manualLayout>
                  <c:x val="-2.4965614600592385E-2"/>
                  <c:y val="-2.137697131953330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675C-49A3-A1E0-D587F06A283B}"/>
                </c:ext>
              </c:extLst>
            </c:dLbl>
            <c:dLbl>
              <c:idx val="9"/>
              <c:layout>
                <c:manualLayout>
                  <c:x val="-4.648572264647292E-3"/>
                  <c:y val="-1.253696300540366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675C-49A3-A1E0-D587F06A283B}"/>
                </c:ext>
              </c:extLst>
            </c:dLbl>
            <c:dLbl>
              <c:idx val="10"/>
              <c:layout>
                <c:manualLayout>
                  <c:x val="-2.0859923341428201E-2"/>
                  <c:y val="2.537373749591507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675C-49A3-A1E0-D587F06A283B}"/>
                </c:ext>
              </c:extLst>
            </c:dLbl>
            <c:dLbl>
              <c:idx val="11"/>
              <c:layout>
                <c:manualLayout>
                  <c:x val="-2.2165180456543882E-2"/>
                  <c:y val="3.633678086828645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675C-49A3-A1E0-D587F06A283B}"/>
                </c:ext>
              </c:extLst>
            </c:dLbl>
            <c:dLbl>
              <c:idx val="12"/>
              <c:layout>
                <c:manualLayout>
                  <c:x val="-2.4583776145535061E-2"/>
                  <c:y val="2.8300169842713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675C-49A3-A1E0-D587F06A283B}"/>
                </c:ext>
              </c:extLst>
            </c:dLbl>
            <c:dLbl>
              <c:idx val="13"/>
              <c:layout>
                <c:manualLayout>
                  <c:x val="-2.1939062981788597E-2"/>
                  <c:y val="5.006169830275119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675C-49A3-A1E0-D587F06A283B}"/>
                </c:ext>
              </c:extLst>
            </c:dLbl>
            <c:spPr>
              <a:noFill/>
              <a:ln>
                <a:noFill/>
              </a:ln>
              <a:effectLst/>
            </c:spPr>
            <c:txPr>
              <a:bodyPr/>
              <a:lstStyle/>
              <a:p>
                <a:pPr>
                  <a:defRPr sz="900">
                    <a:solidFill>
                      <a:schemeClr val="accent3">
                        <a:lumMod val="75000"/>
                      </a:schemeClr>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Sheet1!$B$29:$K$29</c:f>
              <c:strCache>
                <c:ptCount val="10"/>
                <c:pt idx="0">
                  <c:v>2019</c:v>
                </c:pt>
                <c:pt idx="1">
                  <c:v>Q1 '20</c:v>
                </c:pt>
                <c:pt idx="2">
                  <c:v>Q2 '20</c:v>
                </c:pt>
                <c:pt idx="3">
                  <c:v>Q3 '20</c:v>
                </c:pt>
                <c:pt idx="4">
                  <c:v>Q4 '20</c:v>
                </c:pt>
                <c:pt idx="5">
                  <c:v>Q1 '21</c:v>
                </c:pt>
                <c:pt idx="6">
                  <c:v>Q2 '21</c:v>
                </c:pt>
                <c:pt idx="7">
                  <c:v>Q3 '21</c:v>
                </c:pt>
                <c:pt idx="8">
                  <c:v>Oct '21</c:v>
                </c:pt>
                <c:pt idx="9">
                  <c:v>Nov '21</c:v>
                </c:pt>
              </c:strCache>
            </c:strRef>
          </c:cat>
          <c:val>
            <c:numRef>
              <c:f>Sheet1!$B$32:$K$32</c:f>
              <c:numCache>
                <c:formatCode>0.0%</c:formatCode>
                <c:ptCount val="10"/>
                <c:pt idx="0">
                  <c:v>3.9E-2</c:v>
                </c:pt>
                <c:pt idx="1">
                  <c:v>8.4000000000000005E-2</c:v>
                </c:pt>
                <c:pt idx="2">
                  <c:v>0.20699999999999999</c:v>
                </c:pt>
                <c:pt idx="3">
                  <c:v>0.151</c:v>
                </c:pt>
                <c:pt idx="4">
                  <c:v>0.14799999999999999</c:v>
                </c:pt>
                <c:pt idx="5">
                  <c:v>4.7E-2</c:v>
                </c:pt>
                <c:pt idx="6">
                  <c:v>-7.0999999999999994E-2</c:v>
                </c:pt>
                <c:pt idx="7">
                  <c:v>-2.4E-2</c:v>
                </c:pt>
                <c:pt idx="8">
                  <c:v>-1.0999999999999999E-2</c:v>
                </c:pt>
                <c:pt idx="9">
                  <c:v>1E-3</c:v>
                </c:pt>
              </c:numCache>
            </c:numRef>
          </c:val>
          <c:smooth val="0"/>
          <c:extLst>
            <c:ext xmlns:c16="http://schemas.microsoft.com/office/drawing/2014/chart" uri="{C3380CC4-5D6E-409C-BE32-E72D297353CC}">
              <c16:uniqueId val="{0000001C-675C-49A3-A1E0-D587F06A283B}"/>
            </c:ext>
          </c:extLst>
        </c:ser>
        <c:ser>
          <c:idx val="3"/>
          <c:order val="3"/>
          <c:tx>
            <c:strRef>
              <c:f>Sheet1!$A$33</c:f>
              <c:strCache>
                <c:ptCount val="1"/>
                <c:pt idx="0">
                  <c:v>Produce dpt vs. 2019</c:v>
                </c:pt>
              </c:strCache>
            </c:strRef>
          </c:tx>
          <c:spPr>
            <a:ln>
              <a:noFill/>
            </a:ln>
          </c:spPr>
          <c:marker>
            <c:spPr>
              <a:solidFill>
                <a:srgbClr val="7030A0"/>
              </a:solidFill>
              <a:ln>
                <a:noFill/>
              </a:ln>
            </c:spPr>
          </c:marker>
          <c:dLbls>
            <c:dLbl>
              <c:idx val="7"/>
              <c:layout>
                <c:manualLayout>
                  <c:x val="8.9521073276133262E-3"/>
                  <c:y val="-3.61947959279835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675C-49A3-A1E0-D587F06A283B}"/>
                </c:ext>
              </c:extLst>
            </c:dLbl>
            <c:dLbl>
              <c:idx val="11"/>
              <c:layout>
                <c:manualLayout>
                  <c:x val="0"/>
                  <c:y val="-1.371553378157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675C-49A3-A1E0-D587F06A283B}"/>
                </c:ext>
              </c:extLst>
            </c:dLbl>
            <c:spPr>
              <a:noFill/>
              <a:ln>
                <a:noFill/>
              </a:ln>
              <a:effectLst/>
            </c:spPr>
            <c:txPr>
              <a:bodyPr/>
              <a:lstStyle/>
              <a:p>
                <a:pPr>
                  <a:defRPr sz="900">
                    <a:solidFill>
                      <a:schemeClr val="accent4"/>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Sheet1!$B$29:$K$29</c:f>
              <c:strCache>
                <c:ptCount val="10"/>
                <c:pt idx="0">
                  <c:v>2019</c:v>
                </c:pt>
                <c:pt idx="1">
                  <c:v>Q1 '20</c:v>
                </c:pt>
                <c:pt idx="2">
                  <c:v>Q2 '20</c:v>
                </c:pt>
                <c:pt idx="3">
                  <c:v>Q3 '20</c:v>
                </c:pt>
                <c:pt idx="4">
                  <c:v>Q4 '20</c:v>
                </c:pt>
                <c:pt idx="5">
                  <c:v>Q1 '21</c:v>
                </c:pt>
                <c:pt idx="6">
                  <c:v>Q2 '21</c:v>
                </c:pt>
                <c:pt idx="7">
                  <c:v>Q3 '21</c:v>
                </c:pt>
                <c:pt idx="8">
                  <c:v>Oct '21</c:v>
                </c:pt>
                <c:pt idx="9">
                  <c:v>Nov '21</c:v>
                </c:pt>
              </c:strCache>
            </c:strRef>
          </c:cat>
          <c:val>
            <c:numRef>
              <c:f>Sheet1!$B$33:$K$33</c:f>
              <c:numCache>
                <c:formatCode>General</c:formatCode>
                <c:ptCount val="10"/>
                <c:pt idx="5" formatCode="0.0%">
                  <c:v>0.12</c:v>
                </c:pt>
                <c:pt idx="6" formatCode="0.0%">
                  <c:v>0.13800000000000001</c:v>
                </c:pt>
                <c:pt idx="7" formatCode="0.0%">
                  <c:v>0.14399999999999999</c:v>
                </c:pt>
                <c:pt idx="8" formatCode="0.0%">
                  <c:v>0.159</c:v>
                </c:pt>
                <c:pt idx="9" formatCode="0.0%">
                  <c:v>0.16</c:v>
                </c:pt>
              </c:numCache>
            </c:numRef>
          </c:val>
          <c:smooth val="0"/>
          <c:extLst>
            <c:ext xmlns:c16="http://schemas.microsoft.com/office/drawing/2014/chart" uri="{C3380CC4-5D6E-409C-BE32-E72D297353CC}">
              <c16:uniqueId val="{0000001F-675C-49A3-A1E0-D587F06A283B}"/>
            </c:ext>
          </c:extLst>
        </c:ser>
        <c:ser>
          <c:idx val="4"/>
          <c:order val="4"/>
          <c:tx>
            <c:strRef>
              <c:f>Sheet1!$A$34</c:f>
              <c:strCache>
                <c:ptCount val="1"/>
                <c:pt idx="0">
                  <c:v>Fresh fruit vs. 2019</c:v>
                </c:pt>
              </c:strCache>
            </c:strRef>
          </c:tx>
          <c:spPr>
            <a:ln>
              <a:noFill/>
            </a:ln>
          </c:spPr>
          <c:marker>
            <c:spPr>
              <a:solidFill>
                <a:schemeClr val="accent5"/>
              </a:solidFill>
              <a:ln>
                <a:noFill/>
              </a:ln>
            </c:spPr>
          </c:marker>
          <c:dLbls>
            <c:dLbl>
              <c:idx val="7"/>
              <c:layout>
                <c:manualLayout>
                  <c:x val="3.9861921591190204E-3"/>
                  <c:y val="-2.202092678085023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675C-49A3-A1E0-D587F06A283B}"/>
                </c:ext>
              </c:extLst>
            </c:dLbl>
            <c:dLbl>
              <c:idx val="8"/>
              <c:layout>
                <c:manualLayout>
                  <c:x val="2.5723932915874053E-3"/>
                  <c:y val="-1.761760397567052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675C-49A3-A1E0-D587F06A283B}"/>
                </c:ext>
              </c:extLst>
            </c:dLbl>
            <c:dLbl>
              <c:idx val="9"/>
              <c:layout>
                <c:manualLayout>
                  <c:x val="2.5212729927190933E-3"/>
                  <c:y val="3.91296256722776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675C-49A3-A1E0-D587F06A283B}"/>
                </c:ext>
              </c:extLst>
            </c:dLbl>
            <c:dLbl>
              <c:idx val="11"/>
              <c:layout>
                <c:manualLayout>
                  <c:x val="-2.5193144132161509E-3"/>
                  <c:y val="-4.11466013447271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675C-49A3-A1E0-D587F06A283B}"/>
                </c:ext>
              </c:extLst>
            </c:dLbl>
            <c:dLbl>
              <c:idx val="12"/>
              <c:layout>
                <c:manualLayout>
                  <c:x val="-1.850662112055403E-16"/>
                  <c:y val="-1.37124002206940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675C-49A3-A1E0-D587F06A283B}"/>
                </c:ext>
              </c:extLst>
            </c:dLbl>
            <c:spPr>
              <a:noFill/>
              <a:ln>
                <a:noFill/>
              </a:ln>
              <a:effectLst/>
            </c:spPr>
            <c:txPr>
              <a:bodyPr/>
              <a:lstStyle/>
              <a:p>
                <a:pPr>
                  <a:defRPr sz="900">
                    <a:solidFill>
                      <a:schemeClr val="accent5">
                        <a:lumMod val="75000"/>
                      </a:schemeClr>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Sheet1!$B$29:$K$29</c:f>
              <c:strCache>
                <c:ptCount val="10"/>
                <c:pt idx="0">
                  <c:v>2019</c:v>
                </c:pt>
                <c:pt idx="1">
                  <c:v>Q1 '20</c:v>
                </c:pt>
                <c:pt idx="2">
                  <c:v>Q2 '20</c:v>
                </c:pt>
                <c:pt idx="3">
                  <c:v>Q3 '20</c:v>
                </c:pt>
                <c:pt idx="4">
                  <c:v>Q4 '20</c:v>
                </c:pt>
                <c:pt idx="5">
                  <c:v>Q1 '21</c:v>
                </c:pt>
                <c:pt idx="6">
                  <c:v>Q2 '21</c:v>
                </c:pt>
                <c:pt idx="7">
                  <c:v>Q3 '21</c:v>
                </c:pt>
                <c:pt idx="8">
                  <c:v>Oct '21</c:v>
                </c:pt>
                <c:pt idx="9">
                  <c:v>Nov '21</c:v>
                </c:pt>
              </c:strCache>
            </c:strRef>
          </c:cat>
          <c:val>
            <c:numRef>
              <c:f>Sheet1!$B$34:$K$34</c:f>
              <c:numCache>
                <c:formatCode>General</c:formatCode>
                <c:ptCount val="10"/>
                <c:pt idx="5" formatCode="0.0%">
                  <c:v>0.106</c:v>
                </c:pt>
                <c:pt idx="6" formatCode="0.0%">
                  <c:v>0.156</c:v>
                </c:pt>
                <c:pt idx="7" formatCode="0.0%">
                  <c:v>0.16300000000000001</c:v>
                </c:pt>
                <c:pt idx="8" formatCode="0.0%">
                  <c:v>0.184</c:v>
                </c:pt>
                <c:pt idx="9" formatCode="0.0%">
                  <c:v>0.185</c:v>
                </c:pt>
              </c:numCache>
            </c:numRef>
          </c:val>
          <c:smooth val="0"/>
          <c:extLst>
            <c:ext xmlns:c16="http://schemas.microsoft.com/office/drawing/2014/chart" uri="{C3380CC4-5D6E-409C-BE32-E72D297353CC}">
              <c16:uniqueId val="{00000025-675C-49A3-A1E0-D587F06A283B}"/>
            </c:ext>
          </c:extLst>
        </c:ser>
        <c:ser>
          <c:idx val="5"/>
          <c:order val="5"/>
          <c:tx>
            <c:strRef>
              <c:f>Sheet1!$A$35</c:f>
              <c:strCache>
                <c:ptCount val="1"/>
                <c:pt idx="0">
                  <c:v>Fresh veg vs. 2019</c:v>
                </c:pt>
              </c:strCache>
            </c:strRef>
          </c:tx>
          <c:spPr>
            <a:ln>
              <a:noFill/>
            </a:ln>
          </c:spPr>
          <c:marker>
            <c:spPr>
              <a:ln>
                <a:noFill/>
              </a:ln>
            </c:spPr>
          </c:marker>
          <c:dLbls>
            <c:dLbl>
              <c:idx val="7"/>
              <c:layout>
                <c:manualLayout>
                  <c:x val="6.4308675159260378E-3"/>
                  <c:y val="-5.183583550081227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675C-49A3-A1E0-D587F06A283B}"/>
                </c:ext>
              </c:extLst>
            </c:dLbl>
            <c:dLbl>
              <c:idx val="8"/>
              <c:layout>
                <c:manualLayout>
                  <c:x val="3.8585403060229836E-3"/>
                  <c:y val="-4.30305125256425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675C-49A3-A1E0-D587F06A283B}"/>
                </c:ext>
              </c:extLst>
            </c:dLbl>
            <c:dLbl>
              <c:idx val="9"/>
              <c:layout>
                <c:manualLayout>
                  <c:x val="0"/>
                  <c:y val="4.74316789533461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675C-49A3-A1E0-D587F06A283B}"/>
                </c:ext>
              </c:extLst>
            </c:dLbl>
            <c:dLbl>
              <c:idx val="11"/>
              <c:layout>
                <c:manualLayout>
                  <c:x val="0"/>
                  <c:y val="1.64586405378907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675C-49A3-A1E0-D587F06A283B}"/>
                </c:ext>
              </c:extLst>
            </c:dLbl>
            <c:dLbl>
              <c:idx val="12"/>
              <c:layout>
                <c:manualLayout>
                  <c:x val="-1.850662112055403E-16"/>
                  <c:y val="1.9197360308971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A-675C-49A3-A1E0-D587F06A283B}"/>
                </c:ext>
              </c:extLst>
            </c:dLbl>
            <c:spPr>
              <a:noFill/>
              <a:ln>
                <a:noFill/>
              </a:ln>
              <a:effectLst/>
            </c:spPr>
            <c:txPr>
              <a:bodyPr/>
              <a:lstStyle/>
              <a:p>
                <a:pPr>
                  <a:defRPr sz="900">
                    <a:solidFill>
                      <a:schemeClr val="accent6">
                        <a:lumMod val="75000"/>
                      </a:schemeClr>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Sheet1!$B$29:$K$29</c:f>
              <c:strCache>
                <c:ptCount val="10"/>
                <c:pt idx="0">
                  <c:v>2019</c:v>
                </c:pt>
                <c:pt idx="1">
                  <c:v>Q1 '20</c:v>
                </c:pt>
                <c:pt idx="2">
                  <c:v>Q2 '20</c:v>
                </c:pt>
                <c:pt idx="3">
                  <c:v>Q3 '20</c:v>
                </c:pt>
                <c:pt idx="4">
                  <c:v>Q4 '20</c:v>
                </c:pt>
                <c:pt idx="5">
                  <c:v>Q1 '21</c:v>
                </c:pt>
                <c:pt idx="6">
                  <c:v>Q2 '21</c:v>
                </c:pt>
                <c:pt idx="7">
                  <c:v>Q3 '21</c:v>
                </c:pt>
                <c:pt idx="8">
                  <c:v>Oct '21</c:v>
                </c:pt>
                <c:pt idx="9">
                  <c:v>Nov '21</c:v>
                </c:pt>
              </c:strCache>
            </c:strRef>
          </c:cat>
          <c:val>
            <c:numRef>
              <c:f>Sheet1!$B$35:$K$35</c:f>
              <c:numCache>
                <c:formatCode>General</c:formatCode>
                <c:ptCount val="10"/>
                <c:pt idx="5" formatCode="0.0%">
                  <c:v>0.13500000000000001</c:v>
                </c:pt>
                <c:pt idx="6" formatCode="0.0%">
                  <c:v>0.121</c:v>
                </c:pt>
                <c:pt idx="7" formatCode="0.0%">
                  <c:v>0.125</c:v>
                </c:pt>
                <c:pt idx="8" formatCode="0.0%">
                  <c:v>0.13900000000000001</c:v>
                </c:pt>
                <c:pt idx="9" formatCode="0.0%">
                  <c:v>0.14099999999999999</c:v>
                </c:pt>
              </c:numCache>
            </c:numRef>
          </c:val>
          <c:smooth val="0"/>
          <c:extLst>
            <c:ext xmlns:c16="http://schemas.microsoft.com/office/drawing/2014/chart" uri="{C3380CC4-5D6E-409C-BE32-E72D297353CC}">
              <c16:uniqueId val="{0000002B-675C-49A3-A1E0-D587F06A283B}"/>
            </c:ext>
          </c:extLst>
        </c:ser>
        <c:dLbls>
          <c:showLegendKey val="0"/>
          <c:showVal val="1"/>
          <c:showCatName val="0"/>
          <c:showSerName val="0"/>
          <c:showPercent val="0"/>
          <c:showBubbleSize val="0"/>
        </c:dLbls>
        <c:smooth val="0"/>
        <c:axId val="147893248"/>
        <c:axId val="147837696"/>
      </c:lineChart>
      <c:catAx>
        <c:axId val="147893248"/>
        <c:scaling>
          <c:orientation val="minMax"/>
        </c:scaling>
        <c:delete val="0"/>
        <c:axPos val="b"/>
        <c:numFmt formatCode="General" sourceLinked="0"/>
        <c:majorTickMark val="none"/>
        <c:minorTickMark val="none"/>
        <c:tickLblPos val="nextTo"/>
        <c:txPr>
          <a:bodyPr/>
          <a:lstStyle/>
          <a:p>
            <a:pPr>
              <a:defRPr sz="900"/>
            </a:pPr>
            <a:endParaRPr lang="en-US"/>
          </a:p>
        </c:txPr>
        <c:crossAx val="147837696"/>
        <c:crosses val="autoZero"/>
        <c:auto val="1"/>
        <c:lblAlgn val="ctr"/>
        <c:lblOffset val="100"/>
        <c:noMultiLvlLbl val="0"/>
      </c:catAx>
      <c:valAx>
        <c:axId val="147837696"/>
        <c:scaling>
          <c:orientation val="minMax"/>
        </c:scaling>
        <c:delete val="1"/>
        <c:axPos val="l"/>
        <c:numFmt formatCode="0.0%" sourceLinked="1"/>
        <c:majorTickMark val="none"/>
        <c:minorTickMark val="none"/>
        <c:tickLblPos val="none"/>
        <c:crossAx val="147893248"/>
        <c:crosses val="autoZero"/>
        <c:crossBetween val="between"/>
      </c:valAx>
    </c:plotArea>
    <c:legend>
      <c:legendPos val="t"/>
      <c:layout>
        <c:manualLayout>
          <c:xMode val="edge"/>
          <c:yMode val="edge"/>
          <c:x val="4.8713871258990751E-2"/>
          <c:y val="9.4197297671260644E-2"/>
          <c:w val="0.89999990885384662"/>
          <c:h val="0.13821713233945473"/>
        </c:manualLayout>
      </c:layout>
      <c:overlay val="0"/>
    </c:legend>
    <c:plotVisOnly val="1"/>
    <c:dispBlanksAs val="gap"/>
    <c:showDLblsOverMax val="0"/>
  </c:chart>
  <c:spPr>
    <a:ln>
      <a:noFill/>
    </a:ln>
  </c:spPr>
  <c:txPr>
    <a:bodyPr/>
    <a:lstStyle/>
    <a:p>
      <a:pPr>
        <a:defRPr>
          <a:latin typeface="Arial" pitchFamily="34" charset="0"/>
          <a:cs typeface="Arial" pitchFamily="34"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Share of dollars across temperature zones</a:t>
            </a:r>
          </a:p>
        </c:rich>
      </c:tx>
      <c:layout>
        <c:manualLayout>
          <c:xMode val="edge"/>
          <c:yMode val="edge"/>
          <c:x val="1.0460850088679821E-2"/>
          <c:y val="2.1621621621621651E-2"/>
        </c:manualLayout>
      </c:layout>
      <c:overlay val="0"/>
    </c:title>
    <c:autoTitleDeleted val="0"/>
    <c:plotArea>
      <c:layout/>
      <c:barChart>
        <c:barDir val="col"/>
        <c:grouping val="percentStacked"/>
        <c:varyColors val="0"/>
        <c:ser>
          <c:idx val="0"/>
          <c:order val="0"/>
          <c:tx>
            <c:strRef>
              <c:f>Sheet1!$A$84</c:f>
              <c:strCache>
                <c:ptCount val="1"/>
                <c:pt idx="0">
                  <c:v>Fresh</c:v>
                </c:pt>
              </c:strCache>
            </c:strRef>
          </c:tx>
          <c:spPr>
            <a:solidFill>
              <a:srgbClr val="92D050"/>
            </a:solidFill>
          </c:spPr>
          <c:invertIfNegative val="0"/>
          <c:dLbls>
            <c:spPr>
              <a:noFill/>
              <a:ln>
                <a:noFill/>
              </a:ln>
              <a:effectLst/>
            </c:spPr>
            <c:txPr>
              <a:bodyPr wrap="square" lIns="38100" tIns="19050" rIns="38100" bIns="19050" anchor="ctr">
                <a:spAutoFit/>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Sheet1!$B$83:$O$83</c:f>
              <c:strCache>
                <c:ptCount val="14"/>
                <c:pt idx="0">
                  <c:v>2019</c:v>
                </c:pt>
                <c:pt idx="1">
                  <c:v>Q1 '20</c:v>
                </c:pt>
                <c:pt idx="2">
                  <c:v>Q2 '20</c:v>
                </c:pt>
                <c:pt idx="3">
                  <c:v>Q3 '20</c:v>
                </c:pt>
                <c:pt idx="4">
                  <c:v>Q4 '20</c:v>
                </c:pt>
                <c:pt idx="5">
                  <c:v>Q1 '21</c:v>
                </c:pt>
                <c:pt idx="6">
                  <c:v>Apr '21</c:v>
                </c:pt>
                <c:pt idx="7">
                  <c:v>May '21</c:v>
                </c:pt>
                <c:pt idx="8">
                  <c:v>Jun '21</c:v>
                </c:pt>
                <c:pt idx="9">
                  <c:v>Jul '21</c:v>
                </c:pt>
                <c:pt idx="10">
                  <c:v>Aug '21</c:v>
                </c:pt>
                <c:pt idx="11">
                  <c:v>Sep '21</c:v>
                </c:pt>
                <c:pt idx="12">
                  <c:v>Oct '21</c:v>
                </c:pt>
                <c:pt idx="13">
                  <c:v>Nov '21</c:v>
                </c:pt>
              </c:strCache>
            </c:strRef>
          </c:cat>
          <c:val>
            <c:numRef>
              <c:f>Sheet1!$B$84:$O$84</c:f>
              <c:numCache>
                <c:formatCode>0.0%</c:formatCode>
                <c:ptCount val="14"/>
                <c:pt idx="0">
                  <c:v>0.80800000000000005</c:v>
                </c:pt>
                <c:pt idx="1">
                  <c:v>0.76900000000000002</c:v>
                </c:pt>
                <c:pt idx="2">
                  <c:v>0.80800000000000005</c:v>
                </c:pt>
                <c:pt idx="3">
                  <c:v>0.82099999999999995</c:v>
                </c:pt>
                <c:pt idx="4">
                  <c:v>0.77700000000000002</c:v>
                </c:pt>
                <c:pt idx="5">
                  <c:v>0.79300000000000004</c:v>
                </c:pt>
                <c:pt idx="6">
                  <c:v>0.81200000000000006</c:v>
                </c:pt>
                <c:pt idx="7">
                  <c:v>0.84499999999999997</c:v>
                </c:pt>
                <c:pt idx="8">
                  <c:v>0.83900000000000008</c:v>
                </c:pt>
                <c:pt idx="9">
                  <c:v>0.83899999999999997</c:v>
                </c:pt>
                <c:pt idx="10">
                  <c:v>0.82499999999999996</c:v>
                </c:pt>
                <c:pt idx="11">
                  <c:v>0.81399999999999995</c:v>
                </c:pt>
                <c:pt idx="12">
                  <c:v>0.79500000000000004</c:v>
                </c:pt>
                <c:pt idx="13">
                  <c:v>0.80800000000000005</c:v>
                </c:pt>
              </c:numCache>
            </c:numRef>
          </c:val>
          <c:extLst>
            <c:ext xmlns:c16="http://schemas.microsoft.com/office/drawing/2014/chart" uri="{C3380CC4-5D6E-409C-BE32-E72D297353CC}">
              <c16:uniqueId val="{00000000-0292-4051-846C-DA73846274F0}"/>
            </c:ext>
          </c:extLst>
        </c:ser>
        <c:ser>
          <c:idx val="1"/>
          <c:order val="1"/>
          <c:tx>
            <c:strRef>
              <c:f>Sheet1!$A$85</c:f>
              <c:strCache>
                <c:ptCount val="1"/>
                <c:pt idx="0">
                  <c:v>Shelf stable</c:v>
                </c:pt>
              </c:strCache>
            </c:strRef>
          </c:tx>
          <c:spPr>
            <a:solidFill>
              <a:schemeClr val="accent5"/>
            </a:solidFill>
          </c:spPr>
          <c:invertIfNegative val="0"/>
          <c:dLbls>
            <c:spPr>
              <a:noFill/>
              <a:ln>
                <a:noFill/>
              </a:ln>
              <a:effectLst/>
            </c:spPr>
            <c:txPr>
              <a:bodyPr wrap="square" lIns="38100" tIns="19050" rIns="38100" bIns="19050" anchor="ctr">
                <a:spAutoFit/>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Sheet1!$B$83:$O$83</c:f>
              <c:strCache>
                <c:ptCount val="14"/>
                <c:pt idx="0">
                  <c:v>2019</c:v>
                </c:pt>
                <c:pt idx="1">
                  <c:v>Q1 '20</c:v>
                </c:pt>
                <c:pt idx="2">
                  <c:v>Q2 '20</c:v>
                </c:pt>
                <c:pt idx="3">
                  <c:v>Q3 '20</c:v>
                </c:pt>
                <c:pt idx="4">
                  <c:v>Q4 '20</c:v>
                </c:pt>
                <c:pt idx="5">
                  <c:v>Q1 '21</c:v>
                </c:pt>
                <c:pt idx="6">
                  <c:v>Apr '21</c:v>
                </c:pt>
                <c:pt idx="7">
                  <c:v>May '21</c:v>
                </c:pt>
                <c:pt idx="8">
                  <c:v>Jun '21</c:v>
                </c:pt>
                <c:pt idx="9">
                  <c:v>Jul '21</c:v>
                </c:pt>
                <c:pt idx="10">
                  <c:v>Aug '21</c:v>
                </c:pt>
                <c:pt idx="11">
                  <c:v>Sep '21</c:v>
                </c:pt>
                <c:pt idx="12">
                  <c:v>Oct '21</c:v>
                </c:pt>
                <c:pt idx="13">
                  <c:v>Nov '21</c:v>
                </c:pt>
              </c:strCache>
            </c:strRef>
          </c:cat>
          <c:val>
            <c:numRef>
              <c:f>Sheet1!$B$85:$O$85</c:f>
              <c:numCache>
                <c:formatCode>0.0%</c:formatCode>
                <c:ptCount val="14"/>
                <c:pt idx="0">
                  <c:v>0.115</c:v>
                </c:pt>
                <c:pt idx="1">
                  <c:v>0.14000000000000001</c:v>
                </c:pt>
                <c:pt idx="2">
                  <c:v>0.108</c:v>
                </c:pt>
                <c:pt idx="3">
                  <c:v>0.10299999999999999</c:v>
                </c:pt>
                <c:pt idx="4">
                  <c:v>0.13800000000000001</c:v>
                </c:pt>
                <c:pt idx="5">
                  <c:v>0.11899999999999999</c:v>
                </c:pt>
                <c:pt idx="6">
                  <c:v>0.105</c:v>
                </c:pt>
                <c:pt idx="7">
                  <c:v>7.6999999999999999E-2</c:v>
                </c:pt>
                <c:pt idx="8">
                  <c:v>0.09</c:v>
                </c:pt>
                <c:pt idx="9">
                  <c:v>9.0999999999999998E-2</c:v>
                </c:pt>
                <c:pt idx="10">
                  <c:v>0.10100000000000001</c:v>
                </c:pt>
                <c:pt idx="11">
                  <c:v>0.11</c:v>
                </c:pt>
                <c:pt idx="12">
                  <c:v>0.126</c:v>
                </c:pt>
                <c:pt idx="13">
                  <c:v>8.4000000000000005E-2</c:v>
                </c:pt>
              </c:numCache>
            </c:numRef>
          </c:val>
          <c:extLst>
            <c:ext xmlns:c16="http://schemas.microsoft.com/office/drawing/2014/chart" uri="{C3380CC4-5D6E-409C-BE32-E72D297353CC}">
              <c16:uniqueId val="{00000001-0292-4051-846C-DA73846274F0}"/>
            </c:ext>
          </c:extLst>
        </c:ser>
        <c:ser>
          <c:idx val="2"/>
          <c:order val="2"/>
          <c:tx>
            <c:strRef>
              <c:f>Sheet1!$A$86</c:f>
              <c:strCache>
                <c:ptCount val="1"/>
                <c:pt idx="0">
                  <c:v>Frozen</c:v>
                </c:pt>
              </c:strCache>
            </c:strRef>
          </c:tx>
          <c:spPr>
            <a:solidFill>
              <a:schemeClr val="accent5">
                <a:lumMod val="40000"/>
                <a:lumOff val="60000"/>
              </a:schemeClr>
            </a:solidFill>
          </c:spPr>
          <c:invertIfNegative val="0"/>
          <c:dLbls>
            <c:spPr>
              <a:noFill/>
              <a:ln>
                <a:noFill/>
              </a:ln>
              <a:effectLst/>
            </c:spPr>
            <c:txPr>
              <a:bodyPr wrap="square" lIns="38100" tIns="19050" rIns="38100" bIns="19050" anchor="ctr">
                <a:spAutoFit/>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Sheet1!$B$83:$O$83</c:f>
              <c:strCache>
                <c:ptCount val="14"/>
                <c:pt idx="0">
                  <c:v>2019</c:v>
                </c:pt>
                <c:pt idx="1">
                  <c:v>Q1 '20</c:v>
                </c:pt>
                <c:pt idx="2">
                  <c:v>Q2 '20</c:v>
                </c:pt>
                <c:pt idx="3">
                  <c:v>Q3 '20</c:v>
                </c:pt>
                <c:pt idx="4">
                  <c:v>Q4 '20</c:v>
                </c:pt>
                <c:pt idx="5">
                  <c:v>Q1 '21</c:v>
                </c:pt>
                <c:pt idx="6">
                  <c:v>Apr '21</c:v>
                </c:pt>
                <c:pt idx="7">
                  <c:v>May '21</c:v>
                </c:pt>
                <c:pt idx="8">
                  <c:v>Jun '21</c:v>
                </c:pt>
                <c:pt idx="9">
                  <c:v>Jul '21</c:v>
                </c:pt>
                <c:pt idx="10">
                  <c:v>Aug '21</c:v>
                </c:pt>
                <c:pt idx="11">
                  <c:v>Sep '21</c:v>
                </c:pt>
                <c:pt idx="12">
                  <c:v>Oct '21</c:v>
                </c:pt>
                <c:pt idx="13">
                  <c:v>Nov '21</c:v>
                </c:pt>
              </c:strCache>
            </c:strRef>
          </c:cat>
          <c:val>
            <c:numRef>
              <c:f>Sheet1!$B$86:$O$86</c:f>
              <c:numCache>
                <c:formatCode>0.0%</c:formatCode>
                <c:ptCount val="14"/>
                <c:pt idx="0">
                  <c:v>7.6999999999999999E-2</c:v>
                </c:pt>
                <c:pt idx="1">
                  <c:v>9.0999999999999998E-2</c:v>
                </c:pt>
                <c:pt idx="2">
                  <c:v>8.4000000000000005E-2</c:v>
                </c:pt>
                <c:pt idx="3">
                  <c:v>7.6999999999999999E-2</c:v>
                </c:pt>
                <c:pt idx="4">
                  <c:v>8.5999999999999993E-2</c:v>
                </c:pt>
                <c:pt idx="5">
                  <c:v>8.7999999999999995E-2</c:v>
                </c:pt>
                <c:pt idx="6">
                  <c:v>8.3000000000000004E-2</c:v>
                </c:pt>
                <c:pt idx="7">
                  <c:v>7.8E-2</c:v>
                </c:pt>
                <c:pt idx="8">
                  <c:v>7.0999999999999994E-2</c:v>
                </c:pt>
                <c:pt idx="9">
                  <c:v>7.0000000000000007E-2</c:v>
                </c:pt>
                <c:pt idx="10">
                  <c:v>7.2999999999999995E-2</c:v>
                </c:pt>
                <c:pt idx="11">
                  <c:v>7.5999999999999998E-2</c:v>
                </c:pt>
                <c:pt idx="12">
                  <c:v>7.8E-2</c:v>
                </c:pt>
                <c:pt idx="13">
                  <c:v>0.108</c:v>
                </c:pt>
              </c:numCache>
            </c:numRef>
          </c:val>
          <c:extLst>
            <c:ext xmlns:c16="http://schemas.microsoft.com/office/drawing/2014/chart" uri="{C3380CC4-5D6E-409C-BE32-E72D297353CC}">
              <c16:uniqueId val="{00000002-0292-4051-846C-DA73846274F0}"/>
            </c:ext>
          </c:extLst>
        </c:ser>
        <c:dLbls>
          <c:showLegendKey val="0"/>
          <c:showVal val="1"/>
          <c:showCatName val="0"/>
          <c:showSerName val="0"/>
          <c:showPercent val="0"/>
          <c:showBubbleSize val="0"/>
        </c:dLbls>
        <c:gapWidth val="75"/>
        <c:overlap val="100"/>
        <c:axId val="148140416"/>
        <c:axId val="148141952"/>
      </c:barChart>
      <c:catAx>
        <c:axId val="148140416"/>
        <c:scaling>
          <c:orientation val="minMax"/>
        </c:scaling>
        <c:delete val="0"/>
        <c:axPos val="b"/>
        <c:numFmt formatCode="General" sourceLinked="0"/>
        <c:majorTickMark val="none"/>
        <c:minorTickMark val="none"/>
        <c:tickLblPos val="nextTo"/>
        <c:crossAx val="148141952"/>
        <c:crosses val="autoZero"/>
        <c:auto val="1"/>
        <c:lblAlgn val="ctr"/>
        <c:lblOffset val="100"/>
        <c:noMultiLvlLbl val="0"/>
      </c:catAx>
      <c:valAx>
        <c:axId val="148141952"/>
        <c:scaling>
          <c:orientation val="minMax"/>
        </c:scaling>
        <c:delete val="1"/>
        <c:axPos val="l"/>
        <c:numFmt formatCode="0%" sourceLinked="1"/>
        <c:majorTickMark val="out"/>
        <c:minorTickMark val="none"/>
        <c:tickLblPos val="none"/>
        <c:crossAx val="148140416"/>
        <c:crosses val="autoZero"/>
        <c:crossBetween val="between"/>
      </c:valAx>
    </c:plotArea>
    <c:legend>
      <c:legendPos val="t"/>
      <c:layout>
        <c:manualLayout>
          <c:xMode val="edge"/>
          <c:yMode val="edge"/>
          <c:x val="1.4381265936406181E-3"/>
          <c:y val="7.9984217099084015E-2"/>
          <c:w val="0.38562211659674273"/>
          <c:h val="7.4017497678716695E-2"/>
        </c:manualLayout>
      </c:layout>
      <c:overlay val="0"/>
    </c:legend>
    <c:plotVisOnly val="1"/>
    <c:dispBlanksAs val="gap"/>
    <c:showDLblsOverMax val="0"/>
  </c:chart>
  <c:spPr>
    <a:ln>
      <a:noFill/>
    </a:ln>
  </c:spPr>
  <c:txPr>
    <a:bodyPr/>
    <a:lstStyle/>
    <a:p>
      <a:pPr>
        <a:defRPr sz="900">
          <a:latin typeface="Arial" panose="020B0604020202020204" pitchFamily="34" charset="0"/>
          <a:cs typeface="Arial" panose="020B0604020202020204" pitchFamily="3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a:t>Dollar and volume growth total produce (fixed and random weight)</a:t>
            </a:r>
            <a:br>
              <a:rPr lang="en-US" sz="1000"/>
            </a:br>
            <a:r>
              <a:rPr lang="en-US" sz="1000"/>
              <a:t>versus the comparable period year ago and vs. 2019</a:t>
            </a:r>
          </a:p>
        </c:rich>
      </c:tx>
      <c:overlay val="0"/>
    </c:title>
    <c:autoTitleDeleted val="0"/>
    <c:plotArea>
      <c:layout>
        <c:manualLayout>
          <c:layoutTarget val="inner"/>
          <c:xMode val="edge"/>
          <c:yMode val="edge"/>
          <c:x val="1.5534523839044542E-2"/>
          <c:y val="0.1738405967790867"/>
          <c:w val="0.96893095232191095"/>
          <c:h val="0.80986327937037239"/>
        </c:manualLayout>
      </c:layout>
      <c:lineChart>
        <c:grouping val="standard"/>
        <c:varyColors val="0"/>
        <c:ser>
          <c:idx val="0"/>
          <c:order val="0"/>
          <c:tx>
            <c:strRef>
              <c:f>Sheet1!$A$65</c:f>
              <c:strCache>
                <c:ptCount val="1"/>
                <c:pt idx="0">
                  <c:v>Dollar growth</c:v>
                </c:pt>
              </c:strCache>
            </c:strRef>
          </c:tx>
          <c:spPr>
            <a:ln>
              <a:solidFill>
                <a:schemeClr val="tx2">
                  <a:lumMod val="75000"/>
                </a:schemeClr>
              </a:solidFill>
            </a:ln>
          </c:spPr>
          <c:marker>
            <c:symbol val="none"/>
          </c:marker>
          <c:dLbls>
            <c:dLbl>
              <c:idx val="0"/>
              <c:layout>
                <c:manualLayout>
                  <c:x val="-3.4746457593163152E-2"/>
                  <c:y val="-6.0557887465058895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CEC-41E7-9090-BF26D45FAF91}"/>
                </c:ext>
              </c:extLst>
            </c:dLbl>
            <c:dLbl>
              <c:idx val="3"/>
              <c:layout>
                <c:manualLayout>
                  <c:x val="-2.3079483993763576E-2"/>
                  <c:y val="-3.678473483065762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CEC-41E7-9090-BF26D45FAF91}"/>
                </c:ext>
              </c:extLst>
            </c:dLbl>
            <c:dLbl>
              <c:idx val="4"/>
              <c:layout>
                <c:manualLayout>
                  <c:x val="-1.8940200502051956E-2"/>
                  <c:y val="-3.27127686976686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CEC-41E7-9090-BF26D45FAF91}"/>
                </c:ext>
              </c:extLst>
            </c:dLbl>
            <c:dLbl>
              <c:idx val="5"/>
              <c:layout>
                <c:manualLayout>
                  <c:x val="-2.2857501245362351E-2"/>
                  <c:y val="-2.952127906862785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CEC-41E7-9090-BF26D45FAF91}"/>
                </c:ext>
              </c:extLst>
            </c:dLbl>
            <c:dLbl>
              <c:idx val="6"/>
              <c:layout>
                <c:manualLayout>
                  <c:x val="-2.0533236137664852E-2"/>
                  <c:y val="-2.632978943958698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CEC-41E7-9090-BF26D45FAF91}"/>
                </c:ext>
              </c:extLst>
            </c:dLbl>
            <c:dLbl>
              <c:idx val="7"/>
              <c:layout>
                <c:manualLayout>
                  <c:x val="-2.4819779699024668E-2"/>
                  <c:y val="3.145161290322588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CEC-41E7-9090-BF26D45FAF91}"/>
                </c:ext>
              </c:extLst>
            </c:dLbl>
            <c:dLbl>
              <c:idx val="8"/>
              <c:layout>
                <c:manualLayout>
                  <c:x val="-2.0943394110203416E-2"/>
                  <c:y val="3.29153423226178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CEC-41E7-9090-BF26D45FAF91}"/>
                </c:ext>
              </c:extLst>
            </c:dLbl>
            <c:dLbl>
              <c:idx val="9"/>
              <c:layout>
                <c:manualLayout>
                  <c:x val="-3.5118686783167798E-2"/>
                  <c:y val="2.738881440872268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CEC-41E7-9090-BF26D45FAF91}"/>
                </c:ext>
              </c:extLst>
            </c:dLbl>
            <c:dLbl>
              <c:idx val="10"/>
              <c:layout>
                <c:manualLayout>
                  <c:x val="-2.568672597757363E-2"/>
                  <c:y val="-2.24272099733755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CEC-41E7-9090-BF26D45FAF91}"/>
                </c:ext>
              </c:extLst>
            </c:dLbl>
            <c:dLbl>
              <c:idx val="11"/>
              <c:layout>
                <c:manualLayout>
                  <c:x val="-2.6635130515179177E-2"/>
                  <c:y val="2.022057420196814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CEC-41E7-9090-BF26D45FAF91}"/>
                </c:ext>
              </c:extLst>
            </c:dLbl>
            <c:dLbl>
              <c:idx val="12"/>
              <c:layout>
                <c:manualLayout>
                  <c:x val="-4.3507064647141533E-2"/>
                  <c:y val="-1.477948817445437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CEC-41E7-9090-BF26D45FAF91}"/>
                </c:ext>
              </c:extLst>
            </c:dLbl>
            <c:dLbl>
              <c:idx val="13"/>
              <c:layout>
                <c:manualLayout>
                  <c:x val="-2.5774155342648455E-2"/>
                  <c:y val="-1.71442062823670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CEC-41E7-9090-BF26D45FAF91}"/>
                </c:ext>
              </c:extLst>
            </c:dLbl>
            <c:dLbl>
              <c:idx val="14"/>
              <c:layout>
                <c:manualLayout>
                  <c:x val="-3.5283678619280993E-2"/>
                  <c:y val="2.027432972586424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1-ECEC-41E7-9090-BF26D45FAF91}"/>
                </c:ext>
              </c:extLst>
            </c:dLbl>
            <c:dLbl>
              <c:idx val="15"/>
              <c:layout>
                <c:manualLayout>
                  <c:x val="-2.2758431181428253E-2"/>
                  <c:y val="2.355894132054317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2-ECEC-41E7-9090-BF26D45FAF91}"/>
                </c:ext>
              </c:extLst>
            </c:dLbl>
            <c:spPr>
              <a:noFill/>
              <a:ln>
                <a:noFill/>
              </a:ln>
              <a:effectLst/>
            </c:spPr>
            <c:txPr>
              <a:bodyPr/>
              <a:lstStyle/>
              <a:p>
                <a:pPr>
                  <a:defRPr sz="900">
                    <a:solidFill>
                      <a:schemeClr val="tx2">
                        <a:lumMod val="75000"/>
                      </a:schemeClr>
                    </a:solidFill>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Sheet1!$B$64:$Q$64</c:f>
              <c:strCache>
                <c:ptCount val="16"/>
                <c:pt idx="0">
                  <c:v>2019</c:v>
                </c:pt>
                <c:pt idx="1">
                  <c:v>Q1 '20</c:v>
                </c:pt>
                <c:pt idx="2">
                  <c:v>Q2 '20</c:v>
                </c:pt>
                <c:pt idx="3">
                  <c:v>Q3 '20</c:v>
                </c:pt>
                <c:pt idx="4">
                  <c:v>Q4 '20</c:v>
                </c:pt>
                <c:pt idx="5">
                  <c:v>Jan '21</c:v>
                </c:pt>
                <c:pt idx="6">
                  <c:v>Feb '21</c:v>
                </c:pt>
                <c:pt idx="7">
                  <c:v>Mar '21</c:v>
                </c:pt>
                <c:pt idx="8">
                  <c:v>Apr '21</c:v>
                </c:pt>
                <c:pt idx="9">
                  <c:v>May '21</c:v>
                </c:pt>
                <c:pt idx="10">
                  <c:v>Jun '21</c:v>
                </c:pt>
                <c:pt idx="11">
                  <c:v>Jul '21</c:v>
                </c:pt>
                <c:pt idx="12">
                  <c:v>Aug '21</c:v>
                </c:pt>
                <c:pt idx="13">
                  <c:v>Sep '21</c:v>
                </c:pt>
                <c:pt idx="14">
                  <c:v>Oct '21</c:v>
                </c:pt>
                <c:pt idx="15">
                  <c:v>Nov '21</c:v>
                </c:pt>
              </c:strCache>
            </c:strRef>
          </c:cat>
          <c:val>
            <c:numRef>
              <c:f>Sheet1!$B$65:$Q$65</c:f>
              <c:numCache>
                <c:formatCode>0.0%</c:formatCode>
                <c:ptCount val="16"/>
                <c:pt idx="0">
                  <c:v>1.7999999999999999E-2</c:v>
                </c:pt>
                <c:pt idx="1">
                  <c:v>6.8000000000000005E-2</c:v>
                </c:pt>
                <c:pt idx="2">
                  <c:v>0.151</c:v>
                </c:pt>
                <c:pt idx="3">
                  <c:v>0.121</c:v>
                </c:pt>
                <c:pt idx="4">
                  <c:v>0.11700000000000001</c:v>
                </c:pt>
                <c:pt idx="5">
                  <c:v>0.107</c:v>
                </c:pt>
                <c:pt idx="6">
                  <c:v>0.11</c:v>
                </c:pt>
                <c:pt idx="7">
                  <c:v>-7.5999999999999998E-2</c:v>
                </c:pt>
                <c:pt idx="8">
                  <c:v>-3.1E-2</c:v>
                </c:pt>
                <c:pt idx="9">
                  <c:v>-3.6999999999999998E-2</c:v>
                </c:pt>
                <c:pt idx="10">
                  <c:v>6.0000000000000001E-3</c:v>
                </c:pt>
                <c:pt idx="11">
                  <c:v>-1.9E-2</c:v>
                </c:pt>
                <c:pt idx="12">
                  <c:v>0.01</c:v>
                </c:pt>
                <c:pt idx="13">
                  <c:v>0.04</c:v>
                </c:pt>
                <c:pt idx="14">
                  <c:v>3.7999999999999999E-2</c:v>
                </c:pt>
                <c:pt idx="15">
                  <c:v>0.04</c:v>
                </c:pt>
              </c:numCache>
            </c:numRef>
          </c:val>
          <c:smooth val="0"/>
          <c:extLst>
            <c:ext xmlns:c16="http://schemas.microsoft.com/office/drawing/2014/chart" uri="{C3380CC4-5D6E-409C-BE32-E72D297353CC}">
              <c16:uniqueId val="{0000000C-ECEC-41E7-9090-BF26D45FAF91}"/>
            </c:ext>
          </c:extLst>
        </c:ser>
        <c:ser>
          <c:idx val="1"/>
          <c:order val="1"/>
          <c:tx>
            <c:strRef>
              <c:f>Sheet1!$A$66</c:f>
              <c:strCache>
                <c:ptCount val="1"/>
                <c:pt idx="0">
                  <c:v>Volume growth</c:v>
                </c:pt>
              </c:strCache>
            </c:strRef>
          </c:tx>
          <c:spPr>
            <a:ln>
              <a:solidFill>
                <a:schemeClr val="accent5"/>
              </a:solidFill>
            </a:ln>
          </c:spPr>
          <c:marker>
            <c:symbol val="none"/>
          </c:marker>
          <c:dLbls>
            <c:dLbl>
              <c:idx val="0"/>
              <c:layout>
                <c:manualLayout>
                  <c:x val="-3.8663758336473515E-2"/>
                  <c:y val="-1.62846386567799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CEC-41E7-9090-BF26D45FAF91}"/>
                </c:ext>
              </c:extLst>
            </c:dLbl>
            <c:dLbl>
              <c:idx val="3"/>
              <c:layout>
                <c:manualLayout>
                  <c:x val="-2.4672519793166498E-2"/>
                  <c:y val="3.35149806234880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ECEC-41E7-9090-BF26D45FAF91}"/>
                </c:ext>
              </c:extLst>
            </c:dLbl>
            <c:dLbl>
              <c:idx val="4"/>
              <c:layout>
                <c:manualLayout>
                  <c:x val="-2.4163268159799151E-2"/>
                  <c:y val="3.27127686976686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ECEC-41E7-9090-BF26D45FAF91}"/>
                </c:ext>
              </c:extLst>
            </c:dLbl>
            <c:dLbl>
              <c:idx val="5"/>
              <c:layout>
                <c:manualLayout>
                  <c:x val="-2.1839003052101652E-2"/>
                  <c:y val="2.313829981054613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ECEC-41E7-9090-BF26D45FAF91}"/>
                </c:ext>
              </c:extLst>
            </c:dLbl>
            <c:dLbl>
              <c:idx val="6"/>
              <c:layout>
                <c:manualLayout>
                  <c:x val="-2.0533236137664852E-2"/>
                  <c:y val="3.27127686976686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ECEC-41E7-9090-BF26D45FAF91}"/>
                </c:ext>
              </c:extLst>
            </c:dLbl>
            <c:dLbl>
              <c:idx val="7"/>
              <c:layout>
                <c:manualLayout>
                  <c:x val="-3.1575961188850206E-2"/>
                  <c:y val="2.661290322580661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ECEC-41E7-9090-BF26D45FAF91}"/>
                </c:ext>
              </c:extLst>
            </c:dLbl>
            <c:dLbl>
              <c:idx val="8"/>
              <c:layout>
                <c:manualLayout>
                  <c:x val="-1.992808089141105E-2"/>
                  <c:y val="3.422778067439139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ECEC-41E7-9090-BF26D45FAF91}"/>
                </c:ext>
              </c:extLst>
            </c:dLbl>
            <c:dLbl>
              <c:idx val="9"/>
              <c:layout>
                <c:manualLayout>
                  <c:x val="-2.8589820939239265E-2"/>
                  <c:y val="3.909574795575041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ECEC-41E7-9090-BF26D45FAF91}"/>
                </c:ext>
              </c:extLst>
            </c:dLbl>
            <c:dLbl>
              <c:idx val="10"/>
              <c:layout>
                <c:manualLayout>
                  <c:x val="-2.0347090283063852E-2"/>
                  <c:y val="2.101694422933363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ECEC-41E7-9090-BF26D45FAF91}"/>
                </c:ext>
              </c:extLst>
            </c:dLbl>
            <c:dLbl>
              <c:idx val="11"/>
              <c:layout>
                <c:manualLayout>
                  <c:x val="-3.4819550194175992E-2"/>
                  <c:y val="2.171667735134433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ECEC-41E7-9090-BF26D45FAF91}"/>
                </c:ext>
              </c:extLst>
            </c:dLbl>
            <c:dLbl>
              <c:idx val="12"/>
              <c:layout>
                <c:manualLayout>
                  <c:x val="-2.9926592634673371E-2"/>
                  <c:y val="2.936287587142426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ECEC-41E7-9090-BF26D45FAF91}"/>
                </c:ext>
              </c:extLst>
            </c:dLbl>
            <c:dLbl>
              <c:idx val="13"/>
              <c:layout>
                <c:manualLayout>
                  <c:x val="-3.1994679058495547E-2"/>
                  <c:y val="4.775566627828924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ECEC-41E7-9090-BF26D45FAF91}"/>
                </c:ext>
              </c:extLst>
            </c:dLbl>
            <c:dLbl>
              <c:idx val="14"/>
              <c:layout>
                <c:manualLayout>
                  <c:x val="-3.998216477290837E-2"/>
                  <c:y val="2.57102325996407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B-ECEC-41E7-9090-BF26D45FAF91}"/>
                </c:ext>
              </c:extLst>
            </c:dLbl>
            <c:dLbl>
              <c:idx val="15"/>
              <c:layout>
                <c:manualLayout>
                  <c:x val="-1.9941087460013454E-2"/>
                  <c:y val="1.914100941028278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C-ECEC-41E7-9090-BF26D45FAF91}"/>
                </c:ext>
              </c:extLst>
            </c:dLbl>
            <c:spPr>
              <a:noFill/>
              <a:ln>
                <a:noFill/>
              </a:ln>
              <a:effectLst/>
            </c:spPr>
            <c:txPr>
              <a:bodyPr/>
              <a:lstStyle/>
              <a:p>
                <a:pPr>
                  <a:defRPr sz="900">
                    <a:solidFill>
                      <a:schemeClr val="accent5">
                        <a:lumMod val="75000"/>
                      </a:schemeClr>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Sheet1!$B$64:$Q$64</c:f>
              <c:strCache>
                <c:ptCount val="16"/>
                <c:pt idx="0">
                  <c:v>2019</c:v>
                </c:pt>
                <c:pt idx="1">
                  <c:v>Q1 '20</c:v>
                </c:pt>
                <c:pt idx="2">
                  <c:v>Q2 '20</c:v>
                </c:pt>
                <c:pt idx="3">
                  <c:v>Q3 '20</c:v>
                </c:pt>
                <c:pt idx="4">
                  <c:v>Q4 '20</c:v>
                </c:pt>
                <c:pt idx="5">
                  <c:v>Jan '21</c:v>
                </c:pt>
                <c:pt idx="6">
                  <c:v>Feb '21</c:v>
                </c:pt>
                <c:pt idx="7">
                  <c:v>Mar '21</c:v>
                </c:pt>
                <c:pt idx="8">
                  <c:v>Apr '21</c:v>
                </c:pt>
                <c:pt idx="9">
                  <c:v>May '21</c:v>
                </c:pt>
                <c:pt idx="10">
                  <c:v>Jun '21</c:v>
                </c:pt>
                <c:pt idx="11">
                  <c:v>Jul '21</c:v>
                </c:pt>
                <c:pt idx="12">
                  <c:v>Aug '21</c:v>
                </c:pt>
                <c:pt idx="13">
                  <c:v>Sep '21</c:v>
                </c:pt>
                <c:pt idx="14">
                  <c:v>Oct '21</c:v>
                </c:pt>
                <c:pt idx="15">
                  <c:v>Nov '21</c:v>
                </c:pt>
              </c:strCache>
            </c:strRef>
          </c:cat>
          <c:val>
            <c:numRef>
              <c:f>Sheet1!$B$66:$Q$66</c:f>
              <c:numCache>
                <c:formatCode>0.0%</c:formatCode>
                <c:ptCount val="16"/>
                <c:pt idx="0">
                  <c:v>5.0000000000000001E-3</c:v>
                </c:pt>
                <c:pt idx="1">
                  <c:v>9.7000000000000003E-2</c:v>
                </c:pt>
                <c:pt idx="2">
                  <c:v>0.153</c:v>
                </c:pt>
                <c:pt idx="3">
                  <c:v>9.7000000000000003E-2</c:v>
                </c:pt>
                <c:pt idx="4">
                  <c:v>0.1</c:v>
                </c:pt>
                <c:pt idx="5">
                  <c:v>7.8E-2</c:v>
                </c:pt>
                <c:pt idx="6">
                  <c:v>7.6999999999999999E-2</c:v>
                </c:pt>
                <c:pt idx="7">
                  <c:v>-0.14799999999999999</c:v>
                </c:pt>
                <c:pt idx="8">
                  <c:v>-0.104</c:v>
                </c:pt>
                <c:pt idx="9">
                  <c:v>-0.11600000000000001</c:v>
                </c:pt>
                <c:pt idx="10">
                  <c:v>-4.4999999999999998E-2</c:v>
                </c:pt>
                <c:pt idx="11">
                  <c:v>-4.5999999999999999E-2</c:v>
                </c:pt>
                <c:pt idx="12">
                  <c:v>-3.4000000000000002E-2</c:v>
                </c:pt>
                <c:pt idx="13">
                  <c:v>-2.5000000000000001E-2</c:v>
                </c:pt>
                <c:pt idx="14">
                  <c:v>-3.5999999999999997E-2</c:v>
                </c:pt>
                <c:pt idx="15">
                  <c:v>-4.3999999999999997E-2</c:v>
                </c:pt>
              </c:numCache>
            </c:numRef>
          </c:val>
          <c:smooth val="0"/>
          <c:extLst>
            <c:ext xmlns:c16="http://schemas.microsoft.com/office/drawing/2014/chart" uri="{C3380CC4-5D6E-409C-BE32-E72D297353CC}">
              <c16:uniqueId val="{00000019-ECEC-41E7-9090-BF26D45FAF91}"/>
            </c:ext>
          </c:extLst>
        </c:ser>
        <c:ser>
          <c:idx val="2"/>
          <c:order val="2"/>
          <c:tx>
            <c:strRef>
              <c:f>Sheet1!$A$67</c:f>
              <c:strCache>
                <c:ptCount val="1"/>
                <c:pt idx="0">
                  <c:v>Dollars vs. 2019</c:v>
                </c:pt>
              </c:strCache>
            </c:strRef>
          </c:tx>
          <c:spPr>
            <a:ln>
              <a:noFill/>
            </a:ln>
          </c:spPr>
          <c:marker>
            <c:spPr>
              <a:ln>
                <a:noFill/>
              </a:ln>
            </c:spPr>
          </c:marker>
          <c:dLbls>
            <c:dLbl>
              <c:idx val="7"/>
              <c:layout>
                <c:manualLayout>
                  <c:x val="-3.3190419250094708E-2"/>
                  <c:y val="-5.02148033767544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ECEC-41E7-9090-BF26D45FAF91}"/>
                </c:ext>
              </c:extLst>
            </c:dLbl>
            <c:dLbl>
              <c:idx val="8"/>
              <c:layout>
                <c:manualLayout>
                  <c:x val="-3.0424550979253482E-2"/>
                  <c:y val="-3.6824189142953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ECEC-41E7-9090-BF26D45FAF91}"/>
                </c:ext>
              </c:extLst>
            </c:dLbl>
            <c:dLbl>
              <c:idx val="9"/>
              <c:layout>
                <c:manualLayout>
                  <c:x val="-3.5956287520936041E-2"/>
                  <c:y val="-3.34765355845029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ECEC-41E7-9090-BF26D45FAF91}"/>
                </c:ext>
              </c:extLst>
            </c:dLbl>
            <c:dLbl>
              <c:idx val="10"/>
              <c:layout>
                <c:manualLayout>
                  <c:x val="-2.9041616843832871E-2"/>
                  <c:y val="-3.01288820260526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ECEC-41E7-9090-BF26D45FAF91}"/>
                </c:ext>
              </c:extLst>
            </c:dLbl>
            <c:dLbl>
              <c:idx val="11"/>
              <c:layout>
                <c:manualLayout>
                  <c:x val="-3.2737678715987012E-2"/>
                  <c:y val="-3.0741335402865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ECEC-41E7-9090-BF26D45FAF91}"/>
                </c:ext>
              </c:extLst>
            </c:dLbl>
            <c:dLbl>
              <c:idx val="12"/>
              <c:layout>
                <c:manualLayout>
                  <c:x val="-3.2737678715987109E-2"/>
                  <c:y val="-2.60118991870397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ECEC-41E7-9090-BF26D45FAF91}"/>
                </c:ext>
              </c:extLst>
            </c:dLbl>
            <c:dLbl>
              <c:idx val="13"/>
              <c:layout>
                <c:manualLayout>
                  <c:x val="-3.4994226511828062E-2"/>
                  <c:y val="-2.22024225950242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ECEC-41E7-9090-BF26D45FAF91}"/>
                </c:ext>
              </c:extLst>
            </c:dLbl>
            <c:dLbl>
              <c:idx val="14"/>
              <c:layout>
                <c:manualLayout>
                  <c:x val="-3.9507101871884109E-2"/>
                  <c:y val="-3.28461159467893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D-ECEC-41E7-9090-BF26D45FAF91}"/>
                </c:ext>
              </c:extLst>
            </c:dLbl>
            <c:dLbl>
              <c:idx val="15"/>
              <c:layout>
                <c:manualLayout>
                  <c:x val="-1.6931615087950335E-2"/>
                  <c:y val="-2.62768927574314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E-ECEC-41E7-9090-BF26D45FAF91}"/>
                </c:ext>
              </c:extLst>
            </c:dLbl>
            <c:spPr>
              <a:noFill/>
              <a:ln>
                <a:noFill/>
              </a:ln>
              <a:effectLst/>
            </c:spPr>
            <c:txPr>
              <a:bodyPr wrap="square" lIns="38100" tIns="19050" rIns="38100" bIns="19050" anchor="ctr">
                <a:spAutoFit/>
              </a:bodyPr>
              <a:lstStyle/>
              <a:p>
                <a:pPr>
                  <a:defRPr sz="900">
                    <a:solidFill>
                      <a:schemeClr val="accent3">
                        <a:lumMod val="50000"/>
                      </a:schemeClr>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Sheet1!$B$64:$Q$64</c:f>
              <c:strCache>
                <c:ptCount val="16"/>
                <c:pt idx="0">
                  <c:v>2019</c:v>
                </c:pt>
                <c:pt idx="1">
                  <c:v>Q1 '20</c:v>
                </c:pt>
                <c:pt idx="2">
                  <c:v>Q2 '20</c:v>
                </c:pt>
                <c:pt idx="3">
                  <c:v>Q3 '20</c:v>
                </c:pt>
                <c:pt idx="4">
                  <c:v>Q4 '20</c:v>
                </c:pt>
                <c:pt idx="5">
                  <c:v>Jan '21</c:v>
                </c:pt>
                <c:pt idx="6">
                  <c:v>Feb '21</c:v>
                </c:pt>
                <c:pt idx="7">
                  <c:v>Mar '21</c:v>
                </c:pt>
                <c:pt idx="8">
                  <c:v>Apr '21</c:v>
                </c:pt>
                <c:pt idx="9">
                  <c:v>May '21</c:v>
                </c:pt>
                <c:pt idx="10">
                  <c:v>Jun '21</c:v>
                </c:pt>
                <c:pt idx="11">
                  <c:v>Jul '21</c:v>
                </c:pt>
                <c:pt idx="12">
                  <c:v>Aug '21</c:v>
                </c:pt>
                <c:pt idx="13">
                  <c:v>Sep '21</c:v>
                </c:pt>
                <c:pt idx="14">
                  <c:v>Oct '21</c:v>
                </c:pt>
                <c:pt idx="15">
                  <c:v>Nov '21</c:v>
                </c:pt>
              </c:strCache>
            </c:strRef>
          </c:cat>
          <c:val>
            <c:numRef>
              <c:f>Sheet1!$B$67:$Q$67</c:f>
              <c:numCache>
                <c:formatCode>General</c:formatCode>
                <c:ptCount val="16"/>
                <c:pt idx="7" formatCode="0.0%">
                  <c:v>0.11</c:v>
                </c:pt>
                <c:pt idx="8" formatCode="0.0%">
                  <c:v>0.112</c:v>
                </c:pt>
                <c:pt idx="9" formatCode="0.0%">
                  <c:v>0.125</c:v>
                </c:pt>
                <c:pt idx="10" formatCode="0.0%">
                  <c:v>0.14000000000000001</c:v>
                </c:pt>
                <c:pt idx="11" formatCode="0.0%">
                  <c:v>0.114</c:v>
                </c:pt>
                <c:pt idx="12" formatCode="0.0%">
                  <c:v>0.121</c:v>
                </c:pt>
                <c:pt idx="13" formatCode="0.0%">
                  <c:v>0.16300000000000001</c:v>
                </c:pt>
                <c:pt idx="14" formatCode="0.0%">
                  <c:v>0.159</c:v>
                </c:pt>
                <c:pt idx="15" formatCode="0.0%">
                  <c:v>0.16</c:v>
                </c:pt>
              </c:numCache>
            </c:numRef>
          </c:val>
          <c:smooth val="0"/>
          <c:extLst>
            <c:ext xmlns:c16="http://schemas.microsoft.com/office/drawing/2014/chart" uri="{C3380CC4-5D6E-409C-BE32-E72D297353CC}">
              <c16:uniqueId val="{00000021-ECEC-41E7-9090-BF26D45FAF91}"/>
            </c:ext>
          </c:extLst>
        </c:ser>
        <c:ser>
          <c:idx val="3"/>
          <c:order val="3"/>
          <c:tx>
            <c:strRef>
              <c:f>Sheet1!$A$68</c:f>
              <c:strCache>
                <c:ptCount val="1"/>
                <c:pt idx="0">
                  <c:v>Volume vs. 2019</c:v>
                </c:pt>
              </c:strCache>
            </c:strRef>
          </c:tx>
          <c:spPr>
            <a:ln>
              <a:noFill/>
            </a:ln>
          </c:spPr>
          <c:marker>
            <c:symbol val="square"/>
            <c:size val="5"/>
            <c:spPr>
              <a:solidFill>
                <a:srgbClr val="7030A0"/>
              </a:solidFill>
              <a:ln>
                <a:noFill/>
              </a:ln>
            </c:spPr>
          </c:marker>
          <c:dLbls>
            <c:dLbl>
              <c:idx val="7"/>
              <c:layout>
                <c:manualLayout>
                  <c:x val="-2.6275748572991676E-2"/>
                  <c:y val="-3.34765355845030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ECEC-41E7-9090-BF26D45FAF91}"/>
                </c:ext>
              </c:extLst>
            </c:dLbl>
            <c:dLbl>
              <c:idx val="8"/>
              <c:layout>
                <c:manualLayout>
                  <c:x val="-2.4892814437571048E-2"/>
                  <c:y val="-3.34765355845030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ECEC-41E7-9090-BF26D45FAF91}"/>
                </c:ext>
              </c:extLst>
            </c:dLbl>
            <c:dLbl>
              <c:idx val="9"/>
              <c:layout>
                <c:manualLayout>
                  <c:x val="-2.9041616843832781E-2"/>
                  <c:y val="-3.68241891429531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ECEC-41E7-9090-BF26D45FAF91}"/>
                </c:ext>
              </c:extLst>
            </c:dLbl>
            <c:dLbl>
              <c:idx val="10"/>
              <c:layout>
                <c:manualLayout>
                  <c:x val="-2.7658682708412256E-2"/>
                  <c:y val="-3.68241891429533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ECEC-41E7-9090-BF26D45FAF91}"/>
                </c:ext>
              </c:extLst>
            </c:dLbl>
            <c:dLbl>
              <c:idx val="11"/>
              <c:layout>
                <c:manualLayout>
                  <c:x val="-2.7281398929989192E-2"/>
                  <c:y val="-2.83766172949524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ECEC-41E7-9090-BF26D45FAF91}"/>
                </c:ext>
              </c:extLst>
            </c:dLbl>
            <c:dLbl>
              <c:idx val="12"/>
              <c:layout>
                <c:manualLayout>
                  <c:x val="-3.0009538822988086E-2"/>
                  <c:y val="-2.3647181079127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ECEC-41E7-9090-BF26D45FAF91}"/>
                </c:ext>
              </c:extLst>
            </c:dLbl>
            <c:dLbl>
              <c:idx val="13"/>
              <c:layout>
                <c:manualLayout>
                  <c:x val="-3.0197083703357511E-2"/>
                  <c:y val="-1.89178110003452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ECEC-41E7-9090-BF26D45FAF91}"/>
                </c:ext>
              </c:extLst>
            </c:dLbl>
            <c:dLbl>
              <c:idx val="14"/>
              <c:layout>
                <c:manualLayout>
                  <c:x val="-3.198193961057285E-2"/>
                  <c:y val="-2.95615043521104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F-ECEC-41E7-9090-BF26D45FAF91}"/>
                </c:ext>
              </c:extLst>
            </c:dLbl>
            <c:dLbl>
              <c:idx val="15"/>
              <c:layout>
                <c:manualLayout>
                  <c:x val="-2.4456777349261594E-2"/>
                  <c:y val="-3.28461159467892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0-ECEC-41E7-9090-BF26D45FAF91}"/>
                </c:ext>
              </c:extLst>
            </c:dLbl>
            <c:spPr>
              <a:noFill/>
              <a:ln>
                <a:noFill/>
              </a:ln>
              <a:effectLst/>
            </c:spPr>
            <c:txPr>
              <a:bodyPr wrap="square" lIns="38100" tIns="19050" rIns="38100" bIns="19050" anchor="ctr">
                <a:spAutoFit/>
              </a:bodyPr>
              <a:lstStyle/>
              <a:p>
                <a:pPr>
                  <a:defRPr sz="900">
                    <a:solidFill>
                      <a:srgbClr val="7030A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Sheet1!$B$64:$Q$64</c:f>
              <c:strCache>
                <c:ptCount val="16"/>
                <c:pt idx="0">
                  <c:v>2019</c:v>
                </c:pt>
                <c:pt idx="1">
                  <c:v>Q1 '20</c:v>
                </c:pt>
                <c:pt idx="2">
                  <c:v>Q2 '20</c:v>
                </c:pt>
                <c:pt idx="3">
                  <c:v>Q3 '20</c:v>
                </c:pt>
                <c:pt idx="4">
                  <c:v>Q4 '20</c:v>
                </c:pt>
                <c:pt idx="5">
                  <c:v>Jan '21</c:v>
                </c:pt>
                <c:pt idx="6">
                  <c:v>Feb '21</c:v>
                </c:pt>
                <c:pt idx="7">
                  <c:v>Mar '21</c:v>
                </c:pt>
                <c:pt idx="8">
                  <c:v>Apr '21</c:v>
                </c:pt>
                <c:pt idx="9">
                  <c:v>May '21</c:v>
                </c:pt>
                <c:pt idx="10">
                  <c:v>Jun '21</c:v>
                </c:pt>
                <c:pt idx="11">
                  <c:v>Jul '21</c:v>
                </c:pt>
                <c:pt idx="12">
                  <c:v>Aug '21</c:v>
                </c:pt>
                <c:pt idx="13">
                  <c:v>Sep '21</c:v>
                </c:pt>
                <c:pt idx="14">
                  <c:v>Oct '21</c:v>
                </c:pt>
                <c:pt idx="15">
                  <c:v>Nov '21</c:v>
                </c:pt>
              </c:strCache>
            </c:strRef>
          </c:cat>
          <c:val>
            <c:numRef>
              <c:f>Sheet1!$B$68:$Q$68</c:f>
              <c:numCache>
                <c:formatCode>General</c:formatCode>
                <c:ptCount val="16"/>
                <c:pt idx="7" formatCode="0.0%">
                  <c:v>7.0999999999999994E-2</c:v>
                </c:pt>
                <c:pt idx="8" formatCode="0.0%">
                  <c:v>6.2E-2</c:v>
                </c:pt>
                <c:pt idx="9" formatCode="0.0%">
                  <c:v>3.9E-2</c:v>
                </c:pt>
                <c:pt idx="10" formatCode="0.0%">
                  <c:v>5.0999999999999997E-2</c:v>
                </c:pt>
                <c:pt idx="11" formatCode="0.0%">
                  <c:v>4.7E-2</c:v>
                </c:pt>
                <c:pt idx="12" formatCode="0.0%">
                  <c:v>3.9E-2</c:v>
                </c:pt>
                <c:pt idx="13" formatCode="0.0%">
                  <c:v>9.6000000000000002E-2</c:v>
                </c:pt>
                <c:pt idx="14" formatCode="0.0%">
                  <c:v>6.4000000000000001E-2</c:v>
                </c:pt>
                <c:pt idx="15" formatCode="0.0%">
                  <c:v>4.3999999999999997E-2</c:v>
                </c:pt>
              </c:numCache>
            </c:numRef>
          </c:val>
          <c:smooth val="0"/>
          <c:extLst>
            <c:ext xmlns:c16="http://schemas.microsoft.com/office/drawing/2014/chart" uri="{C3380CC4-5D6E-409C-BE32-E72D297353CC}">
              <c16:uniqueId val="{00000029-ECEC-41E7-9090-BF26D45FAF91}"/>
            </c:ext>
          </c:extLst>
        </c:ser>
        <c:dLbls>
          <c:showLegendKey val="0"/>
          <c:showVal val="1"/>
          <c:showCatName val="0"/>
          <c:showSerName val="0"/>
          <c:showPercent val="0"/>
          <c:showBubbleSize val="0"/>
        </c:dLbls>
        <c:smooth val="0"/>
        <c:axId val="147973248"/>
        <c:axId val="147974784"/>
      </c:lineChart>
      <c:catAx>
        <c:axId val="147973248"/>
        <c:scaling>
          <c:orientation val="minMax"/>
        </c:scaling>
        <c:delete val="0"/>
        <c:axPos val="b"/>
        <c:numFmt formatCode="General" sourceLinked="0"/>
        <c:majorTickMark val="none"/>
        <c:minorTickMark val="none"/>
        <c:tickLblPos val="nextTo"/>
        <c:txPr>
          <a:bodyPr/>
          <a:lstStyle/>
          <a:p>
            <a:pPr>
              <a:defRPr sz="800"/>
            </a:pPr>
            <a:endParaRPr lang="en-US"/>
          </a:p>
        </c:txPr>
        <c:crossAx val="147974784"/>
        <c:crosses val="autoZero"/>
        <c:auto val="1"/>
        <c:lblAlgn val="ctr"/>
        <c:lblOffset val="100"/>
        <c:noMultiLvlLbl val="0"/>
      </c:catAx>
      <c:valAx>
        <c:axId val="147974784"/>
        <c:scaling>
          <c:orientation val="minMax"/>
        </c:scaling>
        <c:delete val="1"/>
        <c:axPos val="l"/>
        <c:numFmt formatCode="0.0%" sourceLinked="1"/>
        <c:majorTickMark val="none"/>
        <c:minorTickMark val="none"/>
        <c:tickLblPos val="none"/>
        <c:crossAx val="147973248"/>
        <c:crosses val="autoZero"/>
        <c:crossBetween val="between"/>
      </c:valAx>
    </c:plotArea>
    <c:legend>
      <c:legendPos val="t"/>
      <c:overlay val="0"/>
      <c:txPr>
        <a:bodyPr/>
        <a:lstStyle/>
        <a:p>
          <a:pPr>
            <a:defRPr sz="1000"/>
          </a:pPr>
          <a:endParaRPr lang="en-US"/>
        </a:p>
      </c:txPr>
    </c:legend>
    <c:plotVisOnly val="1"/>
    <c:dispBlanksAs val="gap"/>
    <c:showDLblsOverMax val="0"/>
  </c:chart>
  <c:spPr>
    <a:ln>
      <a:noFill/>
    </a:ln>
  </c:spPr>
  <c:txPr>
    <a:bodyPr/>
    <a:lstStyle/>
    <a:p>
      <a:pPr>
        <a:defRPr>
          <a:latin typeface="Arial" pitchFamily="34" charset="0"/>
          <a:cs typeface="Arial"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BC50A1FC79394A9023C6A5DFA7A09D" ma:contentTypeVersion="13" ma:contentTypeDescription="Create a new document." ma:contentTypeScope="" ma:versionID="79705aaae5de6f9ed494cfeb67a4f3c7">
  <xsd:schema xmlns:xsd="http://www.w3.org/2001/XMLSchema" xmlns:xs="http://www.w3.org/2001/XMLSchema" xmlns:p="http://schemas.microsoft.com/office/2006/metadata/properties" xmlns:ns3="4f61ba3f-198b-401e-8f2f-b2c662dca9cb" xmlns:ns4="b9b95171-1552-4127-953a-44d049f6e73c" targetNamespace="http://schemas.microsoft.com/office/2006/metadata/properties" ma:root="true" ma:fieldsID="b556130ecffddc83dc8ca6d01a721ba0" ns3:_="" ns4:_="">
    <xsd:import namespace="4f61ba3f-198b-401e-8f2f-b2c662dca9cb"/>
    <xsd:import namespace="b9b95171-1552-4127-953a-44d049f6e73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61ba3f-198b-401e-8f2f-b2c662dca9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b95171-1552-4127-953a-44d049f6e73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FB094F-237B-42B9-A007-1B37B12C3D19}">
  <ds:schemaRefs>
    <ds:schemaRef ds:uri="http://schemas.microsoft.com/sharepoint/v3/contenttype/forms"/>
  </ds:schemaRefs>
</ds:datastoreItem>
</file>

<file path=customXml/itemProps2.xml><?xml version="1.0" encoding="utf-8"?>
<ds:datastoreItem xmlns:ds="http://schemas.openxmlformats.org/officeDocument/2006/customXml" ds:itemID="{31812EC2-62BE-486D-9F59-FCA114384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61ba3f-198b-401e-8f2f-b2c662dca9cb"/>
    <ds:schemaRef ds:uri="b9b95171-1552-4127-953a-44d049f6e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C3BEEF-BB43-4692-BD09-7A0D07B70B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D1B7A2-DB06-498C-862D-BB02D11B8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8</Pages>
  <Words>2944</Words>
  <Characters>16781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Anne-Marie Roerink</cp:lastModifiedBy>
  <cp:revision>26</cp:revision>
  <dcterms:created xsi:type="dcterms:W3CDTF">2021-12-08T18:22:00Z</dcterms:created>
  <dcterms:modified xsi:type="dcterms:W3CDTF">2021-12-14T17:57:00Z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0x010100F7BC50A1FC79394A9023C6A5DFA7A09D</vt:lpwstr>
  </property>
</Properties>
</file>