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48A7" w14:textId="4DF14750" w:rsidR="00EC3DD2" w:rsidRDefault="0067296A">
      <w:pPr>
        <w:pBdr>
          <w:top w:val="nil"/>
          <w:left w:val="nil"/>
          <w:bottom w:val="nil"/>
          <w:right w:val="nil"/>
          <w:between w:val="nil"/>
        </w:pBdr>
        <w:spacing w:line="288" w:lineRule="auto"/>
        <w:rPr>
          <w:rFonts w:ascii="Arial" w:eastAsia="Arial" w:hAnsi="Arial" w:cs="Arial"/>
          <w:color w:val="000000"/>
          <w:sz w:val="22"/>
          <w:szCs w:val="22"/>
        </w:rPr>
      </w:pPr>
      <w:r>
        <w:rPr>
          <w:noProof/>
        </w:rPr>
        <mc:AlternateContent>
          <mc:Choice Requires="wps">
            <w:drawing>
              <wp:anchor distT="0" distB="0" distL="114300" distR="114300" simplePos="0" relativeHeight="251658240" behindDoc="0" locked="0" layoutInCell="1" hidden="0" allowOverlap="1" wp14:anchorId="359A97FD" wp14:editId="3F5ACDF8">
                <wp:simplePos x="0" y="0"/>
                <wp:positionH relativeFrom="column">
                  <wp:posOffset>-914400</wp:posOffset>
                </wp:positionH>
                <wp:positionV relativeFrom="paragraph">
                  <wp:posOffset>1270</wp:posOffset>
                </wp:positionV>
                <wp:extent cx="5699125" cy="2743200"/>
                <wp:effectExtent l="0" t="0" r="3175" b="0"/>
                <wp:wrapTopAndBottom distT="0" distB="0"/>
                <wp:docPr id="2048682088" name="Rectangle 2048682088"/>
                <wp:cNvGraphicFramePr/>
                <a:graphic xmlns:a="http://schemas.openxmlformats.org/drawingml/2006/main">
                  <a:graphicData uri="http://schemas.microsoft.com/office/word/2010/wordprocessingShape">
                    <wps:wsp>
                      <wps:cNvSpPr/>
                      <wps:spPr>
                        <a:xfrm>
                          <a:off x="0" y="0"/>
                          <a:ext cx="5699125" cy="2743200"/>
                        </a:xfrm>
                        <a:prstGeom prst="rect">
                          <a:avLst/>
                        </a:prstGeom>
                        <a:solidFill>
                          <a:srgbClr val="0080FF"/>
                        </a:solidFill>
                        <a:ln>
                          <a:noFill/>
                        </a:ln>
                      </wps:spPr>
                      <wps:txbx>
                        <w:txbxContent>
                          <w:p w14:paraId="3AFDD5A1" w14:textId="77777777" w:rsidR="00EC3DD2" w:rsidRDefault="00EC3DD2">
                            <w:pPr>
                              <w:spacing w:line="288" w:lineRule="auto"/>
                              <w:textDirection w:val="btLr"/>
                            </w:pPr>
                          </w:p>
                          <w:p w14:paraId="36F96226" w14:textId="77777777" w:rsidR="00EC3DD2" w:rsidRDefault="00EC3DD2">
                            <w:pPr>
                              <w:spacing w:line="288" w:lineRule="auto"/>
                              <w:textDirection w:val="btLr"/>
                            </w:pPr>
                          </w:p>
                          <w:p w14:paraId="18370B6C" w14:textId="77777777" w:rsidR="00EC3DD2" w:rsidRDefault="00EC3DD2">
                            <w:pPr>
                              <w:spacing w:line="288" w:lineRule="auto"/>
                              <w:textDirection w:val="btLr"/>
                            </w:pPr>
                          </w:p>
                          <w:p w14:paraId="2700899A" w14:textId="06D727A1" w:rsidR="00D1326D" w:rsidRDefault="000B41AC">
                            <w:pPr>
                              <w:spacing w:after="240" w:line="288" w:lineRule="auto"/>
                              <w:textDirection w:val="btLr"/>
                              <w:rPr>
                                <w:rFonts w:ascii="Arial" w:eastAsia="Arial" w:hAnsi="Arial" w:cs="Arial"/>
                                <w:b/>
                                <w:color w:val="FFFFFF"/>
                                <w:sz w:val="44"/>
                              </w:rPr>
                            </w:pPr>
                            <w:r>
                              <w:rPr>
                                <w:rFonts w:ascii="Arial" w:eastAsia="Arial" w:hAnsi="Arial" w:cs="Arial"/>
                                <w:b/>
                                <w:color w:val="FFFFFF"/>
                                <w:sz w:val="44"/>
                              </w:rPr>
                              <w:t>The State of Global</w:t>
                            </w:r>
                            <w:r w:rsidR="00D1326D">
                              <w:rPr>
                                <w:rFonts w:ascii="Arial" w:eastAsia="Arial" w:hAnsi="Arial" w:cs="Arial"/>
                                <w:b/>
                                <w:color w:val="FFFFFF"/>
                                <w:sz w:val="44"/>
                              </w:rPr>
                              <w:t xml:space="preserve"> Ocean Freight</w:t>
                            </w:r>
                            <w:r>
                              <w:rPr>
                                <w:rFonts w:ascii="Arial" w:eastAsia="Arial" w:hAnsi="Arial" w:cs="Arial"/>
                                <w:b/>
                                <w:color w:val="FFFFFF"/>
                                <w:sz w:val="44"/>
                              </w:rPr>
                              <w:t xml:space="preserve"> </w:t>
                            </w:r>
                          </w:p>
                          <w:p w14:paraId="12BDE9E1" w14:textId="3ECF0506" w:rsidR="00EC3DD2" w:rsidRPr="00D1326D" w:rsidRDefault="000B41AC">
                            <w:pPr>
                              <w:spacing w:after="240" w:line="288" w:lineRule="auto"/>
                              <w:textDirection w:val="btLr"/>
                              <w:rPr>
                                <w:rFonts w:ascii="Arial" w:eastAsia="Arial" w:hAnsi="Arial" w:cs="Arial"/>
                                <w:b/>
                                <w:color w:val="FFFFFF"/>
                                <w:sz w:val="36"/>
                                <w:szCs w:val="36"/>
                              </w:rPr>
                            </w:pPr>
                            <w:r w:rsidRPr="00D1326D">
                              <w:rPr>
                                <w:rFonts w:ascii="Arial" w:eastAsia="Arial" w:hAnsi="Arial" w:cs="Arial"/>
                                <w:b/>
                                <w:color w:val="FFFFFF"/>
                                <w:sz w:val="36"/>
                                <w:szCs w:val="36"/>
                              </w:rPr>
                              <w:t>November 2021</w:t>
                            </w:r>
                          </w:p>
                          <w:p w14:paraId="690D5050" w14:textId="77777777" w:rsidR="00D1326D" w:rsidRDefault="00D1326D">
                            <w:pPr>
                              <w:spacing w:after="240" w:line="288" w:lineRule="auto"/>
                              <w:textDirection w:val="btLr"/>
                            </w:pPr>
                          </w:p>
                          <w:p w14:paraId="1AC226B2" w14:textId="77777777" w:rsidR="00EC3DD2" w:rsidRDefault="00EC3DD2">
                            <w:pPr>
                              <w:spacing w:before="120" w:after="120" w:line="288" w:lineRule="auto"/>
                              <w:textDirection w:val="btLr"/>
                            </w:pPr>
                          </w:p>
                        </w:txbxContent>
                      </wps:txbx>
                      <wps:bodyPr spcFirstLastPara="1" wrap="square" lIns="914400" tIns="0" rIns="914400" bIns="274300" anchor="t" anchorCtr="0">
                        <a:noAutofit/>
                      </wps:bodyPr>
                    </wps:wsp>
                  </a:graphicData>
                </a:graphic>
                <wp14:sizeRelV relativeFrom="margin">
                  <wp14:pctHeight>0</wp14:pctHeight>
                </wp14:sizeRelV>
              </wp:anchor>
            </w:drawing>
          </mc:Choice>
          <mc:Fallback>
            <w:pict>
              <v:rect w14:anchorId="359A97FD" id="Rectangle 2048682088" o:spid="_x0000_s1026" style="position:absolute;margin-left:-1in;margin-top:.1pt;width:448.75pt;height:3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" fillcolor="#0080ff" stroked="f">
                <v:textbox inset="1in,0,1in,7.61944mm">
                  <w:txbxContent>
                    <w:p w14:paraId="3AFDD5A1" w14:textId="77777777" w:rsidR="00EC3DD2" w:rsidRDefault="00EC3DD2">
                      <w:pPr>
                        <w:spacing w:line="288" w:lineRule="auto"/>
                        <w:textDirection w:val="btLr"/>
                      </w:pPr>
                    </w:p>
                    <w:p w14:paraId="36F96226" w14:textId="77777777" w:rsidR="00EC3DD2" w:rsidRDefault="00EC3DD2">
                      <w:pPr>
                        <w:spacing w:line="288" w:lineRule="auto"/>
                        <w:textDirection w:val="btLr"/>
                      </w:pPr>
                    </w:p>
                    <w:p w14:paraId="18370B6C" w14:textId="77777777" w:rsidR="00EC3DD2" w:rsidRDefault="00EC3DD2">
                      <w:pPr>
                        <w:spacing w:line="288" w:lineRule="auto"/>
                        <w:textDirection w:val="btLr"/>
                      </w:pPr>
                    </w:p>
                    <w:p w14:paraId="2700899A" w14:textId="06D727A1" w:rsidR="00D1326D" w:rsidRDefault="000B41AC">
                      <w:pPr>
                        <w:spacing w:after="240" w:line="288" w:lineRule="auto"/>
                        <w:textDirection w:val="btLr"/>
                        <w:rPr>
                          <w:rFonts w:ascii="Arial" w:eastAsia="Arial" w:hAnsi="Arial" w:cs="Arial"/>
                          <w:b/>
                          <w:color w:val="FFFFFF"/>
                          <w:sz w:val="44"/>
                        </w:rPr>
                      </w:pPr>
                      <w:r>
                        <w:rPr>
                          <w:rFonts w:ascii="Arial" w:eastAsia="Arial" w:hAnsi="Arial" w:cs="Arial"/>
                          <w:b/>
                          <w:color w:val="FFFFFF"/>
                          <w:sz w:val="44"/>
                        </w:rPr>
                        <w:t>The State of Global</w:t>
                      </w:r>
                      <w:r w:rsidR="00D1326D">
                        <w:rPr>
                          <w:rFonts w:ascii="Arial" w:eastAsia="Arial" w:hAnsi="Arial" w:cs="Arial"/>
                          <w:b/>
                          <w:color w:val="FFFFFF"/>
                          <w:sz w:val="44"/>
                        </w:rPr>
                        <w:t xml:space="preserve"> Ocean Freight</w:t>
                      </w:r>
                      <w:r>
                        <w:rPr>
                          <w:rFonts w:ascii="Arial" w:eastAsia="Arial" w:hAnsi="Arial" w:cs="Arial"/>
                          <w:b/>
                          <w:color w:val="FFFFFF"/>
                          <w:sz w:val="44"/>
                        </w:rPr>
                        <w:t xml:space="preserve"> </w:t>
                      </w:r>
                    </w:p>
                    <w:p w14:paraId="12BDE9E1" w14:textId="3ECF0506" w:rsidR="00EC3DD2" w:rsidRPr="00D1326D" w:rsidRDefault="000B41AC">
                      <w:pPr>
                        <w:spacing w:after="240" w:line="288" w:lineRule="auto"/>
                        <w:textDirection w:val="btLr"/>
                        <w:rPr>
                          <w:rFonts w:ascii="Arial" w:eastAsia="Arial" w:hAnsi="Arial" w:cs="Arial"/>
                          <w:b/>
                          <w:color w:val="FFFFFF"/>
                          <w:sz w:val="36"/>
                          <w:szCs w:val="36"/>
                        </w:rPr>
                      </w:pPr>
                      <w:r w:rsidRPr="00D1326D">
                        <w:rPr>
                          <w:rFonts w:ascii="Arial" w:eastAsia="Arial" w:hAnsi="Arial" w:cs="Arial"/>
                          <w:b/>
                          <w:color w:val="FFFFFF"/>
                          <w:sz w:val="36"/>
                          <w:szCs w:val="36"/>
                        </w:rPr>
                        <w:t>November 2021</w:t>
                      </w:r>
                    </w:p>
                    <w:p w14:paraId="690D5050" w14:textId="77777777" w:rsidR="00D1326D" w:rsidRDefault="00D1326D">
                      <w:pPr>
                        <w:spacing w:after="240" w:line="288" w:lineRule="auto"/>
                        <w:textDirection w:val="btLr"/>
                      </w:pPr>
                    </w:p>
                    <w:p w14:paraId="1AC226B2" w14:textId="77777777" w:rsidR="00EC3DD2" w:rsidRDefault="00EC3DD2">
                      <w:pPr>
                        <w:spacing w:before="120" w:after="120" w:line="288" w:lineRule="auto"/>
                        <w:textDirection w:val="btLr"/>
                      </w:pPr>
                    </w:p>
                  </w:txbxContent>
                </v:textbox>
                <w10:wrap type="topAndBottom"/>
              </v:rect>
            </w:pict>
          </mc:Fallback>
        </mc:AlternateContent>
      </w:r>
      <w:r>
        <w:rPr>
          <w:noProof/>
        </w:rPr>
        <w:drawing>
          <wp:anchor distT="0" distB="0" distL="114300" distR="114300" simplePos="0" relativeHeight="251659264" behindDoc="0" locked="0" layoutInCell="1" hidden="0" allowOverlap="1" wp14:anchorId="64A79198" wp14:editId="2E34DABB">
            <wp:simplePos x="0" y="0"/>
            <wp:positionH relativeFrom="column">
              <wp:posOffset>4749800</wp:posOffset>
            </wp:positionH>
            <wp:positionV relativeFrom="paragraph">
              <wp:posOffset>1244</wp:posOffset>
            </wp:positionV>
            <wp:extent cx="2013738" cy="2743200"/>
            <wp:effectExtent l="0" t="0" r="0" b="0"/>
            <wp:wrapNone/>
            <wp:docPr id="2048682099"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8"/>
                    <a:srcRect l="29372" r="29371"/>
                    <a:stretch>
                      <a:fillRect/>
                    </a:stretch>
                  </pic:blipFill>
                  <pic:spPr>
                    <a:xfrm>
                      <a:off x="0" y="0"/>
                      <a:ext cx="2013738" cy="2743200"/>
                    </a:xfrm>
                    <a:prstGeom prst="rect">
                      <a:avLst/>
                    </a:prstGeom>
                    <a:ln/>
                  </pic:spPr>
                </pic:pic>
              </a:graphicData>
            </a:graphic>
          </wp:anchor>
        </w:drawing>
      </w:r>
    </w:p>
    <w:p w14:paraId="7801FCE4" w14:textId="2B9FFAC6"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18"/>
          <w:szCs w:val="18"/>
        </w:rPr>
        <w:t>December</w:t>
      </w:r>
      <w:r w:rsidR="00DE484F">
        <w:rPr>
          <w:rFonts w:ascii="Arial" w:eastAsia="Arial" w:hAnsi="Arial" w:cs="Arial"/>
          <w:color w:val="000000"/>
          <w:sz w:val="18"/>
          <w:szCs w:val="18"/>
        </w:rPr>
        <w:t xml:space="preserve"> 20,</w:t>
      </w:r>
      <w:r>
        <w:rPr>
          <w:rFonts w:ascii="Arial" w:eastAsia="Arial" w:hAnsi="Arial" w:cs="Arial"/>
          <w:color w:val="000000"/>
          <w:sz w:val="18"/>
          <w:szCs w:val="18"/>
        </w:rPr>
        <w:t xml:space="preserve"> 2021</w:t>
      </w:r>
      <w:r>
        <w:rPr>
          <w:rFonts w:ascii="Arial" w:eastAsia="Arial" w:hAnsi="Arial" w:cs="Arial"/>
          <w:color w:val="000000"/>
          <w:sz w:val="22"/>
          <w:szCs w:val="22"/>
        </w:rPr>
        <w:t xml:space="preserve"> </w:t>
      </w:r>
    </w:p>
    <w:p w14:paraId="7F4FA8F1" w14:textId="77777777" w:rsidR="00EC3DD2" w:rsidRDefault="00EC3DD2">
      <w:pPr>
        <w:spacing w:line="288" w:lineRule="auto"/>
        <w:rPr>
          <w:rFonts w:ascii="Arial" w:eastAsia="Arial" w:hAnsi="Arial" w:cs="Arial"/>
          <w:color w:val="000000"/>
          <w:sz w:val="22"/>
          <w:szCs w:val="22"/>
        </w:rPr>
      </w:pPr>
    </w:p>
    <w:p w14:paraId="2E1117F8" w14:textId="77777777" w:rsidR="00EC3DD2" w:rsidRDefault="000B41AC">
      <w:pPr>
        <w:pStyle w:val="Heading1"/>
      </w:pPr>
      <w:r>
        <w:t>Summary</w:t>
      </w:r>
    </w:p>
    <w:p w14:paraId="60D146A8" w14:textId="77777777" w:rsidR="00EC3DD2" w:rsidRDefault="00EC3DD2"/>
    <w:p w14:paraId="57907266" w14:textId="77777777" w:rsidR="00EC3DD2" w:rsidRDefault="000B41AC">
      <w:pPr>
        <w:numPr>
          <w:ilvl w:val="0"/>
          <w:numId w:val="2"/>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Port congestion is still impacting supply chains in North America and Europe in the run-up to the holiday season</w:t>
      </w:r>
    </w:p>
    <w:p w14:paraId="5B8184F3" w14:textId="77777777" w:rsidR="00EC3DD2" w:rsidRDefault="000B41AC">
      <w:pPr>
        <w:numPr>
          <w:ilvl w:val="0"/>
          <w:numId w:val="2"/>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Container dwell times are improving slightly, but export dwell times are overall higher than import dwell times</w:t>
      </w:r>
    </w:p>
    <w:p w14:paraId="12D64C93" w14:textId="77777777" w:rsidR="00EC3DD2" w:rsidRDefault="000B41AC">
      <w:pPr>
        <w:numPr>
          <w:ilvl w:val="0"/>
          <w:numId w:val="2"/>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Significant fluctuations in global container TEU capacity will continue throughout 2021, but with noticeable shortages in the second half of the year </w:t>
      </w:r>
    </w:p>
    <w:p w14:paraId="42446544" w14:textId="77777777" w:rsidR="00EC3DD2" w:rsidRDefault="000B41AC">
      <w:pPr>
        <w:numPr>
          <w:ilvl w:val="0"/>
          <w:numId w:val="2"/>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January-September 2021: Clear upward trend in container rollovers, but it’s too early to interpret the October dip</w:t>
      </w:r>
    </w:p>
    <w:p w14:paraId="3D4F4B8B" w14:textId="77777777" w:rsidR="00EC3DD2" w:rsidRDefault="00EC3DD2">
      <w:pPr>
        <w:pBdr>
          <w:top w:val="nil"/>
          <w:left w:val="nil"/>
          <w:bottom w:val="nil"/>
          <w:right w:val="nil"/>
          <w:between w:val="nil"/>
        </w:pBdr>
        <w:spacing w:line="288" w:lineRule="auto"/>
        <w:jc w:val="center"/>
        <w:rPr>
          <w:rFonts w:ascii="EB Garamond" w:eastAsia="EB Garamond" w:hAnsi="EB Garamond" w:cs="EB Garamond"/>
          <w:color w:val="2B579A"/>
          <w:shd w:val="clear" w:color="auto" w:fill="E6E6E6"/>
        </w:rPr>
      </w:pPr>
    </w:p>
    <w:p w14:paraId="2611DCED"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Port congestion occurs when ships arrive </w:t>
      </w:r>
      <w:r>
        <w:rPr>
          <w:rFonts w:ascii="Arial" w:eastAsia="Arial" w:hAnsi="Arial" w:cs="Arial"/>
          <w:sz w:val="22"/>
          <w:szCs w:val="22"/>
        </w:rPr>
        <w:t>outside a port</w:t>
      </w:r>
      <w:r>
        <w:rPr>
          <w:rFonts w:ascii="Arial" w:eastAsia="Arial" w:hAnsi="Arial" w:cs="Arial"/>
          <w:color w:val="000000"/>
          <w:sz w:val="22"/>
          <w:szCs w:val="22"/>
        </w:rPr>
        <w:t xml:space="preserve">, ready to commence cargo operations, but no berth is available. Consequently, the ships are required to wait at anchorage, or a holding area specified by a port within its limits until berths become available. </w:t>
      </w:r>
    </w:p>
    <w:p w14:paraId="16554A3D"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610DCD57"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As more and more ships join the queue, congestion at a port will worsen. Port congestion has become an increasingly serious problem in the past few months. The </w:t>
      </w:r>
      <w:r>
        <w:rPr>
          <w:rFonts w:ascii="Arial" w:eastAsia="Arial" w:hAnsi="Arial" w:cs="Arial"/>
          <w:sz w:val="22"/>
          <w:szCs w:val="22"/>
        </w:rPr>
        <w:t xml:space="preserve">chart </w:t>
      </w:r>
      <w:r>
        <w:rPr>
          <w:rFonts w:ascii="Arial" w:eastAsia="Arial" w:hAnsi="Arial" w:cs="Arial"/>
          <w:color w:val="000000"/>
          <w:sz w:val="22"/>
          <w:szCs w:val="22"/>
        </w:rPr>
        <w:t xml:space="preserve">below shows how it has impacted five key ports. </w:t>
      </w:r>
    </w:p>
    <w:p w14:paraId="698B71DF" w14:textId="199C693B" w:rsidR="00EC3DD2" w:rsidRDefault="00EC3DD2">
      <w:pPr>
        <w:pBdr>
          <w:top w:val="nil"/>
          <w:left w:val="nil"/>
          <w:bottom w:val="nil"/>
          <w:right w:val="nil"/>
          <w:between w:val="nil"/>
        </w:pBdr>
        <w:spacing w:line="288" w:lineRule="auto"/>
        <w:rPr>
          <w:rFonts w:ascii="Arial" w:eastAsia="Arial" w:hAnsi="Arial" w:cs="Arial"/>
          <w:sz w:val="22"/>
          <w:szCs w:val="22"/>
        </w:rPr>
      </w:pPr>
    </w:p>
    <w:p w14:paraId="207DB083" w14:textId="10E94E49" w:rsidR="00D1326D" w:rsidRDefault="00D1326D">
      <w:pPr>
        <w:pBdr>
          <w:top w:val="nil"/>
          <w:left w:val="nil"/>
          <w:bottom w:val="nil"/>
          <w:right w:val="nil"/>
          <w:between w:val="nil"/>
        </w:pBdr>
        <w:spacing w:line="288" w:lineRule="auto"/>
        <w:rPr>
          <w:rFonts w:ascii="Arial" w:eastAsia="Arial" w:hAnsi="Arial" w:cs="Arial"/>
          <w:sz w:val="22"/>
          <w:szCs w:val="22"/>
        </w:rPr>
      </w:pPr>
    </w:p>
    <w:p w14:paraId="616CFEF0" w14:textId="77777777" w:rsidR="00D1326D" w:rsidRDefault="00D1326D">
      <w:pPr>
        <w:pBdr>
          <w:top w:val="nil"/>
          <w:left w:val="nil"/>
          <w:bottom w:val="nil"/>
          <w:right w:val="nil"/>
          <w:between w:val="nil"/>
        </w:pBdr>
        <w:spacing w:line="288" w:lineRule="auto"/>
        <w:rPr>
          <w:rFonts w:ascii="Arial" w:eastAsia="Arial" w:hAnsi="Arial" w:cs="Arial"/>
          <w:sz w:val="22"/>
          <w:szCs w:val="22"/>
        </w:rPr>
      </w:pPr>
    </w:p>
    <w:p w14:paraId="29557443" w14:textId="08D5C500" w:rsidR="0067296A" w:rsidRDefault="0067296A">
      <w:pPr>
        <w:pBdr>
          <w:top w:val="nil"/>
          <w:left w:val="nil"/>
          <w:bottom w:val="nil"/>
          <w:right w:val="nil"/>
          <w:between w:val="nil"/>
        </w:pBdr>
        <w:spacing w:line="288" w:lineRule="auto"/>
        <w:rPr>
          <w:rFonts w:ascii="Arial" w:eastAsia="Arial" w:hAnsi="Arial" w:cs="Arial"/>
          <w:sz w:val="22"/>
          <w:szCs w:val="22"/>
        </w:rPr>
      </w:pPr>
    </w:p>
    <w:p w14:paraId="0DD91688" w14:textId="77777777" w:rsidR="0067296A" w:rsidRDefault="0067296A" w:rsidP="0067296A">
      <w:pPr>
        <w:pBdr>
          <w:top w:val="nil"/>
          <w:left w:val="nil"/>
          <w:bottom w:val="nil"/>
          <w:right w:val="nil"/>
          <w:between w:val="nil"/>
        </w:pBdr>
        <w:spacing w:line="288" w:lineRule="auto"/>
        <w:jc w:val="center"/>
        <w:rPr>
          <w:rFonts w:ascii="Arial" w:eastAsia="Arial" w:hAnsi="Arial" w:cs="Arial"/>
          <w:color w:val="000000"/>
          <w:sz w:val="22"/>
          <w:szCs w:val="22"/>
        </w:rPr>
      </w:pPr>
      <w:r>
        <w:rPr>
          <w:rFonts w:ascii="Arial" w:eastAsia="Arial" w:hAnsi="Arial" w:cs="Arial"/>
          <w:color w:val="000000"/>
          <w:sz w:val="22"/>
          <w:szCs w:val="22"/>
        </w:rPr>
        <w:t>[See the chart on the next page]</w:t>
      </w:r>
    </w:p>
    <w:p w14:paraId="0BF33F89" w14:textId="77777777" w:rsidR="0067296A" w:rsidRDefault="0067296A">
      <w:pPr>
        <w:pBdr>
          <w:top w:val="nil"/>
          <w:left w:val="nil"/>
          <w:bottom w:val="nil"/>
          <w:right w:val="nil"/>
          <w:between w:val="nil"/>
        </w:pBdr>
        <w:spacing w:line="288" w:lineRule="auto"/>
        <w:rPr>
          <w:rFonts w:ascii="Arial" w:eastAsia="Arial" w:hAnsi="Arial" w:cs="Arial"/>
          <w:sz w:val="22"/>
          <w:szCs w:val="22"/>
        </w:rPr>
      </w:pPr>
    </w:p>
    <w:p w14:paraId="6E4E3499" w14:textId="77777777" w:rsidR="0067296A" w:rsidRDefault="0067296A">
      <w:pPr>
        <w:spacing w:line="288" w:lineRule="auto"/>
        <w:jc w:val="center"/>
        <w:rPr>
          <w:rFonts w:ascii="EB Garamond" w:eastAsia="EB Garamond" w:hAnsi="EB Garamond" w:cs="EB Garamond"/>
          <w:color w:val="2B579A"/>
          <w:shd w:val="clear" w:color="auto" w:fill="E6E6E6"/>
        </w:rPr>
      </w:pPr>
    </w:p>
    <w:p w14:paraId="6E6AB233" w14:textId="77777777" w:rsidR="0067296A" w:rsidRDefault="0067296A">
      <w:pPr>
        <w:spacing w:line="288" w:lineRule="auto"/>
        <w:jc w:val="center"/>
        <w:rPr>
          <w:rFonts w:ascii="EB Garamond" w:eastAsia="EB Garamond" w:hAnsi="EB Garamond" w:cs="EB Garamond"/>
          <w:color w:val="2B579A"/>
          <w:shd w:val="clear" w:color="auto" w:fill="E6E6E6"/>
        </w:rPr>
      </w:pPr>
    </w:p>
    <w:p w14:paraId="42424661" w14:textId="77777777" w:rsidR="0067296A" w:rsidRDefault="0067296A">
      <w:pPr>
        <w:spacing w:line="288" w:lineRule="auto"/>
        <w:jc w:val="center"/>
        <w:rPr>
          <w:rFonts w:ascii="EB Garamond" w:eastAsia="EB Garamond" w:hAnsi="EB Garamond" w:cs="EB Garamond"/>
          <w:color w:val="2B579A"/>
          <w:shd w:val="clear" w:color="auto" w:fill="E6E6E6"/>
        </w:rPr>
      </w:pPr>
    </w:p>
    <w:p w14:paraId="2F182948" w14:textId="77777777" w:rsidR="0067296A" w:rsidRDefault="0067296A">
      <w:pPr>
        <w:spacing w:line="288" w:lineRule="auto"/>
        <w:jc w:val="center"/>
        <w:rPr>
          <w:rFonts w:ascii="EB Garamond" w:eastAsia="EB Garamond" w:hAnsi="EB Garamond" w:cs="EB Garamond"/>
          <w:color w:val="2B579A"/>
          <w:shd w:val="clear" w:color="auto" w:fill="E6E6E6"/>
        </w:rPr>
      </w:pPr>
    </w:p>
    <w:p w14:paraId="375E65E0" w14:textId="77777777" w:rsidR="00D1326D" w:rsidRDefault="00D1326D">
      <w:pPr>
        <w:spacing w:line="288" w:lineRule="auto"/>
        <w:jc w:val="center"/>
        <w:rPr>
          <w:rFonts w:ascii="EB Garamond" w:eastAsia="EB Garamond" w:hAnsi="EB Garamond" w:cs="EB Garamond"/>
          <w:color w:val="2B579A"/>
          <w:shd w:val="clear" w:color="auto" w:fill="E6E6E6"/>
        </w:rPr>
      </w:pPr>
    </w:p>
    <w:p w14:paraId="5FB9873C" w14:textId="77777777" w:rsidR="00D1326D" w:rsidRDefault="00D1326D">
      <w:pPr>
        <w:spacing w:line="288" w:lineRule="auto"/>
        <w:jc w:val="center"/>
        <w:rPr>
          <w:rFonts w:ascii="EB Garamond" w:eastAsia="EB Garamond" w:hAnsi="EB Garamond" w:cs="EB Garamond"/>
          <w:color w:val="2B579A"/>
          <w:shd w:val="clear" w:color="auto" w:fill="E6E6E6"/>
        </w:rPr>
      </w:pPr>
    </w:p>
    <w:p w14:paraId="259C6E1A" w14:textId="6B85E9E7" w:rsidR="00EC3DD2" w:rsidRDefault="000B41AC">
      <w:pPr>
        <w:spacing w:line="288" w:lineRule="auto"/>
        <w:jc w:val="center"/>
        <w:rPr>
          <w:rFonts w:ascii="EB Garamond" w:eastAsia="EB Garamond" w:hAnsi="EB Garamond" w:cs="EB Garamond"/>
          <w:color w:val="2B579A"/>
          <w:shd w:val="clear" w:color="auto" w:fill="E6E6E6"/>
        </w:rPr>
      </w:pPr>
      <w:r>
        <w:rPr>
          <w:rFonts w:ascii="EB Garamond" w:eastAsia="EB Garamond" w:hAnsi="EB Garamond" w:cs="EB Garamond"/>
          <w:noProof/>
          <w:color w:val="2B579A"/>
          <w:shd w:val="clear" w:color="auto" w:fill="E6E6E6"/>
        </w:rPr>
        <w:drawing>
          <wp:inline distT="114300" distB="114300" distL="114300" distR="114300" wp14:anchorId="31CE75B8" wp14:editId="5886EBE2">
            <wp:extent cx="5731200" cy="3251200"/>
            <wp:effectExtent l="0" t="0" r="0" b="0"/>
            <wp:docPr id="204868209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731200" cy="3251200"/>
                    </a:xfrm>
                    <a:prstGeom prst="rect">
                      <a:avLst/>
                    </a:prstGeom>
                    <a:ln/>
                  </pic:spPr>
                </pic:pic>
              </a:graphicData>
            </a:graphic>
          </wp:inline>
        </w:drawing>
      </w:r>
    </w:p>
    <w:p w14:paraId="3C3D4174"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1504C19B"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Although the situation is improving somewhat in Britain’s No. 1 container port Felixstowe, in Rotterdam, Europe’s leading container port, and in Savannah, one of the most important ports on the US East Coast, port congestion is still particularly bad at the US port complex of Los Angeles/Long Beach, which accounts for 40% of US imports.</w:t>
      </w:r>
    </w:p>
    <w:p w14:paraId="72840F34"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w:t>
      </w:r>
    </w:p>
    <w:p w14:paraId="1248E0C5" w14:textId="1D67B11C" w:rsidR="0067296A"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To measure Los Angeles congestion, we use a generous 80 nautical mile (92 miles) radius out from the port on anchored container ships and with vessels a &lt;5 knots speed. November’s drop in the number of vessels queueing near San Pedro Bay would suggest a reduction in vessel traffic, however, with the recent changes to the vessel queuing system at San Pedro Bay to reduce smog emissions near the city, many container ships (approx. 50 as of Dec 15) are now slow steaming much further off the coast of Southern California and Baja, Mexico. </w:t>
      </w:r>
    </w:p>
    <w:p w14:paraId="2E02363F" w14:textId="77777777" w:rsidR="0067296A" w:rsidRDefault="0067296A">
      <w:pPr>
        <w:pBdr>
          <w:top w:val="nil"/>
          <w:left w:val="nil"/>
          <w:bottom w:val="nil"/>
          <w:right w:val="nil"/>
          <w:between w:val="nil"/>
        </w:pBdr>
        <w:spacing w:line="288" w:lineRule="auto"/>
        <w:rPr>
          <w:rFonts w:ascii="Arial" w:eastAsia="Arial" w:hAnsi="Arial" w:cs="Arial"/>
          <w:color w:val="000000"/>
          <w:sz w:val="22"/>
          <w:szCs w:val="22"/>
        </w:rPr>
      </w:pPr>
    </w:p>
    <w:p w14:paraId="4D72D55C" w14:textId="77777777" w:rsidR="00EC3DD2" w:rsidRDefault="000B41AC">
      <w:pPr>
        <w:pBdr>
          <w:top w:val="nil"/>
          <w:left w:val="nil"/>
          <w:bottom w:val="nil"/>
          <w:right w:val="nil"/>
          <w:between w:val="nil"/>
        </w:pBdr>
        <w:spacing w:line="288" w:lineRule="auto"/>
        <w:jc w:val="center"/>
        <w:rPr>
          <w:rFonts w:ascii="EB Garamond" w:eastAsia="EB Garamond" w:hAnsi="EB Garamond" w:cs="EB Garamond"/>
        </w:rPr>
      </w:pPr>
      <w:r>
        <w:rPr>
          <w:rFonts w:ascii="EB Garamond" w:eastAsia="EB Garamond" w:hAnsi="EB Garamond" w:cs="EB Garamond"/>
          <w:noProof/>
        </w:rPr>
        <w:drawing>
          <wp:inline distT="114300" distB="114300" distL="114300" distR="114300" wp14:anchorId="4B142759" wp14:editId="7C427AA3">
            <wp:extent cx="5730875" cy="3184071"/>
            <wp:effectExtent l="0" t="0" r="0" b="3810"/>
            <wp:docPr id="204868209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739349" cy="3188779"/>
                    </a:xfrm>
                    <a:prstGeom prst="rect">
                      <a:avLst/>
                    </a:prstGeom>
                    <a:ln/>
                  </pic:spPr>
                </pic:pic>
              </a:graphicData>
            </a:graphic>
          </wp:inline>
        </w:drawing>
      </w:r>
    </w:p>
    <w:p w14:paraId="49700875" w14:textId="77777777" w:rsidR="00EC3DD2" w:rsidRDefault="00EC3DD2">
      <w:pPr>
        <w:pBdr>
          <w:top w:val="nil"/>
          <w:left w:val="nil"/>
          <w:bottom w:val="nil"/>
          <w:right w:val="nil"/>
          <w:between w:val="nil"/>
        </w:pBdr>
        <w:spacing w:line="288" w:lineRule="auto"/>
        <w:jc w:val="center"/>
        <w:rPr>
          <w:rFonts w:ascii="EB Garamond" w:eastAsia="EB Garamond" w:hAnsi="EB Garamond" w:cs="EB Garamond"/>
        </w:rPr>
      </w:pPr>
    </w:p>
    <w:p w14:paraId="34479133"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0C39B570"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6A0148C4" w14:textId="389A22E6"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The North America West Coast congestion problem was exacerbated by severe flooding that cut all major road and rail links between the Port of Vancouver and inland destinations in Canada and the US in mid-November. The resulting port congestion in this key British Columbia port meant it made no sense for vessels heading from Asia to the West Coast of North America to re-route to Vancouver.</w:t>
      </w:r>
    </w:p>
    <w:p w14:paraId="4E51865B"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289C3444" w14:textId="77777777" w:rsidR="00EC3DD2" w:rsidRDefault="000B41AC">
      <w:pPr>
        <w:pBdr>
          <w:top w:val="nil"/>
          <w:left w:val="nil"/>
          <w:bottom w:val="nil"/>
          <w:right w:val="nil"/>
          <w:between w:val="nil"/>
        </w:pBdr>
        <w:spacing w:line="288" w:lineRule="auto"/>
        <w:jc w:val="center"/>
        <w:rPr>
          <w:rFonts w:ascii="Arial" w:eastAsia="Arial" w:hAnsi="Arial" w:cs="Arial"/>
          <w:color w:val="000000"/>
          <w:sz w:val="22"/>
          <w:szCs w:val="22"/>
        </w:rPr>
      </w:pPr>
      <w:r>
        <w:rPr>
          <w:rFonts w:ascii="EB Garamond" w:eastAsia="EB Garamond" w:hAnsi="EB Garamond" w:cs="EB Garamond"/>
          <w:noProof/>
          <w:color w:val="000000"/>
          <w:sz w:val="18"/>
          <w:szCs w:val="18"/>
          <w:shd w:val="clear" w:color="auto" w:fill="E6E6E6"/>
        </w:rPr>
        <w:drawing>
          <wp:inline distT="0" distB="0" distL="0" distR="0" wp14:anchorId="46961327" wp14:editId="066992B8">
            <wp:extent cx="5486400" cy="3056717"/>
            <wp:effectExtent l="0" t="0" r="0" b="0"/>
            <wp:docPr id="2048682094" name="image15.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5.jpg" descr="Map&#10;&#10;Description automatically generated"/>
                    <pic:cNvPicPr preferRelativeResize="0"/>
                  </pic:nvPicPr>
                  <pic:blipFill>
                    <a:blip r:embed="rId11"/>
                    <a:srcRect b="16493"/>
                    <a:stretch>
                      <a:fillRect/>
                    </a:stretch>
                  </pic:blipFill>
                  <pic:spPr>
                    <a:xfrm>
                      <a:off x="0" y="0"/>
                      <a:ext cx="5486400" cy="3056717"/>
                    </a:xfrm>
                    <a:prstGeom prst="rect">
                      <a:avLst/>
                    </a:prstGeom>
                    <a:ln/>
                  </pic:spPr>
                </pic:pic>
              </a:graphicData>
            </a:graphic>
          </wp:inline>
        </w:drawing>
      </w:r>
    </w:p>
    <w:p w14:paraId="0B8DDB10"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5C19BDCB"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The cumulative effects of the congestion are impacting the North American and European retail sectors in the run-up to the holiday season, particularly as a large proportion of Christmas gifts are manufactured in Asia. However, the longer-term and ultimately more serious impact of this port congestion is on the just-in-time manufacturing methodology that has become the dominant production philosophy in recent decades. More on this in our next Monthly Data Update. </w:t>
      </w:r>
    </w:p>
    <w:p w14:paraId="6292EB70"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395F0799" w14:textId="77777777" w:rsidR="00EC3DD2" w:rsidRDefault="000B41AC">
      <w:pPr>
        <w:pStyle w:val="Heading1"/>
      </w:pPr>
      <w:r>
        <w:t>Container Dwell Times   </w:t>
      </w:r>
    </w:p>
    <w:p w14:paraId="0DB33F3E"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308DEC04"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Container dwell time measures the time that: </w:t>
      </w:r>
    </w:p>
    <w:p w14:paraId="4FA41BA9" w14:textId="77777777" w:rsidR="00EC3DD2" w:rsidRDefault="000B41AC">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i/>
          <w:color w:val="000000"/>
          <w:sz w:val="22"/>
          <w:szCs w:val="22"/>
        </w:rPr>
        <w:t>An import container spends in port between being discharged from a vessel and leaving the port for delivery to customers;</w:t>
      </w:r>
    </w:p>
    <w:p w14:paraId="65C603CD" w14:textId="77777777" w:rsidR="00EC3DD2" w:rsidRDefault="000B41AC">
      <w:pPr>
        <w:numPr>
          <w:ilvl w:val="0"/>
          <w:numId w:val="1"/>
        </w:num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i/>
          <w:color w:val="000000"/>
          <w:sz w:val="22"/>
          <w:szCs w:val="22"/>
        </w:rPr>
        <w:t>An export container spends in port between arriving at that port and being loaded onto a vessel. </w:t>
      </w:r>
      <w:r>
        <w:rPr>
          <w:rFonts w:ascii="Arial" w:eastAsia="Arial" w:hAnsi="Arial" w:cs="Arial"/>
          <w:color w:val="000000"/>
          <w:sz w:val="22"/>
          <w:szCs w:val="22"/>
        </w:rPr>
        <w:t> </w:t>
      </w:r>
    </w:p>
    <w:p w14:paraId="788CAE67"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480BAAF1"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Export and import container dwell time data for November 2021 revealed improvements in over 50% of the ports tracked compared to October 2021.</w:t>
      </w:r>
    </w:p>
    <w:p w14:paraId="02A9AD68"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426E17B1" w14:textId="77777777" w:rsidR="00EC3DD2" w:rsidRDefault="000B41AC">
      <w:pPr>
        <w:pBdr>
          <w:top w:val="nil"/>
          <w:left w:val="nil"/>
          <w:bottom w:val="nil"/>
          <w:right w:val="nil"/>
          <w:between w:val="nil"/>
        </w:pBdr>
        <w:spacing w:line="288" w:lineRule="auto"/>
        <w:rPr>
          <w:rFonts w:ascii="EB Garamond" w:eastAsia="EB Garamond" w:hAnsi="EB Garamond" w:cs="EB Garamond"/>
          <w:color w:val="000000"/>
          <w:sz w:val="22"/>
          <w:szCs w:val="22"/>
        </w:rPr>
      </w:pPr>
      <w:r>
        <w:rPr>
          <w:rFonts w:ascii="Arial" w:eastAsia="Arial" w:hAnsi="Arial" w:cs="Arial"/>
          <w:color w:val="000000"/>
          <w:sz w:val="22"/>
          <w:szCs w:val="22"/>
        </w:rPr>
        <w:t>Except for Vancouver (for reasons explained above), export container dwell times fell by three days in the major ports of Felixstowe, Yantian by two days, and Hong Kong and Savannah by one day.</w:t>
      </w:r>
    </w:p>
    <w:p w14:paraId="148FC1E3"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14DC1D87"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5EAF9A99"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2D0C69CF"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6A0DF11D" w14:textId="11CAD2FA"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Four ports saw import container dwell times fall between October and November: Felixstowe by two days and Hong Kong, Shanghai, and Yantian by one day. Here, too, the exception to the rule was Vancouver for reasons explained above.</w:t>
      </w:r>
    </w:p>
    <w:p w14:paraId="33E7C299"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5D2131FC" w14:textId="6152ECEE" w:rsidR="00EC3DD2" w:rsidRDefault="000B41AC">
      <w:pPr>
        <w:pBdr>
          <w:top w:val="nil"/>
          <w:left w:val="nil"/>
          <w:bottom w:val="nil"/>
          <w:right w:val="nil"/>
          <w:between w:val="nil"/>
        </w:pBdr>
        <w:spacing w:line="288" w:lineRule="auto"/>
        <w:jc w:val="center"/>
        <w:rPr>
          <w:rFonts w:ascii="EB Garamond" w:eastAsia="EB Garamond" w:hAnsi="EB Garamond" w:cs="EB Garamond"/>
          <w:color w:val="000000"/>
        </w:rPr>
      </w:pPr>
      <w:r>
        <w:rPr>
          <w:rFonts w:ascii="EB Garamond" w:eastAsia="EB Garamond" w:hAnsi="EB Garamond" w:cs="EB Garamond"/>
          <w:noProof/>
        </w:rPr>
        <w:drawing>
          <wp:inline distT="114300" distB="114300" distL="114300" distR="114300" wp14:anchorId="1B2E3E44" wp14:editId="58176AA1">
            <wp:extent cx="6025955" cy="3493452"/>
            <wp:effectExtent l="0" t="0" r="0" b="0"/>
            <wp:docPr id="204868209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025955" cy="3493452"/>
                    </a:xfrm>
                    <a:prstGeom prst="rect">
                      <a:avLst/>
                    </a:prstGeom>
                    <a:ln/>
                  </pic:spPr>
                </pic:pic>
              </a:graphicData>
            </a:graphic>
          </wp:inline>
        </w:drawing>
      </w:r>
    </w:p>
    <w:p w14:paraId="455851D5" w14:textId="77777777" w:rsidR="0067296A" w:rsidRDefault="0067296A">
      <w:pPr>
        <w:pBdr>
          <w:top w:val="nil"/>
          <w:left w:val="nil"/>
          <w:bottom w:val="nil"/>
          <w:right w:val="nil"/>
          <w:between w:val="nil"/>
        </w:pBdr>
        <w:spacing w:line="288" w:lineRule="auto"/>
        <w:jc w:val="center"/>
        <w:rPr>
          <w:rFonts w:ascii="EB Garamond" w:eastAsia="EB Garamond" w:hAnsi="EB Garamond" w:cs="EB Garamond"/>
          <w:color w:val="000000"/>
        </w:rPr>
      </w:pPr>
    </w:p>
    <w:p w14:paraId="5D87788C" w14:textId="77777777" w:rsidR="00EC3DD2" w:rsidRDefault="000B41AC">
      <w:pPr>
        <w:pBdr>
          <w:top w:val="nil"/>
          <w:left w:val="nil"/>
          <w:bottom w:val="nil"/>
          <w:right w:val="nil"/>
          <w:between w:val="nil"/>
        </w:pBdr>
        <w:spacing w:line="288" w:lineRule="auto"/>
        <w:jc w:val="center"/>
        <w:rPr>
          <w:rFonts w:ascii="EB Garamond" w:eastAsia="EB Garamond" w:hAnsi="EB Garamond" w:cs="EB Garamond"/>
          <w:color w:val="000000"/>
        </w:rPr>
      </w:pPr>
      <w:r>
        <w:rPr>
          <w:rFonts w:ascii="EB Garamond" w:eastAsia="EB Garamond" w:hAnsi="EB Garamond" w:cs="EB Garamond"/>
          <w:noProof/>
          <w:color w:val="000000"/>
        </w:rPr>
        <w:drawing>
          <wp:inline distT="0" distB="0" distL="0" distR="0" wp14:anchorId="1562779C" wp14:editId="75C9FF45">
            <wp:extent cx="6025515" cy="3543935"/>
            <wp:effectExtent l="0" t="0" r="0" b="0"/>
            <wp:docPr id="204868209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6026054" cy="3544252"/>
                    </a:xfrm>
                    <a:prstGeom prst="rect">
                      <a:avLst/>
                    </a:prstGeom>
                    <a:ln/>
                  </pic:spPr>
                </pic:pic>
              </a:graphicData>
            </a:graphic>
          </wp:inline>
        </w:drawing>
      </w:r>
    </w:p>
    <w:p w14:paraId="31287132" w14:textId="77777777" w:rsidR="00EC3DD2" w:rsidRDefault="00EC3DD2">
      <w:pPr>
        <w:pBdr>
          <w:top w:val="nil"/>
          <w:left w:val="nil"/>
          <w:bottom w:val="nil"/>
          <w:right w:val="nil"/>
          <w:between w:val="nil"/>
        </w:pBdr>
        <w:spacing w:line="288" w:lineRule="auto"/>
        <w:rPr>
          <w:rFonts w:ascii="EB Garamond" w:eastAsia="EB Garamond" w:hAnsi="EB Garamond" w:cs="EB Garamond"/>
          <w:color w:val="000000"/>
          <w:sz w:val="22"/>
          <w:szCs w:val="22"/>
        </w:rPr>
      </w:pPr>
    </w:p>
    <w:p w14:paraId="58AA0FDA" w14:textId="77777777" w:rsidR="00D1326D"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However, it must be noted that with </w:t>
      </w:r>
      <w:r>
        <w:rPr>
          <w:rFonts w:ascii="Arial" w:eastAsia="Arial" w:hAnsi="Arial" w:cs="Arial"/>
          <w:sz w:val="22"/>
          <w:szCs w:val="22"/>
        </w:rPr>
        <w:t xml:space="preserve">the </w:t>
      </w:r>
      <w:r>
        <w:rPr>
          <w:rFonts w:ascii="Arial" w:eastAsia="Arial" w:hAnsi="Arial" w:cs="Arial"/>
          <w:color w:val="000000"/>
          <w:sz w:val="22"/>
          <w:szCs w:val="22"/>
        </w:rPr>
        <w:t>exception of Shanghai</w:t>
      </w:r>
      <w:r>
        <w:rPr>
          <w:rFonts w:ascii="Arial" w:eastAsia="Arial" w:hAnsi="Arial" w:cs="Arial"/>
          <w:sz w:val="22"/>
          <w:szCs w:val="22"/>
        </w:rPr>
        <w:t>,</w:t>
      </w:r>
      <w:r>
        <w:rPr>
          <w:rFonts w:ascii="Arial" w:eastAsia="Arial" w:hAnsi="Arial" w:cs="Arial"/>
          <w:color w:val="000000"/>
          <w:sz w:val="22"/>
          <w:szCs w:val="22"/>
        </w:rPr>
        <w:t xml:space="preserve"> export container dwell times in all </w:t>
      </w:r>
      <w:r>
        <w:rPr>
          <w:rFonts w:ascii="Arial" w:eastAsia="Arial" w:hAnsi="Arial" w:cs="Arial"/>
          <w:sz w:val="22"/>
          <w:szCs w:val="22"/>
        </w:rPr>
        <w:t xml:space="preserve">these </w:t>
      </w:r>
      <w:r>
        <w:rPr>
          <w:rFonts w:ascii="Arial" w:eastAsia="Arial" w:hAnsi="Arial" w:cs="Arial"/>
          <w:color w:val="000000"/>
          <w:sz w:val="22"/>
          <w:szCs w:val="22"/>
        </w:rPr>
        <w:t xml:space="preserve">major ports were higher than import container dwell times, and in some cases, the export figure was more than twice as high. The reason why the majority of export dwell </w:t>
      </w:r>
    </w:p>
    <w:p w14:paraId="19D40D17"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5CAB0E0B"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778B58F0" w14:textId="7706D876"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times are higher is because of the urgent need to deliver Asian-made goods to their destinations in time for Christmas resulted in import containers being given preferential treatment. That, coupled with ballooning port congestion, </w:t>
      </w:r>
      <w:r>
        <w:rPr>
          <w:rFonts w:ascii="Arial" w:eastAsia="Arial" w:hAnsi="Arial" w:cs="Arial"/>
          <w:sz w:val="22"/>
          <w:szCs w:val="22"/>
        </w:rPr>
        <w:t xml:space="preserve">means that ships were not able to </w:t>
      </w:r>
      <w:r>
        <w:rPr>
          <w:rFonts w:ascii="Arial" w:eastAsia="Arial" w:hAnsi="Arial" w:cs="Arial"/>
          <w:color w:val="000000"/>
          <w:sz w:val="22"/>
          <w:szCs w:val="22"/>
        </w:rPr>
        <w:t xml:space="preserve"> berth on time to load export containers.</w:t>
      </w:r>
    </w:p>
    <w:p w14:paraId="37DFDDDB" w14:textId="77777777" w:rsidR="00EC3DD2" w:rsidRDefault="00EC3DD2">
      <w:pPr>
        <w:pBdr>
          <w:top w:val="nil"/>
          <w:left w:val="nil"/>
          <w:bottom w:val="nil"/>
          <w:right w:val="nil"/>
          <w:between w:val="nil"/>
        </w:pBdr>
        <w:spacing w:line="288" w:lineRule="auto"/>
        <w:rPr>
          <w:rFonts w:ascii="EB Garamond" w:eastAsia="EB Garamond" w:hAnsi="EB Garamond" w:cs="EB Garamond"/>
          <w:color w:val="000000"/>
          <w:sz w:val="22"/>
          <w:szCs w:val="22"/>
        </w:rPr>
      </w:pPr>
    </w:p>
    <w:p w14:paraId="224EFF57" w14:textId="77777777" w:rsidR="00EC3DD2" w:rsidRDefault="000B41AC">
      <w:pPr>
        <w:pBdr>
          <w:top w:val="nil"/>
          <w:left w:val="nil"/>
          <w:bottom w:val="nil"/>
          <w:right w:val="nil"/>
          <w:between w:val="nil"/>
        </w:pBdr>
        <w:spacing w:line="288" w:lineRule="auto"/>
        <w:jc w:val="center"/>
        <w:rPr>
          <w:rFonts w:ascii="EB Garamond" w:eastAsia="EB Garamond" w:hAnsi="EB Garamond" w:cs="EB Garamond"/>
          <w:color w:val="000000"/>
        </w:rPr>
      </w:pPr>
      <w:r>
        <w:rPr>
          <w:rFonts w:ascii="EB Garamond" w:eastAsia="EB Garamond" w:hAnsi="EB Garamond" w:cs="EB Garamond"/>
          <w:noProof/>
        </w:rPr>
        <w:drawing>
          <wp:inline distT="114300" distB="114300" distL="114300" distR="114300" wp14:anchorId="194A1FB8" wp14:editId="4BAF8C9E">
            <wp:extent cx="5731200" cy="3327400"/>
            <wp:effectExtent l="0" t="0" r="0" b="0"/>
            <wp:docPr id="204868210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5731200" cy="3327400"/>
                    </a:xfrm>
                    <a:prstGeom prst="rect">
                      <a:avLst/>
                    </a:prstGeom>
                    <a:ln/>
                  </pic:spPr>
                </pic:pic>
              </a:graphicData>
            </a:graphic>
          </wp:inline>
        </w:drawing>
      </w:r>
    </w:p>
    <w:p w14:paraId="4BA66BD8"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4A8422FF"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Another contributing factor is linked to the berthing congestion described above, which meant the ships did not arrive in time to pick up export containers that had been delivered at the port for loading on a particular ship.</w:t>
      </w:r>
    </w:p>
    <w:p w14:paraId="4A3F6F32" w14:textId="77777777" w:rsidR="00EC3DD2" w:rsidRDefault="00EC3DD2">
      <w:pPr>
        <w:pBdr>
          <w:top w:val="nil"/>
          <w:left w:val="nil"/>
          <w:bottom w:val="nil"/>
          <w:right w:val="nil"/>
          <w:between w:val="nil"/>
        </w:pBdr>
        <w:spacing w:line="288" w:lineRule="auto"/>
        <w:jc w:val="center"/>
        <w:rPr>
          <w:rFonts w:ascii="EB Garamond" w:eastAsia="EB Garamond" w:hAnsi="EB Garamond" w:cs="EB Garamond"/>
          <w:color w:val="000000"/>
          <w:sz w:val="22"/>
          <w:szCs w:val="22"/>
        </w:rPr>
      </w:pPr>
    </w:p>
    <w:p w14:paraId="7E99B3D7" w14:textId="77777777" w:rsidR="00EC3DD2" w:rsidRDefault="000B41AC">
      <w:pPr>
        <w:pStyle w:val="Heading1"/>
      </w:pPr>
      <w:r>
        <w:t>Port Vessel Capacity </w:t>
      </w:r>
    </w:p>
    <w:p w14:paraId="699547C6" w14:textId="77777777" w:rsidR="00EC3DD2" w:rsidRDefault="00EC3DD2">
      <w:pPr>
        <w:pBdr>
          <w:top w:val="nil"/>
          <w:left w:val="nil"/>
          <w:bottom w:val="nil"/>
          <w:right w:val="nil"/>
          <w:between w:val="nil"/>
        </w:pBdr>
        <w:spacing w:line="288" w:lineRule="auto"/>
        <w:rPr>
          <w:rFonts w:ascii="EB Garamond" w:eastAsia="EB Garamond" w:hAnsi="EB Garamond" w:cs="EB Garamond"/>
          <w:color w:val="000000"/>
          <w:sz w:val="22"/>
          <w:szCs w:val="22"/>
        </w:rPr>
      </w:pPr>
    </w:p>
    <w:p w14:paraId="1EEF5CC2"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project44 also tracks the TEU capacity of the vessels calling at the above listed ports. Singapore had the highest number in TEU terms due to the number of services and ultra-large container vessels (ULCVs) calling there, and its status as the world’s leading transhipment hub. The chart below reveals significant fluctuations in tracked vessel TEU capacity at the 12 main global ports over the year in 2021. </w:t>
      </w:r>
      <w:r>
        <w:rPr>
          <w:rFonts w:ascii="EB Garamond" w:eastAsia="EB Garamond" w:hAnsi="EB Garamond" w:cs="EB Garamond"/>
          <w:color w:val="000000"/>
        </w:rPr>
        <w:tab/>
      </w:r>
    </w:p>
    <w:p w14:paraId="5FC6528B" w14:textId="6AA883E8"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5DD946BA" w14:textId="77777777" w:rsidR="0067296A" w:rsidRDefault="0067296A">
      <w:pPr>
        <w:pBdr>
          <w:top w:val="nil"/>
          <w:left w:val="nil"/>
          <w:bottom w:val="nil"/>
          <w:right w:val="nil"/>
          <w:between w:val="nil"/>
        </w:pBdr>
        <w:spacing w:line="288" w:lineRule="auto"/>
        <w:rPr>
          <w:rFonts w:ascii="Arial" w:eastAsia="Arial" w:hAnsi="Arial" w:cs="Arial"/>
          <w:color w:val="000000"/>
          <w:sz w:val="22"/>
          <w:szCs w:val="22"/>
        </w:rPr>
      </w:pPr>
    </w:p>
    <w:p w14:paraId="3667ACBF" w14:textId="425AF48D" w:rsidR="0067296A" w:rsidRDefault="0067296A">
      <w:pPr>
        <w:pBdr>
          <w:top w:val="nil"/>
          <w:left w:val="nil"/>
          <w:bottom w:val="nil"/>
          <w:right w:val="nil"/>
          <w:between w:val="nil"/>
        </w:pBdr>
        <w:spacing w:line="288" w:lineRule="auto"/>
        <w:rPr>
          <w:rFonts w:ascii="Arial" w:eastAsia="Arial" w:hAnsi="Arial" w:cs="Arial"/>
          <w:color w:val="000000"/>
          <w:sz w:val="22"/>
          <w:szCs w:val="22"/>
        </w:rPr>
      </w:pPr>
    </w:p>
    <w:p w14:paraId="4E173065" w14:textId="77777777" w:rsidR="0067296A" w:rsidRDefault="0067296A" w:rsidP="0067296A">
      <w:pPr>
        <w:pBdr>
          <w:top w:val="nil"/>
          <w:left w:val="nil"/>
          <w:bottom w:val="nil"/>
          <w:right w:val="nil"/>
          <w:between w:val="nil"/>
        </w:pBdr>
        <w:spacing w:line="288" w:lineRule="auto"/>
        <w:jc w:val="center"/>
        <w:rPr>
          <w:rFonts w:ascii="Arial" w:eastAsia="Arial" w:hAnsi="Arial" w:cs="Arial"/>
          <w:color w:val="000000"/>
          <w:sz w:val="22"/>
          <w:szCs w:val="22"/>
        </w:rPr>
      </w:pPr>
      <w:r>
        <w:rPr>
          <w:rFonts w:ascii="Arial" w:eastAsia="Arial" w:hAnsi="Arial" w:cs="Arial"/>
          <w:color w:val="000000"/>
          <w:sz w:val="22"/>
          <w:szCs w:val="22"/>
        </w:rPr>
        <w:t>[See the chart on the next page]</w:t>
      </w:r>
    </w:p>
    <w:p w14:paraId="3664A4E8" w14:textId="77777777" w:rsidR="0067296A" w:rsidRDefault="0067296A">
      <w:pPr>
        <w:pBdr>
          <w:top w:val="nil"/>
          <w:left w:val="nil"/>
          <w:bottom w:val="nil"/>
          <w:right w:val="nil"/>
          <w:between w:val="nil"/>
        </w:pBdr>
        <w:spacing w:line="288" w:lineRule="auto"/>
        <w:rPr>
          <w:rFonts w:ascii="Arial" w:eastAsia="Arial" w:hAnsi="Arial" w:cs="Arial"/>
          <w:color w:val="000000"/>
          <w:sz w:val="22"/>
          <w:szCs w:val="22"/>
        </w:rPr>
      </w:pPr>
    </w:p>
    <w:p w14:paraId="14A13C66"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1D7AC55B"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1FF60853"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63C36331"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647A13A4"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3AE52EF4"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1196C450"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5659970E" w14:textId="05470BA7" w:rsidR="00EC3DD2" w:rsidRDefault="000B41AC">
      <w:pPr>
        <w:pBdr>
          <w:top w:val="nil"/>
          <w:left w:val="nil"/>
          <w:bottom w:val="nil"/>
          <w:right w:val="nil"/>
          <w:between w:val="nil"/>
        </w:pBdr>
        <w:spacing w:line="288" w:lineRule="auto"/>
        <w:jc w:val="center"/>
        <w:rPr>
          <w:rFonts w:ascii="EB Garamond" w:eastAsia="EB Garamond" w:hAnsi="EB Garamond" w:cs="EB Garamond"/>
          <w:color w:val="000000"/>
        </w:rPr>
      </w:pPr>
      <w:r>
        <w:rPr>
          <w:rFonts w:ascii="EB Garamond" w:eastAsia="EB Garamond" w:hAnsi="EB Garamond" w:cs="EB Garamond"/>
          <w:noProof/>
        </w:rPr>
        <w:drawing>
          <wp:inline distT="114300" distB="114300" distL="114300" distR="114300" wp14:anchorId="28B25AC6" wp14:editId="5D511B72">
            <wp:extent cx="5731200" cy="3251200"/>
            <wp:effectExtent l="0" t="0" r="0" b="0"/>
            <wp:docPr id="204868209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5731200" cy="3251200"/>
                    </a:xfrm>
                    <a:prstGeom prst="rect">
                      <a:avLst/>
                    </a:prstGeom>
                    <a:ln/>
                  </pic:spPr>
                </pic:pic>
              </a:graphicData>
            </a:graphic>
          </wp:inline>
        </w:drawing>
      </w:r>
    </w:p>
    <w:p w14:paraId="4604D7E4"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w:t>
      </w:r>
    </w:p>
    <w:p w14:paraId="42DB1D92"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The noticeable fall-off in global vessel capacity in June and between September-November period underlines the statements frequently made by shippers that container capacity is currently in short supply globally and container freight rates are consequently going through the roof.  </w:t>
      </w:r>
    </w:p>
    <w:p w14:paraId="6B0A3869" w14:textId="77777777" w:rsidR="00EC3DD2" w:rsidRDefault="00EC3DD2">
      <w:pPr>
        <w:pBdr>
          <w:top w:val="nil"/>
          <w:left w:val="nil"/>
          <w:bottom w:val="nil"/>
          <w:right w:val="nil"/>
          <w:between w:val="nil"/>
        </w:pBdr>
        <w:spacing w:line="288" w:lineRule="auto"/>
        <w:rPr>
          <w:rFonts w:ascii="Arial" w:eastAsia="Arial" w:hAnsi="Arial" w:cs="Arial"/>
          <w:b/>
          <w:color w:val="000000"/>
          <w:sz w:val="22"/>
          <w:szCs w:val="22"/>
        </w:rPr>
      </w:pPr>
    </w:p>
    <w:p w14:paraId="02231433" w14:textId="77777777" w:rsidR="00EC3DD2" w:rsidRDefault="000B41AC">
      <w:pPr>
        <w:pStyle w:val="Heading1"/>
      </w:pPr>
      <w:r>
        <w:t>Container Rollovers  </w:t>
      </w:r>
    </w:p>
    <w:p w14:paraId="16CAAC57" w14:textId="77777777" w:rsidR="00EC3DD2" w:rsidRDefault="00EC3DD2"/>
    <w:p w14:paraId="784247D7"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Container rollovers happen for a variety of reasons and the numbers depicted are not necessarily a reflection of the quality of a specific carrier’s or port’s operations. Of all </w:t>
      </w:r>
      <w:proofErr w:type="spellStart"/>
      <w:r>
        <w:rPr>
          <w:rFonts w:ascii="Arial" w:eastAsia="Arial" w:hAnsi="Arial" w:cs="Arial"/>
          <w:color w:val="000000"/>
          <w:sz w:val="22"/>
          <w:szCs w:val="22"/>
        </w:rPr>
        <w:t>transshipped</w:t>
      </w:r>
      <w:proofErr w:type="spellEnd"/>
      <w:r>
        <w:rPr>
          <w:rFonts w:ascii="Arial" w:eastAsia="Arial" w:hAnsi="Arial" w:cs="Arial"/>
          <w:color w:val="000000"/>
          <w:sz w:val="22"/>
          <w:szCs w:val="22"/>
        </w:rPr>
        <w:t xml:space="preserve"> containers, rollover percentages are based on the number of containers that were loaded onto a vessel other than the initially planned vessel. They are therefore not necessarily a reflection of a specific port’s capability or performance.  </w:t>
      </w:r>
    </w:p>
    <w:p w14:paraId="21CB09D4"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0544D446" w14:textId="63F019BB"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0D17F5FA" w14:textId="6B441F88"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2F7A8896" w14:textId="77777777" w:rsidR="00D1326D" w:rsidRDefault="00D1326D">
      <w:pPr>
        <w:pBdr>
          <w:top w:val="nil"/>
          <w:left w:val="nil"/>
          <w:bottom w:val="nil"/>
          <w:right w:val="nil"/>
          <w:between w:val="nil"/>
        </w:pBdr>
        <w:spacing w:line="288" w:lineRule="auto"/>
        <w:rPr>
          <w:rFonts w:ascii="Arial" w:eastAsia="Arial" w:hAnsi="Arial" w:cs="Arial"/>
          <w:color w:val="000000"/>
          <w:sz w:val="22"/>
          <w:szCs w:val="22"/>
        </w:rPr>
      </w:pPr>
    </w:p>
    <w:p w14:paraId="595B5985" w14:textId="77777777" w:rsidR="0067296A" w:rsidRDefault="0067296A">
      <w:pPr>
        <w:pBdr>
          <w:top w:val="nil"/>
          <w:left w:val="nil"/>
          <w:bottom w:val="nil"/>
          <w:right w:val="nil"/>
          <w:between w:val="nil"/>
        </w:pBdr>
        <w:spacing w:line="288" w:lineRule="auto"/>
        <w:rPr>
          <w:rFonts w:ascii="Arial" w:eastAsia="Arial" w:hAnsi="Arial" w:cs="Arial"/>
          <w:color w:val="000000"/>
          <w:sz w:val="22"/>
          <w:szCs w:val="22"/>
        </w:rPr>
      </w:pPr>
    </w:p>
    <w:p w14:paraId="3C903521"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03531992" w14:textId="77777777" w:rsidR="00EC3DD2" w:rsidRDefault="000B41AC">
      <w:pPr>
        <w:pBdr>
          <w:top w:val="nil"/>
          <w:left w:val="nil"/>
          <w:bottom w:val="nil"/>
          <w:right w:val="nil"/>
          <w:between w:val="nil"/>
        </w:pBdr>
        <w:spacing w:line="288" w:lineRule="auto"/>
        <w:jc w:val="center"/>
        <w:rPr>
          <w:rFonts w:ascii="Arial" w:eastAsia="Arial" w:hAnsi="Arial" w:cs="Arial"/>
          <w:color w:val="000000"/>
          <w:sz w:val="22"/>
          <w:szCs w:val="22"/>
        </w:rPr>
      </w:pPr>
      <w:r>
        <w:rPr>
          <w:rFonts w:ascii="Arial" w:eastAsia="Arial" w:hAnsi="Arial" w:cs="Arial"/>
          <w:color w:val="000000"/>
          <w:sz w:val="22"/>
          <w:szCs w:val="22"/>
        </w:rPr>
        <w:t>[See the chart on the next page]</w:t>
      </w:r>
    </w:p>
    <w:p w14:paraId="26089CB4"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7672DDA1" w14:textId="77777777" w:rsidR="00D1326D" w:rsidRDefault="00D1326D">
      <w:pPr>
        <w:spacing w:line="288" w:lineRule="auto"/>
        <w:jc w:val="center"/>
        <w:rPr>
          <w:rFonts w:ascii="EB Garamond" w:eastAsia="EB Garamond" w:hAnsi="EB Garamond" w:cs="EB Garamond"/>
          <w:color w:val="2B579A"/>
          <w:shd w:val="clear" w:color="auto" w:fill="E6E6E6"/>
        </w:rPr>
      </w:pPr>
    </w:p>
    <w:p w14:paraId="2B9CB2F6" w14:textId="77777777" w:rsidR="00D1326D" w:rsidRDefault="00D1326D">
      <w:pPr>
        <w:spacing w:line="288" w:lineRule="auto"/>
        <w:jc w:val="center"/>
        <w:rPr>
          <w:rFonts w:ascii="EB Garamond" w:eastAsia="EB Garamond" w:hAnsi="EB Garamond" w:cs="EB Garamond"/>
          <w:color w:val="2B579A"/>
          <w:shd w:val="clear" w:color="auto" w:fill="E6E6E6"/>
        </w:rPr>
      </w:pPr>
    </w:p>
    <w:p w14:paraId="178C6DC4" w14:textId="77777777" w:rsidR="00D1326D" w:rsidRDefault="00D1326D">
      <w:pPr>
        <w:spacing w:line="288" w:lineRule="auto"/>
        <w:jc w:val="center"/>
        <w:rPr>
          <w:rFonts w:ascii="EB Garamond" w:eastAsia="EB Garamond" w:hAnsi="EB Garamond" w:cs="EB Garamond"/>
          <w:color w:val="2B579A"/>
          <w:shd w:val="clear" w:color="auto" w:fill="E6E6E6"/>
        </w:rPr>
      </w:pPr>
    </w:p>
    <w:p w14:paraId="379C03F1" w14:textId="77777777" w:rsidR="00D1326D" w:rsidRDefault="00D1326D">
      <w:pPr>
        <w:spacing w:line="288" w:lineRule="auto"/>
        <w:jc w:val="center"/>
        <w:rPr>
          <w:rFonts w:ascii="EB Garamond" w:eastAsia="EB Garamond" w:hAnsi="EB Garamond" w:cs="EB Garamond"/>
          <w:color w:val="2B579A"/>
          <w:shd w:val="clear" w:color="auto" w:fill="E6E6E6"/>
        </w:rPr>
      </w:pPr>
    </w:p>
    <w:p w14:paraId="5222F38C" w14:textId="77777777" w:rsidR="00D1326D" w:rsidRDefault="00D1326D">
      <w:pPr>
        <w:spacing w:line="288" w:lineRule="auto"/>
        <w:jc w:val="center"/>
        <w:rPr>
          <w:rFonts w:ascii="EB Garamond" w:eastAsia="EB Garamond" w:hAnsi="EB Garamond" w:cs="EB Garamond"/>
          <w:color w:val="2B579A"/>
          <w:shd w:val="clear" w:color="auto" w:fill="E6E6E6"/>
        </w:rPr>
      </w:pPr>
    </w:p>
    <w:p w14:paraId="12518442" w14:textId="77777777" w:rsidR="00D1326D" w:rsidRDefault="00D1326D">
      <w:pPr>
        <w:spacing w:line="288" w:lineRule="auto"/>
        <w:jc w:val="center"/>
        <w:rPr>
          <w:rFonts w:ascii="EB Garamond" w:eastAsia="EB Garamond" w:hAnsi="EB Garamond" w:cs="EB Garamond"/>
          <w:color w:val="2B579A"/>
          <w:shd w:val="clear" w:color="auto" w:fill="E6E6E6"/>
        </w:rPr>
      </w:pPr>
    </w:p>
    <w:p w14:paraId="57B08424" w14:textId="77777777" w:rsidR="00D1326D" w:rsidRDefault="00D1326D">
      <w:pPr>
        <w:spacing w:line="288" w:lineRule="auto"/>
        <w:jc w:val="center"/>
        <w:rPr>
          <w:rFonts w:ascii="EB Garamond" w:eastAsia="EB Garamond" w:hAnsi="EB Garamond" w:cs="EB Garamond"/>
          <w:color w:val="2B579A"/>
          <w:shd w:val="clear" w:color="auto" w:fill="E6E6E6"/>
        </w:rPr>
      </w:pPr>
    </w:p>
    <w:p w14:paraId="4F4399B2" w14:textId="77777777" w:rsidR="00D1326D" w:rsidRDefault="00D1326D">
      <w:pPr>
        <w:spacing w:line="288" w:lineRule="auto"/>
        <w:jc w:val="center"/>
        <w:rPr>
          <w:rFonts w:ascii="EB Garamond" w:eastAsia="EB Garamond" w:hAnsi="EB Garamond" w:cs="EB Garamond"/>
          <w:color w:val="2B579A"/>
          <w:shd w:val="clear" w:color="auto" w:fill="E6E6E6"/>
        </w:rPr>
      </w:pPr>
    </w:p>
    <w:p w14:paraId="210639EF" w14:textId="77777777" w:rsidR="00D1326D" w:rsidRDefault="00D1326D">
      <w:pPr>
        <w:spacing w:line="288" w:lineRule="auto"/>
        <w:jc w:val="center"/>
        <w:rPr>
          <w:rFonts w:ascii="EB Garamond" w:eastAsia="EB Garamond" w:hAnsi="EB Garamond" w:cs="EB Garamond"/>
          <w:color w:val="2B579A"/>
          <w:shd w:val="clear" w:color="auto" w:fill="E6E6E6"/>
        </w:rPr>
      </w:pPr>
    </w:p>
    <w:p w14:paraId="3FF6E63A" w14:textId="77777777" w:rsidR="00D1326D" w:rsidRDefault="00D1326D">
      <w:pPr>
        <w:spacing w:line="288" w:lineRule="auto"/>
        <w:jc w:val="center"/>
        <w:rPr>
          <w:rFonts w:ascii="EB Garamond" w:eastAsia="EB Garamond" w:hAnsi="EB Garamond" w:cs="EB Garamond"/>
          <w:color w:val="2B579A"/>
          <w:shd w:val="clear" w:color="auto" w:fill="E6E6E6"/>
        </w:rPr>
      </w:pPr>
    </w:p>
    <w:p w14:paraId="337074BE" w14:textId="06E951E1" w:rsidR="00EC3DD2" w:rsidRDefault="000B41AC">
      <w:pPr>
        <w:spacing w:line="288" w:lineRule="auto"/>
        <w:jc w:val="center"/>
        <w:rPr>
          <w:rFonts w:ascii="EB Garamond" w:eastAsia="EB Garamond" w:hAnsi="EB Garamond" w:cs="EB Garamond"/>
          <w:color w:val="2B579A"/>
          <w:shd w:val="clear" w:color="auto" w:fill="E6E6E6"/>
        </w:rPr>
      </w:pPr>
      <w:r>
        <w:rPr>
          <w:rFonts w:ascii="EB Garamond" w:eastAsia="EB Garamond" w:hAnsi="EB Garamond" w:cs="EB Garamond"/>
          <w:noProof/>
          <w:color w:val="2B579A"/>
          <w:shd w:val="clear" w:color="auto" w:fill="E6E6E6"/>
        </w:rPr>
        <w:drawing>
          <wp:inline distT="114300" distB="114300" distL="114300" distR="114300" wp14:anchorId="0B96C320" wp14:editId="31C86CE1">
            <wp:extent cx="5731200" cy="3352800"/>
            <wp:effectExtent l="0" t="0" r="0" b="0"/>
            <wp:docPr id="204868209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5731200" cy="3352800"/>
                    </a:xfrm>
                    <a:prstGeom prst="rect">
                      <a:avLst/>
                    </a:prstGeom>
                    <a:ln/>
                  </pic:spPr>
                </pic:pic>
              </a:graphicData>
            </a:graphic>
          </wp:inline>
        </w:drawing>
      </w:r>
    </w:p>
    <w:p w14:paraId="100C90CE"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4D1BEFCC"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xml:space="preserve">In October and November, all the major transhipment ports displayed high levels of container rollovers. This may be linked to the blank sailings that, in turn, may have been caused by berthing congestion across a variety of ports worldwide. What is clear from the data project44 has collected throughout 2021 is that there was an overall upward trend in rollover percentages from January to September. One can assume that this increase in rollovers had a lot to do with the difficult conditions experienced over this period. Ports in China, for example, suffered from various Covid-related disruptions in Q2/2021, while several major ports in North America and Europe were hit by severe congestion from August onwards.  </w:t>
      </w:r>
    </w:p>
    <w:p w14:paraId="43CB5175" w14:textId="77777777" w:rsidR="00EC3DD2" w:rsidRDefault="00EC3DD2">
      <w:pPr>
        <w:pBdr>
          <w:top w:val="nil"/>
          <w:left w:val="nil"/>
          <w:bottom w:val="nil"/>
          <w:right w:val="nil"/>
          <w:between w:val="nil"/>
        </w:pBdr>
        <w:spacing w:line="288" w:lineRule="auto"/>
        <w:rPr>
          <w:rFonts w:ascii="Arial" w:eastAsia="Arial" w:hAnsi="Arial" w:cs="Arial"/>
          <w:color w:val="000000"/>
          <w:sz w:val="22"/>
          <w:szCs w:val="22"/>
        </w:rPr>
      </w:pPr>
    </w:p>
    <w:p w14:paraId="6A00C201"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It is too early to say whether the decline in October and slight increase in November indicate any reversal of the general upward trend in 2021. Our next Monthly Ocean Data Update will indicate whether these two months are of any longer-term significance.</w:t>
      </w:r>
    </w:p>
    <w:p w14:paraId="3A1F8BA9" w14:textId="77777777" w:rsidR="00EC3DD2" w:rsidRDefault="00EC3DD2">
      <w:pPr>
        <w:pBdr>
          <w:top w:val="nil"/>
          <w:left w:val="nil"/>
          <w:bottom w:val="nil"/>
          <w:right w:val="nil"/>
          <w:between w:val="nil"/>
        </w:pBdr>
        <w:spacing w:line="288" w:lineRule="auto"/>
        <w:jc w:val="center"/>
        <w:rPr>
          <w:rFonts w:ascii="Arial" w:eastAsia="Arial" w:hAnsi="Arial" w:cs="Arial"/>
          <w:color w:val="000000"/>
          <w:sz w:val="22"/>
          <w:szCs w:val="22"/>
        </w:rPr>
      </w:pPr>
    </w:p>
    <w:p w14:paraId="673DB06D" w14:textId="77777777" w:rsidR="00EC3DD2" w:rsidRDefault="00EC3DD2">
      <w:pPr>
        <w:pBdr>
          <w:top w:val="nil"/>
          <w:left w:val="nil"/>
          <w:bottom w:val="nil"/>
          <w:right w:val="nil"/>
          <w:between w:val="nil"/>
        </w:pBdr>
        <w:spacing w:line="288" w:lineRule="auto"/>
        <w:jc w:val="center"/>
        <w:rPr>
          <w:rFonts w:ascii="Arial" w:eastAsia="Arial" w:hAnsi="Arial" w:cs="Arial"/>
          <w:color w:val="000000"/>
          <w:sz w:val="22"/>
          <w:szCs w:val="22"/>
        </w:rPr>
      </w:pPr>
    </w:p>
    <w:p w14:paraId="44A6443A" w14:textId="77777777" w:rsidR="00EC3DD2" w:rsidRDefault="00EC3DD2">
      <w:pPr>
        <w:pBdr>
          <w:top w:val="nil"/>
          <w:left w:val="nil"/>
          <w:bottom w:val="nil"/>
          <w:right w:val="nil"/>
          <w:between w:val="nil"/>
        </w:pBdr>
        <w:spacing w:line="288" w:lineRule="auto"/>
        <w:jc w:val="center"/>
        <w:rPr>
          <w:rFonts w:ascii="Arial" w:eastAsia="Arial" w:hAnsi="Arial" w:cs="Arial"/>
          <w:color w:val="000000"/>
          <w:sz w:val="22"/>
          <w:szCs w:val="22"/>
        </w:rPr>
      </w:pPr>
    </w:p>
    <w:p w14:paraId="39943DDC" w14:textId="77777777" w:rsidR="00EC3DD2" w:rsidRDefault="00EC3DD2">
      <w:pPr>
        <w:pBdr>
          <w:top w:val="nil"/>
          <w:left w:val="nil"/>
          <w:bottom w:val="nil"/>
          <w:right w:val="nil"/>
          <w:between w:val="nil"/>
        </w:pBdr>
        <w:spacing w:line="288" w:lineRule="auto"/>
        <w:jc w:val="center"/>
        <w:rPr>
          <w:rFonts w:ascii="Arial" w:eastAsia="Arial" w:hAnsi="Arial" w:cs="Arial"/>
          <w:color w:val="000000"/>
          <w:sz w:val="22"/>
          <w:szCs w:val="22"/>
        </w:rPr>
      </w:pPr>
    </w:p>
    <w:p w14:paraId="07160421" w14:textId="77777777" w:rsidR="00EC3DD2" w:rsidRDefault="000B41AC">
      <w:pPr>
        <w:pBdr>
          <w:top w:val="nil"/>
          <w:left w:val="nil"/>
          <w:bottom w:val="nil"/>
          <w:right w:val="nil"/>
          <w:between w:val="nil"/>
        </w:pBdr>
        <w:spacing w:line="288" w:lineRule="auto"/>
        <w:jc w:val="center"/>
        <w:rPr>
          <w:rFonts w:ascii="Arial" w:eastAsia="Arial" w:hAnsi="Arial" w:cs="Arial"/>
          <w:color w:val="000000"/>
          <w:sz w:val="22"/>
          <w:szCs w:val="22"/>
        </w:rPr>
      </w:pPr>
      <w:r>
        <w:rPr>
          <w:rFonts w:ascii="Arial" w:eastAsia="Arial" w:hAnsi="Arial" w:cs="Arial"/>
          <w:color w:val="000000"/>
          <w:sz w:val="22"/>
          <w:szCs w:val="22"/>
        </w:rPr>
        <w:t>[See the chart on the next page]</w:t>
      </w:r>
    </w:p>
    <w:p w14:paraId="72A92C58" w14:textId="77777777" w:rsidR="00EC3DD2" w:rsidRDefault="00EC3DD2">
      <w:pPr>
        <w:pBdr>
          <w:top w:val="nil"/>
          <w:left w:val="nil"/>
          <w:bottom w:val="nil"/>
          <w:right w:val="nil"/>
          <w:between w:val="nil"/>
        </w:pBdr>
        <w:spacing w:line="288" w:lineRule="auto"/>
        <w:jc w:val="center"/>
        <w:rPr>
          <w:rFonts w:ascii="Arial" w:eastAsia="Arial" w:hAnsi="Arial" w:cs="Arial"/>
          <w:color w:val="000000"/>
          <w:sz w:val="22"/>
          <w:szCs w:val="22"/>
        </w:rPr>
      </w:pPr>
    </w:p>
    <w:p w14:paraId="3DBD449D"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4BB6469A"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0B563281"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0EB20336"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3C48328B"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66B4A20C"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7F03F64F"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534058D6"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2E829DE5" w14:textId="77777777" w:rsidR="00D1326D" w:rsidRDefault="00D1326D">
      <w:pPr>
        <w:pBdr>
          <w:top w:val="nil"/>
          <w:left w:val="nil"/>
          <w:bottom w:val="nil"/>
          <w:right w:val="nil"/>
          <w:between w:val="nil"/>
        </w:pBdr>
        <w:spacing w:line="288" w:lineRule="auto"/>
        <w:jc w:val="center"/>
        <w:rPr>
          <w:rFonts w:ascii="EB Garamond" w:eastAsia="EB Garamond" w:hAnsi="EB Garamond" w:cs="EB Garamond"/>
          <w:color w:val="000000"/>
        </w:rPr>
      </w:pPr>
    </w:p>
    <w:p w14:paraId="5F171B50" w14:textId="669CF57D" w:rsidR="00EC3DD2" w:rsidRDefault="000B41AC">
      <w:pPr>
        <w:pBdr>
          <w:top w:val="nil"/>
          <w:left w:val="nil"/>
          <w:bottom w:val="nil"/>
          <w:right w:val="nil"/>
          <w:between w:val="nil"/>
        </w:pBdr>
        <w:spacing w:line="288" w:lineRule="auto"/>
        <w:jc w:val="center"/>
        <w:rPr>
          <w:rFonts w:ascii="EB Garamond" w:eastAsia="EB Garamond" w:hAnsi="EB Garamond" w:cs="EB Garamond"/>
          <w:color w:val="000000"/>
        </w:rPr>
      </w:pPr>
      <w:r>
        <w:rPr>
          <w:rFonts w:ascii="EB Garamond" w:eastAsia="EB Garamond" w:hAnsi="EB Garamond" w:cs="EB Garamond"/>
          <w:noProof/>
        </w:rPr>
        <w:drawing>
          <wp:inline distT="114300" distB="114300" distL="114300" distR="114300" wp14:anchorId="7105CDCD" wp14:editId="06B5180E">
            <wp:extent cx="5731200" cy="3365500"/>
            <wp:effectExtent l="0" t="0" r="0" b="0"/>
            <wp:docPr id="204868209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731200" cy="3365500"/>
                    </a:xfrm>
                    <a:prstGeom prst="rect">
                      <a:avLst/>
                    </a:prstGeom>
                    <a:ln/>
                  </pic:spPr>
                </pic:pic>
              </a:graphicData>
            </a:graphic>
          </wp:inline>
        </w:drawing>
      </w:r>
    </w:p>
    <w:p w14:paraId="147FA2E8" w14:textId="77777777" w:rsidR="00EC3DD2" w:rsidRDefault="00EC3DD2">
      <w:pPr>
        <w:rPr>
          <w:sz w:val="22"/>
          <w:szCs w:val="22"/>
        </w:rPr>
      </w:pPr>
    </w:p>
    <w:p w14:paraId="7F9965C2" w14:textId="77777777" w:rsidR="00EC3DD2" w:rsidRDefault="000B41AC">
      <w:pPr>
        <w:pStyle w:val="Heading1"/>
      </w:pPr>
      <w:r>
        <w:t>Outlook</w:t>
      </w:r>
    </w:p>
    <w:p w14:paraId="3AE1CE9E" w14:textId="77777777" w:rsidR="00EC3DD2" w:rsidRDefault="00EC3DD2"/>
    <w:p w14:paraId="03C06915" w14:textId="77777777" w:rsidR="00EC3DD2" w:rsidRDefault="000B41AC">
      <w:pPr>
        <w:rPr>
          <w:rFonts w:ascii="Arial" w:eastAsia="Arial" w:hAnsi="Arial" w:cs="Arial"/>
          <w:color w:val="000000"/>
          <w:sz w:val="22"/>
          <w:szCs w:val="22"/>
        </w:rPr>
      </w:pPr>
      <w:r>
        <w:rPr>
          <w:rFonts w:ascii="Arial" w:eastAsia="Arial" w:hAnsi="Arial" w:cs="Arial"/>
          <w:color w:val="000000"/>
          <w:sz w:val="22"/>
          <w:szCs w:val="22"/>
        </w:rPr>
        <w:t xml:space="preserve">Although new Covid outbreaks in Europe threaten return-to-normal consumer purchasing patterns, most economists and industry leaders anticipate a drop in consumer goods demand following the peak 2021 retail season. China will also shutter manufacturing for two weeks starting in February to celebrate Lunar New Year, providing carriers a brief opportunity to regroup and for ports to clear their backlogs. With looming inflation, record-high household debt levels in the US, and consumer sentiment falling to its lowest level in a decade, continued strong demand for goods into 2022 does not appear too likely. </w:t>
      </w:r>
    </w:p>
    <w:p w14:paraId="078BEA67"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 </w:t>
      </w:r>
    </w:p>
    <w:p w14:paraId="1DAC257F" w14:textId="77777777" w:rsidR="00EC3DD2" w:rsidRDefault="00EC3DD2">
      <w:pPr>
        <w:pBdr>
          <w:top w:val="nil"/>
          <w:left w:val="nil"/>
          <w:bottom w:val="nil"/>
          <w:right w:val="nil"/>
          <w:between w:val="nil"/>
        </w:pBdr>
        <w:rPr>
          <w:rFonts w:ascii="Arial" w:eastAsia="Arial" w:hAnsi="Arial" w:cs="Arial"/>
          <w:b/>
          <w:color w:val="1D1C1D"/>
          <w:sz w:val="22"/>
          <w:szCs w:val="22"/>
        </w:rPr>
      </w:pPr>
    </w:p>
    <w:p w14:paraId="702735D3" w14:textId="77777777" w:rsidR="00EC3DD2" w:rsidRDefault="000B41AC">
      <w:pPr>
        <w:pBdr>
          <w:top w:val="nil"/>
          <w:left w:val="nil"/>
          <w:bottom w:val="nil"/>
          <w:right w:val="nil"/>
          <w:between w:val="nil"/>
        </w:pBdr>
        <w:rPr>
          <w:rFonts w:ascii="Arial" w:eastAsia="Arial" w:hAnsi="Arial" w:cs="Arial"/>
          <w:color w:val="1D1C1D"/>
          <w:sz w:val="22"/>
          <w:szCs w:val="22"/>
        </w:rPr>
      </w:pPr>
      <w:r>
        <w:rPr>
          <w:rFonts w:ascii="Arial" w:eastAsia="Arial" w:hAnsi="Arial" w:cs="Arial"/>
          <w:b/>
          <w:color w:val="1D1C1D"/>
          <w:sz w:val="22"/>
          <w:szCs w:val="22"/>
        </w:rPr>
        <w:t xml:space="preserve">Disclaimer: </w:t>
      </w:r>
      <w:r>
        <w:rPr>
          <w:rFonts w:ascii="Arial" w:eastAsia="Arial" w:hAnsi="Arial" w:cs="Arial"/>
          <w:color w:val="1D1C1D"/>
          <w:sz w:val="22"/>
          <w:szCs w:val="22"/>
        </w:rPr>
        <w:t>The data referenced in this release is sourced from project44’s freight visibility platform, based on the logistics indicators that the platform tracks. The sample data sets referenced do not include all freight movement data tracked by other entities. Data from project44’s platform reflects a statically significant sample size to draw conclusions.</w:t>
      </w:r>
    </w:p>
    <w:p w14:paraId="2B48E4CD" w14:textId="77777777" w:rsidR="00EC3DD2" w:rsidRDefault="00EC3DD2">
      <w:pPr>
        <w:pBdr>
          <w:top w:val="nil"/>
          <w:left w:val="nil"/>
          <w:bottom w:val="nil"/>
          <w:right w:val="nil"/>
          <w:between w:val="nil"/>
        </w:pBdr>
        <w:rPr>
          <w:rFonts w:ascii="Arial" w:eastAsia="Arial" w:hAnsi="Arial" w:cs="Arial"/>
          <w:color w:val="1D1C1D"/>
          <w:sz w:val="22"/>
          <w:szCs w:val="22"/>
        </w:rPr>
      </w:pPr>
    </w:p>
    <w:p w14:paraId="267E5DC6" w14:textId="77777777" w:rsidR="00EC3DD2" w:rsidRDefault="000B41A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w:t>
      </w:r>
    </w:p>
    <w:p w14:paraId="58E02B7A"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For any questions or comments please contact</w:t>
      </w:r>
    </w:p>
    <w:p w14:paraId="2AF0CA27" w14:textId="77777777" w:rsidR="00EC3DD2" w:rsidRDefault="000B41AC">
      <w:pPr>
        <w:pBdr>
          <w:top w:val="nil"/>
          <w:left w:val="nil"/>
          <w:bottom w:val="nil"/>
          <w:right w:val="nil"/>
          <w:between w:val="nil"/>
        </w:pBdr>
        <w:spacing w:line="288" w:lineRule="auto"/>
        <w:rPr>
          <w:rFonts w:ascii="Arial" w:eastAsia="Arial" w:hAnsi="Arial" w:cs="Arial"/>
          <w:color w:val="000000"/>
          <w:sz w:val="22"/>
          <w:szCs w:val="22"/>
        </w:rPr>
      </w:pPr>
      <w:r>
        <w:rPr>
          <w:rFonts w:ascii="Arial" w:eastAsia="Arial" w:hAnsi="Arial" w:cs="Arial"/>
          <w:color w:val="000000"/>
          <w:sz w:val="22"/>
          <w:szCs w:val="22"/>
        </w:rPr>
        <w:t>Josh Brazil – jbrazil@project44.com</w:t>
      </w:r>
    </w:p>
    <w:p w14:paraId="7288040B" w14:textId="77777777" w:rsidR="00EC3DD2" w:rsidRDefault="000B41AC">
      <w:pPr>
        <w:rPr>
          <w:rFonts w:ascii="Arial" w:eastAsia="Arial" w:hAnsi="Arial" w:cs="Arial"/>
          <w:sz w:val="22"/>
          <w:szCs w:val="22"/>
        </w:rPr>
      </w:pPr>
      <w:r>
        <w:rPr>
          <w:rFonts w:ascii="Arial" w:eastAsia="Arial" w:hAnsi="Arial" w:cs="Arial"/>
          <w:sz w:val="22"/>
          <w:szCs w:val="22"/>
        </w:rPr>
        <w:t>Director, Supply Chain Data Insights</w:t>
      </w:r>
    </w:p>
    <w:p w14:paraId="67101DF1" w14:textId="77777777" w:rsidR="00EC3DD2" w:rsidRDefault="00EC3DD2">
      <w:pPr>
        <w:rPr>
          <w:rFonts w:ascii="Arial" w:eastAsia="Arial" w:hAnsi="Arial" w:cs="Arial"/>
          <w:sz w:val="22"/>
          <w:szCs w:val="22"/>
        </w:rPr>
      </w:pPr>
    </w:p>
    <w:p w14:paraId="7059A1CE" w14:textId="77777777" w:rsidR="00EC3DD2" w:rsidRDefault="000B41AC">
      <w:pPr>
        <w:rPr>
          <w:rFonts w:ascii="Arial" w:eastAsia="Arial" w:hAnsi="Arial" w:cs="Arial"/>
          <w:sz w:val="22"/>
          <w:szCs w:val="22"/>
        </w:rPr>
      </w:pPr>
      <w:r>
        <w:rPr>
          <w:rFonts w:ascii="Arial" w:eastAsia="Arial" w:hAnsi="Arial" w:cs="Arial"/>
          <w:sz w:val="22"/>
          <w:szCs w:val="22"/>
        </w:rPr>
        <w:t>For media queries please contact</w:t>
      </w:r>
    </w:p>
    <w:p w14:paraId="39A15452" w14:textId="77777777" w:rsidR="00EC3DD2" w:rsidRDefault="000B41AC">
      <w:pPr>
        <w:rPr>
          <w:rFonts w:ascii="Arial" w:eastAsia="Arial" w:hAnsi="Arial" w:cs="Arial"/>
          <w:sz w:val="22"/>
          <w:szCs w:val="22"/>
        </w:rPr>
      </w:pPr>
      <w:r>
        <w:rPr>
          <w:rFonts w:ascii="Arial" w:eastAsia="Arial" w:hAnsi="Arial" w:cs="Arial"/>
          <w:sz w:val="22"/>
          <w:szCs w:val="22"/>
        </w:rPr>
        <w:t xml:space="preserve">Charlie </w:t>
      </w:r>
      <w:proofErr w:type="spellStart"/>
      <w:r>
        <w:rPr>
          <w:rFonts w:ascii="Arial" w:eastAsia="Arial" w:hAnsi="Arial" w:cs="Arial"/>
          <w:sz w:val="22"/>
          <w:szCs w:val="22"/>
        </w:rPr>
        <w:t>Pesti</w:t>
      </w:r>
      <w:proofErr w:type="spellEnd"/>
      <w:r>
        <w:rPr>
          <w:rFonts w:ascii="Arial" w:eastAsia="Arial" w:hAnsi="Arial" w:cs="Arial"/>
          <w:sz w:val="22"/>
          <w:szCs w:val="22"/>
        </w:rPr>
        <w:t xml:space="preserve"> – charlie@pesti.io</w:t>
      </w:r>
    </w:p>
    <w:p w14:paraId="7D2CAA9F" w14:textId="77777777" w:rsidR="00EC3DD2" w:rsidRDefault="00EC3DD2">
      <w:pPr>
        <w:rPr>
          <w:rFonts w:ascii="Arial" w:eastAsia="Arial" w:hAnsi="Arial" w:cs="Arial"/>
          <w:sz w:val="22"/>
          <w:szCs w:val="22"/>
        </w:rPr>
      </w:pPr>
    </w:p>
    <w:sectPr w:rsidR="00EC3DD2" w:rsidSect="0067296A">
      <w:headerReference w:type="default" r:id="rId17"/>
      <w:footerReference w:type="even" r:id="rId18"/>
      <w:footerReference w:type="default" r:id="rId19"/>
      <w:pgSz w:w="11900" w:h="16840"/>
      <w:pgMar w:top="238"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17B3" w14:textId="77777777" w:rsidR="008E097D" w:rsidRDefault="008E097D">
      <w:r>
        <w:separator/>
      </w:r>
    </w:p>
  </w:endnote>
  <w:endnote w:type="continuationSeparator" w:id="0">
    <w:p w14:paraId="3A91BC39" w14:textId="77777777" w:rsidR="008E097D" w:rsidRDefault="008E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1468345"/>
      <w:docPartObj>
        <w:docPartGallery w:val="Page Numbers (Bottom of Page)"/>
        <w:docPartUnique/>
      </w:docPartObj>
    </w:sdtPr>
    <w:sdtEndPr>
      <w:rPr>
        <w:rStyle w:val="PageNumber"/>
      </w:rPr>
    </w:sdtEndPr>
    <w:sdtContent>
      <w:p w14:paraId="22EDF737" w14:textId="76D96652" w:rsidR="00D1326D" w:rsidRDefault="00D1326D" w:rsidP="00C11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7F272" w14:textId="77777777" w:rsidR="00D1326D" w:rsidRDefault="00D1326D" w:rsidP="00D13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876058"/>
      <w:docPartObj>
        <w:docPartGallery w:val="Page Numbers (Bottom of Page)"/>
        <w:docPartUnique/>
      </w:docPartObj>
    </w:sdtPr>
    <w:sdtEndPr>
      <w:rPr>
        <w:rStyle w:val="PageNumber"/>
      </w:rPr>
    </w:sdtEndPr>
    <w:sdtContent>
      <w:p w14:paraId="7CEDB25C" w14:textId="0940A330" w:rsidR="00D1326D" w:rsidRDefault="00D1326D" w:rsidP="00C11E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A17995" w14:textId="2015589D" w:rsidR="00D1326D" w:rsidRDefault="00D1326D" w:rsidP="00D1326D">
    <w:pPr>
      <w:pStyle w:val="Footer"/>
      <w:ind w:right="360"/>
    </w:pPr>
  </w:p>
  <w:p w14:paraId="60EC2104" w14:textId="499E7954" w:rsidR="00EC3DD2" w:rsidRDefault="00EC3D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D2DA" w14:textId="77777777" w:rsidR="008E097D" w:rsidRDefault="008E097D">
      <w:r>
        <w:separator/>
      </w:r>
    </w:p>
  </w:footnote>
  <w:footnote w:type="continuationSeparator" w:id="0">
    <w:p w14:paraId="392BD840" w14:textId="77777777" w:rsidR="008E097D" w:rsidRDefault="008E0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08D7" w14:textId="77777777" w:rsidR="00EC3DD2" w:rsidRDefault="00EC3D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77DD9"/>
    <w:multiLevelType w:val="multilevel"/>
    <w:tmpl w:val="76FAB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5DB28A8"/>
    <w:multiLevelType w:val="multilevel"/>
    <w:tmpl w:val="E51E35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DD2"/>
    <w:rsid w:val="000B41AC"/>
    <w:rsid w:val="0067296A"/>
    <w:rsid w:val="008E097D"/>
    <w:rsid w:val="00D1326D"/>
    <w:rsid w:val="00DE484F"/>
    <w:rsid w:val="00EC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69083"/>
  <w15:docId w15:val="{200FB8F4-D9AF-2345-9830-FB787E6E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FC"/>
  </w:style>
  <w:style w:type="paragraph" w:styleId="Heading1">
    <w:name w:val="heading 1"/>
    <w:basedOn w:val="Normal"/>
    <w:next w:val="Normal"/>
    <w:link w:val="Heading1Char"/>
    <w:uiPriority w:val="9"/>
    <w:qFormat/>
    <w:rsid w:val="00DE7D51"/>
    <w:pPr>
      <w:keepNext/>
      <w:keepLines/>
      <w:spacing w:before="240"/>
      <w:outlineLvl w:val="0"/>
    </w:pPr>
    <w:rPr>
      <w:rFonts w:asciiTheme="majorHAnsi" w:eastAsiaTheme="majorEastAsia" w:hAnsiTheme="majorHAnsi" w:cstheme="majorBidi"/>
      <w:color w:val="003F68" w:themeColor="accent1" w:themeShade="BF"/>
      <w:sz w:val="32"/>
      <w:szCs w:val="32"/>
    </w:rPr>
  </w:style>
  <w:style w:type="paragraph" w:styleId="Heading2">
    <w:name w:val="heading 2"/>
    <w:basedOn w:val="Normal"/>
    <w:next w:val="Normal"/>
    <w:link w:val="Heading2Char"/>
    <w:uiPriority w:val="9"/>
    <w:semiHidden/>
    <w:unhideWhenUsed/>
    <w:qFormat/>
    <w:rsid w:val="00DE7D51"/>
    <w:pPr>
      <w:keepNext/>
      <w:keepLines/>
      <w:spacing w:before="40"/>
      <w:outlineLvl w:val="1"/>
    </w:pPr>
    <w:rPr>
      <w:rFonts w:asciiTheme="majorHAnsi" w:eastAsiaTheme="majorEastAsia" w:hAnsiTheme="majorHAnsi" w:cstheme="majorBidi"/>
      <w:color w:val="003F68"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128FC"/>
    <w:pPr>
      <w:tabs>
        <w:tab w:val="center" w:pos="4680"/>
        <w:tab w:val="right" w:pos="9360"/>
      </w:tabs>
    </w:pPr>
  </w:style>
  <w:style w:type="character" w:customStyle="1" w:styleId="HeaderChar">
    <w:name w:val="Header Char"/>
    <w:basedOn w:val="DefaultParagraphFont"/>
    <w:link w:val="Header"/>
    <w:uiPriority w:val="99"/>
    <w:rsid w:val="001128FC"/>
  </w:style>
  <w:style w:type="paragraph" w:styleId="Footer">
    <w:name w:val="footer"/>
    <w:basedOn w:val="Normal"/>
    <w:link w:val="FooterChar"/>
    <w:uiPriority w:val="99"/>
    <w:unhideWhenUsed/>
    <w:rsid w:val="001128FC"/>
    <w:pPr>
      <w:tabs>
        <w:tab w:val="center" w:pos="4680"/>
        <w:tab w:val="right" w:pos="9360"/>
      </w:tabs>
    </w:pPr>
  </w:style>
  <w:style w:type="character" w:customStyle="1" w:styleId="FooterChar">
    <w:name w:val="Footer Char"/>
    <w:basedOn w:val="DefaultParagraphFont"/>
    <w:link w:val="Footer"/>
    <w:uiPriority w:val="99"/>
    <w:rsid w:val="001128FC"/>
  </w:style>
  <w:style w:type="paragraph" w:customStyle="1" w:styleId="BasicParagraph">
    <w:name w:val="[Basic Paragraph]"/>
    <w:basedOn w:val="Normal"/>
    <w:uiPriority w:val="99"/>
    <w:rsid w:val="001128FC"/>
    <w:pPr>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1128FC"/>
    <w:pPr>
      <w:ind w:left="720"/>
      <w:contextualSpacing/>
    </w:pPr>
  </w:style>
  <w:style w:type="character" w:styleId="Hyperlink">
    <w:name w:val="Hyperlink"/>
    <w:basedOn w:val="DefaultParagraphFont"/>
    <w:uiPriority w:val="99"/>
    <w:unhideWhenUsed/>
    <w:rsid w:val="00C00D2E"/>
    <w:rPr>
      <w:color w:val="939598" w:themeColor="hyperlink"/>
      <w:u w:val="single"/>
    </w:rPr>
  </w:style>
  <w:style w:type="character" w:styleId="UnresolvedMention">
    <w:name w:val="Unresolved Mention"/>
    <w:basedOn w:val="DefaultParagraphFont"/>
    <w:uiPriority w:val="99"/>
    <w:semiHidden/>
    <w:unhideWhenUsed/>
    <w:rsid w:val="00C00D2E"/>
    <w:rPr>
      <w:color w:val="605E5C"/>
      <w:shd w:val="clear" w:color="auto" w:fill="E1DFDD"/>
    </w:rPr>
  </w:style>
  <w:style w:type="paragraph" w:styleId="BalloonText">
    <w:name w:val="Balloon Text"/>
    <w:basedOn w:val="Normal"/>
    <w:link w:val="BalloonTextChar"/>
    <w:uiPriority w:val="99"/>
    <w:semiHidden/>
    <w:unhideWhenUsed/>
    <w:rsid w:val="00E57A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7A4E"/>
    <w:rPr>
      <w:rFonts w:ascii="Times New Roman" w:hAnsi="Times New Roman" w:cs="Times New Roman"/>
      <w:sz w:val="18"/>
      <w:szCs w:val="18"/>
    </w:rPr>
  </w:style>
  <w:style w:type="character" w:styleId="PageNumber">
    <w:name w:val="page number"/>
    <w:basedOn w:val="DefaultParagraphFont"/>
    <w:uiPriority w:val="99"/>
    <w:semiHidden/>
    <w:unhideWhenUsed/>
    <w:rsid w:val="00C00A61"/>
  </w:style>
  <w:style w:type="paragraph" w:customStyle="1" w:styleId="paragraph">
    <w:name w:val="paragraph"/>
    <w:basedOn w:val="Normal"/>
    <w:rsid w:val="00DB0D4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DB0D47"/>
  </w:style>
  <w:style w:type="character" w:styleId="CommentReference">
    <w:name w:val="annotation reference"/>
    <w:basedOn w:val="DefaultParagraphFont"/>
    <w:uiPriority w:val="99"/>
    <w:semiHidden/>
    <w:unhideWhenUsed/>
    <w:rsid w:val="00F90217"/>
    <w:rPr>
      <w:sz w:val="16"/>
      <w:szCs w:val="16"/>
    </w:rPr>
  </w:style>
  <w:style w:type="paragraph" w:styleId="CommentText">
    <w:name w:val="annotation text"/>
    <w:basedOn w:val="Normal"/>
    <w:link w:val="CommentTextChar"/>
    <w:uiPriority w:val="99"/>
    <w:semiHidden/>
    <w:unhideWhenUsed/>
    <w:rsid w:val="00F90217"/>
    <w:rPr>
      <w:sz w:val="20"/>
      <w:szCs w:val="20"/>
    </w:rPr>
  </w:style>
  <w:style w:type="character" w:customStyle="1" w:styleId="CommentTextChar">
    <w:name w:val="Comment Text Char"/>
    <w:basedOn w:val="DefaultParagraphFont"/>
    <w:link w:val="CommentText"/>
    <w:uiPriority w:val="99"/>
    <w:semiHidden/>
    <w:rsid w:val="00F90217"/>
    <w:rPr>
      <w:sz w:val="20"/>
      <w:szCs w:val="20"/>
    </w:rPr>
  </w:style>
  <w:style w:type="paragraph" w:styleId="CommentSubject">
    <w:name w:val="annotation subject"/>
    <w:basedOn w:val="CommentText"/>
    <w:next w:val="CommentText"/>
    <w:link w:val="CommentSubjectChar"/>
    <w:uiPriority w:val="99"/>
    <w:semiHidden/>
    <w:unhideWhenUsed/>
    <w:rsid w:val="00F90217"/>
    <w:rPr>
      <w:b/>
      <w:bCs/>
    </w:rPr>
  </w:style>
  <w:style w:type="character" w:customStyle="1" w:styleId="CommentSubjectChar">
    <w:name w:val="Comment Subject Char"/>
    <w:basedOn w:val="CommentTextChar"/>
    <w:link w:val="CommentSubject"/>
    <w:uiPriority w:val="99"/>
    <w:semiHidden/>
    <w:rsid w:val="00F90217"/>
    <w:rPr>
      <w:b/>
      <w:bCs/>
      <w:sz w:val="20"/>
      <w:szCs w:val="20"/>
    </w:rPr>
  </w:style>
  <w:style w:type="paragraph" w:styleId="Revision">
    <w:name w:val="Revision"/>
    <w:hidden/>
    <w:uiPriority w:val="99"/>
    <w:semiHidden/>
    <w:rsid w:val="00B869E8"/>
  </w:style>
  <w:style w:type="character" w:styleId="Mention">
    <w:name w:val="Mention"/>
    <w:basedOn w:val="DefaultParagraphFont"/>
    <w:uiPriority w:val="99"/>
    <w:unhideWhenUsed/>
    <w:rPr>
      <w:color w:val="2B579A"/>
      <w:shd w:val="clear" w:color="auto" w:fill="E6E6E6"/>
    </w:rPr>
  </w:style>
  <w:style w:type="character" w:customStyle="1" w:styleId="Heading2Char">
    <w:name w:val="Heading 2 Char"/>
    <w:basedOn w:val="DefaultParagraphFont"/>
    <w:link w:val="Heading2"/>
    <w:uiPriority w:val="9"/>
    <w:rsid w:val="00DE7D51"/>
    <w:rPr>
      <w:rFonts w:asciiTheme="majorHAnsi" w:eastAsiaTheme="majorEastAsia" w:hAnsiTheme="majorHAnsi" w:cstheme="majorBidi"/>
      <w:color w:val="003F68" w:themeColor="accent1" w:themeShade="BF"/>
      <w:sz w:val="26"/>
      <w:szCs w:val="26"/>
    </w:rPr>
  </w:style>
  <w:style w:type="character" w:customStyle="1" w:styleId="Heading1Char">
    <w:name w:val="Heading 1 Char"/>
    <w:basedOn w:val="DefaultParagraphFont"/>
    <w:link w:val="Heading1"/>
    <w:uiPriority w:val="9"/>
    <w:rsid w:val="00DE7D51"/>
    <w:rPr>
      <w:rFonts w:asciiTheme="majorHAnsi" w:eastAsiaTheme="majorEastAsia" w:hAnsiTheme="majorHAnsi" w:cstheme="majorBidi"/>
      <w:color w:val="003F68"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p44_2018-Dec">
      <a:dk1>
        <a:srgbClr val="000000"/>
      </a:dk1>
      <a:lt1>
        <a:srgbClr val="FFFFFF"/>
      </a:lt1>
      <a:dk2>
        <a:srgbClr val="939598"/>
      </a:dk2>
      <a:lt2>
        <a:srgbClr val="E6E6E8"/>
      </a:lt2>
      <a:accent1>
        <a:srgbClr val="00558B"/>
      </a:accent1>
      <a:accent2>
        <a:srgbClr val="07456B"/>
      </a:accent2>
      <a:accent3>
        <a:srgbClr val="FFCB05"/>
      </a:accent3>
      <a:accent4>
        <a:srgbClr val="00AEEF"/>
      </a:accent4>
      <a:accent5>
        <a:srgbClr val="00A651"/>
      </a:accent5>
      <a:accent6>
        <a:srgbClr val="F04E37"/>
      </a:accent6>
      <a:hlink>
        <a:srgbClr val="939598"/>
      </a:hlink>
      <a:folHlink>
        <a:srgbClr val="93959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L1xHxFUwm2yPLSDE703vq70+CQ==">AMUW2mV3mqL4v2vbA4TwFrxy579FVspbKkGmwFgAIi4vPZnq+E5waf24oD1Evvmbs5IphDfIbbHC35+HOb0nJ9vfJcioMgaY/rWN7hXcNUK/14+ED9yeT/w=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Nair</dc:creator>
  <cp:lastModifiedBy>Charlie Pesti</cp:lastModifiedBy>
  <cp:revision>5</cp:revision>
  <dcterms:created xsi:type="dcterms:W3CDTF">2021-12-14T08:07:00Z</dcterms:created>
  <dcterms:modified xsi:type="dcterms:W3CDTF">2021-12-17T13:35:00Z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0x01010029CCAC244003EF4A862908B83DB0916F</vt:lpwstr>
  </property>
</Properties>
</file>