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479FD" w14:textId="59FA0258" w:rsidR="003935EB" w:rsidRPr="00944DAA" w:rsidRDefault="00745FC2" w:rsidP="003935EB">
      <w:pPr>
        <w:pStyle w:val="Heading1"/>
        <w:spacing w:before="0"/>
        <w:ind w:right="-142"/>
        <w:rPr>
          <w:rFonts w:ascii="Arial" w:hAnsi="Arial" w:cs="Arial"/>
          <w:color w:val="595959" w:themeColor="text1" w:themeTint="A6"/>
          <w:sz w:val="24"/>
        </w:rPr>
      </w:pPr>
      <w:r>
        <w:rPr>
          <w:rFonts w:ascii="Arial" w:hAnsi="Arial" w:cs="Arial"/>
          <w:color w:val="595959" w:themeColor="text1" w:themeTint="A6"/>
          <w:sz w:val="24"/>
        </w:rPr>
        <w:t xml:space="preserve">2021 </w:t>
      </w:r>
      <w:r w:rsidR="00380CBC">
        <w:rPr>
          <w:rFonts w:ascii="Arial" w:hAnsi="Arial" w:cs="Arial"/>
          <w:color w:val="595959" w:themeColor="text1" w:themeTint="A6"/>
          <w:sz w:val="24"/>
        </w:rPr>
        <w:t>Surpasses 2020 in Dollars</w:t>
      </w:r>
      <w:r>
        <w:rPr>
          <w:rFonts w:ascii="Arial" w:hAnsi="Arial" w:cs="Arial"/>
          <w:color w:val="595959" w:themeColor="text1" w:themeTint="A6"/>
          <w:sz w:val="24"/>
        </w:rPr>
        <w:t xml:space="preserve"> but Volume Was Not Able to Hold the Line</w:t>
      </w:r>
    </w:p>
    <w:p w14:paraId="50B8AA36" w14:textId="77777777" w:rsidR="000B705A" w:rsidRPr="00B35CE9" w:rsidRDefault="000B705A" w:rsidP="000B705A">
      <w:pPr>
        <w:rPr>
          <w:rFonts w:ascii="Arial" w:hAnsi="Arial" w:cs="Arial"/>
          <w:sz w:val="20"/>
          <w:szCs w:val="20"/>
        </w:rPr>
      </w:pPr>
      <w:r w:rsidRPr="00B35CE9">
        <w:rPr>
          <w:rFonts w:ascii="Arial" w:hAnsi="Arial" w:cs="Arial"/>
          <w:sz w:val="20"/>
          <w:szCs w:val="20"/>
        </w:rPr>
        <w:t xml:space="preserve">By: Anne-Marie Roerink, President, 210 Analytics </w:t>
      </w:r>
      <w:r w:rsidRPr="007E1D2E">
        <w:rPr>
          <w:rFonts w:ascii="Arial" w:hAnsi="Arial" w:cs="Arial"/>
          <w:noProof/>
          <w:sz w:val="20"/>
          <w:szCs w:val="20"/>
        </w:rPr>
        <w:drawing>
          <wp:anchor distT="0" distB="0" distL="114300" distR="114300" simplePos="0" relativeHeight="251659264" behindDoc="0" locked="1" layoutInCell="1" allowOverlap="1" wp14:anchorId="00983DE0" wp14:editId="685F2108">
            <wp:simplePos x="0" y="0"/>
            <wp:positionH relativeFrom="page">
              <wp:posOffset>313055</wp:posOffset>
            </wp:positionH>
            <wp:positionV relativeFrom="page">
              <wp:posOffset>1129030</wp:posOffset>
            </wp:positionV>
            <wp:extent cx="7212330" cy="634365"/>
            <wp:effectExtent l="0" t="0" r="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 shadow 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12330" cy="634365"/>
                    </a:xfrm>
                    <a:prstGeom prst="rect">
                      <a:avLst/>
                    </a:prstGeom>
                  </pic:spPr>
                </pic:pic>
              </a:graphicData>
            </a:graphic>
          </wp:anchor>
        </w:drawing>
      </w:r>
    </w:p>
    <w:p w14:paraId="5766C883" w14:textId="77777777" w:rsidR="000B705A" w:rsidRDefault="000B705A" w:rsidP="000B705A">
      <w:pPr>
        <w:pStyle w:val="NoSpacing"/>
        <w:rPr>
          <w:rFonts w:ascii="Arial" w:hAnsi="Arial" w:cs="Arial"/>
          <w:sz w:val="20"/>
          <w:szCs w:val="20"/>
        </w:rPr>
      </w:pPr>
    </w:p>
    <w:p w14:paraId="1D271CD6" w14:textId="77777777" w:rsidR="000B705A" w:rsidRPr="009172A3" w:rsidRDefault="000B705A" w:rsidP="000B705A">
      <w:pPr>
        <w:pStyle w:val="NoSpacing"/>
        <w:rPr>
          <w:rFonts w:ascii="Arial" w:hAnsi="Arial" w:cs="Arial"/>
          <w:sz w:val="10"/>
          <w:szCs w:val="10"/>
        </w:rPr>
      </w:pPr>
    </w:p>
    <w:p w14:paraId="6B2A27EB" w14:textId="2ABB2BC2" w:rsidR="00D8582D" w:rsidRDefault="00D8582D" w:rsidP="00D8582D">
      <w:pPr>
        <w:pStyle w:val="NoSpacing"/>
        <w:rPr>
          <w:rFonts w:ascii="Arial" w:hAnsi="Arial" w:cs="Arial"/>
          <w:sz w:val="20"/>
          <w:szCs w:val="20"/>
        </w:rPr>
      </w:pPr>
      <w:r>
        <w:rPr>
          <w:rFonts w:ascii="Arial" w:hAnsi="Arial" w:cs="Arial"/>
          <w:sz w:val="20"/>
          <w:szCs w:val="20"/>
        </w:rPr>
        <w:t xml:space="preserve">The fourth quarter of 2021 was disrupted by high levels of COVID-19 cases, high inflation and continued supply chain disruption. “Americans are very aware of </w:t>
      </w:r>
      <w:r w:rsidR="006050A3">
        <w:rPr>
          <w:rFonts w:ascii="Arial" w:hAnsi="Arial" w:cs="Arial"/>
          <w:sz w:val="20"/>
          <w:szCs w:val="20"/>
        </w:rPr>
        <w:t>inflation</w:t>
      </w:r>
      <w:r>
        <w:rPr>
          <w:rFonts w:ascii="Arial" w:hAnsi="Arial" w:cs="Arial"/>
          <w:sz w:val="20"/>
          <w:szCs w:val="20"/>
        </w:rPr>
        <w:t>, with 43% perceiving prices to be a little higher and 48% perceiving them to be much higher,” said Jonna Parker, Team Lead for IRI Fresh, citing the December wave of IRI’s primary shopper survey. “Among those who</w:t>
      </w:r>
      <w:r w:rsidR="006050A3">
        <w:rPr>
          <w:rFonts w:ascii="Arial" w:hAnsi="Arial" w:cs="Arial"/>
          <w:sz w:val="20"/>
          <w:szCs w:val="20"/>
        </w:rPr>
        <w:t xml:space="preserve"> have noticed inflation</w:t>
      </w:r>
      <w:r>
        <w:rPr>
          <w:rFonts w:ascii="Arial" w:hAnsi="Arial" w:cs="Arial"/>
          <w:sz w:val="20"/>
          <w:szCs w:val="20"/>
        </w:rPr>
        <w:t>, 94% are concerned</w:t>
      </w:r>
      <w:r w:rsidR="001F29DC">
        <w:rPr>
          <w:rFonts w:ascii="Arial" w:hAnsi="Arial" w:cs="Arial"/>
          <w:sz w:val="20"/>
          <w:szCs w:val="20"/>
        </w:rPr>
        <w:t xml:space="preserve"> about it. Further,</w:t>
      </w:r>
      <w:r>
        <w:rPr>
          <w:rFonts w:ascii="Arial" w:hAnsi="Arial" w:cs="Arial"/>
          <w:sz w:val="20"/>
          <w:szCs w:val="20"/>
        </w:rPr>
        <w:t xml:space="preserve"> produce is the second most frequently mentioned example </w:t>
      </w:r>
      <w:r w:rsidR="001F29DC">
        <w:rPr>
          <w:rFonts w:ascii="Arial" w:hAnsi="Arial" w:cs="Arial"/>
          <w:sz w:val="20"/>
          <w:szCs w:val="20"/>
        </w:rPr>
        <w:t xml:space="preserve">by consumers </w:t>
      </w:r>
      <w:r>
        <w:rPr>
          <w:rFonts w:ascii="Arial" w:hAnsi="Arial" w:cs="Arial"/>
          <w:sz w:val="20"/>
          <w:szCs w:val="20"/>
        </w:rPr>
        <w:t xml:space="preserve">of products with </w:t>
      </w:r>
      <w:r w:rsidR="006050A3">
        <w:rPr>
          <w:rFonts w:ascii="Arial" w:hAnsi="Arial" w:cs="Arial"/>
          <w:sz w:val="20"/>
          <w:szCs w:val="20"/>
        </w:rPr>
        <w:t xml:space="preserve">elevated </w:t>
      </w:r>
      <w:r>
        <w:rPr>
          <w:rFonts w:ascii="Arial" w:hAnsi="Arial" w:cs="Arial"/>
          <w:sz w:val="20"/>
          <w:szCs w:val="20"/>
        </w:rPr>
        <w:t xml:space="preserve">prices. </w:t>
      </w:r>
      <w:bookmarkStart w:id="0" w:name="_Hlk92706741"/>
      <w:r>
        <w:rPr>
          <w:rFonts w:ascii="Arial" w:hAnsi="Arial" w:cs="Arial"/>
          <w:sz w:val="20"/>
          <w:szCs w:val="20"/>
        </w:rPr>
        <w:t>In response to inflationary pressure around the store, 45% look for sales specials more often</w:t>
      </w:r>
      <w:r w:rsidR="00247561">
        <w:rPr>
          <w:rFonts w:ascii="Arial" w:hAnsi="Arial" w:cs="Arial"/>
          <w:sz w:val="20"/>
          <w:szCs w:val="20"/>
        </w:rPr>
        <w:t xml:space="preserve">, 21% </w:t>
      </w:r>
      <w:r>
        <w:rPr>
          <w:rFonts w:ascii="Arial" w:hAnsi="Arial" w:cs="Arial"/>
          <w:sz w:val="20"/>
          <w:szCs w:val="20"/>
        </w:rPr>
        <w:t xml:space="preserve">buy more private brand </w:t>
      </w:r>
      <w:r w:rsidR="00247561">
        <w:rPr>
          <w:rFonts w:ascii="Arial" w:hAnsi="Arial" w:cs="Arial"/>
          <w:sz w:val="20"/>
          <w:szCs w:val="20"/>
        </w:rPr>
        <w:t xml:space="preserve">and 13% </w:t>
      </w:r>
      <w:r>
        <w:rPr>
          <w:rFonts w:ascii="Arial" w:hAnsi="Arial" w:cs="Arial"/>
          <w:sz w:val="20"/>
          <w:szCs w:val="20"/>
        </w:rPr>
        <w:t>visi</w:t>
      </w:r>
      <w:r w:rsidR="00247561">
        <w:rPr>
          <w:rFonts w:ascii="Arial" w:hAnsi="Arial" w:cs="Arial"/>
          <w:sz w:val="20"/>
          <w:szCs w:val="20"/>
        </w:rPr>
        <w:t>t</w:t>
      </w:r>
      <w:r>
        <w:rPr>
          <w:rFonts w:ascii="Arial" w:hAnsi="Arial" w:cs="Arial"/>
          <w:sz w:val="20"/>
          <w:szCs w:val="20"/>
        </w:rPr>
        <w:t xml:space="preserve"> different stores. About one-third of shoppers have not (yet) made any changes due to price increases.</w:t>
      </w:r>
      <w:r w:rsidR="00745FC2">
        <w:rPr>
          <w:rFonts w:ascii="Arial" w:hAnsi="Arial" w:cs="Arial"/>
          <w:sz w:val="20"/>
          <w:szCs w:val="20"/>
        </w:rPr>
        <w:t>”</w:t>
      </w:r>
      <w:r>
        <w:rPr>
          <w:rFonts w:ascii="Arial" w:hAnsi="Arial" w:cs="Arial"/>
          <w:sz w:val="20"/>
          <w:szCs w:val="20"/>
        </w:rPr>
        <w:t xml:space="preserve"> The combined effect of inflation, out-of-stocks and the latest COVID-19 wave resulted in continued changes as it related to choices in food purchasing and consumption. </w:t>
      </w:r>
      <w:bookmarkEnd w:id="0"/>
      <w:r w:rsidR="0045675D">
        <w:rPr>
          <w:rFonts w:ascii="Arial" w:hAnsi="Arial" w:cs="Arial"/>
          <w:sz w:val="20"/>
          <w:szCs w:val="20"/>
        </w:rPr>
        <w:t xml:space="preserve">In 2022, </w:t>
      </w:r>
      <w:r>
        <w:rPr>
          <w:rFonts w:ascii="Arial" w:hAnsi="Arial" w:cs="Arial"/>
          <w:sz w:val="20"/>
          <w:szCs w:val="20"/>
        </w:rPr>
        <w:t>IRI, 210 Analytics and the</w:t>
      </w:r>
      <w:r w:rsidR="0045675D">
        <w:rPr>
          <w:rFonts w:ascii="Arial" w:hAnsi="Arial" w:cs="Arial"/>
          <w:sz w:val="20"/>
          <w:szCs w:val="20"/>
        </w:rPr>
        <w:t xml:space="preserve"> International Fresh Produce Association (IFPA) will continue to</w:t>
      </w:r>
      <w:r>
        <w:rPr>
          <w:rFonts w:ascii="Arial" w:hAnsi="Arial" w:cs="Arial"/>
          <w:sz w:val="20"/>
          <w:szCs w:val="20"/>
        </w:rPr>
        <w:t xml:space="preserve"> team up to document the ever-changing </w:t>
      </w:r>
      <w:r w:rsidRPr="0039585E">
        <w:rPr>
          <w:rFonts w:ascii="Arial" w:hAnsi="Arial" w:cs="Arial"/>
          <w:sz w:val="20"/>
          <w:szCs w:val="20"/>
        </w:rPr>
        <w:t xml:space="preserve">marketplace </w:t>
      </w:r>
      <w:r>
        <w:rPr>
          <w:rFonts w:ascii="Arial" w:hAnsi="Arial" w:cs="Arial"/>
          <w:sz w:val="20"/>
          <w:szCs w:val="20"/>
        </w:rPr>
        <w:t>and its impact on fresh produce sales</w:t>
      </w:r>
      <w:r w:rsidRPr="0039585E">
        <w:rPr>
          <w:rFonts w:ascii="Arial" w:hAnsi="Arial" w:cs="Arial"/>
          <w:sz w:val="20"/>
          <w:szCs w:val="20"/>
        </w:rPr>
        <w:t>.</w:t>
      </w:r>
    </w:p>
    <w:p w14:paraId="15AFB636" w14:textId="77777777" w:rsidR="00D8582D" w:rsidRDefault="00D8582D" w:rsidP="00D8582D">
      <w:pPr>
        <w:pStyle w:val="NoSpacing"/>
        <w:rPr>
          <w:rFonts w:ascii="Arial" w:hAnsi="Arial" w:cs="Arial"/>
          <w:sz w:val="20"/>
          <w:szCs w:val="20"/>
        </w:rPr>
      </w:pPr>
    </w:p>
    <w:p w14:paraId="10EDFA41" w14:textId="0C150FD4" w:rsidR="00D8582D" w:rsidRDefault="00D8582D" w:rsidP="00D8582D">
      <w:pPr>
        <w:pStyle w:val="NoSpacing"/>
        <w:rPr>
          <w:rFonts w:ascii="Arial" w:hAnsi="Arial" w:cs="Arial"/>
          <w:sz w:val="20"/>
          <w:szCs w:val="20"/>
        </w:rPr>
      </w:pPr>
      <w:r w:rsidRPr="004A6266">
        <w:rPr>
          <w:rFonts w:ascii="Arial" w:hAnsi="Arial" w:cs="Arial"/>
          <w:noProof/>
          <w:sz w:val="20"/>
          <w:szCs w:val="20"/>
        </w:rPr>
        <w:drawing>
          <wp:anchor distT="0" distB="0" distL="114300" distR="114300" simplePos="0" relativeHeight="251664384" behindDoc="0" locked="0" layoutInCell="1" allowOverlap="1" wp14:anchorId="7F7C408D" wp14:editId="5CC563F9">
            <wp:simplePos x="0" y="0"/>
            <wp:positionH relativeFrom="column">
              <wp:posOffset>1636395</wp:posOffset>
            </wp:positionH>
            <wp:positionV relativeFrom="paragraph">
              <wp:posOffset>241300</wp:posOffset>
            </wp:positionV>
            <wp:extent cx="4953000" cy="2653665"/>
            <wp:effectExtent l="0" t="0" r="0" b="0"/>
            <wp:wrapSquare wrapText="bothSides"/>
            <wp:docPr id="6" name="Chart 6">
              <a:extLst xmlns:a="http://schemas.openxmlformats.org/drawingml/2006/main">
                <a:ext uri="{FF2B5EF4-FFF2-40B4-BE49-F238E27FC236}">
                  <a16:creationId xmlns:a16="http://schemas.microsoft.com/office/drawing/2014/main" id="{722FB69E-C8FF-4474-9368-90D2A38384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ascii="Arial" w:hAnsi="Arial" w:cs="Arial"/>
          <w:sz w:val="20"/>
          <w:szCs w:val="20"/>
        </w:rPr>
        <w:t xml:space="preserve">Meals </w:t>
      </w:r>
      <w:r w:rsidR="001F29DC">
        <w:rPr>
          <w:rFonts w:ascii="Arial" w:hAnsi="Arial" w:cs="Arial"/>
          <w:sz w:val="20"/>
          <w:szCs w:val="20"/>
        </w:rPr>
        <w:t>remained</w:t>
      </w:r>
      <w:r>
        <w:rPr>
          <w:rFonts w:ascii="Arial" w:hAnsi="Arial" w:cs="Arial"/>
          <w:sz w:val="20"/>
          <w:szCs w:val="20"/>
        </w:rPr>
        <w:t xml:space="preserve"> home-centric in December. According to the IRI primary shopper survey, the share of meals prepared at home remain</w:t>
      </w:r>
      <w:r w:rsidR="005F485C">
        <w:rPr>
          <w:rFonts w:ascii="Arial" w:hAnsi="Arial" w:cs="Arial"/>
          <w:sz w:val="20"/>
          <w:szCs w:val="20"/>
        </w:rPr>
        <w:t>ed</w:t>
      </w:r>
      <w:r>
        <w:rPr>
          <w:rFonts w:ascii="Arial" w:hAnsi="Arial" w:cs="Arial"/>
          <w:sz w:val="20"/>
          <w:szCs w:val="20"/>
        </w:rPr>
        <w:t xml:space="preserve"> at 80%. The share of in-store versus online trips to buy groceries gained a little in December (86%) versus its November levels (83%) — perhaps related to holiday shopping. </w:t>
      </w:r>
    </w:p>
    <w:p w14:paraId="14A651C7" w14:textId="77777777" w:rsidR="00D8582D" w:rsidRDefault="00D8582D" w:rsidP="00D8582D">
      <w:pPr>
        <w:pStyle w:val="NoSpacing"/>
        <w:rPr>
          <w:rFonts w:ascii="Arial" w:hAnsi="Arial" w:cs="Arial"/>
          <w:sz w:val="20"/>
          <w:szCs w:val="20"/>
        </w:rPr>
      </w:pPr>
    </w:p>
    <w:p w14:paraId="4B9C01AE" w14:textId="77777777" w:rsidR="00D8582D" w:rsidRDefault="00D8582D" w:rsidP="00D8582D">
      <w:pPr>
        <w:pStyle w:val="NoSpacing"/>
        <w:rPr>
          <w:rFonts w:ascii="Arial" w:hAnsi="Arial" w:cs="Arial"/>
          <w:sz w:val="20"/>
          <w:szCs w:val="20"/>
        </w:rPr>
      </w:pPr>
      <w:r>
        <w:rPr>
          <w:rFonts w:ascii="Arial" w:hAnsi="Arial" w:cs="Arial"/>
          <w:sz w:val="20"/>
          <w:szCs w:val="20"/>
        </w:rPr>
        <w:t xml:space="preserve">During the early months of the pandemic, as many as 20% of trips were online. This dropped to a low of 11% in July of 2021. </w:t>
      </w:r>
    </w:p>
    <w:p w14:paraId="3AF94781" w14:textId="77777777" w:rsidR="00D8582D" w:rsidRDefault="00D8582D" w:rsidP="00D8582D">
      <w:pPr>
        <w:pStyle w:val="NoSpacing"/>
        <w:rPr>
          <w:rFonts w:ascii="Arial" w:hAnsi="Arial" w:cs="Arial"/>
          <w:sz w:val="20"/>
          <w:szCs w:val="20"/>
        </w:rPr>
      </w:pPr>
    </w:p>
    <w:p w14:paraId="0838EACC" w14:textId="0BA5D76F" w:rsidR="00D8582D" w:rsidRDefault="00D8582D" w:rsidP="00D8582D">
      <w:pPr>
        <w:pStyle w:val="NoSpacing"/>
        <w:rPr>
          <w:rFonts w:ascii="Arial" w:hAnsi="Arial" w:cs="Arial"/>
          <w:sz w:val="20"/>
          <w:szCs w:val="20"/>
        </w:rPr>
      </w:pPr>
      <w:r>
        <w:rPr>
          <w:rFonts w:ascii="Arial" w:hAnsi="Arial" w:cs="Arial"/>
          <w:sz w:val="20"/>
          <w:szCs w:val="20"/>
        </w:rPr>
        <w:t xml:space="preserve">Yet online shopping remains a complementary trip for most consumers. In December 2021, only 3% of survey respondents believe they will buy all their groceries online in the next month. This compares to 69% who believe they will buy everything in store, leaving 28% who will </w:t>
      </w:r>
      <w:r w:rsidR="001F29DC">
        <w:rPr>
          <w:rFonts w:ascii="Arial" w:hAnsi="Arial" w:cs="Arial"/>
          <w:sz w:val="20"/>
          <w:szCs w:val="20"/>
        </w:rPr>
        <w:t>mix online and in-store grocery shopping</w:t>
      </w:r>
      <w:r>
        <w:rPr>
          <w:rFonts w:ascii="Arial" w:hAnsi="Arial" w:cs="Arial"/>
          <w:sz w:val="20"/>
          <w:szCs w:val="20"/>
        </w:rPr>
        <w:t xml:space="preserve">. This signals a likely continuation of mixed format shopping for 2022 for </w:t>
      </w:r>
      <w:r w:rsidR="006050A3">
        <w:rPr>
          <w:rFonts w:ascii="Arial" w:hAnsi="Arial" w:cs="Arial"/>
          <w:sz w:val="20"/>
          <w:szCs w:val="20"/>
        </w:rPr>
        <w:t xml:space="preserve">a significant number of </w:t>
      </w:r>
      <w:r>
        <w:rPr>
          <w:rFonts w:ascii="Arial" w:hAnsi="Arial" w:cs="Arial"/>
          <w:sz w:val="20"/>
          <w:szCs w:val="20"/>
        </w:rPr>
        <w:t>people.</w:t>
      </w:r>
      <w:r w:rsidR="00745FC2">
        <w:rPr>
          <w:rFonts w:ascii="Arial" w:hAnsi="Arial" w:cs="Arial"/>
          <w:sz w:val="20"/>
          <w:szCs w:val="20"/>
        </w:rPr>
        <w:t xml:space="preserve"> “Mixed format shopping is an important area to address for fresh produce,” added Parker. “Frozen and canned goods have very high online conversion but not everyone likes buying fresh produce online. Easing online buying hesitations will help build the online fresh produce basket</w:t>
      </w:r>
      <w:r w:rsidR="001A4317">
        <w:rPr>
          <w:rFonts w:ascii="Arial" w:hAnsi="Arial" w:cs="Arial"/>
          <w:sz w:val="20"/>
          <w:szCs w:val="20"/>
        </w:rPr>
        <w:t xml:space="preserve"> as an important area of growth in 202</w:t>
      </w:r>
      <w:r w:rsidR="001F29DC">
        <w:rPr>
          <w:rFonts w:ascii="Arial" w:hAnsi="Arial" w:cs="Arial"/>
          <w:sz w:val="20"/>
          <w:szCs w:val="20"/>
        </w:rPr>
        <w:t>2.</w:t>
      </w:r>
      <w:r w:rsidR="00745FC2">
        <w:rPr>
          <w:rFonts w:ascii="Arial" w:hAnsi="Arial" w:cs="Arial"/>
          <w:sz w:val="20"/>
          <w:szCs w:val="20"/>
        </w:rPr>
        <w:t>”</w:t>
      </w:r>
    </w:p>
    <w:p w14:paraId="0A9439CD" w14:textId="77777777" w:rsidR="00D8582D" w:rsidRDefault="00D8582D" w:rsidP="00D8582D">
      <w:pPr>
        <w:pStyle w:val="NoSpacing"/>
        <w:rPr>
          <w:rFonts w:ascii="Arial" w:hAnsi="Arial" w:cs="Arial"/>
          <w:sz w:val="20"/>
          <w:szCs w:val="20"/>
        </w:rPr>
      </w:pPr>
      <w:r>
        <w:rPr>
          <w:rFonts w:ascii="Arial" w:hAnsi="Arial" w:cs="Arial"/>
          <w:sz w:val="20"/>
          <w:szCs w:val="20"/>
        </w:rPr>
        <w:t xml:space="preserve"> </w:t>
      </w:r>
    </w:p>
    <w:p w14:paraId="737A2EF5" w14:textId="77777777" w:rsidR="00D8582D" w:rsidRDefault="00D8582D" w:rsidP="00D8582D">
      <w:pPr>
        <w:pStyle w:val="NoSpacing"/>
        <w:rPr>
          <w:rFonts w:ascii="Arial" w:hAnsi="Arial" w:cs="Arial"/>
          <w:sz w:val="20"/>
          <w:szCs w:val="20"/>
        </w:rPr>
      </w:pPr>
    </w:p>
    <w:p w14:paraId="316863C4" w14:textId="77777777" w:rsidR="00D8582D" w:rsidRPr="00355721" w:rsidRDefault="00D8582D" w:rsidP="00D8582D">
      <w:pPr>
        <w:pStyle w:val="NoSpacing"/>
        <w:rPr>
          <w:rFonts w:ascii="Arial" w:hAnsi="Arial" w:cs="Arial"/>
          <w:b/>
          <w:color w:val="595959" w:themeColor="text1" w:themeTint="A6"/>
          <w:sz w:val="24"/>
          <w:szCs w:val="20"/>
        </w:rPr>
      </w:pPr>
      <w:r w:rsidRPr="00355721">
        <w:rPr>
          <w:rFonts w:ascii="Arial" w:hAnsi="Arial" w:cs="Arial"/>
          <w:b/>
          <w:color w:val="595959" w:themeColor="text1" w:themeTint="A6"/>
          <w:sz w:val="24"/>
          <w:szCs w:val="20"/>
        </w:rPr>
        <w:t>Inflation</w:t>
      </w:r>
    </w:p>
    <w:p w14:paraId="0CC82C4D" w14:textId="77777777" w:rsidR="00D8582D" w:rsidRDefault="00D8582D" w:rsidP="00D8582D">
      <w:pPr>
        <w:pStyle w:val="NoSpacing"/>
        <w:rPr>
          <w:rFonts w:ascii="Arial" w:hAnsi="Arial" w:cs="Arial"/>
          <w:color w:val="000000" w:themeColor="text1"/>
          <w:sz w:val="20"/>
          <w:szCs w:val="20"/>
        </w:rPr>
      </w:pPr>
      <w:r>
        <w:rPr>
          <w:rFonts w:ascii="Arial" w:hAnsi="Arial" w:cs="Arial"/>
          <w:color w:val="000000" w:themeColor="text1"/>
          <w:sz w:val="20"/>
          <w:szCs w:val="20"/>
        </w:rPr>
        <w:t xml:space="preserve">The consumer price index increased 6.8% for the 12 months ending November 2021, its highest since June 1982, according to the Bureau of Labor Statistics. </w:t>
      </w:r>
      <w:r>
        <w:rPr>
          <w:rFonts w:ascii="Arial" w:hAnsi="Arial" w:cs="Arial"/>
          <w:sz w:val="20"/>
          <w:szCs w:val="20"/>
        </w:rPr>
        <w:t xml:space="preserve">IRI-measured price per unit for all food and beverages in multi-outlet stores, including supermarkets, club, mass, super-center, drug, military, and other retail food stores, also shows that prices continued to rise over and above their elevated 2020 levels. In December 2021, the average price per unit was up 8.3% versus December 2020 across all food and beverages. For the total year, prices increased 5.3% — pulled down by much milder inflation in the second quarter. </w:t>
      </w:r>
    </w:p>
    <w:p w14:paraId="76582E22" w14:textId="77777777" w:rsidR="00D8582D" w:rsidRDefault="00D8582D" w:rsidP="00D8582D">
      <w:pPr>
        <w:pStyle w:val="NoSpacing"/>
        <w:rPr>
          <w:rFonts w:ascii="Arial" w:hAnsi="Arial" w:cs="Arial"/>
          <w:b/>
          <w:color w:val="595959" w:themeColor="text1" w:themeTint="A6"/>
          <w:sz w:val="24"/>
          <w:szCs w:val="20"/>
        </w:rPr>
      </w:pPr>
    </w:p>
    <w:tbl>
      <w:tblPr>
        <w:tblStyle w:val="LightShading-Accent5"/>
        <w:tblW w:w="10065" w:type="dxa"/>
        <w:tblBorders>
          <w:top w:val="none" w:sz="0" w:space="0" w:color="auto"/>
          <w:bottom w:val="none" w:sz="0" w:space="0" w:color="auto"/>
        </w:tblBorders>
        <w:tblCellMar>
          <w:left w:w="57" w:type="dxa"/>
          <w:right w:w="57" w:type="dxa"/>
        </w:tblCellMar>
        <w:tblLook w:val="04A0" w:firstRow="1" w:lastRow="0" w:firstColumn="1" w:lastColumn="0" w:noHBand="0" w:noVBand="1"/>
      </w:tblPr>
      <w:tblGrid>
        <w:gridCol w:w="2521"/>
        <w:gridCol w:w="1257"/>
        <w:gridCol w:w="1257"/>
        <w:gridCol w:w="1258"/>
        <w:gridCol w:w="1257"/>
        <w:gridCol w:w="1257"/>
        <w:gridCol w:w="1258"/>
      </w:tblGrid>
      <w:tr w:rsidR="00D8582D" w:rsidRPr="00770F6B" w14:paraId="3812A4F3" w14:textId="77777777" w:rsidTr="001F29DC">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2521"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FEEB5FB" w14:textId="77777777" w:rsidR="00D8582D" w:rsidRPr="006C208B" w:rsidRDefault="00D8582D" w:rsidP="001F29DC">
            <w:pPr>
              <w:pStyle w:val="NoSpacing"/>
              <w:rPr>
                <w:rFonts w:ascii="Arial" w:hAnsi="Arial" w:cs="Arial"/>
                <w:b w:val="0"/>
                <w:color w:val="F2F2F2" w:themeColor="background1" w:themeShade="F2"/>
                <w:sz w:val="18"/>
                <w:szCs w:val="18"/>
              </w:rPr>
            </w:pPr>
            <w:r w:rsidRPr="006C208B">
              <w:rPr>
                <w:rFonts w:ascii="Arial" w:hAnsi="Arial" w:cs="Arial"/>
                <w:b w:val="0"/>
                <w:color w:val="F2F2F2" w:themeColor="background1" w:themeShade="F2"/>
                <w:sz w:val="18"/>
                <w:szCs w:val="18"/>
              </w:rPr>
              <w:t>Average price</w:t>
            </w:r>
            <w:r>
              <w:rPr>
                <w:rFonts w:ascii="Arial" w:hAnsi="Arial" w:cs="Arial"/>
                <w:b w:val="0"/>
                <w:color w:val="F2F2F2" w:themeColor="background1" w:themeShade="F2"/>
                <w:sz w:val="18"/>
                <w:szCs w:val="18"/>
              </w:rPr>
              <w:t>/unit vs, YA</w:t>
            </w:r>
          </w:p>
        </w:tc>
        <w:tc>
          <w:tcPr>
            <w:tcW w:w="1257"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73C819C0" w14:textId="77777777" w:rsidR="00D8582D" w:rsidRPr="006C208B" w:rsidRDefault="00D8582D" w:rsidP="001F29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Q1 21</w:t>
            </w:r>
          </w:p>
        </w:tc>
        <w:tc>
          <w:tcPr>
            <w:tcW w:w="1257"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E90C419" w14:textId="77777777" w:rsidR="00D8582D" w:rsidRPr="006C208B" w:rsidRDefault="00D8582D" w:rsidP="001F29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Q2 21</w:t>
            </w:r>
          </w:p>
        </w:tc>
        <w:tc>
          <w:tcPr>
            <w:tcW w:w="1258"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72BFDBE7" w14:textId="77777777" w:rsidR="00D8582D" w:rsidRPr="006C208B" w:rsidRDefault="00D8582D" w:rsidP="001F29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Q3 21</w:t>
            </w:r>
          </w:p>
        </w:tc>
        <w:tc>
          <w:tcPr>
            <w:tcW w:w="1257"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564318B" w14:textId="77777777" w:rsidR="00D8582D" w:rsidRPr="006C208B" w:rsidRDefault="00D8582D" w:rsidP="001F29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Q4 21</w:t>
            </w:r>
          </w:p>
        </w:tc>
        <w:tc>
          <w:tcPr>
            <w:tcW w:w="1257"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FCD6874" w14:textId="77777777" w:rsidR="00D8582D" w:rsidRDefault="00D8582D" w:rsidP="001F29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2021 CY</w:t>
            </w:r>
          </w:p>
        </w:tc>
        <w:tc>
          <w:tcPr>
            <w:tcW w:w="1258"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762D0480" w14:textId="77777777" w:rsidR="00D8582D" w:rsidRPr="006C208B" w:rsidRDefault="00D8582D" w:rsidP="001F29DC">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2F2F2" w:themeColor="background1" w:themeShade="F2"/>
                <w:sz w:val="18"/>
                <w:szCs w:val="18"/>
              </w:rPr>
            </w:pPr>
            <w:r>
              <w:rPr>
                <w:rFonts w:ascii="Arial" w:hAnsi="Arial" w:cs="Arial"/>
                <w:color w:val="F2F2F2" w:themeColor="background1" w:themeShade="F2"/>
                <w:sz w:val="18"/>
                <w:szCs w:val="18"/>
              </w:rPr>
              <w:t>Dec 21</w:t>
            </w:r>
          </w:p>
        </w:tc>
      </w:tr>
      <w:tr w:rsidR="00D8582D" w:rsidRPr="00617F9E" w14:paraId="743269DA" w14:textId="77777777" w:rsidTr="001F29DC">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521" w:type="dxa"/>
            <w:tcBorders>
              <w:left w:val="none" w:sz="0" w:space="0" w:color="auto"/>
              <w:right w:val="none" w:sz="0" w:space="0" w:color="auto"/>
            </w:tcBorders>
            <w:vAlign w:val="center"/>
          </w:tcPr>
          <w:p w14:paraId="3E4EE142" w14:textId="77777777" w:rsidR="00D8582D" w:rsidRPr="006C208B" w:rsidRDefault="00D8582D" w:rsidP="001F29DC">
            <w:pPr>
              <w:pStyle w:val="NoSpacing"/>
              <w:rPr>
                <w:rFonts w:ascii="Arial" w:hAnsi="Arial" w:cs="Arial"/>
                <w:sz w:val="18"/>
                <w:szCs w:val="18"/>
              </w:rPr>
            </w:pPr>
            <w:r w:rsidRPr="006C208B">
              <w:rPr>
                <w:rFonts w:ascii="Arial" w:hAnsi="Arial" w:cs="Arial"/>
                <w:sz w:val="18"/>
                <w:szCs w:val="18"/>
              </w:rPr>
              <w:t>Total food and beverages</w:t>
            </w:r>
          </w:p>
        </w:tc>
        <w:tc>
          <w:tcPr>
            <w:tcW w:w="1257" w:type="dxa"/>
            <w:tcBorders>
              <w:left w:val="none" w:sz="0" w:space="0" w:color="auto"/>
              <w:right w:val="none" w:sz="0" w:space="0" w:color="auto"/>
            </w:tcBorders>
          </w:tcPr>
          <w:p w14:paraId="732478CA" w14:textId="77777777" w:rsidR="00D8582D" w:rsidRPr="006C208B" w:rsidRDefault="00D8582D"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+5.5%</w:t>
            </w:r>
          </w:p>
        </w:tc>
        <w:tc>
          <w:tcPr>
            <w:tcW w:w="1257" w:type="dxa"/>
            <w:tcBorders>
              <w:left w:val="none" w:sz="0" w:space="0" w:color="auto"/>
              <w:right w:val="none" w:sz="0" w:space="0" w:color="auto"/>
            </w:tcBorders>
          </w:tcPr>
          <w:p w14:paraId="593AD917" w14:textId="77777777" w:rsidR="00D8582D" w:rsidRPr="006C208B" w:rsidRDefault="00D8582D"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w:t>
            </w:r>
          </w:p>
        </w:tc>
        <w:tc>
          <w:tcPr>
            <w:tcW w:w="1258" w:type="dxa"/>
            <w:tcBorders>
              <w:left w:val="none" w:sz="0" w:space="0" w:color="auto"/>
              <w:right w:val="none" w:sz="0" w:space="0" w:color="auto"/>
            </w:tcBorders>
          </w:tcPr>
          <w:p w14:paraId="41A71D00" w14:textId="77777777" w:rsidR="00D8582D" w:rsidRPr="006C208B" w:rsidRDefault="00D8582D"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+5.0%</w:t>
            </w:r>
          </w:p>
        </w:tc>
        <w:tc>
          <w:tcPr>
            <w:tcW w:w="1257" w:type="dxa"/>
            <w:tcBorders>
              <w:left w:val="none" w:sz="0" w:space="0" w:color="auto"/>
              <w:right w:val="none" w:sz="0" w:space="0" w:color="auto"/>
            </w:tcBorders>
          </w:tcPr>
          <w:p w14:paraId="43105414" w14:textId="77777777" w:rsidR="00D8582D" w:rsidRPr="006C208B" w:rsidRDefault="00D8582D"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+8.0%</w:t>
            </w:r>
          </w:p>
        </w:tc>
        <w:tc>
          <w:tcPr>
            <w:tcW w:w="1257" w:type="dxa"/>
            <w:tcBorders>
              <w:left w:val="none" w:sz="0" w:space="0" w:color="auto"/>
              <w:right w:val="none" w:sz="0" w:space="0" w:color="auto"/>
            </w:tcBorders>
          </w:tcPr>
          <w:p w14:paraId="64765D41" w14:textId="77777777" w:rsidR="00D8582D" w:rsidRPr="006C208B" w:rsidRDefault="00D8582D"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+5.3%</w:t>
            </w:r>
          </w:p>
        </w:tc>
        <w:tc>
          <w:tcPr>
            <w:tcW w:w="1258" w:type="dxa"/>
            <w:tcBorders>
              <w:left w:val="none" w:sz="0" w:space="0" w:color="auto"/>
              <w:right w:val="none" w:sz="0" w:space="0" w:color="auto"/>
            </w:tcBorders>
          </w:tcPr>
          <w:p w14:paraId="2BE46639" w14:textId="77777777" w:rsidR="00D8582D" w:rsidRPr="006C208B" w:rsidRDefault="00D8582D"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+8.3%</w:t>
            </w:r>
          </w:p>
        </w:tc>
      </w:tr>
    </w:tbl>
    <w:p w14:paraId="4D13C588" w14:textId="77777777" w:rsidR="00D8582D" w:rsidRPr="00392CAA" w:rsidRDefault="00D8582D" w:rsidP="00D8582D">
      <w:pPr>
        <w:pStyle w:val="NoSpacing"/>
        <w:rPr>
          <w:rFonts w:ascii="Arial" w:hAnsi="Arial" w:cs="Arial"/>
          <w:sz w:val="10"/>
          <w:szCs w:val="10"/>
        </w:rPr>
      </w:pPr>
    </w:p>
    <w:p w14:paraId="0A8DDDA2" w14:textId="77777777" w:rsidR="00D8582D" w:rsidRPr="005C6A11" w:rsidRDefault="00D8582D" w:rsidP="00D8582D">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w:t>
      </w:r>
      <w:r w:rsidRPr="005C6A11">
        <w:rPr>
          <w:rFonts w:ascii="Arial" w:hAnsi="Arial" w:cs="Arial"/>
          <w:sz w:val="16"/>
          <w:szCs w:val="16"/>
        </w:rPr>
        <w:t xml:space="preserve">Total US, MULO, </w:t>
      </w:r>
      <w:r>
        <w:rPr>
          <w:rFonts w:ascii="Arial" w:hAnsi="Arial" w:cs="Arial"/>
          <w:sz w:val="16"/>
          <w:szCs w:val="16"/>
        </w:rPr>
        <w:t>inflation index vs. YAGO</w:t>
      </w:r>
    </w:p>
    <w:p w14:paraId="68892DA3" w14:textId="15305C39" w:rsidR="00D8582D" w:rsidRDefault="00D8582D" w:rsidP="001210D2">
      <w:pPr>
        <w:pStyle w:val="NoSpacing"/>
        <w:rPr>
          <w:rFonts w:ascii="Arial" w:hAnsi="Arial" w:cs="Arial"/>
          <w:sz w:val="20"/>
          <w:szCs w:val="20"/>
        </w:rPr>
      </w:pPr>
    </w:p>
    <w:p w14:paraId="16E31C38" w14:textId="5D9B30E8" w:rsidR="00DD3DF6" w:rsidRDefault="00DD3DF6" w:rsidP="00DD3DF6">
      <w:pPr>
        <w:pStyle w:val="NoSpacing"/>
        <w:rPr>
          <w:rFonts w:ascii="Arial" w:hAnsi="Arial" w:cs="Arial"/>
          <w:color w:val="000000" w:themeColor="text1"/>
          <w:sz w:val="20"/>
          <w:szCs w:val="20"/>
        </w:rPr>
      </w:pPr>
      <w:r>
        <w:rPr>
          <w:rFonts w:ascii="Arial" w:hAnsi="Arial" w:cs="Arial"/>
          <w:sz w:val="20"/>
          <w:szCs w:val="20"/>
        </w:rPr>
        <w:lastRenderedPageBreak/>
        <w:t xml:space="preserve">Fresh produce prices are also higher than last year. </w:t>
      </w:r>
      <w:r w:rsidR="00A12A7F">
        <w:rPr>
          <w:rFonts w:ascii="Arial" w:hAnsi="Arial" w:cs="Arial"/>
          <w:sz w:val="20"/>
          <w:szCs w:val="20"/>
        </w:rPr>
        <w:t xml:space="preserve">In 2021, </w:t>
      </w:r>
      <w:r>
        <w:rPr>
          <w:rFonts w:ascii="Arial" w:hAnsi="Arial" w:cs="Arial"/>
          <w:sz w:val="20"/>
          <w:szCs w:val="20"/>
        </w:rPr>
        <w:t>price</w:t>
      </w:r>
      <w:r w:rsidR="001F29DC">
        <w:rPr>
          <w:rFonts w:ascii="Arial" w:hAnsi="Arial" w:cs="Arial"/>
          <w:sz w:val="20"/>
          <w:szCs w:val="20"/>
        </w:rPr>
        <w:t xml:space="preserve"> per volume (pound)</w:t>
      </w:r>
      <w:r>
        <w:rPr>
          <w:rFonts w:ascii="Arial" w:hAnsi="Arial" w:cs="Arial"/>
          <w:sz w:val="20"/>
          <w:szCs w:val="20"/>
        </w:rPr>
        <w:t xml:space="preserve"> for total fresh produce </w:t>
      </w:r>
      <w:r w:rsidR="00A12A7F">
        <w:rPr>
          <w:rFonts w:ascii="Arial" w:hAnsi="Arial" w:cs="Arial"/>
          <w:sz w:val="20"/>
          <w:szCs w:val="20"/>
        </w:rPr>
        <w:t>increased by 6.5% — pulled down by much milder inflation early on in the year. When regarding inflation in December 2021 only, a comparison to 2020 shows a 14.7% increase</w:t>
      </w:r>
      <w:r w:rsidR="00983F3F">
        <w:rPr>
          <w:rFonts w:ascii="Arial" w:hAnsi="Arial" w:cs="Arial"/>
          <w:sz w:val="20"/>
          <w:szCs w:val="20"/>
        </w:rPr>
        <w:t xml:space="preserve"> for fresh fruit</w:t>
      </w:r>
      <w:r w:rsidR="00A12A7F">
        <w:rPr>
          <w:rFonts w:ascii="Arial" w:hAnsi="Arial" w:cs="Arial"/>
          <w:sz w:val="20"/>
          <w:szCs w:val="20"/>
        </w:rPr>
        <w:t>.</w:t>
      </w:r>
      <w:r w:rsidR="006B3E16">
        <w:rPr>
          <w:rFonts w:ascii="Arial" w:hAnsi="Arial" w:cs="Arial"/>
          <w:sz w:val="20"/>
          <w:szCs w:val="20"/>
        </w:rPr>
        <w:t xml:space="preserve"> December inflationary levels are much lower for vegetables, but still average +4.6%. </w:t>
      </w:r>
      <w:r>
        <w:rPr>
          <w:rFonts w:ascii="Arial" w:hAnsi="Arial" w:cs="Arial"/>
          <w:color w:val="000000" w:themeColor="text1"/>
          <w:sz w:val="20"/>
          <w:szCs w:val="20"/>
        </w:rPr>
        <w:t>“</w:t>
      </w:r>
      <w:r w:rsidR="006B3E16">
        <w:rPr>
          <w:rFonts w:ascii="Arial" w:hAnsi="Arial" w:cs="Arial"/>
          <w:color w:val="000000" w:themeColor="text1"/>
          <w:sz w:val="20"/>
          <w:szCs w:val="20"/>
        </w:rPr>
        <w:t>Prices across the store and produce specifically are not only a concern for consumers</w:t>
      </w:r>
      <w:r>
        <w:rPr>
          <w:rFonts w:ascii="Arial" w:hAnsi="Arial" w:cs="Arial"/>
          <w:color w:val="000000" w:themeColor="text1"/>
          <w:sz w:val="20"/>
          <w:szCs w:val="20"/>
        </w:rPr>
        <w:t xml:space="preserve">,” said </w:t>
      </w:r>
      <w:r>
        <w:rPr>
          <w:rFonts w:ascii="Arial" w:hAnsi="Arial" w:cs="Arial"/>
          <w:sz w:val="20"/>
          <w:szCs w:val="20"/>
        </w:rPr>
        <w:t xml:space="preserve">Joe Watson, </w:t>
      </w:r>
      <w:r w:rsidR="0045675D">
        <w:rPr>
          <w:rFonts w:ascii="Arial" w:hAnsi="Arial" w:cs="Arial"/>
          <w:sz w:val="20"/>
          <w:szCs w:val="20"/>
        </w:rPr>
        <w:t>VP, Retail, Foodservice &amp; Wholesale for IFPA</w:t>
      </w:r>
      <w:r>
        <w:rPr>
          <w:rFonts w:ascii="Arial" w:hAnsi="Arial" w:cs="Arial"/>
          <w:sz w:val="20"/>
          <w:szCs w:val="20"/>
        </w:rPr>
        <w:t>. “</w:t>
      </w:r>
      <w:r w:rsidR="004349A0">
        <w:rPr>
          <w:rFonts w:ascii="Arial" w:hAnsi="Arial" w:cs="Arial"/>
          <w:sz w:val="20"/>
          <w:szCs w:val="20"/>
        </w:rPr>
        <w:t>Inflation like this affects volume sales and we are a volume-driven business. Consumer efforts to save money typically start with</w:t>
      </w:r>
      <w:r w:rsidR="006B3E16">
        <w:rPr>
          <w:rFonts w:ascii="Arial" w:hAnsi="Arial" w:cs="Arial"/>
          <w:sz w:val="20"/>
          <w:szCs w:val="20"/>
        </w:rPr>
        <w:t xml:space="preserve"> buying</w:t>
      </w:r>
      <w:r w:rsidR="004349A0">
        <w:rPr>
          <w:rFonts w:ascii="Arial" w:hAnsi="Arial" w:cs="Arial"/>
          <w:sz w:val="20"/>
          <w:szCs w:val="20"/>
        </w:rPr>
        <w:t xml:space="preserve"> what is on sale</w:t>
      </w:r>
      <w:r w:rsidR="006B3E16">
        <w:rPr>
          <w:rFonts w:ascii="Arial" w:hAnsi="Arial" w:cs="Arial"/>
          <w:sz w:val="20"/>
          <w:szCs w:val="20"/>
        </w:rPr>
        <w:t xml:space="preserve">, but that is another area where we are struggling. </w:t>
      </w:r>
      <w:r w:rsidR="001E726D">
        <w:rPr>
          <w:rFonts w:ascii="Arial" w:hAnsi="Arial" w:cs="Arial"/>
          <w:sz w:val="20"/>
          <w:szCs w:val="20"/>
        </w:rPr>
        <w:t>Subsequent measures range from simply buying less to buying more frozen or canned, which all pressure volume</w:t>
      </w:r>
      <w:r w:rsidR="004349A0">
        <w:rPr>
          <w:rFonts w:ascii="Arial" w:hAnsi="Arial" w:cs="Arial"/>
          <w:sz w:val="20"/>
          <w:szCs w:val="20"/>
        </w:rPr>
        <w:t>.</w:t>
      </w:r>
      <w:r w:rsidR="001E726D">
        <w:rPr>
          <w:rFonts w:ascii="Arial" w:hAnsi="Arial" w:cs="Arial"/>
          <w:sz w:val="20"/>
          <w:szCs w:val="20"/>
        </w:rPr>
        <w:t>”</w:t>
      </w:r>
    </w:p>
    <w:p w14:paraId="21BE4FA9" w14:textId="77777777" w:rsidR="00DD3DF6" w:rsidRPr="000A543A" w:rsidRDefault="00DD3DF6" w:rsidP="00DD3DF6">
      <w:pPr>
        <w:pStyle w:val="NoSpacing"/>
        <w:rPr>
          <w:rFonts w:ascii="Arial" w:hAnsi="Arial" w:cs="Arial"/>
          <w:sz w:val="20"/>
          <w:szCs w:val="20"/>
        </w:rPr>
      </w:pPr>
    </w:p>
    <w:tbl>
      <w:tblPr>
        <w:tblStyle w:val="LightShading-Accent5"/>
        <w:tblW w:w="10008" w:type="dxa"/>
        <w:tblBorders>
          <w:top w:val="none" w:sz="0" w:space="0" w:color="auto"/>
          <w:bottom w:val="none" w:sz="0" w:space="0" w:color="auto"/>
        </w:tblBorders>
        <w:tblLook w:val="04A0" w:firstRow="1" w:lastRow="0" w:firstColumn="1" w:lastColumn="0" w:noHBand="0" w:noVBand="1"/>
      </w:tblPr>
      <w:tblGrid>
        <w:gridCol w:w="4260"/>
        <w:gridCol w:w="2130"/>
        <w:gridCol w:w="1702"/>
        <w:gridCol w:w="1916"/>
      </w:tblGrid>
      <w:tr w:rsidR="00DD3DF6" w:rsidRPr="002A71C0" w14:paraId="6E2841B5" w14:textId="77777777" w:rsidTr="001F29DC">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260" w:type="dxa"/>
            <w:tcBorders>
              <w:top w:val="none" w:sz="0" w:space="0" w:color="auto"/>
              <w:bottom w:val="none" w:sz="0" w:space="0" w:color="auto"/>
            </w:tcBorders>
            <w:shd w:val="clear" w:color="auto" w:fill="17365D" w:themeFill="text2" w:themeFillShade="BF"/>
            <w:vAlign w:val="center"/>
          </w:tcPr>
          <w:p w14:paraId="1D02CC88" w14:textId="77777777" w:rsidR="00DD3DF6" w:rsidRPr="004850A1" w:rsidRDefault="00DD3DF6" w:rsidP="001F29DC">
            <w:pPr>
              <w:pStyle w:val="NoSpacing"/>
              <w:rPr>
                <w:rFonts w:ascii="Arial" w:hAnsi="Arial" w:cs="Arial"/>
                <w:color w:val="FFFFFF" w:themeColor="background1"/>
                <w:sz w:val="18"/>
                <w:szCs w:val="18"/>
              </w:rPr>
            </w:pPr>
            <w:r w:rsidRPr="004850A1">
              <w:rPr>
                <w:rFonts w:ascii="Arial" w:hAnsi="Arial" w:cs="Arial"/>
                <w:color w:val="FFFFFF" w:themeColor="background1"/>
                <w:sz w:val="18"/>
                <w:szCs w:val="18"/>
              </w:rPr>
              <w:t>Price per volume</w:t>
            </w:r>
          </w:p>
        </w:tc>
        <w:tc>
          <w:tcPr>
            <w:tcW w:w="2130" w:type="dxa"/>
            <w:tcBorders>
              <w:top w:val="none" w:sz="0" w:space="0" w:color="auto"/>
              <w:bottom w:val="none" w:sz="0" w:space="0" w:color="auto"/>
            </w:tcBorders>
            <w:shd w:val="clear" w:color="auto" w:fill="17365D" w:themeFill="text2" w:themeFillShade="BF"/>
            <w:vAlign w:val="center"/>
          </w:tcPr>
          <w:p w14:paraId="0F6D317C"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Price/volume</w:t>
            </w:r>
          </w:p>
        </w:tc>
        <w:tc>
          <w:tcPr>
            <w:tcW w:w="1702" w:type="dxa"/>
            <w:tcBorders>
              <w:top w:val="none" w:sz="0" w:space="0" w:color="auto"/>
              <w:bottom w:val="none" w:sz="0" w:space="0" w:color="auto"/>
            </w:tcBorders>
            <w:shd w:val="clear" w:color="auto" w:fill="17365D" w:themeFill="text2" w:themeFillShade="BF"/>
            <w:vAlign w:val="center"/>
          </w:tcPr>
          <w:p w14:paraId="6B101EBD"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2020</w:t>
            </w:r>
          </w:p>
        </w:tc>
        <w:tc>
          <w:tcPr>
            <w:tcW w:w="1916" w:type="dxa"/>
            <w:tcBorders>
              <w:top w:val="none" w:sz="0" w:space="0" w:color="auto"/>
              <w:bottom w:val="none" w:sz="0" w:space="0" w:color="auto"/>
            </w:tcBorders>
            <w:shd w:val="clear" w:color="auto" w:fill="17365D" w:themeFill="text2" w:themeFillShade="BF"/>
            <w:vAlign w:val="center"/>
          </w:tcPr>
          <w:p w14:paraId="64781771" w14:textId="77777777" w:rsidR="00DD3DF6" w:rsidRPr="004850A1" w:rsidRDefault="00DD3DF6"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850A1">
              <w:rPr>
                <w:rFonts w:ascii="Arial" w:hAnsi="Arial" w:cs="Arial"/>
                <w:color w:val="FFFFFF" w:themeColor="background1"/>
                <w:sz w:val="18"/>
                <w:szCs w:val="18"/>
              </w:rPr>
              <w:t>Change vs. 2019</w:t>
            </w:r>
          </w:p>
        </w:tc>
      </w:tr>
      <w:tr w:rsidR="00DD3DF6" w:rsidRPr="009A0F69" w14:paraId="2AD4A3D9" w14:textId="77777777" w:rsidTr="001F29D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96DC008" w14:textId="20D362C0" w:rsidR="00DD3DF6" w:rsidRPr="009A0F69" w:rsidRDefault="00DD3DF6" w:rsidP="001F29DC">
            <w:pPr>
              <w:pStyle w:val="NoSpacing"/>
              <w:jc w:val="right"/>
              <w:rPr>
                <w:rFonts w:ascii="Arial" w:hAnsi="Arial" w:cs="Arial"/>
                <w:color w:val="215868" w:themeColor="accent5" w:themeShade="80"/>
                <w:sz w:val="18"/>
                <w:szCs w:val="18"/>
              </w:rPr>
            </w:pPr>
            <w:r w:rsidRPr="009A0F69">
              <w:rPr>
                <w:rFonts w:ascii="Arial" w:hAnsi="Arial" w:cs="Arial"/>
                <w:color w:val="215868" w:themeColor="accent5" w:themeShade="80"/>
                <w:sz w:val="18"/>
                <w:szCs w:val="18"/>
              </w:rPr>
              <w:t xml:space="preserve">Total fresh produce </w:t>
            </w:r>
            <w:r w:rsidR="00A12A7F">
              <w:rPr>
                <w:rFonts w:ascii="Arial" w:hAnsi="Arial" w:cs="Arial"/>
                <w:color w:val="215868" w:themeColor="accent5" w:themeShade="80"/>
                <w:sz w:val="18"/>
                <w:szCs w:val="18"/>
              </w:rPr>
              <w:t>2021</w:t>
            </w:r>
          </w:p>
        </w:tc>
        <w:tc>
          <w:tcPr>
            <w:tcW w:w="2130" w:type="dxa"/>
            <w:vAlign w:val="center"/>
          </w:tcPr>
          <w:p w14:paraId="226CAF60" w14:textId="2EF67CB7" w:rsidR="00DD3DF6" w:rsidRPr="009A0F69" w:rsidRDefault="00DD3DF6" w:rsidP="001F29DC">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9A0F69">
              <w:rPr>
                <w:rFonts w:ascii="Arial" w:hAnsi="Arial" w:cs="Arial"/>
                <w:b/>
                <w:bCs/>
                <w:color w:val="215868" w:themeColor="accent5" w:themeShade="80"/>
                <w:sz w:val="18"/>
                <w:szCs w:val="18"/>
              </w:rPr>
              <w:t>$</w:t>
            </w:r>
            <w:r w:rsidR="00A12A7F">
              <w:rPr>
                <w:rFonts w:ascii="Arial" w:hAnsi="Arial" w:cs="Arial"/>
                <w:b/>
                <w:bCs/>
                <w:color w:val="215868" w:themeColor="accent5" w:themeShade="80"/>
                <w:sz w:val="18"/>
                <w:szCs w:val="18"/>
              </w:rPr>
              <w:t>1.68</w:t>
            </w:r>
          </w:p>
        </w:tc>
        <w:tc>
          <w:tcPr>
            <w:tcW w:w="1702" w:type="dxa"/>
            <w:vAlign w:val="center"/>
          </w:tcPr>
          <w:p w14:paraId="3E90BFC1" w14:textId="09D121A5" w:rsidR="00DD3DF6" w:rsidRPr="009A0F69" w:rsidRDefault="00DD3DF6"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18"/>
              </w:rPr>
            </w:pPr>
            <w:r w:rsidRPr="009A0F69">
              <w:rPr>
                <w:rFonts w:ascii="Arial" w:hAnsi="Arial" w:cs="Arial"/>
                <w:b/>
                <w:bCs/>
                <w:color w:val="215868" w:themeColor="accent5" w:themeShade="80"/>
                <w:sz w:val="18"/>
                <w:szCs w:val="18"/>
              </w:rPr>
              <w:t>+</w:t>
            </w:r>
            <w:r w:rsidR="00A12A7F">
              <w:rPr>
                <w:rFonts w:ascii="Arial" w:hAnsi="Arial" w:cs="Arial"/>
                <w:b/>
                <w:bCs/>
                <w:color w:val="215868" w:themeColor="accent5" w:themeShade="80"/>
                <w:sz w:val="18"/>
                <w:szCs w:val="18"/>
              </w:rPr>
              <w:t>6.5</w:t>
            </w:r>
            <w:r w:rsidRPr="009A0F69">
              <w:rPr>
                <w:rFonts w:ascii="Arial" w:hAnsi="Arial" w:cs="Arial"/>
                <w:b/>
                <w:bCs/>
                <w:color w:val="215868" w:themeColor="accent5" w:themeShade="80"/>
                <w:sz w:val="18"/>
                <w:szCs w:val="18"/>
              </w:rPr>
              <w:t>%</w:t>
            </w:r>
          </w:p>
        </w:tc>
        <w:tc>
          <w:tcPr>
            <w:tcW w:w="1916" w:type="dxa"/>
          </w:tcPr>
          <w:p w14:paraId="52192CB3" w14:textId="318535F0" w:rsidR="00DD3DF6" w:rsidRPr="009A0F69" w:rsidRDefault="00DD3DF6" w:rsidP="001F29DC">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A12A7F">
              <w:rPr>
                <w:rFonts w:ascii="Arial" w:hAnsi="Arial" w:cs="Arial"/>
                <w:b/>
                <w:bCs/>
                <w:color w:val="215868" w:themeColor="accent5" w:themeShade="80"/>
                <w:sz w:val="18"/>
                <w:szCs w:val="18"/>
              </w:rPr>
              <w:t>6.8</w:t>
            </w:r>
            <w:r w:rsidRPr="009A0F69">
              <w:rPr>
                <w:rFonts w:ascii="Arial" w:hAnsi="Arial" w:cs="Arial"/>
                <w:b/>
                <w:bCs/>
                <w:color w:val="215868" w:themeColor="accent5" w:themeShade="80"/>
                <w:sz w:val="18"/>
                <w:szCs w:val="18"/>
              </w:rPr>
              <w:t>%</w:t>
            </w:r>
          </w:p>
        </w:tc>
      </w:tr>
      <w:tr w:rsidR="00DD3DF6" w:rsidRPr="003C65CF" w14:paraId="6262AFAA" w14:textId="77777777" w:rsidTr="001F29DC">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3A9E86FC" w14:textId="77777777" w:rsidR="00DD3DF6" w:rsidRPr="004850A1" w:rsidRDefault="00DD3DF6" w:rsidP="001F29DC">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Total fresh produce December</w:t>
            </w:r>
            <w:r w:rsidRPr="004850A1">
              <w:rPr>
                <w:rFonts w:ascii="Arial" w:hAnsi="Arial" w:cs="Arial"/>
                <w:b w:val="0"/>
                <w:bCs w:val="0"/>
                <w:color w:val="215868" w:themeColor="accent5" w:themeShade="80"/>
                <w:sz w:val="18"/>
                <w:szCs w:val="18"/>
              </w:rPr>
              <w:t xml:space="preserve"> 2021</w:t>
            </w:r>
          </w:p>
        </w:tc>
        <w:tc>
          <w:tcPr>
            <w:tcW w:w="2130" w:type="dxa"/>
          </w:tcPr>
          <w:p w14:paraId="6EAD5280" w14:textId="3CA74A64" w:rsidR="00DD3DF6" w:rsidRDefault="00DD3DF6" w:rsidP="001F29DC">
            <w:pPr>
              <w:jc w:val="right"/>
              <w:cnfStyle w:val="000000000000" w:firstRow="0" w:lastRow="0" w:firstColumn="0" w:lastColumn="0" w:oddVBand="0" w:evenVBand="0" w:oddHBand="0" w:evenHBand="0" w:firstRowFirstColumn="0" w:firstRowLastColumn="0" w:lastRowFirstColumn="0" w:lastRowLastColumn="0"/>
            </w:pPr>
            <w:r w:rsidRPr="00210B83">
              <w:rPr>
                <w:rFonts w:ascii="Arial" w:hAnsi="Arial" w:cs="Arial"/>
                <w:color w:val="215868" w:themeColor="accent5" w:themeShade="80"/>
                <w:sz w:val="18"/>
                <w:szCs w:val="18"/>
              </w:rPr>
              <w:t>$</w:t>
            </w:r>
            <w:r w:rsidR="00A12A7F">
              <w:rPr>
                <w:rFonts w:ascii="Arial" w:hAnsi="Arial" w:cs="Arial"/>
                <w:color w:val="215868" w:themeColor="accent5" w:themeShade="80"/>
                <w:sz w:val="18"/>
                <w:szCs w:val="18"/>
              </w:rPr>
              <w:t>1.81</w:t>
            </w:r>
          </w:p>
        </w:tc>
        <w:tc>
          <w:tcPr>
            <w:tcW w:w="1702" w:type="dxa"/>
          </w:tcPr>
          <w:p w14:paraId="0A42FA5B" w14:textId="5C2AE8F5" w:rsidR="00DD3DF6" w:rsidRDefault="00DD3DF6" w:rsidP="001F29DC">
            <w:pPr>
              <w:jc w:val="right"/>
              <w:cnfStyle w:val="000000000000" w:firstRow="0" w:lastRow="0" w:firstColumn="0" w:lastColumn="0" w:oddVBand="0" w:evenVBand="0" w:oddHBand="0" w:evenHBand="0" w:firstRowFirstColumn="0" w:firstRowLastColumn="0" w:lastRowFirstColumn="0" w:lastRowLastColumn="0"/>
            </w:pPr>
            <w:r w:rsidRPr="00222108">
              <w:rPr>
                <w:rFonts w:ascii="Arial" w:hAnsi="Arial" w:cs="Arial"/>
                <w:color w:val="215868" w:themeColor="accent5" w:themeShade="80"/>
                <w:sz w:val="18"/>
                <w:szCs w:val="18"/>
              </w:rPr>
              <w:t>+</w:t>
            </w:r>
            <w:r w:rsidR="00A12A7F">
              <w:rPr>
                <w:rFonts w:ascii="Arial" w:hAnsi="Arial" w:cs="Arial"/>
                <w:color w:val="215868" w:themeColor="accent5" w:themeShade="80"/>
                <w:sz w:val="18"/>
                <w:szCs w:val="18"/>
              </w:rPr>
              <w:t>11.0</w:t>
            </w:r>
            <w:r w:rsidRPr="00222108">
              <w:rPr>
                <w:rFonts w:ascii="Arial" w:hAnsi="Arial" w:cs="Arial"/>
                <w:color w:val="215868" w:themeColor="accent5" w:themeShade="80"/>
                <w:sz w:val="18"/>
                <w:szCs w:val="18"/>
              </w:rPr>
              <w:t>%</w:t>
            </w:r>
          </w:p>
        </w:tc>
        <w:tc>
          <w:tcPr>
            <w:tcW w:w="1916" w:type="dxa"/>
          </w:tcPr>
          <w:p w14:paraId="468B204B" w14:textId="63DDD692" w:rsidR="00DD3DF6" w:rsidRDefault="00DD3DF6" w:rsidP="001F29DC">
            <w:pPr>
              <w:jc w:val="right"/>
              <w:cnfStyle w:val="000000000000" w:firstRow="0" w:lastRow="0" w:firstColumn="0" w:lastColumn="0" w:oddVBand="0" w:evenVBand="0" w:oddHBand="0" w:evenHBand="0" w:firstRowFirstColumn="0" w:firstRowLastColumn="0" w:lastRowFirstColumn="0" w:lastRowLastColumn="0"/>
            </w:pPr>
            <w:r w:rsidRPr="0038421C">
              <w:rPr>
                <w:rFonts w:ascii="Arial" w:hAnsi="Arial" w:cs="Arial"/>
                <w:color w:val="215868" w:themeColor="accent5" w:themeShade="80"/>
                <w:sz w:val="18"/>
                <w:szCs w:val="18"/>
              </w:rPr>
              <w:t>+</w:t>
            </w:r>
            <w:r w:rsidR="00A12A7F">
              <w:rPr>
                <w:rFonts w:ascii="Arial" w:hAnsi="Arial" w:cs="Arial"/>
                <w:color w:val="215868" w:themeColor="accent5" w:themeShade="80"/>
                <w:sz w:val="18"/>
                <w:szCs w:val="18"/>
              </w:rPr>
              <w:t>12.5</w:t>
            </w:r>
            <w:r w:rsidRPr="0038421C">
              <w:rPr>
                <w:rFonts w:ascii="Arial" w:hAnsi="Arial" w:cs="Arial"/>
                <w:color w:val="215868" w:themeColor="accent5" w:themeShade="80"/>
                <w:sz w:val="18"/>
                <w:szCs w:val="18"/>
              </w:rPr>
              <w:t>%</w:t>
            </w:r>
          </w:p>
        </w:tc>
      </w:tr>
      <w:tr w:rsidR="00DD3DF6" w:rsidRPr="009A0F69" w14:paraId="5528906A" w14:textId="77777777" w:rsidTr="001F29D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7EFA0577" w14:textId="6DE5E2F2" w:rsidR="00DD3DF6" w:rsidRPr="009A0F69" w:rsidRDefault="00DD3DF6" w:rsidP="001F29DC">
            <w:pPr>
              <w:pStyle w:val="NoSpacing"/>
              <w:jc w:val="right"/>
              <w:rPr>
                <w:rFonts w:ascii="Arial" w:hAnsi="Arial" w:cs="Arial"/>
                <w:color w:val="215868" w:themeColor="accent5" w:themeShade="80"/>
                <w:sz w:val="18"/>
                <w:szCs w:val="18"/>
              </w:rPr>
            </w:pPr>
            <w:r w:rsidRPr="009A0F69">
              <w:rPr>
                <w:rFonts w:ascii="Arial" w:hAnsi="Arial" w:cs="Arial"/>
                <w:color w:val="215868" w:themeColor="accent5" w:themeShade="80"/>
                <w:sz w:val="18"/>
                <w:szCs w:val="18"/>
              </w:rPr>
              <w:t xml:space="preserve">Fresh vegetables </w:t>
            </w:r>
            <w:r w:rsidR="00A12A7F">
              <w:rPr>
                <w:rFonts w:ascii="Arial" w:hAnsi="Arial" w:cs="Arial"/>
                <w:color w:val="215868" w:themeColor="accent5" w:themeShade="80"/>
                <w:sz w:val="18"/>
                <w:szCs w:val="18"/>
              </w:rPr>
              <w:t>2021</w:t>
            </w:r>
          </w:p>
        </w:tc>
        <w:tc>
          <w:tcPr>
            <w:tcW w:w="2130" w:type="dxa"/>
          </w:tcPr>
          <w:p w14:paraId="58B097F8" w14:textId="2DA03016" w:rsidR="00DD3DF6" w:rsidRPr="009A0F69" w:rsidRDefault="00DD3DF6" w:rsidP="001F29DC">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A12A7F">
              <w:rPr>
                <w:rFonts w:ascii="Arial" w:hAnsi="Arial" w:cs="Arial"/>
                <w:b/>
                <w:bCs/>
                <w:color w:val="215868" w:themeColor="accent5" w:themeShade="80"/>
                <w:sz w:val="18"/>
                <w:szCs w:val="18"/>
              </w:rPr>
              <w:t>1.79</w:t>
            </w:r>
          </w:p>
        </w:tc>
        <w:tc>
          <w:tcPr>
            <w:tcW w:w="1702" w:type="dxa"/>
          </w:tcPr>
          <w:p w14:paraId="09C2FB1C" w14:textId="3430BCD2" w:rsidR="00DD3DF6" w:rsidRPr="009A0F69" w:rsidRDefault="00DD3DF6" w:rsidP="001F29DC">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A12A7F">
              <w:rPr>
                <w:rFonts w:ascii="Arial" w:hAnsi="Arial" w:cs="Arial"/>
                <w:b/>
                <w:bCs/>
                <w:color w:val="215868" w:themeColor="accent5" w:themeShade="80"/>
                <w:sz w:val="18"/>
                <w:szCs w:val="18"/>
              </w:rPr>
              <w:t>4.6</w:t>
            </w:r>
            <w:r w:rsidRPr="009A0F69">
              <w:rPr>
                <w:rFonts w:ascii="Arial" w:hAnsi="Arial" w:cs="Arial"/>
                <w:b/>
                <w:bCs/>
                <w:color w:val="215868" w:themeColor="accent5" w:themeShade="80"/>
                <w:sz w:val="18"/>
                <w:szCs w:val="18"/>
              </w:rPr>
              <w:t>%</w:t>
            </w:r>
          </w:p>
        </w:tc>
        <w:tc>
          <w:tcPr>
            <w:tcW w:w="1916" w:type="dxa"/>
          </w:tcPr>
          <w:p w14:paraId="182817DF" w14:textId="5A36B216" w:rsidR="00DD3DF6" w:rsidRPr="009A0F69" w:rsidRDefault="00DD3DF6" w:rsidP="001F29DC">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A12A7F">
              <w:rPr>
                <w:rFonts w:ascii="Arial" w:hAnsi="Arial" w:cs="Arial"/>
                <w:b/>
                <w:bCs/>
                <w:color w:val="215868" w:themeColor="accent5" w:themeShade="80"/>
                <w:sz w:val="18"/>
                <w:szCs w:val="18"/>
              </w:rPr>
              <w:t>5.2</w:t>
            </w:r>
            <w:r w:rsidRPr="009A0F69">
              <w:rPr>
                <w:rFonts w:ascii="Arial" w:hAnsi="Arial" w:cs="Arial"/>
                <w:b/>
                <w:bCs/>
                <w:color w:val="215868" w:themeColor="accent5" w:themeShade="80"/>
                <w:sz w:val="18"/>
                <w:szCs w:val="18"/>
              </w:rPr>
              <w:t>%</w:t>
            </w:r>
          </w:p>
        </w:tc>
      </w:tr>
      <w:tr w:rsidR="00DD3DF6" w:rsidRPr="003C65CF" w14:paraId="4743F2D7" w14:textId="77777777" w:rsidTr="001F29DC">
        <w:trPr>
          <w:trHeight w:val="259"/>
        </w:trPr>
        <w:tc>
          <w:tcPr>
            <w:cnfStyle w:val="001000000000" w:firstRow="0" w:lastRow="0" w:firstColumn="1" w:lastColumn="0" w:oddVBand="0" w:evenVBand="0" w:oddHBand="0" w:evenHBand="0" w:firstRowFirstColumn="0" w:firstRowLastColumn="0" w:lastRowFirstColumn="0" w:lastRowLastColumn="0"/>
            <w:tcW w:w="4260" w:type="dxa"/>
          </w:tcPr>
          <w:p w14:paraId="10391A83" w14:textId="77777777" w:rsidR="00DD3DF6" w:rsidRPr="004850A1" w:rsidRDefault="00DD3DF6" w:rsidP="001F29DC">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Fresh vegetables December</w:t>
            </w:r>
            <w:r w:rsidRPr="004850A1">
              <w:rPr>
                <w:rFonts w:ascii="Arial" w:hAnsi="Arial" w:cs="Arial"/>
                <w:b w:val="0"/>
                <w:bCs w:val="0"/>
                <w:color w:val="215868" w:themeColor="accent5" w:themeShade="80"/>
                <w:sz w:val="18"/>
                <w:szCs w:val="18"/>
              </w:rPr>
              <w:t xml:space="preserve"> 2021</w:t>
            </w:r>
          </w:p>
        </w:tc>
        <w:tc>
          <w:tcPr>
            <w:tcW w:w="2130" w:type="dxa"/>
          </w:tcPr>
          <w:p w14:paraId="79BACB8F" w14:textId="58D70414" w:rsidR="00DD3DF6" w:rsidRDefault="00DD3DF6" w:rsidP="001F29DC">
            <w:pPr>
              <w:jc w:val="right"/>
              <w:cnfStyle w:val="000000000000" w:firstRow="0" w:lastRow="0" w:firstColumn="0" w:lastColumn="0" w:oddVBand="0" w:evenVBand="0" w:oddHBand="0" w:evenHBand="0" w:firstRowFirstColumn="0" w:firstRowLastColumn="0" w:lastRowFirstColumn="0" w:lastRowLastColumn="0"/>
            </w:pPr>
            <w:r w:rsidRPr="00210B83">
              <w:rPr>
                <w:rFonts w:ascii="Arial" w:hAnsi="Arial" w:cs="Arial"/>
                <w:color w:val="215868" w:themeColor="accent5" w:themeShade="80"/>
                <w:sz w:val="18"/>
                <w:szCs w:val="18"/>
              </w:rPr>
              <w:t>$</w:t>
            </w:r>
            <w:r w:rsidR="00A12A7F">
              <w:rPr>
                <w:rFonts w:ascii="Arial" w:hAnsi="Arial" w:cs="Arial"/>
                <w:color w:val="215868" w:themeColor="accent5" w:themeShade="80"/>
                <w:sz w:val="18"/>
                <w:szCs w:val="18"/>
              </w:rPr>
              <w:t>1.84</w:t>
            </w:r>
          </w:p>
        </w:tc>
        <w:tc>
          <w:tcPr>
            <w:tcW w:w="1702" w:type="dxa"/>
          </w:tcPr>
          <w:p w14:paraId="0E202117" w14:textId="6A05289B" w:rsidR="00DD3DF6" w:rsidRDefault="00DD3DF6" w:rsidP="001F29DC">
            <w:pPr>
              <w:jc w:val="right"/>
              <w:cnfStyle w:val="000000000000" w:firstRow="0" w:lastRow="0" w:firstColumn="0" w:lastColumn="0" w:oddVBand="0" w:evenVBand="0" w:oddHBand="0" w:evenHBand="0" w:firstRowFirstColumn="0" w:firstRowLastColumn="0" w:lastRowFirstColumn="0" w:lastRowLastColumn="0"/>
            </w:pPr>
            <w:r w:rsidRPr="00222108">
              <w:rPr>
                <w:rFonts w:ascii="Arial" w:hAnsi="Arial" w:cs="Arial"/>
                <w:color w:val="215868" w:themeColor="accent5" w:themeShade="80"/>
                <w:sz w:val="18"/>
                <w:szCs w:val="18"/>
              </w:rPr>
              <w:t>+</w:t>
            </w:r>
            <w:r w:rsidR="00A12A7F">
              <w:rPr>
                <w:rFonts w:ascii="Arial" w:hAnsi="Arial" w:cs="Arial"/>
                <w:color w:val="215868" w:themeColor="accent5" w:themeShade="80"/>
                <w:sz w:val="18"/>
                <w:szCs w:val="18"/>
              </w:rPr>
              <w:t>7.9</w:t>
            </w:r>
            <w:r w:rsidRPr="00222108">
              <w:rPr>
                <w:rFonts w:ascii="Arial" w:hAnsi="Arial" w:cs="Arial"/>
                <w:color w:val="215868" w:themeColor="accent5" w:themeShade="80"/>
                <w:sz w:val="18"/>
                <w:szCs w:val="18"/>
              </w:rPr>
              <w:t>%</w:t>
            </w:r>
          </w:p>
        </w:tc>
        <w:tc>
          <w:tcPr>
            <w:tcW w:w="1916" w:type="dxa"/>
          </w:tcPr>
          <w:p w14:paraId="01A237D1" w14:textId="0014FE24" w:rsidR="00DD3DF6" w:rsidRDefault="00DD3DF6" w:rsidP="001F29DC">
            <w:pPr>
              <w:jc w:val="right"/>
              <w:cnfStyle w:val="000000000000" w:firstRow="0" w:lastRow="0" w:firstColumn="0" w:lastColumn="0" w:oddVBand="0" w:evenVBand="0" w:oddHBand="0" w:evenHBand="0" w:firstRowFirstColumn="0" w:firstRowLastColumn="0" w:lastRowFirstColumn="0" w:lastRowLastColumn="0"/>
            </w:pPr>
            <w:r w:rsidRPr="0038421C">
              <w:rPr>
                <w:rFonts w:ascii="Arial" w:hAnsi="Arial" w:cs="Arial"/>
                <w:color w:val="215868" w:themeColor="accent5" w:themeShade="80"/>
                <w:sz w:val="18"/>
                <w:szCs w:val="18"/>
              </w:rPr>
              <w:t>+</w:t>
            </w:r>
            <w:r w:rsidR="00A12A7F">
              <w:rPr>
                <w:rFonts w:ascii="Arial" w:hAnsi="Arial" w:cs="Arial"/>
                <w:color w:val="215868" w:themeColor="accent5" w:themeShade="80"/>
                <w:sz w:val="18"/>
                <w:szCs w:val="18"/>
              </w:rPr>
              <w:t>10.9</w:t>
            </w:r>
            <w:r w:rsidRPr="0038421C">
              <w:rPr>
                <w:rFonts w:ascii="Arial" w:hAnsi="Arial" w:cs="Arial"/>
                <w:color w:val="215868" w:themeColor="accent5" w:themeShade="80"/>
                <w:sz w:val="18"/>
                <w:szCs w:val="18"/>
              </w:rPr>
              <w:t>%</w:t>
            </w:r>
          </w:p>
        </w:tc>
      </w:tr>
      <w:tr w:rsidR="00DD3DF6" w:rsidRPr="009A0F69" w14:paraId="7CEC9950" w14:textId="77777777" w:rsidTr="001F29DC">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4C7F880" w14:textId="434A0886" w:rsidR="00DD3DF6" w:rsidRPr="009A0F69" w:rsidRDefault="00DD3DF6" w:rsidP="001F29DC">
            <w:pPr>
              <w:pStyle w:val="NoSpacing"/>
              <w:jc w:val="right"/>
              <w:rPr>
                <w:rFonts w:ascii="Arial" w:hAnsi="Arial" w:cs="Arial"/>
                <w:color w:val="215868" w:themeColor="accent5" w:themeShade="80"/>
                <w:sz w:val="18"/>
                <w:szCs w:val="18"/>
              </w:rPr>
            </w:pPr>
            <w:r w:rsidRPr="009A0F69">
              <w:rPr>
                <w:rFonts w:ascii="Arial" w:hAnsi="Arial" w:cs="Arial"/>
                <w:color w:val="215868" w:themeColor="accent5" w:themeShade="80"/>
                <w:sz w:val="18"/>
                <w:szCs w:val="18"/>
              </w:rPr>
              <w:t xml:space="preserve">Fresh fruit </w:t>
            </w:r>
            <w:r w:rsidR="00A12A7F">
              <w:rPr>
                <w:rFonts w:ascii="Arial" w:hAnsi="Arial" w:cs="Arial"/>
                <w:color w:val="215868" w:themeColor="accent5" w:themeShade="80"/>
                <w:sz w:val="18"/>
                <w:szCs w:val="18"/>
              </w:rPr>
              <w:t>2021</w:t>
            </w:r>
          </w:p>
        </w:tc>
        <w:tc>
          <w:tcPr>
            <w:tcW w:w="2130" w:type="dxa"/>
          </w:tcPr>
          <w:p w14:paraId="569515FF" w14:textId="7D9A3AE5" w:rsidR="00DD3DF6" w:rsidRPr="009A0F69" w:rsidRDefault="00DD3DF6" w:rsidP="001F29DC">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A12A7F">
              <w:rPr>
                <w:rFonts w:ascii="Arial" w:hAnsi="Arial" w:cs="Arial"/>
                <w:b/>
                <w:bCs/>
                <w:color w:val="215868" w:themeColor="accent5" w:themeShade="80"/>
                <w:sz w:val="18"/>
                <w:szCs w:val="18"/>
              </w:rPr>
              <w:t>1.55</w:t>
            </w:r>
          </w:p>
        </w:tc>
        <w:tc>
          <w:tcPr>
            <w:tcW w:w="1702" w:type="dxa"/>
          </w:tcPr>
          <w:p w14:paraId="3079CD20" w14:textId="4260EB6B" w:rsidR="00DD3DF6" w:rsidRPr="009A0F69" w:rsidRDefault="00DD3DF6" w:rsidP="001F29DC">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A12A7F">
              <w:rPr>
                <w:rFonts w:ascii="Arial" w:hAnsi="Arial" w:cs="Arial"/>
                <w:b/>
                <w:bCs/>
                <w:color w:val="215868" w:themeColor="accent5" w:themeShade="80"/>
                <w:sz w:val="18"/>
                <w:szCs w:val="18"/>
              </w:rPr>
              <w:t>8.6</w:t>
            </w:r>
            <w:r w:rsidRPr="009A0F69">
              <w:rPr>
                <w:rFonts w:ascii="Arial" w:hAnsi="Arial" w:cs="Arial"/>
                <w:b/>
                <w:bCs/>
                <w:color w:val="215868" w:themeColor="accent5" w:themeShade="80"/>
                <w:sz w:val="18"/>
                <w:szCs w:val="18"/>
              </w:rPr>
              <w:t>%</w:t>
            </w:r>
          </w:p>
        </w:tc>
        <w:tc>
          <w:tcPr>
            <w:tcW w:w="1916" w:type="dxa"/>
          </w:tcPr>
          <w:p w14:paraId="4BBF1745" w14:textId="2B81E4E7" w:rsidR="00DD3DF6" w:rsidRPr="009A0F69" w:rsidRDefault="00DD3DF6" w:rsidP="001F29DC">
            <w:pPr>
              <w:jc w:val="right"/>
              <w:cnfStyle w:val="000000100000" w:firstRow="0" w:lastRow="0" w:firstColumn="0" w:lastColumn="0" w:oddVBand="0" w:evenVBand="0" w:oddHBand="1" w:evenHBand="0" w:firstRowFirstColumn="0" w:firstRowLastColumn="0" w:lastRowFirstColumn="0" w:lastRowLastColumn="0"/>
              <w:rPr>
                <w:b/>
                <w:bCs/>
              </w:rPr>
            </w:pPr>
            <w:r w:rsidRPr="009A0F69">
              <w:rPr>
                <w:rFonts w:ascii="Arial" w:hAnsi="Arial" w:cs="Arial"/>
                <w:b/>
                <w:bCs/>
                <w:color w:val="215868" w:themeColor="accent5" w:themeShade="80"/>
                <w:sz w:val="18"/>
                <w:szCs w:val="18"/>
              </w:rPr>
              <w:t>+</w:t>
            </w:r>
            <w:r w:rsidR="00A12A7F">
              <w:rPr>
                <w:rFonts w:ascii="Arial" w:hAnsi="Arial" w:cs="Arial"/>
                <w:b/>
                <w:bCs/>
                <w:color w:val="215868" w:themeColor="accent5" w:themeShade="80"/>
                <w:sz w:val="18"/>
                <w:szCs w:val="18"/>
              </w:rPr>
              <w:t>8.5</w:t>
            </w:r>
            <w:r w:rsidRPr="009A0F69">
              <w:rPr>
                <w:rFonts w:ascii="Arial" w:hAnsi="Arial" w:cs="Arial"/>
                <w:b/>
                <w:bCs/>
                <w:color w:val="215868" w:themeColor="accent5" w:themeShade="80"/>
                <w:sz w:val="18"/>
                <w:szCs w:val="18"/>
              </w:rPr>
              <w:t>%</w:t>
            </w:r>
          </w:p>
        </w:tc>
      </w:tr>
      <w:tr w:rsidR="00DD3DF6" w:rsidRPr="003C65CF" w14:paraId="5D94F33D" w14:textId="77777777" w:rsidTr="001F29DC">
        <w:trPr>
          <w:trHeight w:val="259"/>
        </w:trPr>
        <w:tc>
          <w:tcPr>
            <w:cnfStyle w:val="001000000000" w:firstRow="0" w:lastRow="0" w:firstColumn="1" w:lastColumn="0" w:oddVBand="0" w:evenVBand="0" w:oddHBand="0" w:evenHBand="0" w:firstRowFirstColumn="0" w:firstRowLastColumn="0" w:lastRowFirstColumn="0" w:lastRowLastColumn="0"/>
            <w:tcW w:w="4260" w:type="dxa"/>
            <w:vAlign w:val="center"/>
          </w:tcPr>
          <w:p w14:paraId="1BC29DCE" w14:textId="77777777" w:rsidR="00DD3DF6" w:rsidRPr="004850A1" w:rsidRDefault="00DD3DF6" w:rsidP="001F29DC">
            <w:pPr>
              <w:pStyle w:val="NoSpacing"/>
              <w:jc w:val="right"/>
              <w:rPr>
                <w:rFonts w:ascii="Arial" w:hAnsi="Arial" w:cs="Arial"/>
                <w:b w:val="0"/>
                <w:bCs w:val="0"/>
                <w:color w:val="215868" w:themeColor="accent5" w:themeShade="80"/>
                <w:sz w:val="18"/>
                <w:szCs w:val="18"/>
              </w:rPr>
            </w:pPr>
            <w:r>
              <w:rPr>
                <w:rFonts w:ascii="Arial" w:hAnsi="Arial" w:cs="Arial"/>
                <w:b w:val="0"/>
                <w:bCs w:val="0"/>
                <w:color w:val="215868" w:themeColor="accent5" w:themeShade="80"/>
                <w:sz w:val="18"/>
                <w:szCs w:val="18"/>
              </w:rPr>
              <w:t xml:space="preserve"> Fresh fruit December</w:t>
            </w:r>
            <w:r w:rsidRPr="004850A1">
              <w:rPr>
                <w:rFonts w:ascii="Arial" w:hAnsi="Arial" w:cs="Arial"/>
                <w:b w:val="0"/>
                <w:bCs w:val="0"/>
                <w:color w:val="215868" w:themeColor="accent5" w:themeShade="80"/>
                <w:sz w:val="18"/>
                <w:szCs w:val="18"/>
              </w:rPr>
              <w:t xml:space="preserve"> 2021</w:t>
            </w:r>
          </w:p>
        </w:tc>
        <w:tc>
          <w:tcPr>
            <w:tcW w:w="2130" w:type="dxa"/>
          </w:tcPr>
          <w:p w14:paraId="142CB889" w14:textId="258DB759" w:rsidR="00DD3DF6" w:rsidRDefault="00DD3DF6" w:rsidP="001F29DC">
            <w:pPr>
              <w:jc w:val="right"/>
              <w:cnfStyle w:val="000000000000" w:firstRow="0" w:lastRow="0" w:firstColumn="0" w:lastColumn="0" w:oddVBand="0" w:evenVBand="0" w:oddHBand="0" w:evenHBand="0" w:firstRowFirstColumn="0" w:firstRowLastColumn="0" w:lastRowFirstColumn="0" w:lastRowLastColumn="0"/>
            </w:pPr>
            <w:r w:rsidRPr="00210B83">
              <w:rPr>
                <w:rFonts w:ascii="Arial" w:hAnsi="Arial" w:cs="Arial"/>
                <w:color w:val="215868" w:themeColor="accent5" w:themeShade="80"/>
                <w:sz w:val="18"/>
                <w:szCs w:val="18"/>
              </w:rPr>
              <w:t>$</w:t>
            </w:r>
            <w:r w:rsidR="00A12A7F">
              <w:rPr>
                <w:rFonts w:ascii="Arial" w:hAnsi="Arial" w:cs="Arial"/>
                <w:color w:val="215868" w:themeColor="accent5" w:themeShade="80"/>
                <w:sz w:val="18"/>
                <w:szCs w:val="18"/>
              </w:rPr>
              <w:t>1.74</w:t>
            </w:r>
          </w:p>
        </w:tc>
        <w:tc>
          <w:tcPr>
            <w:tcW w:w="1702" w:type="dxa"/>
          </w:tcPr>
          <w:p w14:paraId="12B02B4D" w14:textId="0F6E35F7" w:rsidR="00DD3DF6" w:rsidRDefault="00DD3DF6" w:rsidP="001F29DC">
            <w:pPr>
              <w:jc w:val="right"/>
              <w:cnfStyle w:val="000000000000" w:firstRow="0" w:lastRow="0" w:firstColumn="0" w:lastColumn="0" w:oddVBand="0" w:evenVBand="0" w:oddHBand="0" w:evenHBand="0" w:firstRowFirstColumn="0" w:firstRowLastColumn="0" w:lastRowFirstColumn="0" w:lastRowLastColumn="0"/>
            </w:pPr>
            <w:r w:rsidRPr="00222108">
              <w:rPr>
                <w:rFonts w:ascii="Arial" w:hAnsi="Arial" w:cs="Arial"/>
                <w:color w:val="215868" w:themeColor="accent5" w:themeShade="80"/>
                <w:sz w:val="18"/>
                <w:szCs w:val="18"/>
              </w:rPr>
              <w:t>+</w:t>
            </w:r>
            <w:r w:rsidR="00A12A7F">
              <w:rPr>
                <w:rFonts w:ascii="Arial" w:hAnsi="Arial" w:cs="Arial"/>
                <w:color w:val="215868" w:themeColor="accent5" w:themeShade="80"/>
                <w:sz w:val="18"/>
                <w:szCs w:val="18"/>
              </w:rPr>
              <w:t>14.7</w:t>
            </w:r>
            <w:r w:rsidRPr="00222108">
              <w:rPr>
                <w:rFonts w:ascii="Arial" w:hAnsi="Arial" w:cs="Arial"/>
                <w:color w:val="215868" w:themeColor="accent5" w:themeShade="80"/>
                <w:sz w:val="18"/>
                <w:szCs w:val="18"/>
              </w:rPr>
              <w:t>%</w:t>
            </w:r>
          </w:p>
        </w:tc>
        <w:tc>
          <w:tcPr>
            <w:tcW w:w="1916" w:type="dxa"/>
          </w:tcPr>
          <w:p w14:paraId="0B79E00C" w14:textId="73DB49F5" w:rsidR="00DD3DF6" w:rsidRDefault="00DD3DF6" w:rsidP="001F29DC">
            <w:pPr>
              <w:jc w:val="right"/>
              <w:cnfStyle w:val="000000000000" w:firstRow="0" w:lastRow="0" w:firstColumn="0" w:lastColumn="0" w:oddVBand="0" w:evenVBand="0" w:oddHBand="0" w:evenHBand="0" w:firstRowFirstColumn="0" w:firstRowLastColumn="0" w:lastRowFirstColumn="0" w:lastRowLastColumn="0"/>
            </w:pPr>
            <w:r w:rsidRPr="0038421C">
              <w:rPr>
                <w:rFonts w:ascii="Arial" w:hAnsi="Arial" w:cs="Arial"/>
                <w:color w:val="215868" w:themeColor="accent5" w:themeShade="80"/>
                <w:sz w:val="18"/>
                <w:szCs w:val="18"/>
              </w:rPr>
              <w:t>+</w:t>
            </w:r>
            <w:r w:rsidR="00A12A7F">
              <w:rPr>
                <w:rFonts w:ascii="Arial" w:hAnsi="Arial" w:cs="Arial"/>
                <w:color w:val="215868" w:themeColor="accent5" w:themeShade="80"/>
                <w:sz w:val="18"/>
                <w:szCs w:val="18"/>
              </w:rPr>
              <w:t>15.2</w:t>
            </w:r>
            <w:r w:rsidRPr="0038421C">
              <w:rPr>
                <w:rFonts w:ascii="Arial" w:hAnsi="Arial" w:cs="Arial"/>
                <w:color w:val="215868" w:themeColor="accent5" w:themeShade="80"/>
                <w:sz w:val="18"/>
                <w:szCs w:val="18"/>
              </w:rPr>
              <w:t>%</w:t>
            </w:r>
          </w:p>
        </w:tc>
      </w:tr>
    </w:tbl>
    <w:p w14:paraId="364464EB" w14:textId="77777777" w:rsidR="00DD3DF6" w:rsidRPr="008A1AD9" w:rsidRDefault="00DD3DF6" w:rsidP="00DD3DF6">
      <w:pPr>
        <w:pStyle w:val="NoSpacing"/>
        <w:rPr>
          <w:rFonts w:ascii="Arial" w:hAnsi="Arial" w:cs="Arial"/>
          <w:sz w:val="6"/>
          <w:szCs w:val="6"/>
        </w:rPr>
      </w:pPr>
    </w:p>
    <w:p w14:paraId="78E06B93" w14:textId="77777777" w:rsidR="00DD3DF6" w:rsidRPr="006879B2" w:rsidRDefault="00DD3DF6" w:rsidP="00DD3DF6">
      <w:pPr>
        <w:pStyle w:val="NoSpacing"/>
        <w:rPr>
          <w:rFonts w:ascii="Arial" w:hAnsi="Arial" w:cs="Arial"/>
          <w:sz w:val="16"/>
          <w:szCs w:val="16"/>
        </w:rPr>
      </w:pPr>
      <w:r>
        <w:rPr>
          <w:rFonts w:ascii="Arial" w:hAnsi="Arial" w:cs="Arial"/>
          <w:sz w:val="16"/>
          <w:szCs w:val="16"/>
        </w:rPr>
        <w:t>Source: IRI, Integrated Fresh, Total US, MULO, average price per volume and % gain versus YA and 2YA</w:t>
      </w:r>
    </w:p>
    <w:p w14:paraId="6F6CAF99" w14:textId="77777777" w:rsidR="00D8582D" w:rsidRDefault="00D8582D" w:rsidP="001210D2">
      <w:pPr>
        <w:pStyle w:val="NoSpacing"/>
        <w:rPr>
          <w:rFonts w:ascii="Arial" w:hAnsi="Arial" w:cs="Arial"/>
          <w:sz w:val="20"/>
          <w:szCs w:val="20"/>
        </w:rPr>
      </w:pPr>
    </w:p>
    <w:p w14:paraId="13A71688" w14:textId="77777777" w:rsidR="00D8582D" w:rsidRDefault="00D8582D" w:rsidP="001210D2">
      <w:pPr>
        <w:pStyle w:val="NoSpacing"/>
        <w:rPr>
          <w:rFonts w:ascii="Arial" w:hAnsi="Arial" w:cs="Arial"/>
          <w:sz w:val="20"/>
          <w:szCs w:val="20"/>
        </w:rPr>
      </w:pPr>
    </w:p>
    <w:p w14:paraId="7118CE8D" w14:textId="77777777" w:rsidR="004349A0" w:rsidRPr="00CF43CE" w:rsidRDefault="004349A0" w:rsidP="004349A0">
      <w:pPr>
        <w:pStyle w:val="NoSpacing"/>
        <w:rPr>
          <w:rFonts w:ascii="Arial" w:hAnsi="Arial" w:cs="Arial"/>
          <w:b/>
          <w:bCs/>
          <w:color w:val="595959" w:themeColor="text1" w:themeTint="A6"/>
          <w:sz w:val="24"/>
          <w:szCs w:val="24"/>
        </w:rPr>
      </w:pPr>
      <w:r>
        <w:rPr>
          <w:rFonts w:ascii="Arial" w:hAnsi="Arial" w:cs="Arial"/>
          <w:b/>
          <w:bCs/>
          <w:color w:val="595959" w:themeColor="text1" w:themeTint="A6"/>
          <w:sz w:val="24"/>
          <w:szCs w:val="24"/>
        </w:rPr>
        <w:t>2021</w:t>
      </w:r>
      <w:r w:rsidRPr="00CF43CE">
        <w:rPr>
          <w:rFonts w:ascii="Arial" w:hAnsi="Arial" w:cs="Arial"/>
          <w:b/>
          <w:bCs/>
          <w:color w:val="595959" w:themeColor="text1" w:themeTint="A6"/>
          <w:sz w:val="24"/>
          <w:szCs w:val="24"/>
        </w:rPr>
        <w:t xml:space="preserve"> Sales</w:t>
      </w:r>
    </w:p>
    <w:p w14:paraId="5FB8E6DD" w14:textId="0A21AA82" w:rsidR="004349A0" w:rsidRDefault="004349A0" w:rsidP="004349A0">
      <w:pPr>
        <w:pStyle w:val="NoSpacing"/>
        <w:rPr>
          <w:rFonts w:ascii="Arial" w:hAnsi="Arial" w:cs="Arial"/>
          <w:sz w:val="20"/>
          <w:szCs w:val="20"/>
        </w:rPr>
      </w:pPr>
      <w:r>
        <w:rPr>
          <w:rFonts w:ascii="Arial" w:hAnsi="Arial" w:cs="Arial"/>
          <w:sz w:val="20"/>
          <w:szCs w:val="20"/>
        </w:rPr>
        <w:t xml:space="preserve">2021 brought $691 billion in food and beverage sales — up 1.8% over 2020 and 15.8% over the 2019 pre-pandemic normal. However, inflation played a significant role with year-on-year unit sales still down 3.3%. Perishables, including produce, seafood, meat, bakery and deli, had the highest year-over-year </w:t>
      </w:r>
      <w:r w:rsidR="001F29DC">
        <w:rPr>
          <w:rFonts w:ascii="Arial" w:hAnsi="Arial" w:cs="Arial"/>
          <w:sz w:val="20"/>
          <w:szCs w:val="20"/>
        </w:rPr>
        <w:t>sales growth</w:t>
      </w:r>
      <w:r>
        <w:rPr>
          <w:rFonts w:ascii="Arial" w:hAnsi="Arial" w:cs="Arial"/>
          <w:sz w:val="20"/>
          <w:szCs w:val="20"/>
        </w:rPr>
        <w:t xml:space="preserve"> in 2021, at +2.2%. Frozen foods had the highest increase versus the pre-pandemic normal of 2019, at +23.0%. The performance by the produce department is right in line with the rest of the store. Year-on-year dollar gains were slightly above average, where the comparison to 2019 tracked slightly behind. </w:t>
      </w:r>
    </w:p>
    <w:p w14:paraId="537D9F00" w14:textId="77777777" w:rsidR="004349A0" w:rsidRDefault="004349A0" w:rsidP="004349A0">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2793"/>
        <w:gridCol w:w="1610"/>
        <w:gridCol w:w="1825"/>
        <w:gridCol w:w="1710"/>
        <w:gridCol w:w="2790"/>
      </w:tblGrid>
      <w:tr w:rsidR="004349A0" w:rsidRPr="00706DE2" w14:paraId="056F6592" w14:textId="77777777" w:rsidTr="00380CBC">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93" w:type="dxa"/>
            <w:vMerge w:val="restart"/>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1549A05D" w14:textId="77777777" w:rsidR="004349A0" w:rsidRPr="00706DE2" w:rsidRDefault="004349A0" w:rsidP="001F29DC">
            <w:pPr>
              <w:rPr>
                <w:rFonts w:ascii="Arial" w:eastAsia="Times New Roman" w:hAnsi="Arial" w:cs="Arial"/>
                <w:color w:val="FFFFFF" w:themeColor="background1"/>
                <w:sz w:val="18"/>
                <w:szCs w:val="20"/>
              </w:rPr>
            </w:pPr>
            <w:r>
              <w:rPr>
                <w:rFonts w:ascii="Arial" w:eastAsia="Times New Roman" w:hAnsi="Arial" w:cs="Arial"/>
                <w:color w:val="FFFFFF" w:themeColor="background1"/>
                <w:sz w:val="18"/>
                <w:szCs w:val="20"/>
              </w:rPr>
              <w:t>2021</w:t>
            </w:r>
          </w:p>
        </w:tc>
        <w:tc>
          <w:tcPr>
            <w:tcW w:w="161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499CFB3" w14:textId="77777777" w:rsidR="004349A0" w:rsidRPr="00706DE2" w:rsidRDefault="004349A0" w:rsidP="001F29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1825"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BC1DD8B" w14:textId="77777777" w:rsidR="004349A0" w:rsidRPr="00706DE2" w:rsidRDefault="004349A0" w:rsidP="001F29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p>
        </w:tc>
        <w:tc>
          <w:tcPr>
            <w:tcW w:w="4500"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375CFD55" w14:textId="77777777" w:rsidR="004349A0" w:rsidRPr="00706DE2" w:rsidRDefault="004349A0" w:rsidP="001F29DC">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706DE2">
              <w:rPr>
                <w:rFonts w:ascii="Arial" w:eastAsia="Times New Roman" w:hAnsi="Arial" w:cs="Arial"/>
                <w:color w:val="FFFFFF" w:themeColor="background1"/>
                <w:sz w:val="18"/>
                <w:szCs w:val="20"/>
              </w:rPr>
              <w:t>% sales change</w:t>
            </w:r>
            <w:r>
              <w:rPr>
                <w:rFonts w:ascii="Arial" w:eastAsia="Times New Roman" w:hAnsi="Arial" w:cs="Arial"/>
                <w:color w:val="FFFFFF" w:themeColor="background1"/>
                <w:sz w:val="18"/>
                <w:szCs w:val="20"/>
              </w:rPr>
              <w:t xml:space="preserve"> </w:t>
            </w:r>
            <w:r w:rsidRPr="00706DE2">
              <w:rPr>
                <w:rFonts w:ascii="Arial" w:eastAsia="Times New Roman" w:hAnsi="Arial" w:cs="Arial"/>
                <w:color w:val="FFFFFF" w:themeColor="background1"/>
                <w:sz w:val="18"/>
                <w:szCs w:val="20"/>
              </w:rPr>
              <w:t>versus year ago</w:t>
            </w:r>
          </w:p>
        </w:tc>
      </w:tr>
      <w:tr w:rsidR="004349A0" w:rsidRPr="00706DE2" w14:paraId="5D73A129" w14:textId="77777777" w:rsidTr="00380CBC">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793" w:type="dxa"/>
            <w:vMerge/>
            <w:tcBorders>
              <w:left w:val="none" w:sz="0" w:space="0" w:color="auto"/>
              <w:right w:val="none" w:sz="0" w:space="0" w:color="auto"/>
            </w:tcBorders>
            <w:hideMark/>
          </w:tcPr>
          <w:p w14:paraId="1D9854A7" w14:textId="77777777" w:rsidR="004349A0" w:rsidRPr="00706DE2" w:rsidRDefault="004349A0" w:rsidP="001F29DC">
            <w:pPr>
              <w:rPr>
                <w:rFonts w:ascii="Arial" w:eastAsia="Times New Roman" w:hAnsi="Arial" w:cs="Arial"/>
                <w:color w:val="FFFFFF" w:themeColor="background1"/>
                <w:sz w:val="18"/>
                <w:szCs w:val="20"/>
              </w:rPr>
            </w:pPr>
          </w:p>
        </w:tc>
        <w:tc>
          <w:tcPr>
            <w:tcW w:w="1610" w:type="dxa"/>
            <w:tcBorders>
              <w:left w:val="none" w:sz="0" w:space="0" w:color="auto"/>
              <w:right w:val="none" w:sz="0" w:space="0" w:color="auto"/>
            </w:tcBorders>
            <w:shd w:val="clear" w:color="auto" w:fill="17365D" w:themeFill="text2" w:themeFillShade="BF"/>
          </w:tcPr>
          <w:p w14:paraId="77F45080" w14:textId="77777777" w:rsidR="004349A0" w:rsidRPr="00706DE2"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Dollar size</w:t>
            </w:r>
          </w:p>
        </w:tc>
        <w:tc>
          <w:tcPr>
            <w:tcW w:w="1825" w:type="dxa"/>
            <w:tcBorders>
              <w:left w:val="none" w:sz="0" w:space="0" w:color="auto"/>
              <w:right w:val="none" w:sz="0" w:space="0" w:color="auto"/>
            </w:tcBorders>
            <w:shd w:val="clear" w:color="auto" w:fill="17365D" w:themeFill="text2" w:themeFillShade="BF"/>
          </w:tcPr>
          <w:p w14:paraId="72C1236D" w14:textId="77777777" w:rsidR="004349A0"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sidRPr="00706DE2">
              <w:rPr>
                <w:rFonts w:ascii="Arial" w:eastAsia="Times New Roman" w:hAnsi="Arial" w:cs="Arial"/>
                <w:b/>
                <w:color w:val="FFFFFF" w:themeColor="background1"/>
                <w:sz w:val="18"/>
                <w:szCs w:val="20"/>
              </w:rPr>
              <w:t>Dollar sales</w:t>
            </w:r>
          </w:p>
          <w:p w14:paraId="76790036" w14:textId="77777777" w:rsidR="004349A0" w:rsidRPr="00706DE2"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vs. 2020</w:t>
            </w:r>
          </w:p>
        </w:tc>
        <w:tc>
          <w:tcPr>
            <w:tcW w:w="1710" w:type="dxa"/>
            <w:tcBorders>
              <w:left w:val="none" w:sz="0" w:space="0" w:color="auto"/>
              <w:right w:val="none" w:sz="0" w:space="0" w:color="auto"/>
            </w:tcBorders>
            <w:shd w:val="clear" w:color="auto" w:fill="17365D" w:themeFill="text2" w:themeFillShade="BF"/>
          </w:tcPr>
          <w:p w14:paraId="1B09FBF3" w14:textId="77777777" w:rsidR="004349A0"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Dollar sales</w:t>
            </w:r>
            <w:r>
              <w:rPr>
                <w:rFonts w:ascii="Arial" w:eastAsia="Times New Roman" w:hAnsi="Arial" w:cs="Arial"/>
                <w:b/>
                <w:color w:val="FFFFFF" w:themeColor="background1"/>
                <w:sz w:val="18"/>
                <w:szCs w:val="20"/>
              </w:rPr>
              <w:br/>
              <w:t xml:space="preserve"> vs. 2019</w:t>
            </w:r>
          </w:p>
        </w:tc>
        <w:tc>
          <w:tcPr>
            <w:tcW w:w="2790" w:type="dxa"/>
            <w:tcBorders>
              <w:left w:val="none" w:sz="0" w:space="0" w:color="auto"/>
              <w:right w:val="none" w:sz="0" w:space="0" w:color="auto"/>
            </w:tcBorders>
            <w:shd w:val="clear" w:color="auto" w:fill="17365D" w:themeFill="text2" w:themeFillShade="BF"/>
          </w:tcPr>
          <w:p w14:paraId="69135525" w14:textId="77777777" w:rsidR="004349A0"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 xml:space="preserve">Unit </w:t>
            </w:r>
          </w:p>
          <w:p w14:paraId="25B64B4D" w14:textId="77777777" w:rsidR="004349A0" w:rsidRPr="00706DE2"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18"/>
                <w:szCs w:val="20"/>
              </w:rPr>
            </w:pPr>
            <w:r>
              <w:rPr>
                <w:rFonts w:ascii="Arial" w:eastAsia="Times New Roman" w:hAnsi="Arial" w:cs="Arial"/>
                <w:b/>
                <w:color w:val="FFFFFF" w:themeColor="background1"/>
                <w:sz w:val="18"/>
                <w:szCs w:val="20"/>
              </w:rPr>
              <w:t>Sales vs. 2020</w:t>
            </w:r>
          </w:p>
        </w:tc>
      </w:tr>
      <w:tr w:rsidR="004349A0" w:rsidRPr="000A733E" w14:paraId="02AE6B2A" w14:textId="77777777" w:rsidTr="00380CBC">
        <w:trPr>
          <w:trHeight w:val="113"/>
        </w:trPr>
        <w:tc>
          <w:tcPr>
            <w:cnfStyle w:val="001000000000" w:firstRow="0" w:lastRow="0" w:firstColumn="1" w:lastColumn="0" w:oddVBand="0" w:evenVBand="0" w:oddHBand="0" w:evenHBand="0" w:firstRowFirstColumn="0" w:firstRowLastColumn="0" w:lastRowFirstColumn="0" w:lastRowLastColumn="0"/>
            <w:tcW w:w="2793" w:type="dxa"/>
            <w:noWrap/>
            <w:hideMark/>
          </w:tcPr>
          <w:p w14:paraId="37FA9A15" w14:textId="77777777" w:rsidR="004349A0" w:rsidRPr="000A733E" w:rsidRDefault="004349A0" w:rsidP="001F29DC">
            <w:pPr>
              <w:rPr>
                <w:rFonts w:ascii="Arial" w:eastAsia="Times New Roman" w:hAnsi="Arial" w:cs="Arial"/>
                <w:b w:val="0"/>
                <w:color w:val="17365D" w:themeColor="text2" w:themeShade="BF"/>
                <w:sz w:val="18"/>
                <w:szCs w:val="18"/>
              </w:rPr>
            </w:pPr>
            <w:r w:rsidRPr="000A733E">
              <w:rPr>
                <w:rFonts w:ascii="Arial" w:eastAsia="Times New Roman" w:hAnsi="Arial" w:cs="Arial"/>
                <w:b w:val="0"/>
                <w:color w:val="17365D" w:themeColor="text2" w:themeShade="BF"/>
                <w:sz w:val="18"/>
                <w:szCs w:val="18"/>
              </w:rPr>
              <w:t>Total food and beverages</w:t>
            </w:r>
          </w:p>
        </w:tc>
        <w:tc>
          <w:tcPr>
            <w:tcW w:w="1610" w:type="dxa"/>
          </w:tcPr>
          <w:p w14:paraId="23F5D898" w14:textId="77777777" w:rsidR="004349A0" w:rsidRPr="000A733E" w:rsidRDefault="004349A0" w:rsidP="001F29DC">
            <w:pPr>
              <w:jc w:val="right"/>
              <w:cnfStyle w:val="000000000000" w:firstRow="0" w:lastRow="0" w:firstColumn="0" w:lastColumn="0" w:oddVBand="0" w:evenVBand="0" w:oddHBand="0" w:evenHBand="0" w:firstRowFirstColumn="0" w:firstRowLastColumn="0" w:lastRowFirstColumn="0" w:lastRowLastColumn="0"/>
              <w:rPr>
                <w:color w:val="17365D" w:themeColor="text2" w:themeShade="BF"/>
              </w:rPr>
            </w:pPr>
            <w:r w:rsidRPr="000A733E">
              <w:rPr>
                <w:rFonts w:ascii="Arial" w:eastAsia="Times New Roman" w:hAnsi="Arial" w:cs="Arial"/>
                <w:color w:val="17365D" w:themeColor="text2" w:themeShade="BF"/>
                <w:sz w:val="18"/>
                <w:szCs w:val="18"/>
              </w:rPr>
              <w:t>$691B</w:t>
            </w:r>
          </w:p>
        </w:tc>
        <w:tc>
          <w:tcPr>
            <w:tcW w:w="1825" w:type="dxa"/>
          </w:tcPr>
          <w:p w14:paraId="29830534" w14:textId="77777777" w:rsidR="004349A0" w:rsidRPr="000A733E" w:rsidRDefault="004349A0" w:rsidP="001F29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733E">
              <w:rPr>
                <w:rFonts w:ascii="Arial" w:eastAsia="Times New Roman" w:hAnsi="Arial" w:cs="Arial"/>
                <w:color w:val="17365D" w:themeColor="text2" w:themeShade="BF"/>
                <w:sz w:val="18"/>
                <w:szCs w:val="18"/>
              </w:rPr>
              <w:t>+1.8%</w:t>
            </w:r>
          </w:p>
        </w:tc>
        <w:tc>
          <w:tcPr>
            <w:tcW w:w="1710" w:type="dxa"/>
          </w:tcPr>
          <w:p w14:paraId="226B6865" w14:textId="77777777" w:rsidR="004349A0" w:rsidRPr="000A733E" w:rsidRDefault="004349A0" w:rsidP="001F29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733E">
              <w:rPr>
                <w:rFonts w:ascii="Arial" w:eastAsia="Times New Roman" w:hAnsi="Arial" w:cs="Arial"/>
                <w:color w:val="17365D" w:themeColor="text2" w:themeShade="BF"/>
                <w:sz w:val="18"/>
                <w:szCs w:val="18"/>
              </w:rPr>
              <w:t>+15.8%</w:t>
            </w:r>
          </w:p>
        </w:tc>
        <w:tc>
          <w:tcPr>
            <w:tcW w:w="2790" w:type="dxa"/>
          </w:tcPr>
          <w:p w14:paraId="0D90AFA1" w14:textId="77777777" w:rsidR="004349A0" w:rsidRPr="000A733E" w:rsidRDefault="004349A0" w:rsidP="001F29DC">
            <w:pPr>
              <w:jc w:val="right"/>
              <w:cnfStyle w:val="000000000000" w:firstRow="0" w:lastRow="0" w:firstColumn="0" w:lastColumn="0" w:oddVBand="0" w:evenVBand="0" w:oddHBand="0" w:evenHBand="0" w:firstRowFirstColumn="0" w:firstRowLastColumn="0" w:lastRowFirstColumn="0" w:lastRowLastColumn="0"/>
              <w:rPr>
                <w:color w:val="17365D" w:themeColor="text2" w:themeShade="BF"/>
              </w:rPr>
            </w:pPr>
            <w:r w:rsidRPr="000A733E">
              <w:rPr>
                <w:rFonts w:ascii="Arial" w:eastAsia="Times New Roman" w:hAnsi="Arial" w:cs="Arial"/>
                <w:color w:val="17365D" w:themeColor="text2" w:themeShade="BF"/>
                <w:sz w:val="18"/>
                <w:szCs w:val="18"/>
              </w:rPr>
              <w:t>-3.3%</w:t>
            </w:r>
          </w:p>
        </w:tc>
      </w:tr>
      <w:tr w:rsidR="004349A0" w:rsidRPr="000A733E" w14:paraId="442B674E" w14:textId="77777777" w:rsidTr="00380CB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93" w:type="dxa"/>
            <w:noWrap/>
          </w:tcPr>
          <w:p w14:paraId="7851DC28" w14:textId="77777777" w:rsidR="004349A0" w:rsidRPr="000A733E" w:rsidRDefault="004349A0" w:rsidP="001F29DC">
            <w:pPr>
              <w:rPr>
                <w:rFonts w:ascii="Arial" w:eastAsia="Times New Roman" w:hAnsi="Arial" w:cs="Arial"/>
                <w:b w:val="0"/>
                <w:color w:val="17365D" w:themeColor="text2" w:themeShade="BF"/>
                <w:sz w:val="18"/>
                <w:szCs w:val="18"/>
              </w:rPr>
            </w:pPr>
            <w:r w:rsidRPr="000A733E">
              <w:rPr>
                <w:rFonts w:ascii="Arial" w:eastAsia="Times New Roman" w:hAnsi="Arial" w:cs="Arial"/>
                <w:b w:val="0"/>
                <w:color w:val="17365D" w:themeColor="text2" w:themeShade="BF"/>
                <w:sz w:val="18"/>
                <w:szCs w:val="18"/>
              </w:rPr>
              <w:t>Total perishables</w:t>
            </w:r>
          </w:p>
        </w:tc>
        <w:tc>
          <w:tcPr>
            <w:tcW w:w="1610" w:type="dxa"/>
          </w:tcPr>
          <w:p w14:paraId="7777E9AF" w14:textId="77777777" w:rsidR="004349A0" w:rsidRPr="000A733E"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733E">
              <w:rPr>
                <w:rFonts w:ascii="Arial" w:eastAsia="Times New Roman" w:hAnsi="Arial" w:cs="Arial"/>
                <w:color w:val="17365D" w:themeColor="text2" w:themeShade="BF"/>
                <w:sz w:val="18"/>
                <w:szCs w:val="18"/>
              </w:rPr>
              <w:t>$311B</w:t>
            </w:r>
          </w:p>
        </w:tc>
        <w:tc>
          <w:tcPr>
            <w:tcW w:w="1825" w:type="dxa"/>
          </w:tcPr>
          <w:p w14:paraId="4E4CD8C8" w14:textId="77777777" w:rsidR="004349A0" w:rsidRPr="000A733E"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733E">
              <w:rPr>
                <w:rFonts w:ascii="Arial" w:eastAsia="Times New Roman" w:hAnsi="Arial" w:cs="Arial"/>
                <w:color w:val="17365D" w:themeColor="text2" w:themeShade="BF"/>
                <w:sz w:val="18"/>
                <w:szCs w:val="18"/>
              </w:rPr>
              <w:t>+2.2%</w:t>
            </w:r>
          </w:p>
        </w:tc>
        <w:tc>
          <w:tcPr>
            <w:tcW w:w="1710" w:type="dxa"/>
          </w:tcPr>
          <w:p w14:paraId="75255462" w14:textId="77777777" w:rsidR="004349A0" w:rsidRPr="000A733E"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733E">
              <w:rPr>
                <w:rFonts w:ascii="Arial" w:eastAsia="Times New Roman" w:hAnsi="Arial" w:cs="Arial"/>
                <w:color w:val="17365D" w:themeColor="text2" w:themeShade="BF"/>
                <w:sz w:val="18"/>
                <w:szCs w:val="18"/>
              </w:rPr>
              <w:t>+15.0%</w:t>
            </w:r>
          </w:p>
        </w:tc>
        <w:tc>
          <w:tcPr>
            <w:tcW w:w="2790" w:type="dxa"/>
          </w:tcPr>
          <w:p w14:paraId="34232ABD" w14:textId="77777777" w:rsidR="004349A0" w:rsidRPr="000A733E" w:rsidRDefault="004349A0" w:rsidP="001F29DC">
            <w:pPr>
              <w:jc w:val="right"/>
              <w:cnfStyle w:val="000000100000" w:firstRow="0" w:lastRow="0" w:firstColumn="0" w:lastColumn="0" w:oddVBand="0" w:evenVBand="0" w:oddHBand="1" w:evenHBand="0" w:firstRowFirstColumn="0" w:firstRowLastColumn="0" w:lastRowFirstColumn="0" w:lastRowLastColumn="0"/>
              <w:rPr>
                <w:color w:val="17365D" w:themeColor="text2" w:themeShade="BF"/>
              </w:rPr>
            </w:pPr>
            <w:r w:rsidRPr="000A733E">
              <w:rPr>
                <w:rFonts w:ascii="Arial" w:eastAsia="Times New Roman" w:hAnsi="Arial" w:cs="Arial"/>
                <w:color w:val="17365D" w:themeColor="text2" w:themeShade="BF"/>
                <w:sz w:val="18"/>
                <w:szCs w:val="18"/>
              </w:rPr>
              <w:t>-2.3%</w:t>
            </w:r>
          </w:p>
        </w:tc>
      </w:tr>
      <w:tr w:rsidR="004349A0" w:rsidRPr="000A733E" w14:paraId="5E93A3C9" w14:textId="77777777" w:rsidTr="00380CBC">
        <w:trPr>
          <w:trHeight w:val="113"/>
        </w:trPr>
        <w:tc>
          <w:tcPr>
            <w:cnfStyle w:val="001000000000" w:firstRow="0" w:lastRow="0" w:firstColumn="1" w:lastColumn="0" w:oddVBand="0" w:evenVBand="0" w:oddHBand="0" w:evenHBand="0" w:firstRowFirstColumn="0" w:firstRowLastColumn="0" w:lastRowFirstColumn="0" w:lastRowLastColumn="0"/>
            <w:tcW w:w="2793" w:type="dxa"/>
            <w:noWrap/>
          </w:tcPr>
          <w:p w14:paraId="50270296" w14:textId="77777777" w:rsidR="004349A0" w:rsidRPr="000A733E" w:rsidRDefault="004349A0" w:rsidP="001F29DC">
            <w:pPr>
              <w:rPr>
                <w:rFonts w:ascii="Arial" w:eastAsia="Times New Roman" w:hAnsi="Arial" w:cs="Arial"/>
                <w:b w:val="0"/>
                <w:color w:val="17365D" w:themeColor="text2" w:themeShade="BF"/>
                <w:sz w:val="18"/>
                <w:szCs w:val="18"/>
              </w:rPr>
            </w:pPr>
            <w:r w:rsidRPr="000A733E">
              <w:rPr>
                <w:rFonts w:ascii="Arial" w:eastAsia="Times New Roman" w:hAnsi="Arial" w:cs="Arial"/>
                <w:b w:val="0"/>
                <w:color w:val="17365D" w:themeColor="text2" w:themeShade="BF"/>
                <w:sz w:val="18"/>
                <w:szCs w:val="18"/>
              </w:rPr>
              <w:t>Total frozen</w:t>
            </w:r>
          </w:p>
        </w:tc>
        <w:tc>
          <w:tcPr>
            <w:tcW w:w="1610" w:type="dxa"/>
          </w:tcPr>
          <w:p w14:paraId="039B19E0" w14:textId="77777777" w:rsidR="004349A0" w:rsidRPr="000A733E" w:rsidRDefault="004349A0" w:rsidP="001F29DC">
            <w:pPr>
              <w:jc w:val="right"/>
              <w:cnfStyle w:val="000000000000" w:firstRow="0" w:lastRow="0" w:firstColumn="0" w:lastColumn="0" w:oddVBand="0" w:evenVBand="0" w:oddHBand="0" w:evenHBand="0" w:firstRowFirstColumn="0" w:firstRowLastColumn="0" w:lastRowFirstColumn="0" w:lastRowLastColumn="0"/>
              <w:rPr>
                <w:color w:val="17365D" w:themeColor="text2" w:themeShade="BF"/>
              </w:rPr>
            </w:pPr>
            <w:r w:rsidRPr="000A733E">
              <w:rPr>
                <w:rFonts w:ascii="Arial" w:eastAsia="Times New Roman" w:hAnsi="Arial" w:cs="Arial"/>
                <w:color w:val="17365D" w:themeColor="text2" w:themeShade="BF"/>
                <w:sz w:val="18"/>
                <w:szCs w:val="18"/>
              </w:rPr>
              <w:t>$66B</w:t>
            </w:r>
          </w:p>
        </w:tc>
        <w:tc>
          <w:tcPr>
            <w:tcW w:w="1825" w:type="dxa"/>
          </w:tcPr>
          <w:p w14:paraId="703C50A2" w14:textId="77777777" w:rsidR="004349A0" w:rsidRPr="000A733E" w:rsidRDefault="004349A0" w:rsidP="001F29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733E">
              <w:rPr>
                <w:rFonts w:ascii="Arial" w:eastAsia="Times New Roman" w:hAnsi="Arial" w:cs="Arial"/>
                <w:color w:val="17365D" w:themeColor="text2" w:themeShade="BF"/>
                <w:sz w:val="18"/>
                <w:szCs w:val="18"/>
              </w:rPr>
              <w:t>+1.0%</w:t>
            </w:r>
          </w:p>
        </w:tc>
        <w:tc>
          <w:tcPr>
            <w:tcW w:w="1710" w:type="dxa"/>
          </w:tcPr>
          <w:p w14:paraId="54EE41C6" w14:textId="77777777" w:rsidR="004349A0" w:rsidRPr="000A733E" w:rsidRDefault="004349A0" w:rsidP="001F29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733E">
              <w:rPr>
                <w:rFonts w:ascii="Arial" w:eastAsia="Times New Roman" w:hAnsi="Arial" w:cs="Arial"/>
                <w:color w:val="17365D" w:themeColor="text2" w:themeShade="BF"/>
                <w:sz w:val="18"/>
                <w:szCs w:val="18"/>
              </w:rPr>
              <w:t>+23.0%</w:t>
            </w:r>
          </w:p>
        </w:tc>
        <w:tc>
          <w:tcPr>
            <w:tcW w:w="2790" w:type="dxa"/>
          </w:tcPr>
          <w:p w14:paraId="535E2A8F" w14:textId="77777777" w:rsidR="004349A0" w:rsidRPr="000A733E" w:rsidRDefault="004349A0" w:rsidP="001F29DC">
            <w:pPr>
              <w:jc w:val="right"/>
              <w:cnfStyle w:val="000000000000" w:firstRow="0" w:lastRow="0" w:firstColumn="0" w:lastColumn="0" w:oddVBand="0" w:evenVBand="0" w:oddHBand="0" w:evenHBand="0" w:firstRowFirstColumn="0" w:firstRowLastColumn="0" w:lastRowFirstColumn="0" w:lastRowLastColumn="0"/>
              <w:rPr>
                <w:color w:val="17365D" w:themeColor="text2" w:themeShade="BF"/>
              </w:rPr>
            </w:pPr>
            <w:r w:rsidRPr="000A733E">
              <w:rPr>
                <w:rFonts w:ascii="Arial" w:eastAsia="Times New Roman" w:hAnsi="Arial" w:cs="Arial"/>
                <w:color w:val="17365D" w:themeColor="text2" w:themeShade="BF"/>
                <w:sz w:val="18"/>
                <w:szCs w:val="18"/>
              </w:rPr>
              <w:t>-3.2%</w:t>
            </w:r>
          </w:p>
        </w:tc>
      </w:tr>
      <w:tr w:rsidR="004349A0" w:rsidRPr="004349A0" w14:paraId="2895AB0B" w14:textId="77777777" w:rsidTr="00380CBC">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2793" w:type="dxa"/>
            <w:noWrap/>
          </w:tcPr>
          <w:p w14:paraId="0F1634A0" w14:textId="686257F6" w:rsidR="004349A0" w:rsidRPr="004349A0" w:rsidRDefault="004349A0" w:rsidP="001F29DC">
            <w:pPr>
              <w:rPr>
                <w:rFonts w:ascii="Arial" w:eastAsia="Times New Roman" w:hAnsi="Arial" w:cs="Arial"/>
                <w:b w:val="0"/>
                <w:bCs w:val="0"/>
                <w:color w:val="17365D" w:themeColor="text2" w:themeShade="BF"/>
                <w:sz w:val="18"/>
                <w:szCs w:val="18"/>
              </w:rPr>
            </w:pPr>
            <w:r w:rsidRPr="004349A0">
              <w:rPr>
                <w:rFonts w:ascii="Arial" w:eastAsia="Times New Roman" w:hAnsi="Arial" w:cs="Arial"/>
                <w:b w:val="0"/>
                <w:bCs w:val="0"/>
                <w:color w:val="17365D" w:themeColor="text2" w:themeShade="BF"/>
                <w:sz w:val="18"/>
                <w:szCs w:val="18"/>
              </w:rPr>
              <w:t xml:space="preserve">Total </w:t>
            </w:r>
            <w:r w:rsidR="00E97D52">
              <w:rPr>
                <w:rFonts w:ascii="Arial" w:eastAsia="Times New Roman" w:hAnsi="Arial" w:cs="Arial"/>
                <w:b w:val="0"/>
                <w:bCs w:val="0"/>
                <w:color w:val="17365D" w:themeColor="text2" w:themeShade="BF"/>
                <w:sz w:val="18"/>
                <w:szCs w:val="18"/>
              </w:rPr>
              <w:t xml:space="preserve">fresh </w:t>
            </w:r>
            <w:r w:rsidRPr="004349A0">
              <w:rPr>
                <w:rFonts w:ascii="Arial" w:eastAsia="Times New Roman" w:hAnsi="Arial" w:cs="Arial"/>
                <w:b w:val="0"/>
                <w:bCs w:val="0"/>
                <w:color w:val="17365D" w:themeColor="text2" w:themeShade="BF"/>
                <w:sz w:val="18"/>
                <w:szCs w:val="18"/>
              </w:rPr>
              <w:t>produce</w:t>
            </w:r>
          </w:p>
        </w:tc>
        <w:tc>
          <w:tcPr>
            <w:tcW w:w="1610" w:type="dxa"/>
          </w:tcPr>
          <w:p w14:paraId="61EDA77A" w14:textId="619FC5D8" w:rsidR="004349A0" w:rsidRPr="004349A0"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$71.6B</w:t>
            </w:r>
          </w:p>
        </w:tc>
        <w:tc>
          <w:tcPr>
            <w:tcW w:w="1825" w:type="dxa"/>
          </w:tcPr>
          <w:p w14:paraId="753EECDA" w14:textId="42A2DC5D" w:rsidR="004349A0" w:rsidRPr="004349A0"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+2.6%</w:t>
            </w:r>
          </w:p>
        </w:tc>
        <w:tc>
          <w:tcPr>
            <w:tcW w:w="1710" w:type="dxa"/>
          </w:tcPr>
          <w:p w14:paraId="0A1158DD" w14:textId="39100FE6" w:rsidR="004349A0" w:rsidRPr="004349A0"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+14.4%</w:t>
            </w:r>
          </w:p>
        </w:tc>
        <w:tc>
          <w:tcPr>
            <w:tcW w:w="2790" w:type="dxa"/>
          </w:tcPr>
          <w:p w14:paraId="568ADEE4" w14:textId="3E306D4A" w:rsidR="004349A0" w:rsidRPr="004349A0" w:rsidRDefault="004349A0" w:rsidP="001F29DC">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-2.1%</w:t>
            </w:r>
          </w:p>
        </w:tc>
      </w:tr>
    </w:tbl>
    <w:p w14:paraId="60FF4F2D" w14:textId="77777777" w:rsidR="004349A0" w:rsidRPr="00B64ECF" w:rsidRDefault="004349A0" w:rsidP="004349A0">
      <w:pPr>
        <w:pStyle w:val="NoSpacing"/>
        <w:rPr>
          <w:rFonts w:ascii="Arial" w:hAnsi="Arial" w:cs="Arial"/>
          <w:sz w:val="12"/>
          <w:szCs w:val="16"/>
        </w:rPr>
      </w:pPr>
    </w:p>
    <w:p w14:paraId="3D8D6689" w14:textId="77777777" w:rsidR="004349A0" w:rsidRPr="00A04CFB" w:rsidRDefault="004349A0" w:rsidP="004349A0">
      <w:pPr>
        <w:pStyle w:val="NoSpacing"/>
        <w:rPr>
          <w:rFonts w:ascii="Arial" w:hAnsi="Arial" w:cs="Arial"/>
          <w:color w:val="7F7F7F" w:themeColor="text1" w:themeTint="80"/>
          <w:sz w:val="16"/>
          <w:szCs w:val="16"/>
        </w:rPr>
      </w:pPr>
      <w:r w:rsidRPr="00A04CFB">
        <w:rPr>
          <w:rFonts w:ascii="Arial" w:hAnsi="Arial" w:cs="Arial"/>
          <w:color w:val="7F7F7F" w:themeColor="text1" w:themeTint="80"/>
          <w:sz w:val="16"/>
          <w:szCs w:val="16"/>
        </w:rPr>
        <w:t>Source: IRI, Integrated Fresh, Total US, MULO, % change vs. year ago.</w:t>
      </w:r>
    </w:p>
    <w:p w14:paraId="0AD559EB" w14:textId="7B9284A1" w:rsidR="00CF43CE" w:rsidRDefault="00CF43CE" w:rsidP="00CF43CE">
      <w:pPr>
        <w:pStyle w:val="NoSpacing"/>
        <w:rPr>
          <w:rFonts w:ascii="Arial" w:hAnsi="Arial" w:cs="Arial"/>
          <w:sz w:val="20"/>
          <w:szCs w:val="20"/>
        </w:rPr>
      </w:pPr>
    </w:p>
    <w:p w14:paraId="3EF71883" w14:textId="0C39470A" w:rsidR="001C641C" w:rsidRDefault="001C641C" w:rsidP="00CF43CE">
      <w:pPr>
        <w:pStyle w:val="NoSpacing"/>
        <w:rPr>
          <w:rFonts w:ascii="Arial" w:hAnsi="Arial" w:cs="Arial"/>
          <w:sz w:val="20"/>
          <w:szCs w:val="20"/>
        </w:rPr>
      </w:pPr>
      <w:r>
        <w:rPr>
          <w:rFonts w:ascii="Arial" w:hAnsi="Arial" w:cs="Arial"/>
          <w:sz w:val="20"/>
          <w:szCs w:val="20"/>
        </w:rPr>
        <w:t>From a dollar sales perspective, 2021 was another great year</w:t>
      </w:r>
      <w:r w:rsidR="00A84CAB">
        <w:rPr>
          <w:rFonts w:ascii="Arial" w:hAnsi="Arial" w:cs="Arial"/>
          <w:sz w:val="20"/>
          <w:szCs w:val="20"/>
        </w:rPr>
        <w:t xml:space="preserve"> for fresh produce</w:t>
      </w:r>
      <w:r>
        <w:rPr>
          <w:rFonts w:ascii="Arial" w:hAnsi="Arial" w:cs="Arial"/>
          <w:sz w:val="20"/>
          <w:szCs w:val="20"/>
        </w:rPr>
        <w:t>, surpassing the records set in 2020. However, dollar gains were inflation boosted and units and volume sales declined year-on-year. “</w:t>
      </w:r>
      <w:r w:rsidR="00667BC4">
        <w:rPr>
          <w:rFonts w:ascii="Arial" w:hAnsi="Arial" w:cs="Arial"/>
          <w:sz w:val="20"/>
          <w:szCs w:val="20"/>
        </w:rPr>
        <w:t xml:space="preserve">Traditionally we have always compared our performance to the prior year and that is a hard habit to break,” said Watson. “But when we remove the unprecedented demand of 2020 and compare to the more typical levels of 2019, we see </w:t>
      </w:r>
      <w:r w:rsidR="00A84CAB">
        <w:rPr>
          <w:rFonts w:ascii="Arial" w:hAnsi="Arial" w:cs="Arial"/>
          <w:sz w:val="20"/>
          <w:szCs w:val="20"/>
        </w:rPr>
        <w:t xml:space="preserve">our </w:t>
      </w:r>
      <w:r w:rsidR="00667BC4">
        <w:rPr>
          <w:rFonts w:ascii="Arial" w:hAnsi="Arial" w:cs="Arial"/>
          <w:sz w:val="20"/>
          <w:szCs w:val="20"/>
        </w:rPr>
        <w:t>true accomplishment</w:t>
      </w:r>
      <w:r w:rsidR="00A84CAB">
        <w:rPr>
          <w:rFonts w:ascii="Arial" w:hAnsi="Arial" w:cs="Arial"/>
          <w:sz w:val="20"/>
          <w:szCs w:val="20"/>
        </w:rPr>
        <w:t xml:space="preserve">. </w:t>
      </w:r>
      <w:r>
        <w:rPr>
          <w:rFonts w:ascii="Arial" w:hAnsi="Arial" w:cs="Arial"/>
          <w:sz w:val="20"/>
          <w:szCs w:val="20"/>
        </w:rPr>
        <w:t xml:space="preserve">The fresh produce supply chain moved nearly 43 billion pounds </w:t>
      </w:r>
      <w:r w:rsidR="001F29DC">
        <w:rPr>
          <w:rFonts w:ascii="Arial" w:hAnsi="Arial" w:cs="Arial"/>
          <w:sz w:val="20"/>
          <w:szCs w:val="20"/>
        </w:rPr>
        <w:t>through the registers</w:t>
      </w:r>
      <w:r>
        <w:rPr>
          <w:rFonts w:ascii="Arial" w:hAnsi="Arial" w:cs="Arial"/>
          <w:sz w:val="20"/>
          <w:szCs w:val="20"/>
        </w:rPr>
        <w:t xml:space="preserve"> in 2021, which was 7.1% more than 2019.</w:t>
      </w:r>
      <w:r w:rsidR="00A84CAB">
        <w:rPr>
          <w:rFonts w:ascii="Arial" w:hAnsi="Arial" w:cs="Arial"/>
          <w:sz w:val="20"/>
          <w:szCs w:val="20"/>
        </w:rPr>
        <w:t>”</w:t>
      </w:r>
      <w:r>
        <w:rPr>
          <w:rFonts w:ascii="Arial" w:hAnsi="Arial" w:cs="Arial"/>
          <w:sz w:val="20"/>
          <w:szCs w:val="20"/>
        </w:rPr>
        <w:t xml:space="preserve">  </w:t>
      </w:r>
    </w:p>
    <w:p w14:paraId="0D0EDFFA" w14:textId="0EB342BB" w:rsidR="00E97D52" w:rsidRDefault="00E97D52" w:rsidP="00CF43CE">
      <w:pPr>
        <w:pStyle w:val="NoSpacing"/>
        <w:rPr>
          <w:rFonts w:ascii="Arial" w:hAnsi="Arial" w:cs="Arial"/>
          <w:sz w:val="20"/>
          <w:szCs w:val="20"/>
        </w:rPr>
      </w:pPr>
    </w:p>
    <w:tbl>
      <w:tblPr>
        <w:tblStyle w:val="LightShading-Accent5"/>
        <w:tblW w:w="10728" w:type="dxa"/>
        <w:tblBorders>
          <w:top w:val="none" w:sz="0" w:space="0" w:color="auto"/>
          <w:bottom w:val="none" w:sz="0" w:space="0" w:color="auto"/>
        </w:tblBorders>
        <w:tblLayout w:type="fixed"/>
        <w:tblLook w:val="04A0" w:firstRow="1" w:lastRow="0" w:firstColumn="1" w:lastColumn="0" w:noHBand="0" w:noVBand="1"/>
      </w:tblPr>
      <w:tblGrid>
        <w:gridCol w:w="1872"/>
        <w:gridCol w:w="1265"/>
        <w:gridCol w:w="1265"/>
        <w:gridCol w:w="1265"/>
        <w:gridCol w:w="1265"/>
        <w:gridCol w:w="1265"/>
        <w:gridCol w:w="1265"/>
        <w:gridCol w:w="1266"/>
      </w:tblGrid>
      <w:tr w:rsidR="001729EA" w:rsidRPr="001729EA" w14:paraId="3F489C13" w14:textId="7C06034A" w:rsidTr="001729EA">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87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49CAE0D8" w14:textId="59C1F2DB" w:rsidR="001729EA" w:rsidRPr="001729EA" w:rsidRDefault="001729EA" w:rsidP="00E97D52">
            <w:pPr>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2021</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72088A7" w14:textId="3DDB6380"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6271B67" w14:textId="2C621900"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55302C1" w14:textId="02642A5D"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‘19</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C9D72C3" w14:textId="77A9D80E"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‘20</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0DB92060" w14:textId="6A3F3860"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‘19</w:t>
            </w:r>
          </w:p>
        </w:tc>
        <w:tc>
          <w:tcPr>
            <w:tcW w:w="126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21BCB55" w14:textId="00C004BE"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‘20</w:t>
            </w:r>
          </w:p>
        </w:tc>
        <w:tc>
          <w:tcPr>
            <w:tcW w:w="126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F544828" w14:textId="7C52CAB6" w:rsidR="001729EA" w:rsidRPr="001729EA" w:rsidRDefault="001729EA" w:rsidP="00E97D52">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‘19</w:t>
            </w:r>
          </w:p>
        </w:tc>
      </w:tr>
      <w:tr w:rsidR="001729EA" w:rsidRPr="000A733E" w14:paraId="1FA405A9" w14:textId="76D3D421"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tcBorders>
              <w:left w:val="none" w:sz="0" w:space="0" w:color="auto"/>
              <w:right w:val="none" w:sz="0" w:space="0" w:color="auto"/>
            </w:tcBorders>
            <w:noWrap/>
          </w:tcPr>
          <w:p w14:paraId="5F985AD8" w14:textId="46494120"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Total fresh produce</w:t>
            </w:r>
          </w:p>
        </w:tc>
        <w:tc>
          <w:tcPr>
            <w:tcW w:w="1265" w:type="dxa"/>
            <w:tcBorders>
              <w:left w:val="none" w:sz="0" w:space="0" w:color="auto"/>
              <w:right w:val="none" w:sz="0" w:space="0" w:color="auto"/>
            </w:tcBorders>
            <w:vAlign w:val="center"/>
          </w:tcPr>
          <w:p w14:paraId="72E1F76B" w14:textId="653D0767"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97D52">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71.6</w:t>
            </w:r>
            <w:r w:rsidRPr="00E97D52">
              <w:rPr>
                <w:rFonts w:ascii="Arial" w:eastAsia="Times New Roman" w:hAnsi="Arial" w:cs="Arial"/>
                <w:color w:val="17365D" w:themeColor="text2" w:themeShade="BF"/>
                <w:sz w:val="18"/>
                <w:szCs w:val="18"/>
              </w:rPr>
              <w:t>B</w:t>
            </w:r>
          </w:p>
        </w:tc>
        <w:tc>
          <w:tcPr>
            <w:tcW w:w="1265" w:type="dxa"/>
            <w:tcBorders>
              <w:left w:val="none" w:sz="0" w:space="0" w:color="auto"/>
              <w:right w:val="none" w:sz="0" w:space="0" w:color="auto"/>
            </w:tcBorders>
          </w:tcPr>
          <w:p w14:paraId="61DDB3BD" w14:textId="7511D893"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2.6</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11453AD8" w14:textId="33986748"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14.4</w:t>
            </w:r>
            <w:r w:rsidRPr="005913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27EF3A80" w14:textId="7572A449"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2.1</w:t>
            </w:r>
            <w:r w:rsidRPr="000A0500">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377DF37E" w14:textId="012D87CA"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7650CC">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9.3</w:t>
            </w:r>
            <w:r w:rsidRPr="007650CC">
              <w:rPr>
                <w:rFonts w:ascii="Arial" w:eastAsia="Times New Roman" w:hAnsi="Arial" w:cs="Arial"/>
                <w:color w:val="17365D" w:themeColor="text2" w:themeShade="BF"/>
                <w:sz w:val="18"/>
                <w:szCs w:val="18"/>
              </w:rPr>
              <w:t>%</w:t>
            </w:r>
          </w:p>
        </w:tc>
        <w:tc>
          <w:tcPr>
            <w:tcW w:w="1265" w:type="dxa"/>
            <w:tcBorders>
              <w:left w:val="none" w:sz="0" w:space="0" w:color="auto"/>
              <w:right w:val="none" w:sz="0" w:space="0" w:color="auto"/>
            </w:tcBorders>
          </w:tcPr>
          <w:p w14:paraId="75F30C33" w14:textId="26CE9A61"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3.7</w:t>
            </w:r>
            <w:r w:rsidRPr="00E87888">
              <w:rPr>
                <w:rFonts w:ascii="Arial" w:eastAsia="Times New Roman" w:hAnsi="Arial" w:cs="Arial"/>
                <w:color w:val="17365D" w:themeColor="text2" w:themeShade="BF"/>
                <w:sz w:val="18"/>
                <w:szCs w:val="18"/>
              </w:rPr>
              <w:t>%</w:t>
            </w:r>
          </w:p>
        </w:tc>
        <w:tc>
          <w:tcPr>
            <w:tcW w:w="1266" w:type="dxa"/>
            <w:tcBorders>
              <w:left w:val="none" w:sz="0" w:space="0" w:color="auto"/>
              <w:right w:val="none" w:sz="0" w:space="0" w:color="auto"/>
            </w:tcBorders>
          </w:tcPr>
          <w:p w14:paraId="08280228" w14:textId="701F17C6"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60673">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7.1</w:t>
            </w:r>
            <w:r w:rsidRPr="00560673">
              <w:rPr>
                <w:rFonts w:ascii="Arial" w:eastAsia="Times New Roman" w:hAnsi="Arial" w:cs="Arial"/>
                <w:color w:val="17365D" w:themeColor="text2" w:themeShade="BF"/>
                <w:sz w:val="18"/>
                <w:szCs w:val="18"/>
              </w:rPr>
              <w:t>%</w:t>
            </w:r>
          </w:p>
        </w:tc>
      </w:tr>
      <w:tr w:rsidR="001729EA" w:rsidRPr="000A733E" w14:paraId="6C607063" w14:textId="278BCA5D" w:rsidTr="001729EA">
        <w:trPr>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7279F0F8" w14:textId="70BF49A4"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vegetables</w:t>
            </w:r>
          </w:p>
        </w:tc>
        <w:tc>
          <w:tcPr>
            <w:tcW w:w="1265" w:type="dxa"/>
            <w:vAlign w:val="center"/>
          </w:tcPr>
          <w:p w14:paraId="4B1E4C5C" w14:textId="4B119573" w:rsidR="001729EA" w:rsidRPr="00E97D52" w:rsidRDefault="001729EA" w:rsidP="00E97D5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35.4</w:t>
            </w:r>
            <w:r w:rsidRPr="00E97D52">
              <w:rPr>
                <w:rFonts w:ascii="Arial" w:eastAsia="Times New Roman" w:hAnsi="Arial" w:cs="Arial"/>
                <w:color w:val="17365D" w:themeColor="text2" w:themeShade="BF"/>
                <w:sz w:val="18"/>
                <w:szCs w:val="18"/>
              </w:rPr>
              <w:t>B</w:t>
            </w:r>
          </w:p>
        </w:tc>
        <w:tc>
          <w:tcPr>
            <w:tcW w:w="1265" w:type="dxa"/>
          </w:tcPr>
          <w:p w14:paraId="64643F69" w14:textId="4B694FCC" w:rsidR="001729EA" w:rsidRPr="00E97D52" w:rsidRDefault="001729EA" w:rsidP="00E97D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-1.3</w:t>
            </w:r>
            <w:r w:rsidRPr="00591300">
              <w:rPr>
                <w:rFonts w:ascii="Arial" w:eastAsia="Times New Roman" w:hAnsi="Arial" w:cs="Arial"/>
                <w:color w:val="17365D" w:themeColor="text2" w:themeShade="BF"/>
                <w:sz w:val="18"/>
                <w:szCs w:val="18"/>
              </w:rPr>
              <w:t>%</w:t>
            </w:r>
          </w:p>
        </w:tc>
        <w:tc>
          <w:tcPr>
            <w:tcW w:w="1265" w:type="dxa"/>
          </w:tcPr>
          <w:p w14:paraId="74E17EC0" w14:textId="5821FB61" w:rsidR="001729EA" w:rsidRPr="00E97D52" w:rsidRDefault="001729EA" w:rsidP="00E97D5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13.3</w:t>
            </w:r>
            <w:r w:rsidRPr="00591300">
              <w:rPr>
                <w:rFonts w:ascii="Arial" w:eastAsia="Times New Roman" w:hAnsi="Arial" w:cs="Arial"/>
                <w:color w:val="17365D" w:themeColor="text2" w:themeShade="BF"/>
                <w:sz w:val="18"/>
                <w:szCs w:val="18"/>
              </w:rPr>
              <w:t>%</w:t>
            </w:r>
          </w:p>
        </w:tc>
        <w:tc>
          <w:tcPr>
            <w:tcW w:w="1265" w:type="dxa"/>
          </w:tcPr>
          <w:p w14:paraId="09C88344" w14:textId="4ACD68CD" w:rsidR="001729EA" w:rsidRPr="00E97D52" w:rsidRDefault="001729EA" w:rsidP="00E97D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3.6</w:t>
            </w:r>
            <w:r w:rsidRPr="000A0500">
              <w:rPr>
                <w:rFonts w:ascii="Arial" w:eastAsia="Times New Roman" w:hAnsi="Arial" w:cs="Arial"/>
                <w:color w:val="17365D" w:themeColor="text2" w:themeShade="BF"/>
                <w:sz w:val="18"/>
                <w:szCs w:val="18"/>
              </w:rPr>
              <w:t>%</w:t>
            </w:r>
          </w:p>
        </w:tc>
        <w:tc>
          <w:tcPr>
            <w:tcW w:w="1265" w:type="dxa"/>
          </w:tcPr>
          <w:p w14:paraId="38DF1EE4" w14:textId="295EC59E" w:rsidR="001729EA" w:rsidRPr="00E97D52" w:rsidRDefault="001729EA" w:rsidP="00E97D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7650CC">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8.8</w:t>
            </w:r>
            <w:r w:rsidRPr="007650CC">
              <w:rPr>
                <w:rFonts w:ascii="Arial" w:eastAsia="Times New Roman" w:hAnsi="Arial" w:cs="Arial"/>
                <w:color w:val="17365D" w:themeColor="text2" w:themeShade="BF"/>
                <w:sz w:val="18"/>
                <w:szCs w:val="18"/>
              </w:rPr>
              <w:t>%</w:t>
            </w:r>
          </w:p>
        </w:tc>
        <w:tc>
          <w:tcPr>
            <w:tcW w:w="1265" w:type="dxa"/>
          </w:tcPr>
          <w:p w14:paraId="62B0D7C9" w14:textId="3334BD8F" w:rsidR="001729EA" w:rsidRPr="00E97D52" w:rsidRDefault="001729EA" w:rsidP="00E97D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5.7</w:t>
            </w:r>
            <w:r w:rsidRPr="00E87888">
              <w:rPr>
                <w:rFonts w:ascii="Arial" w:eastAsia="Times New Roman" w:hAnsi="Arial" w:cs="Arial"/>
                <w:color w:val="17365D" w:themeColor="text2" w:themeShade="BF"/>
                <w:sz w:val="18"/>
                <w:szCs w:val="18"/>
              </w:rPr>
              <w:t>%</w:t>
            </w:r>
          </w:p>
        </w:tc>
        <w:tc>
          <w:tcPr>
            <w:tcW w:w="1266" w:type="dxa"/>
          </w:tcPr>
          <w:p w14:paraId="35531462" w14:textId="24517FCE" w:rsidR="001729EA" w:rsidRPr="00E97D52" w:rsidRDefault="001729EA" w:rsidP="00E97D5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560673">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7.7</w:t>
            </w:r>
            <w:r w:rsidRPr="00560673">
              <w:rPr>
                <w:rFonts w:ascii="Arial" w:eastAsia="Times New Roman" w:hAnsi="Arial" w:cs="Arial"/>
                <w:color w:val="17365D" w:themeColor="text2" w:themeShade="BF"/>
                <w:sz w:val="18"/>
                <w:szCs w:val="18"/>
              </w:rPr>
              <w:t>%</w:t>
            </w:r>
          </w:p>
        </w:tc>
      </w:tr>
      <w:tr w:rsidR="001729EA" w:rsidRPr="000A733E" w14:paraId="7A5CDC03" w14:textId="2AC975D8"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72" w:type="dxa"/>
            <w:noWrap/>
          </w:tcPr>
          <w:p w14:paraId="4AC47801" w14:textId="5F1C0B26" w:rsidR="001729EA" w:rsidRPr="000A733E" w:rsidRDefault="001729EA" w:rsidP="00E97D52">
            <w:pPr>
              <w:rPr>
                <w:rFonts w:ascii="Arial" w:eastAsia="Times New Roman" w:hAnsi="Arial" w:cs="Arial"/>
                <w:b w:val="0"/>
                <w:color w:val="17365D" w:themeColor="text2" w:themeShade="BF"/>
                <w:sz w:val="18"/>
                <w:szCs w:val="18"/>
              </w:rPr>
            </w:pPr>
            <w:r>
              <w:rPr>
                <w:rFonts w:ascii="Arial" w:eastAsia="Times New Roman" w:hAnsi="Arial" w:cs="Arial"/>
                <w:b w:val="0"/>
                <w:color w:val="17365D" w:themeColor="text2" w:themeShade="BF"/>
                <w:sz w:val="18"/>
                <w:szCs w:val="18"/>
              </w:rPr>
              <w:t>Fresh fruit</w:t>
            </w:r>
          </w:p>
        </w:tc>
        <w:tc>
          <w:tcPr>
            <w:tcW w:w="1265" w:type="dxa"/>
            <w:vAlign w:val="center"/>
          </w:tcPr>
          <w:p w14:paraId="6E3CA9E2" w14:textId="78DA6B81"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35.1</w:t>
            </w:r>
            <w:r w:rsidRPr="00E97D52">
              <w:rPr>
                <w:rFonts w:ascii="Arial" w:eastAsia="Times New Roman" w:hAnsi="Arial" w:cs="Arial"/>
                <w:color w:val="17365D" w:themeColor="text2" w:themeShade="BF"/>
                <w:sz w:val="18"/>
                <w:szCs w:val="18"/>
              </w:rPr>
              <w:t>B</w:t>
            </w:r>
          </w:p>
        </w:tc>
        <w:tc>
          <w:tcPr>
            <w:tcW w:w="1265" w:type="dxa"/>
          </w:tcPr>
          <w:p w14:paraId="284E360B" w14:textId="68AE259B"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6.5</w:t>
            </w:r>
            <w:r w:rsidRPr="00591300">
              <w:rPr>
                <w:rFonts w:ascii="Arial" w:eastAsia="Times New Roman" w:hAnsi="Arial" w:cs="Arial"/>
                <w:color w:val="17365D" w:themeColor="text2" w:themeShade="BF"/>
                <w:sz w:val="18"/>
                <w:szCs w:val="18"/>
              </w:rPr>
              <w:t>%</w:t>
            </w:r>
          </w:p>
        </w:tc>
        <w:tc>
          <w:tcPr>
            <w:tcW w:w="1265" w:type="dxa"/>
          </w:tcPr>
          <w:p w14:paraId="5B7C100C" w14:textId="12F4FB35"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15.7</w:t>
            </w:r>
            <w:r w:rsidRPr="00591300">
              <w:rPr>
                <w:rFonts w:ascii="Arial" w:eastAsia="Times New Roman" w:hAnsi="Arial" w:cs="Arial"/>
                <w:color w:val="17365D" w:themeColor="text2" w:themeShade="BF"/>
                <w:sz w:val="18"/>
                <w:szCs w:val="18"/>
              </w:rPr>
              <w:t>%</w:t>
            </w:r>
          </w:p>
        </w:tc>
        <w:tc>
          <w:tcPr>
            <w:tcW w:w="1265" w:type="dxa"/>
          </w:tcPr>
          <w:p w14:paraId="41808436" w14:textId="12904E05"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0A05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0.3</w:t>
            </w:r>
            <w:r w:rsidRPr="000A0500">
              <w:rPr>
                <w:rFonts w:ascii="Arial" w:eastAsia="Times New Roman" w:hAnsi="Arial" w:cs="Arial"/>
                <w:color w:val="17365D" w:themeColor="text2" w:themeShade="BF"/>
                <w:sz w:val="18"/>
                <w:szCs w:val="18"/>
              </w:rPr>
              <w:t>%</w:t>
            </w:r>
          </w:p>
        </w:tc>
        <w:tc>
          <w:tcPr>
            <w:tcW w:w="1265" w:type="dxa"/>
          </w:tcPr>
          <w:p w14:paraId="0DBAB052" w14:textId="486CC54A"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7650CC">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10.1</w:t>
            </w:r>
            <w:r w:rsidRPr="007650CC">
              <w:rPr>
                <w:rFonts w:ascii="Arial" w:eastAsia="Times New Roman" w:hAnsi="Arial" w:cs="Arial"/>
                <w:color w:val="17365D" w:themeColor="text2" w:themeShade="BF"/>
                <w:sz w:val="18"/>
                <w:szCs w:val="18"/>
              </w:rPr>
              <w:t>%</w:t>
            </w:r>
          </w:p>
        </w:tc>
        <w:tc>
          <w:tcPr>
            <w:tcW w:w="1265" w:type="dxa"/>
          </w:tcPr>
          <w:p w14:paraId="4E0AECE4" w14:textId="3F4F5849"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87888">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2.0</w:t>
            </w:r>
            <w:r w:rsidRPr="00E87888">
              <w:rPr>
                <w:rFonts w:ascii="Arial" w:eastAsia="Times New Roman" w:hAnsi="Arial" w:cs="Arial"/>
                <w:color w:val="17365D" w:themeColor="text2" w:themeShade="BF"/>
                <w:sz w:val="18"/>
                <w:szCs w:val="18"/>
              </w:rPr>
              <w:t>%</w:t>
            </w:r>
          </w:p>
        </w:tc>
        <w:tc>
          <w:tcPr>
            <w:tcW w:w="1266" w:type="dxa"/>
          </w:tcPr>
          <w:p w14:paraId="142EBC06" w14:textId="2BFF48A4" w:rsidR="001729EA" w:rsidRPr="00E97D52" w:rsidRDefault="001729EA" w:rsidP="00E97D5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60673">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6.7</w:t>
            </w:r>
            <w:r w:rsidRPr="00560673">
              <w:rPr>
                <w:rFonts w:ascii="Arial" w:eastAsia="Times New Roman" w:hAnsi="Arial" w:cs="Arial"/>
                <w:color w:val="17365D" w:themeColor="text2" w:themeShade="BF"/>
                <w:sz w:val="18"/>
                <w:szCs w:val="18"/>
              </w:rPr>
              <w:t>%</w:t>
            </w:r>
          </w:p>
        </w:tc>
      </w:tr>
    </w:tbl>
    <w:p w14:paraId="57715B78" w14:textId="77777777" w:rsidR="00E97D52" w:rsidRPr="00B64ECF" w:rsidRDefault="00E97D52" w:rsidP="00E97D52">
      <w:pPr>
        <w:pStyle w:val="NoSpacing"/>
        <w:rPr>
          <w:rFonts w:ascii="Arial" w:hAnsi="Arial" w:cs="Arial"/>
          <w:sz w:val="12"/>
          <w:szCs w:val="16"/>
        </w:rPr>
      </w:pPr>
    </w:p>
    <w:p w14:paraId="32CEF884" w14:textId="77777777" w:rsidR="00E97D52" w:rsidRPr="005C6A11" w:rsidRDefault="00E97D52" w:rsidP="00E97D52">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0E13A94C" w14:textId="77777777" w:rsidR="00E97D52" w:rsidRPr="00A56386" w:rsidRDefault="00E97D52" w:rsidP="00CF43CE">
      <w:pPr>
        <w:pStyle w:val="NoSpacing"/>
        <w:rPr>
          <w:rFonts w:ascii="Arial" w:hAnsi="Arial" w:cs="Arial"/>
          <w:sz w:val="20"/>
          <w:szCs w:val="20"/>
        </w:rPr>
      </w:pPr>
    </w:p>
    <w:p w14:paraId="46663613" w14:textId="77777777" w:rsidR="001729EA" w:rsidRDefault="001729EA">
      <w:pPr>
        <w:rPr>
          <w:rFonts w:ascii="Arial" w:eastAsiaTheme="majorEastAsia" w:hAnsi="Arial" w:cs="Arial"/>
          <w:b/>
          <w:bCs/>
          <w:color w:val="595959" w:themeColor="text1" w:themeTint="A6"/>
          <w:sz w:val="24"/>
          <w:szCs w:val="28"/>
        </w:rPr>
      </w:pPr>
      <w:r>
        <w:rPr>
          <w:rFonts w:ascii="Arial" w:hAnsi="Arial" w:cs="Arial"/>
          <w:color w:val="595959" w:themeColor="text1" w:themeTint="A6"/>
          <w:sz w:val="24"/>
        </w:rPr>
        <w:br w:type="page"/>
      </w:r>
    </w:p>
    <w:p w14:paraId="2989BFEE" w14:textId="6A7C877A" w:rsidR="0053257C" w:rsidRPr="00C227BA" w:rsidRDefault="00A84CAB" w:rsidP="0053257C">
      <w:pPr>
        <w:pStyle w:val="Heading1"/>
        <w:rPr>
          <w:rFonts w:ascii="Arial" w:hAnsi="Arial" w:cs="Arial"/>
          <w:color w:val="595959" w:themeColor="text1" w:themeTint="A6"/>
          <w:sz w:val="24"/>
        </w:rPr>
      </w:pPr>
      <w:r>
        <w:rPr>
          <w:rFonts w:ascii="Arial" w:hAnsi="Arial" w:cs="Arial"/>
          <w:color w:val="595959" w:themeColor="text1" w:themeTint="A6"/>
          <w:sz w:val="24"/>
        </w:rPr>
        <w:lastRenderedPageBreak/>
        <w:t>December</w:t>
      </w:r>
      <w:r w:rsidR="0053257C" w:rsidRPr="00C227BA">
        <w:rPr>
          <w:rFonts w:ascii="Arial" w:hAnsi="Arial" w:cs="Arial"/>
          <w:color w:val="595959" w:themeColor="text1" w:themeTint="A6"/>
          <w:sz w:val="24"/>
        </w:rPr>
        <w:t xml:space="preserve"> </w:t>
      </w:r>
      <w:r w:rsidR="0053257C">
        <w:rPr>
          <w:rFonts w:ascii="Arial" w:hAnsi="Arial" w:cs="Arial"/>
          <w:color w:val="595959" w:themeColor="text1" w:themeTint="A6"/>
          <w:sz w:val="24"/>
        </w:rPr>
        <w:t>S</w:t>
      </w:r>
      <w:r w:rsidR="0053257C" w:rsidRPr="00C227BA">
        <w:rPr>
          <w:rFonts w:ascii="Arial" w:hAnsi="Arial" w:cs="Arial"/>
          <w:color w:val="595959" w:themeColor="text1" w:themeTint="A6"/>
          <w:sz w:val="24"/>
        </w:rPr>
        <w:t>ales</w:t>
      </w:r>
      <w:r w:rsidR="009759B0">
        <w:rPr>
          <w:rFonts w:ascii="Arial" w:hAnsi="Arial" w:cs="Arial"/>
          <w:color w:val="595959" w:themeColor="text1" w:themeTint="A6"/>
          <w:sz w:val="24"/>
        </w:rPr>
        <w:t xml:space="preserve"> Fresh Produce</w:t>
      </w:r>
    </w:p>
    <w:tbl>
      <w:tblPr>
        <w:tblStyle w:val="LightShading-Accent5"/>
        <w:tblpPr w:leftFromText="180" w:rightFromText="180" w:vertAnchor="text" w:horzAnchor="margin" w:tblpXSpec="right" w:tblpY="320"/>
        <w:tblOverlap w:val="never"/>
        <w:tblW w:w="5701" w:type="dxa"/>
        <w:tblBorders>
          <w:top w:val="none" w:sz="0" w:space="0" w:color="auto"/>
          <w:bottom w:val="none" w:sz="0" w:space="0" w:color="auto"/>
        </w:tblBorders>
        <w:tblLook w:val="04A0" w:firstRow="1" w:lastRow="0" w:firstColumn="1" w:lastColumn="0" w:noHBand="0" w:noVBand="1"/>
      </w:tblPr>
      <w:tblGrid>
        <w:gridCol w:w="1843"/>
        <w:gridCol w:w="1276"/>
        <w:gridCol w:w="1291"/>
        <w:gridCol w:w="1291"/>
      </w:tblGrid>
      <w:tr w:rsidR="00A225AD" w:rsidRPr="00DE633B" w14:paraId="7E10374E" w14:textId="77777777" w:rsidTr="00340AA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shd w:val="clear" w:color="auto" w:fill="17365D" w:themeFill="text2" w:themeFillShade="BF"/>
            <w:vAlign w:val="bottom"/>
          </w:tcPr>
          <w:p w14:paraId="2494CCB4" w14:textId="77777777" w:rsidR="00A225AD" w:rsidRPr="00DE633B" w:rsidRDefault="00A225AD" w:rsidP="00340AA9">
            <w:pPr>
              <w:rPr>
                <w:rFonts w:ascii="Arial" w:hAnsi="Arial" w:cs="Arial"/>
                <w:color w:val="FFFFFF" w:themeColor="background1"/>
                <w:sz w:val="18"/>
                <w:szCs w:val="20"/>
              </w:rPr>
            </w:pPr>
            <w:r>
              <w:rPr>
                <w:rFonts w:ascii="Arial" w:hAnsi="Arial" w:cs="Arial"/>
                <w:color w:val="FFFFFF" w:themeColor="background1"/>
                <w:sz w:val="18"/>
                <w:szCs w:val="20"/>
              </w:rPr>
              <w:t xml:space="preserve">Produce </w:t>
            </w:r>
            <w:r w:rsidRPr="00DE633B">
              <w:rPr>
                <w:rFonts w:ascii="Arial" w:hAnsi="Arial" w:cs="Arial"/>
                <w:color w:val="FFFFFF" w:themeColor="background1"/>
                <w:sz w:val="18"/>
                <w:szCs w:val="20"/>
              </w:rPr>
              <w:t>department</w:t>
            </w:r>
          </w:p>
        </w:tc>
        <w:tc>
          <w:tcPr>
            <w:tcW w:w="1276" w:type="dxa"/>
            <w:shd w:val="clear" w:color="auto" w:fill="17365D" w:themeFill="text2" w:themeFillShade="BF"/>
            <w:vAlign w:val="bottom"/>
          </w:tcPr>
          <w:p w14:paraId="7B7DD48D"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 xml:space="preserve">Dollar </w:t>
            </w:r>
            <w:r>
              <w:rPr>
                <w:rFonts w:ascii="Arial" w:hAnsi="Arial" w:cs="Arial"/>
                <w:color w:val="FFFFFF" w:themeColor="background1"/>
                <w:sz w:val="18"/>
                <w:szCs w:val="20"/>
              </w:rPr>
              <w:br/>
            </w:r>
            <w:r w:rsidRPr="00DE633B">
              <w:rPr>
                <w:rFonts w:ascii="Arial" w:hAnsi="Arial" w:cs="Arial"/>
                <w:color w:val="FFFFFF" w:themeColor="background1"/>
                <w:sz w:val="18"/>
                <w:szCs w:val="20"/>
              </w:rPr>
              <w:t>sales</w:t>
            </w:r>
          </w:p>
        </w:tc>
        <w:tc>
          <w:tcPr>
            <w:tcW w:w="1291" w:type="dxa"/>
            <w:shd w:val="clear" w:color="auto" w:fill="17365D" w:themeFill="text2" w:themeFillShade="BF"/>
          </w:tcPr>
          <w:p w14:paraId="25502A26"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 gains vs. 2020</w:t>
            </w:r>
          </w:p>
        </w:tc>
        <w:tc>
          <w:tcPr>
            <w:tcW w:w="1291" w:type="dxa"/>
            <w:shd w:val="clear" w:color="auto" w:fill="17365D" w:themeFill="text2" w:themeFillShade="BF"/>
            <w:vAlign w:val="bottom"/>
          </w:tcPr>
          <w:p w14:paraId="0F6DB046" w14:textId="77777777" w:rsidR="00A225AD" w:rsidRPr="00DE633B" w:rsidRDefault="00A225AD" w:rsidP="00340AA9">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DE633B">
              <w:rPr>
                <w:rFonts w:ascii="Arial" w:hAnsi="Arial" w:cs="Arial"/>
                <w:color w:val="FFFFFF" w:themeColor="background1"/>
                <w:sz w:val="18"/>
                <w:szCs w:val="20"/>
              </w:rPr>
              <w:t>Dollar gains</w:t>
            </w:r>
            <w:r>
              <w:rPr>
                <w:rFonts w:ascii="Arial" w:hAnsi="Arial" w:cs="Arial"/>
                <w:color w:val="FFFFFF" w:themeColor="background1"/>
                <w:sz w:val="18"/>
                <w:szCs w:val="20"/>
              </w:rPr>
              <w:t xml:space="preserve"> vs. 2019</w:t>
            </w:r>
          </w:p>
        </w:tc>
      </w:tr>
      <w:tr w:rsidR="00A225AD" w:rsidRPr="00361BCC" w14:paraId="42E14104" w14:textId="77777777" w:rsidTr="00340A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4F26AF49" w14:textId="77777777" w:rsidR="00A225AD" w:rsidRPr="00361BCC" w:rsidRDefault="00A74177" w:rsidP="00340AA9">
            <w:pPr>
              <w:pStyle w:val="NoSpacing"/>
              <w:rPr>
                <w:rFonts w:ascii="Arial" w:hAnsi="Arial" w:cs="Arial"/>
                <w:color w:val="215868" w:themeColor="accent5" w:themeShade="80"/>
                <w:sz w:val="18"/>
                <w:szCs w:val="18"/>
              </w:rPr>
            </w:pPr>
            <w:r>
              <w:rPr>
                <w:rFonts w:ascii="Arial" w:hAnsi="Arial" w:cs="Arial"/>
                <w:color w:val="215868" w:themeColor="accent5" w:themeShade="80"/>
                <w:sz w:val="18"/>
                <w:szCs w:val="18"/>
              </w:rPr>
              <w:t>Dece</w:t>
            </w:r>
            <w:r w:rsidR="00E614AD">
              <w:rPr>
                <w:rFonts w:ascii="Arial" w:hAnsi="Arial" w:cs="Arial"/>
                <w:color w:val="215868" w:themeColor="accent5" w:themeShade="80"/>
                <w:sz w:val="18"/>
                <w:szCs w:val="18"/>
              </w:rPr>
              <w:t>m</w:t>
            </w:r>
            <w:r w:rsidR="00A225AD">
              <w:rPr>
                <w:rFonts w:ascii="Arial" w:hAnsi="Arial" w:cs="Arial"/>
                <w:color w:val="215868" w:themeColor="accent5" w:themeShade="80"/>
                <w:sz w:val="18"/>
                <w:szCs w:val="18"/>
              </w:rPr>
              <w:t>ber</w:t>
            </w:r>
            <w:r w:rsidR="00A225AD" w:rsidRPr="00361BCC">
              <w:rPr>
                <w:rFonts w:ascii="Arial" w:hAnsi="Arial" w:cs="Arial"/>
                <w:color w:val="215868" w:themeColor="accent5" w:themeShade="80"/>
                <w:sz w:val="18"/>
                <w:szCs w:val="18"/>
              </w:rPr>
              <w:t xml:space="preserve"> 2021</w:t>
            </w:r>
          </w:p>
        </w:tc>
        <w:tc>
          <w:tcPr>
            <w:tcW w:w="1276" w:type="dxa"/>
            <w:vAlign w:val="center"/>
          </w:tcPr>
          <w:p w14:paraId="1A1F586A" w14:textId="4B32F6D9"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A84CAB">
              <w:rPr>
                <w:rFonts w:ascii="Arial" w:hAnsi="Arial" w:cs="Arial"/>
                <w:b/>
                <w:bCs/>
                <w:color w:val="215868" w:themeColor="accent5" w:themeShade="80"/>
                <w:sz w:val="18"/>
                <w:szCs w:val="20"/>
              </w:rPr>
              <w:t>5.191</w:t>
            </w:r>
            <w:r w:rsidRPr="00361BCC">
              <w:rPr>
                <w:rFonts w:ascii="Arial" w:hAnsi="Arial" w:cs="Arial"/>
                <w:b/>
                <w:bCs/>
                <w:color w:val="215868" w:themeColor="accent5" w:themeShade="80"/>
                <w:sz w:val="18"/>
                <w:szCs w:val="20"/>
              </w:rPr>
              <w:t>B</w:t>
            </w:r>
          </w:p>
        </w:tc>
        <w:tc>
          <w:tcPr>
            <w:tcW w:w="1291" w:type="dxa"/>
            <w:vAlign w:val="center"/>
          </w:tcPr>
          <w:p w14:paraId="3F8FACA1" w14:textId="1E719466" w:rsidR="00A225AD" w:rsidRPr="00361BCC"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w:t>
            </w:r>
            <w:r w:rsidR="00A84CAB">
              <w:rPr>
                <w:rFonts w:ascii="Arial" w:hAnsi="Arial" w:cs="Arial"/>
                <w:b/>
                <w:bCs/>
                <w:color w:val="215868" w:themeColor="accent5" w:themeShade="80"/>
                <w:sz w:val="18"/>
                <w:szCs w:val="20"/>
              </w:rPr>
              <w:t>6.5</w:t>
            </w:r>
            <w:r w:rsidR="00A225AD" w:rsidRPr="00361BCC">
              <w:rPr>
                <w:rFonts w:ascii="Arial" w:hAnsi="Arial" w:cs="Arial"/>
                <w:b/>
                <w:bCs/>
                <w:color w:val="215868" w:themeColor="accent5" w:themeShade="80"/>
                <w:sz w:val="18"/>
                <w:szCs w:val="20"/>
              </w:rPr>
              <w:t>%</w:t>
            </w:r>
          </w:p>
        </w:tc>
        <w:tc>
          <w:tcPr>
            <w:tcW w:w="1291" w:type="dxa"/>
            <w:vAlign w:val="center"/>
          </w:tcPr>
          <w:p w14:paraId="05DE7954" w14:textId="77B73785" w:rsidR="00A225AD" w:rsidRPr="00361BCC" w:rsidRDefault="00A225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sidRPr="00361BCC">
              <w:rPr>
                <w:rFonts w:ascii="Arial" w:hAnsi="Arial" w:cs="Arial"/>
                <w:b/>
                <w:bCs/>
                <w:color w:val="215868" w:themeColor="accent5" w:themeShade="80"/>
                <w:sz w:val="18"/>
                <w:szCs w:val="20"/>
              </w:rPr>
              <w:t>+</w:t>
            </w:r>
            <w:r w:rsidR="00A84CAB">
              <w:rPr>
                <w:rFonts w:ascii="Arial" w:hAnsi="Arial" w:cs="Arial"/>
                <w:b/>
                <w:bCs/>
                <w:color w:val="215868" w:themeColor="accent5" w:themeShade="80"/>
                <w:sz w:val="18"/>
                <w:szCs w:val="20"/>
              </w:rPr>
              <w:t>19.4</w:t>
            </w:r>
            <w:r w:rsidRPr="00361BCC">
              <w:rPr>
                <w:rFonts w:ascii="Arial" w:hAnsi="Arial" w:cs="Arial"/>
                <w:b/>
                <w:bCs/>
                <w:color w:val="215868" w:themeColor="accent5" w:themeShade="80"/>
                <w:sz w:val="18"/>
                <w:szCs w:val="20"/>
              </w:rPr>
              <w:t>%</w:t>
            </w:r>
          </w:p>
        </w:tc>
      </w:tr>
      <w:tr w:rsidR="00A225AD" w:rsidRPr="00E736B9" w14:paraId="2392DCA1" w14:textId="77777777" w:rsidTr="00340AA9">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6880474" w14:textId="77777777" w:rsidR="00A225AD" w:rsidRPr="00E736B9" w:rsidRDefault="00A74177" w:rsidP="00340AA9">
            <w:pPr>
              <w:pStyle w:val="NoSpacing"/>
              <w:rPr>
                <w:rFonts w:ascii="Arial" w:hAnsi="Arial" w:cs="Arial"/>
                <w:b w:val="0"/>
                <w:color w:val="215868" w:themeColor="accent5" w:themeShade="80"/>
                <w:sz w:val="18"/>
                <w:szCs w:val="18"/>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12/5</w:t>
            </w:r>
            <w:r w:rsidR="00A225AD" w:rsidRPr="00E736B9">
              <w:rPr>
                <w:rFonts w:ascii="Arial" w:hAnsi="Arial" w:cs="Arial"/>
                <w:b w:val="0"/>
                <w:color w:val="215868" w:themeColor="accent5" w:themeShade="80"/>
                <w:sz w:val="18"/>
                <w:szCs w:val="18"/>
              </w:rPr>
              <w:t>/2021</w:t>
            </w:r>
          </w:p>
        </w:tc>
        <w:tc>
          <w:tcPr>
            <w:tcW w:w="1276" w:type="dxa"/>
            <w:vAlign w:val="center"/>
          </w:tcPr>
          <w:p w14:paraId="3B1FB35A" w14:textId="21B1A094"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1.218</w:t>
            </w:r>
            <w:r w:rsidR="00A225AD">
              <w:rPr>
                <w:rFonts w:ascii="Arial" w:hAnsi="Arial" w:cs="Arial"/>
                <w:color w:val="215868" w:themeColor="accent5" w:themeShade="80"/>
                <w:sz w:val="18"/>
                <w:szCs w:val="20"/>
              </w:rPr>
              <w:t>B</w:t>
            </w:r>
          </w:p>
        </w:tc>
        <w:tc>
          <w:tcPr>
            <w:tcW w:w="1291" w:type="dxa"/>
            <w:vAlign w:val="center"/>
          </w:tcPr>
          <w:p w14:paraId="4A305C09" w14:textId="132CF5AC"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5.1</w:t>
            </w:r>
            <w:r w:rsidR="00A225AD">
              <w:rPr>
                <w:rFonts w:ascii="Arial" w:hAnsi="Arial" w:cs="Arial"/>
                <w:color w:val="215868" w:themeColor="accent5" w:themeShade="80"/>
                <w:sz w:val="18"/>
                <w:szCs w:val="20"/>
              </w:rPr>
              <w:t>%</w:t>
            </w:r>
          </w:p>
        </w:tc>
        <w:tc>
          <w:tcPr>
            <w:tcW w:w="1291" w:type="dxa"/>
            <w:vAlign w:val="center"/>
          </w:tcPr>
          <w:p w14:paraId="3C47A507" w14:textId="5ADB48C6"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19.7</w:t>
            </w:r>
            <w:r w:rsidR="00A225AD">
              <w:rPr>
                <w:rFonts w:ascii="Arial" w:hAnsi="Arial" w:cs="Arial"/>
                <w:color w:val="215868" w:themeColor="accent5" w:themeShade="80"/>
                <w:sz w:val="18"/>
                <w:szCs w:val="20"/>
              </w:rPr>
              <w:t>%</w:t>
            </w:r>
          </w:p>
        </w:tc>
      </w:tr>
      <w:tr w:rsidR="00A225AD" w:rsidRPr="00E736B9" w14:paraId="35115DED" w14:textId="77777777" w:rsidTr="00340A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5426D338" w14:textId="77777777" w:rsidR="00A225AD" w:rsidRPr="00E736B9" w:rsidRDefault="00A225AD" w:rsidP="00A74177">
            <w:pPr>
              <w:rPr>
                <w:color w:val="215868" w:themeColor="accent5" w:themeShade="80"/>
              </w:rPr>
            </w:pPr>
            <w:proofErr w:type="spellStart"/>
            <w:r w:rsidRPr="00E736B9">
              <w:rPr>
                <w:rFonts w:ascii="Arial" w:hAnsi="Arial" w:cs="Arial"/>
                <w:b w:val="0"/>
                <w:color w:val="215868" w:themeColor="accent5" w:themeShade="80"/>
                <w:sz w:val="18"/>
                <w:szCs w:val="18"/>
              </w:rPr>
              <w:t>w.e</w:t>
            </w:r>
            <w:proofErr w:type="spellEnd"/>
            <w:r w:rsidRPr="00E736B9">
              <w:rPr>
                <w:rFonts w:ascii="Arial" w:hAnsi="Arial" w:cs="Arial"/>
                <w:b w:val="0"/>
                <w:color w:val="215868" w:themeColor="accent5" w:themeShade="80"/>
                <w:sz w:val="18"/>
                <w:szCs w:val="18"/>
              </w:rPr>
              <w:t xml:space="preserve">. </w:t>
            </w:r>
            <w:r w:rsidR="00A74177">
              <w:rPr>
                <w:rFonts w:ascii="Arial" w:hAnsi="Arial" w:cs="Arial"/>
                <w:b w:val="0"/>
                <w:color w:val="215868" w:themeColor="accent5" w:themeShade="80"/>
                <w:sz w:val="18"/>
                <w:szCs w:val="18"/>
              </w:rPr>
              <w:t>12/12</w:t>
            </w:r>
            <w:r w:rsidRPr="00E736B9">
              <w:rPr>
                <w:rFonts w:ascii="Arial" w:hAnsi="Arial" w:cs="Arial"/>
                <w:b w:val="0"/>
                <w:color w:val="215868" w:themeColor="accent5" w:themeShade="80"/>
                <w:sz w:val="18"/>
                <w:szCs w:val="18"/>
              </w:rPr>
              <w:t>/2021</w:t>
            </w:r>
          </w:p>
        </w:tc>
        <w:tc>
          <w:tcPr>
            <w:tcW w:w="1276" w:type="dxa"/>
            <w:vAlign w:val="center"/>
          </w:tcPr>
          <w:p w14:paraId="7081F72A" w14:textId="30EE490C" w:rsidR="00A225AD" w:rsidRPr="00E736B9" w:rsidRDefault="00E614AD"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1.247</w:t>
            </w:r>
            <w:r w:rsidR="00A225AD">
              <w:rPr>
                <w:rFonts w:ascii="Arial" w:hAnsi="Arial" w:cs="Arial"/>
                <w:color w:val="215868" w:themeColor="accent5" w:themeShade="80"/>
                <w:sz w:val="18"/>
                <w:szCs w:val="20"/>
              </w:rPr>
              <w:t>B</w:t>
            </w:r>
          </w:p>
        </w:tc>
        <w:tc>
          <w:tcPr>
            <w:tcW w:w="1291" w:type="dxa"/>
            <w:vAlign w:val="center"/>
          </w:tcPr>
          <w:p w14:paraId="44F3EEB5" w14:textId="6EE46EFB"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5.1</w:t>
            </w:r>
            <w:r w:rsidR="00A225AD">
              <w:rPr>
                <w:rFonts w:ascii="Arial" w:hAnsi="Arial" w:cs="Arial"/>
                <w:color w:val="215868" w:themeColor="accent5" w:themeShade="80"/>
                <w:sz w:val="18"/>
                <w:szCs w:val="20"/>
              </w:rPr>
              <w:t>%</w:t>
            </w:r>
          </w:p>
        </w:tc>
        <w:tc>
          <w:tcPr>
            <w:tcW w:w="1291" w:type="dxa"/>
            <w:vAlign w:val="center"/>
          </w:tcPr>
          <w:p w14:paraId="5D1977AF" w14:textId="21A8DA50"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20.3</w:t>
            </w:r>
            <w:r w:rsidR="00A225AD">
              <w:rPr>
                <w:rFonts w:ascii="Arial" w:hAnsi="Arial" w:cs="Arial"/>
                <w:color w:val="215868" w:themeColor="accent5" w:themeShade="80"/>
                <w:sz w:val="18"/>
                <w:szCs w:val="20"/>
              </w:rPr>
              <w:t>%</w:t>
            </w:r>
          </w:p>
        </w:tc>
      </w:tr>
      <w:tr w:rsidR="00A225AD" w:rsidRPr="00E736B9" w14:paraId="74B37EC5" w14:textId="77777777" w:rsidTr="00340AA9">
        <w:trPr>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764D0F68" w14:textId="77777777" w:rsidR="00A225AD" w:rsidRPr="00E736B9" w:rsidRDefault="00A74177" w:rsidP="00E614AD">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12/19</w:t>
            </w:r>
            <w:r w:rsidR="00A225AD" w:rsidRPr="00E736B9">
              <w:rPr>
                <w:rFonts w:ascii="Arial" w:hAnsi="Arial" w:cs="Arial"/>
                <w:b w:val="0"/>
                <w:color w:val="215868" w:themeColor="accent5" w:themeShade="80"/>
                <w:sz w:val="18"/>
                <w:szCs w:val="18"/>
              </w:rPr>
              <w:t>/2021</w:t>
            </w:r>
          </w:p>
        </w:tc>
        <w:tc>
          <w:tcPr>
            <w:tcW w:w="1276" w:type="dxa"/>
            <w:vAlign w:val="center"/>
          </w:tcPr>
          <w:p w14:paraId="0554FF79" w14:textId="4ABD88D8"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1.276</w:t>
            </w:r>
            <w:r w:rsidR="00A225AD">
              <w:rPr>
                <w:rFonts w:ascii="Arial" w:hAnsi="Arial" w:cs="Arial"/>
                <w:color w:val="215868" w:themeColor="accent5" w:themeShade="80"/>
                <w:sz w:val="18"/>
                <w:szCs w:val="20"/>
              </w:rPr>
              <w:t>B</w:t>
            </w:r>
          </w:p>
        </w:tc>
        <w:tc>
          <w:tcPr>
            <w:tcW w:w="1291" w:type="dxa"/>
            <w:vAlign w:val="center"/>
          </w:tcPr>
          <w:p w14:paraId="28D96DA5" w14:textId="0FB02C32"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2.6</w:t>
            </w:r>
            <w:r w:rsidR="00A225AD">
              <w:rPr>
                <w:rFonts w:ascii="Arial" w:hAnsi="Arial" w:cs="Arial"/>
                <w:color w:val="215868" w:themeColor="accent5" w:themeShade="80"/>
                <w:sz w:val="18"/>
                <w:szCs w:val="20"/>
              </w:rPr>
              <w:t>%</w:t>
            </w:r>
          </w:p>
        </w:tc>
        <w:tc>
          <w:tcPr>
            <w:tcW w:w="1291" w:type="dxa"/>
            <w:vAlign w:val="center"/>
          </w:tcPr>
          <w:p w14:paraId="38501E9F" w14:textId="44C16A47" w:rsidR="00A225AD" w:rsidRPr="00E736B9" w:rsidRDefault="00BA7456" w:rsidP="00340AA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8.2</w:t>
            </w:r>
            <w:r w:rsidR="00A225AD">
              <w:rPr>
                <w:rFonts w:ascii="Arial" w:hAnsi="Arial" w:cs="Arial"/>
                <w:color w:val="215868" w:themeColor="accent5" w:themeShade="80"/>
                <w:sz w:val="18"/>
                <w:szCs w:val="20"/>
              </w:rPr>
              <w:t>%</w:t>
            </w:r>
          </w:p>
        </w:tc>
      </w:tr>
      <w:tr w:rsidR="00A225AD" w:rsidRPr="00E736B9" w14:paraId="15A5CA54" w14:textId="77777777" w:rsidTr="00340A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43" w:type="dxa"/>
            <w:vAlign w:val="center"/>
          </w:tcPr>
          <w:p w14:paraId="25133092" w14:textId="77777777" w:rsidR="00A225AD" w:rsidRPr="00E736B9" w:rsidRDefault="00A74177" w:rsidP="00340AA9">
            <w:pPr>
              <w:rPr>
                <w:color w:val="215868" w:themeColor="accent5" w:themeShade="80"/>
              </w:rPr>
            </w:pPr>
            <w:proofErr w:type="spellStart"/>
            <w:r>
              <w:rPr>
                <w:rFonts w:ascii="Arial" w:hAnsi="Arial" w:cs="Arial"/>
                <w:b w:val="0"/>
                <w:color w:val="215868" w:themeColor="accent5" w:themeShade="80"/>
                <w:sz w:val="18"/>
                <w:szCs w:val="18"/>
              </w:rPr>
              <w:t>w.e</w:t>
            </w:r>
            <w:proofErr w:type="spellEnd"/>
            <w:r>
              <w:rPr>
                <w:rFonts w:ascii="Arial" w:hAnsi="Arial" w:cs="Arial"/>
                <w:b w:val="0"/>
                <w:color w:val="215868" w:themeColor="accent5" w:themeShade="80"/>
                <w:sz w:val="18"/>
                <w:szCs w:val="18"/>
              </w:rPr>
              <w:t>. 12/26</w:t>
            </w:r>
            <w:r w:rsidR="00A225AD" w:rsidRPr="00E736B9">
              <w:rPr>
                <w:rFonts w:ascii="Arial" w:hAnsi="Arial" w:cs="Arial"/>
                <w:b w:val="0"/>
                <w:color w:val="215868" w:themeColor="accent5" w:themeShade="80"/>
                <w:sz w:val="18"/>
                <w:szCs w:val="18"/>
              </w:rPr>
              <w:t>/2021</w:t>
            </w:r>
          </w:p>
        </w:tc>
        <w:tc>
          <w:tcPr>
            <w:tcW w:w="1276" w:type="dxa"/>
            <w:vAlign w:val="center"/>
          </w:tcPr>
          <w:p w14:paraId="6C3B252E" w14:textId="1253006D"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1.449</w:t>
            </w:r>
            <w:r w:rsidR="00A225AD">
              <w:rPr>
                <w:rFonts w:ascii="Arial" w:hAnsi="Arial" w:cs="Arial"/>
                <w:color w:val="215868" w:themeColor="accent5" w:themeShade="80"/>
                <w:sz w:val="18"/>
                <w:szCs w:val="20"/>
              </w:rPr>
              <w:t>B</w:t>
            </w:r>
          </w:p>
        </w:tc>
        <w:tc>
          <w:tcPr>
            <w:tcW w:w="1291" w:type="dxa"/>
            <w:vAlign w:val="center"/>
          </w:tcPr>
          <w:p w14:paraId="340E553D" w14:textId="226D5A50"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13.0</w:t>
            </w:r>
            <w:r w:rsidR="00A225AD">
              <w:rPr>
                <w:rFonts w:ascii="Arial" w:hAnsi="Arial" w:cs="Arial"/>
                <w:color w:val="215868" w:themeColor="accent5" w:themeShade="80"/>
                <w:sz w:val="18"/>
                <w:szCs w:val="20"/>
              </w:rPr>
              <w:t>%</w:t>
            </w:r>
          </w:p>
        </w:tc>
        <w:tc>
          <w:tcPr>
            <w:tcW w:w="1291" w:type="dxa"/>
            <w:vAlign w:val="center"/>
          </w:tcPr>
          <w:p w14:paraId="24E8E4FF" w14:textId="740E9FA9" w:rsidR="00A225AD" w:rsidRPr="00E736B9" w:rsidRDefault="00BA7456" w:rsidP="00340AA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w:t>
            </w:r>
            <w:r w:rsidR="00A84CAB">
              <w:rPr>
                <w:rFonts w:ascii="Arial" w:hAnsi="Arial" w:cs="Arial"/>
                <w:color w:val="215868" w:themeColor="accent5" w:themeShade="80"/>
                <w:sz w:val="18"/>
                <w:szCs w:val="20"/>
              </w:rPr>
              <w:t>29.9</w:t>
            </w:r>
            <w:r w:rsidR="00A225AD">
              <w:rPr>
                <w:rFonts w:ascii="Arial" w:hAnsi="Arial" w:cs="Arial"/>
                <w:color w:val="215868" w:themeColor="accent5" w:themeShade="80"/>
                <w:sz w:val="18"/>
                <w:szCs w:val="20"/>
              </w:rPr>
              <w:t>%</w:t>
            </w:r>
          </w:p>
        </w:tc>
      </w:tr>
    </w:tbl>
    <w:p w14:paraId="3ECAF24D" w14:textId="0F59FE0B" w:rsidR="0047723D" w:rsidRDefault="0047723D" w:rsidP="00A225AD">
      <w:pPr>
        <w:spacing w:after="0" w:line="240" w:lineRule="auto"/>
        <w:rPr>
          <w:rFonts w:ascii="Arial" w:hAnsi="Arial" w:cs="Arial"/>
          <w:sz w:val="20"/>
          <w:szCs w:val="20"/>
        </w:rPr>
      </w:pPr>
      <w:r>
        <w:rPr>
          <w:rFonts w:ascii="Arial" w:hAnsi="Arial" w:cs="Arial"/>
          <w:sz w:val="20"/>
          <w:szCs w:val="20"/>
        </w:rPr>
        <w:t xml:space="preserve">The four December weeks generated a minimum of $1.2 billion, with the holiday week being the biggest with sales of nearly $1.5 billion. The week ending December 26 likely included purchases for the Christmas holiday as well as New Year’s festivities, boosting sales 13% above year ago levels and an astounding 29.9% over 2019. </w:t>
      </w:r>
    </w:p>
    <w:p w14:paraId="42BEAA98" w14:textId="77777777" w:rsidR="0047723D" w:rsidRDefault="0047723D" w:rsidP="00A225AD">
      <w:pPr>
        <w:spacing w:after="0" w:line="240" w:lineRule="auto"/>
        <w:rPr>
          <w:rFonts w:ascii="Arial" w:hAnsi="Arial" w:cs="Arial"/>
          <w:sz w:val="20"/>
          <w:szCs w:val="20"/>
        </w:rPr>
      </w:pPr>
    </w:p>
    <w:p w14:paraId="666EAB37" w14:textId="312E0B9F" w:rsidR="0068309E" w:rsidRDefault="006050A3" w:rsidP="00151CCC">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140E581E" wp14:editId="4E29B5BE">
                <wp:simplePos x="0" y="0"/>
                <wp:positionH relativeFrom="column">
                  <wp:posOffset>3203575</wp:posOffset>
                </wp:positionH>
                <wp:positionV relativeFrom="paragraph">
                  <wp:posOffset>368300</wp:posOffset>
                </wp:positionV>
                <wp:extent cx="3547745" cy="20066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00660"/>
                        </a:xfrm>
                        <a:prstGeom prst="rect">
                          <a:avLst/>
                        </a:prstGeom>
                        <a:solidFill>
                          <a:srgbClr val="FFFFFF"/>
                        </a:solidFill>
                        <a:ln>
                          <a:noFill/>
                        </a:ln>
                      </wps:spPr>
                      <wps:txbx>
                        <w:txbxContent>
                          <w:p w14:paraId="42249A87" w14:textId="37D62E99" w:rsidR="001F29DC" w:rsidRDefault="001F29DC" w:rsidP="0053257C">
                            <w:pPr>
                              <w:pStyle w:val="NoSpacing"/>
                            </w:pPr>
                            <w:r>
                              <w:rPr>
                                <w:rFonts w:ascii="Arial" w:hAnsi="Arial" w:cs="Arial"/>
                                <w:sz w:val="16"/>
                                <w:szCs w:val="16"/>
                              </w:rPr>
                              <w:t>Source: IRI, Integrated Fresh, Total US, MULO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E581E" id="_x0000_t202" coordsize="21600,21600" o:spt="202" path="m,l,21600r21600,l21600,xe">
                <v:stroke joinstyle="miter"/>
                <v:path gradientshapeok="t" o:connecttype="rect"/>
              </v:shapetype>
              <v:shape id="Text Box 2" o:spid="_x0000_s1026" type="#_x0000_t202" style="position:absolute;margin-left:252.25pt;margin-top:29pt;width:279.35pt;height:1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vF8gEAAMoDAAAOAAAAZHJzL2Uyb0RvYy54bWysU9uO0zAQfUfiHyy/07Ql3ULUdLV0VYS0&#10;XKSFD3AcJ7FwPGbsNilfz9jpdqvlDZEHy+Oxz8w5c7K5HXvDjgq9BlvyxWzOmbISam3bkv/4vn/z&#10;jjMfhK2FAatKflKe325fv9oMrlBL6MDUChmBWF8MruRdCK7IMi871Qs/A6csJRvAXgQKsc1qFAOh&#10;9yZbzuc32QBYOwSpvKfT+ynJtwm/aZQMX5vGq8BMyam3kFZMaxXXbLsRRYvCdVqe2xD/0EUvtKWi&#10;F6h7EQQ7oP4LqtcSwUMTZhL6DJpGS5U4EJvF/AWbx044lbiQON5dZPL/D1Z+OT66b8jC+AFGGmAi&#10;4d0DyJ+eWdh1wrbqDhGGTomaCi+iZNngfHF+GqX2hY8g1fAZahqyOARIQGODfVSFeDJCpwGcLqKr&#10;MTBJh29X+XqdrziTlIsjvUlTyUTx9NqhDx8V9CxuSo401IQujg8+xG5E8XQlFvNgdL3XxqQA22pn&#10;kB0FGWCfvkTgxTVj42UL8dmEGE8Szchs4hjGaqRkpFtBfSLCCJOh6AegTQf4m7OBzFRy/+sgUHFm&#10;PlkS7f0iz6P7UpCv1ksK8DpTXWeElQRV8sDZtN2FybEHh7rtqNI0Jgt3JHSjkwbPXZ37JsMkac7m&#10;jo68jtOt519w+wcAAP//AwBQSwMEFAAGAAgAAAAhAIZi6t3eAAAACgEAAA8AAABkcnMvZG93bnJl&#10;di54bWxMj8FOwzAMhu9IvENkJC6IJYy160rTCZBAXDf2AG7jtRWNUzXZ2r092Qlutvzp9/cX29n2&#10;4kyj7xxreFooEMS1Mx03Gg7fH48ZCB+QDfaOScOFPGzL25sCc+Mm3tF5HxoRQ9jnqKENYcil9HVL&#10;Fv3CDcTxdnSjxRDXsZFmxCmG214ulUqlxY7jhxYHem+p/tmfrIbj1/SQbKbqMxzWu1X6ht26chet&#10;7+/m1xcQgebwB8NVP6pDGZ0qd2LjRa8hUaskonHIYqcroNLnJYhKQ7ZJQZaF/F+h/AUAAP//AwBQ&#10;SwECLQAUAAYACAAAACEAtoM4kv4AAADhAQAAEwAAAAAAAAAAAAAAAAAAAAAAW0NvbnRlbnRfVHlw&#10;ZXNdLnhtbFBLAQItABQABgAIAAAAIQA4/SH/1gAAAJQBAAALAAAAAAAAAAAAAAAAAC8BAABfcmVs&#10;cy8ucmVsc1BLAQItABQABgAIAAAAIQA0favF8gEAAMoDAAAOAAAAAAAAAAAAAAAAAC4CAABkcnMv&#10;ZTJvRG9jLnhtbFBLAQItABQABgAIAAAAIQCGYurd3gAAAAoBAAAPAAAAAAAAAAAAAAAAAEwEAABk&#10;cnMvZG93bnJldi54bWxQSwUGAAAAAAQABADzAAAAVwUAAAAA&#10;" stroked="f">
                <v:textbox>
                  <w:txbxContent>
                    <w:p w14:paraId="42249A87" w14:textId="37D62E99" w:rsidR="001F29DC" w:rsidRDefault="001F29DC" w:rsidP="0053257C">
                      <w:pPr>
                        <w:pStyle w:val="NoSpacing"/>
                      </w:pPr>
                      <w:r>
                        <w:rPr>
                          <w:rFonts w:ascii="Arial" w:hAnsi="Arial" w:cs="Arial"/>
                          <w:sz w:val="16"/>
                          <w:szCs w:val="16"/>
                        </w:rPr>
                        <w:t>Source: IRI, Integrated Fresh, Total US, MULO</w:t>
                      </w:r>
                    </w:p>
                  </w:txbxContent>
                </v:textbox>
                <w10:wrap type="square"/>
              </v:shape>
            </w:pict>
          </mc:Fallback>
        </mc:AlternateContent>
      </w:r>
      <w:r w:rsidR="005C201D">
        <w:rPr>
          <w:rFonts w:ascii="Arial" w:hAnsi="Arial" w:cs="Arial"/>
          <w:sz w:val="20"/>
          <w:szCs w:val="20"/>
        </w:rPr>
        <w:t>“</w:t>
      </w:r>
      <w:r w:rsidR="0047723D">
        <w:rPr>
          <w:rFonts w:ascii="Arial" w:hAnsi="Arial" w:cs="Arial"/>
          <w:sz w:val="20"/>
          <w:szCs w:val="20"/>
        </w:rPr>
        <w:t xml:space="preserve">Our surveys indicated that the winter holiday celebrations would be home-centric </w:t>
      </w:r>
      <w:r w:rsidR="002C2F4F">
        <w:rPr>
          <w:rFonts w:ascii="Arial" w:hAnsi="Arial" w:cs="Arial"/>
          <w:sz w:val="20"/>
          <w:szCs w:val="20"/>
        </w:rPr>
        <w:t>but with larger party sizes</w:t>
      </w:r>
      <w:r w:rsidR="005C201D">
        <w:rPr>
          <w:rFonts w:ascii="Arial" w:hAnsi="Arial" w:cs="Arial"/>
          <w:sz w:val="20"/>
          <w:szCs w:val="20"/>
        </w:rPr>
        <w:t>,” said</w:t>
      </w:r>
      <w:r w:rsidR="0047723D">
        <w:rPr>
          <w:rFonts w:ascii="Arial" w:hAnsi="Arial" w:cs="Arial"/>
          <w:sz w:val="20"/>
          <w:szCs w:val="20"/>
        </w:rPr>
        <w:t xml:space="preserve"> Parker</w:t>
      </w:r>
      <w:r w:rsidR="000A543A">
        <w:rPr>
          <w:rFonts w:ascii="Arial" w:hAnsi="Arial" w:cs="Arial"/>
          <w:sz w:val="20"/>
          <w:szCs w:val="20"/>
        </w:rPr>
        <w:t>. “</w:t>
      </w:r>
      <w:r w:rsidR="002C2F4F">
        <w:rPr>
          <w:rFonts w:ascii="Arial" w:hAnsi="Arial" w:cs="Arial"/>
          <w:sz w:val="20"/>
          <w:szCs w:val="20"/>
        </w:rPr>
        <w:t>And that is exactly what we saw playing out in produce and other departments. The holiday week sales were extremely strong and that</w:t>
      </w:r>
      <w:r w:rsidR="002C2F4F">
        <w:rPr>
          <w:rFonts w:ascii="Arial" w:hAnsi="Arial" w:cs="Arial"/>
          <w:sz w:val="20"/>
          <w:szCs w:val="20"/>
        </w:rPr>
        <w:br/>
        <w:t>is an important finding for the early 2022 holidays. I am thinking ahead to Valentine’s Day, for instance, a holiday where retail typically loses out to foodservice. In working with other fresh departments, produce has a great opportunity to shine with easy</w:t>
      </w:r>
      <w:r w:rsidR="009C5544">
        <w:rPr>
          <w:rFonts w:ascii="Arial" w:hAnsi="Arial" w:cs="Arial"/>
          <w:sz w:val="20"/>
          <w:szCs w:val="20"/>
        </w:rPr>
        <w:t xml:space="preserve">, restaurant equivalent </w:t>
      </w:r>
      <w:r w:rsidR="002C2F4F">
        <w:rPr>
          <w:rFonts w:ascii="Arial" w:hAnsi="Arial" w:cs="Arial"/>
          <w:sz w:val="20"/>
          <w:szCs w:val="20"/>
        </w:rPr>
        <w:t>meal solutions</w:t>
      </w:r>
      <w:r w:rsidR="007D58E6">
        <w:rPr>
          <w:rFonts w:ascii="Arial" w:hAnsi="Arial" w:cs="Arial"/>
          <w:sz w:val="20"/>
          <w:szCs w:val="20"/>
        </w:rPr>
        <w:t>.</w:t>
      </w:r>
      <w:r w:rsidR="00BA7456">
        <w:rPr>
          <w:rFonts w:ascii="Arial" w:hAnsi="Arial" w:cs="Arial"/>
          <w:sz w:val="20"/>
          <w:szCs w:val="20"/>
        </w:rPr>
        <w:t>”</w:t>
      </w:r>
      <w:r w:rsidR="0068309E">
        <w:rPr>
          <w:rFonts w:ascii="Arial" w:hAnsi="Arial" w:cs="Arial"/>
          <w:sz w:val="20"/>
          <w:szCs w:val="20"/>
        </w:rPr>
        <w:br/>
      </w:r>
      <w:r w:rsidR="0068309E">
        <w:rPr>
          <w:rFonts w:ascii="Arial" w:hAnsi="Arial" w:cs="Arial"/>
          <w:sz w:val="20"/>
          <w:szCs w:val="20"/>
        </w:rPr>
        <w:br/>
      </w:r>
      <w:r w:rsidR="00D2690A">
        <w:rPr>
          <w:rFonts w:ascii="Arial" w:hAnsi="Arial" w:cs="Arial"/>
          <w:sz w:val="20"/>
          <w:szCs w:val="20"/>
        </w:rPr>
        <w:t xml:space="preserve">Rolling up the October through December results sees fourth quarter vegetable sales back in positive year-on-year growth territory for the first time since the first quarter. Vegetables had the stronger performance in 2020 and thus the harder path to growth. The comparison to 2019 shows very stable gains for both fruits and vegetables ever since the start of the pandemic. </w:t>
      </w:r>
    </w:p>
    <w:p w14:paraId="3EAB5085" w14:textId="26B15463" w:rsidR="009759B0" w:rsidRDefault="00D2690A" w:rsidP="00151CCC">
      <w:pPr>
        <w:pStyle w:val="NoSpacing"/>
        <w:rPr>
          <w:rFonts w:ascii="Arial" w:hAnsi="Arial" w:cs="Arial"/>
          <w:sz w:val="20"/>
          <w:szCs w:val="20"/>
        </w:rPr>
      </w:pPr>
      <w:r>
        <w:rPr>
          <w:noProof/>
        </w:rPr>
        <w:drawing>
          <wp:inline distT="0" distB="0" distL="0" distR="0" wp14:anchorId="7BFF189A" wp14:editId="3760829D">
            <wp:extent cx="6750685" cy="2790908"/>
            <wp:effectExtent l="0" t="0" r="0" b="0"/>
            <wp:docPr id="3" name="Chart 3">
              <a:extLst xmlns:a="http://schemas.openxmlformats.org/drawingml/2006/main">
                <a:ext uri="{FF2B5EF4-FFF2-40B4-BE49-F238E27FC236}">
                  <a16:creationId xmlns:a16="http://schemas.microsoft.com/office/drawing/2014/main"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3CDB9A" w14:textId="3059ECCE" w:rsidR="0068309E" w:rsidRDefault="0068309E" w:rsidP="0068309E">
      <w:pPr>
        <w:pStyle w:val="NoSpacing"/>
        <w:rPr>
          <w:rFonts w:ascii="Arial" w:hAnsi="Arial" w:cs="Arial"/>
          <w:sz w:val="16"/>
          <w:szCs w:val="16"/>
        </w:rPr>
      </w:pPr>
      <w:r w:rsidRPr="00B35CE9">
        <w:rPr>
          <w:rFonts w:ascii="Arial" w:hAnsi="Arial" w:cs="Arial"/>
          <w:sz w:val="16"/>
          <w:szCs w:val="16"/>
        </w:rPr>
        <w:t>Source</w:t>
      </w:r>
      <w:r>
        <w:rPr>
          <w:rFonts w:ascii="Arial" w:hAnsi="Arial" w:cs="Arial"/>
          <w:sz w:val="16"/>
          <w:szCs w:val="16"/>
        </w:rPr>
        <w:t>: IRI Integrated Fresh, Total U.S., MULO</w:t>
      </w:r>
    </w:p>
    <w:p w14:paraId="32C18241" w14:textId="77777777" w:rsidR="0068309E" w:rsidRDefault="0068309E" w:rsidP="00151CCC">
      <w:pPr>
        <w:pStyle w:val="NoSpacing"/>
        <w:rPr>
          <w:rFonts w:ascii="Arial" w:hAnsi="Arial" w:cs="Arial"/>
          <w:sz w:val="20"/>
          <w:szCs w:val="20"/>
        </w:rPr>
      </w:pPr>
    </w:p>
    <w:p w14:paraId="44AED340" w14:textId="77777777" w:rsidR="000A543A" w:rsidRDefault="000A543A" w:rsidP="00160D1A">
      <w:pPr>
        <w:pStyle w:val="NoSpacing"/>
        <w:rPr>
          <w:rFonts w:ascii="Arial" w:hAnsi="Arial" w:cs="Arial"/>
          <w:b/>
          <w:color w:val="595959" w:themeColor="text1" w:themeTint="A6"/>
          <w:sz w:val="24"/>
          <w:szCs w:val="24"/>
        </w:rPr>
      </w:pPr>
    </w:p>
    <w:p w14:paraId="01EB1DB6" w14:textId="77777777" w:rsidR="00C573F6" w:rsidRPr="00507D74" w:rsidRDefault="00043B43" w:rsidP="00160D1A">
      <w:pPr>
        <w:pStyle w:val="NoSpacing"/>
        <w:rPr>
          <w:rFonts w:ascii="Arial" w:hAnsi="Arial" w:cs="Arial"/>
          <w:b/>
          <w:color w:val="595959" w:themeColor="text1" w:themeTint="A6"/>
          <w:sz w:val="24"/>
          <w:szCs w:val="24"/>
        </w:rPr>
      </w:pPr>
      <w:r w:rsidRPr="00507D74">
        <w:rPr>
          <w:rFonts w:ascii="Arial" w:hAnsi="Arial" w:cs="Arial"/>
          <w:b/>
          <w:color w:val="595959" w:themeColor="text1" w:themeTint="A6"/>
          <w:sz w:val="24"/>
          <w:szCs w:val="24"/>
        </w:rPr>
        <w:t>Fresh Share</w:t>
      </w:r>
      <w:r w:rsidR="00EB33CE">
        <w:rPr>
          <w:rFonts w:ascii="Arial" w:hAnsi="Arial" w:cs="Arial"/>
          <w:b/>
          <w:color w:val="595959" w:themeColor="text1" w:themeTint="A6"/>
          <w:sz w:val="24"/>
          <w:szCs w:val="24"/>
        </w:rPr>
        <w:t xml:space="preserve"> </w:t>
      </w:r>
    </w:p>
    <w:p w14:paraId="62209239" w14:textId="1CD89265" w:rsidR="00AC0CDA" w:rsidRDefault="00AC0CDA" w:rsidP="00AC0CDA">
      <w:pPr>
        <w:pStyle w:val="NoSpacing"/>
        <w:rPr>
          <w:rFonts w:ascii="Arial" w:hAnsi="Arial" w:cs="Arial"/>
          <w:sz w:val="20"/>
          <w:szCs w:val="20"/>
        </w:rPr>
      </w:pPr>
      <w:r>
        <w:rPr>
          <w:rFonts w:ascii="Arial" w:hAnsi="Arial" w:cs="Arial"/>
          <w:sz w:val="20"/>
          <w:szCs w:val="20"/>
        </w:rPr>
        <w:t>Despite above-average inflation for fresh produce, its share of dollars fell in December.</w:t>
      </w:r>
      <w:r w:rsidR="00770809">
        <w:rPr>
          <w:rFonts w:ascii="Arial" w:hAnsi="Arial" w:cs="Arial"/>
          <w:sz w:val="20"/>
          <w:szCs w:val="20"/>
        </w:rPr>
        <w:t xml:space="preserve"> Shelf-stable fruits, in </w:t>
      </w:r>
      <w:proofErr w:type="gramStart"/>
      <w:r w:rsidR="001F29DC">
        <w:rPr>
          <w:rFonts w:ascii="Arial" w:hAnsi="Arial" w:cs="Arial"/>
          <w:sz w:val="20"/>
          <w:szCs w:val="20"/>
        </w:rPr>
        <w:t xml:space="preserve">particular </w:t>
      </w:r>
      <w:r w:rsidR="00770809">
        <w:rPr>
          <w:rFonts w:ascii="Arial" w:hAnsi="Arial" w:cs="Arial"/>
          <w:sz w:val="20"/>
          <w:szCs w:val="20"/>
        </w:rPr>
        <w:t xml:space="preserve"> had</w:t>
      </w:r>
      <w:proofErr w:type="gramEnd"/>
      <w:r w:rsidR="00770809">
        <w:rPr>
          <w:rFonts w:ascii="Arial" w:hAnsi="Arial" w:cs="Arial"/>
          <w:sz w:val="20"/>
          <w:szCs w:val="20"/>
        </w:rPr>
        <w:t xml:space="preserve"> a very strong December with sales gains of 9.4% year-on-year, hand-in-hand with unit and volume gains. </w:t>
      </w:r>
      <w:r w:rsidR="00334F5C">
        <w:rPr>
          <w:rFonts w:ascii="Arial" w:hAnsi="Arial" w:cs="Arial"/>
          <w:sz w:val="20"/>
          <w:szCs w:val="20"/>
        </w:rPr>
        <w:t xml:space="preserve">Both frozen and shelf-stable are heavily impacted by supply chain disruptions and assortment as well as inventory levels have been down significantly over recent months. </w:t>
      </w:r>
    </w:p>
    <w:p w14:paraId="7B9115C5" w14:textId="77777777" w:rsidR="00770809" w:rsidRPr="00B265F0" w:rsidRDefault="00770809" w:rsidP="00770809">
      <w:pPr>
        <w:pStyle w:val="NoSpacing"/>
        <w:rPr>
          <w:rFonts w:ascii="Arial" w:hAnsi="Arial" w:cs="Arial"/>
          <w:sz w:val="16"/>
          <w:szCs w:val="16"/>
        </w:rPr>
      </w:pPr>
    </w:p>
    <w:tbl>
      <w:tblPr>
        <w:tblStyle w:val="LightShading-Accent5"/>
        <w:tblW w:w="10847" w:type="dxa"/>
        <w:tblBorders>
          <w:top w:val="none" w:sz="0" w:space="0" w:color="auto"/>
          <w:bottom w:val="none" w:sz="0" w:space="0" w:color="auto"/>
        </w:tblBorders>
        <w:tblLook w:val="04A0" w:firstRow="1" w:lastRow="0" w:firstColumn="1" w:lastColumn="0" w:noHBand="0" w:noVBand="1"/>
      </w:tblPr>
      <w:tblGrid>
        <w:gridCol w:w="4312"/>
        <w:gridCol w:w="1279"/>
        <w:gridCol w:w="1339"/>
        <w:gridCol w:w="1417"/>
        <w:gridCol w:w="1250"/>
        <w:gridCol w:w="1250"/>
      </w:tblGrid>
      <w:tr w:rsidR="00770809" w:rsidRPr="00B265F0" w14:paraId="7AB6A65F" w14:textId="77777777" w:rsidTr="0045675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12"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07FD3276" w14:textId="77777777" w:rsidR="00770809" w:rsidRPr="00B265F0" w:rsidRDefault="00770809" w:rsidP="001F29DC">
            <w:pPr>
              <w:pStyle w:val="NoSpacing"/>
              <w:rPr>
                <w:rFonts w:ascii="Arial" w:hAnsi="Arial" w:cs="Arial"/>
                <w:color w:val="FFFFFF" w:themeColor="background1"/>
                <w:sz w:val="18"/>
                <w:szCs w:val="20"/>
              </w:rPr>
            </w:pPr>
            <w:r>
              <w:rPr>
                <w:rFonts w:ascii="Arial" w:hAnsi="Arial" w:cs="Arial"/>
                <w:color w:val="FFFFFF" w:themeColor="background1"/>
                <w:sz w:val="18"/>
                <w:szCs w:val="20"/>
              </w:rPr>
              <w:t>December 2021</w:t>
            </w:r>
          </w:p>
        </w:tc>
        <w:tc>
          <w:tcPr>
            <w:tcW w:w="1279"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17859124"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Dollar</w:t>
            </w:r>
            <w:r>
              <w:rPr>
                <w:rFonts w:ascii="Arial" w:hAnsi="Arial" w:cs="Arial"/>
                <w:color w:val="FFFFFF" w:themeColor="background1"/>
                <w:sz w:val="18"/>
                <w:szCs w:val="20"/>
              </w:rPr>
              <w:br/>
              <w:t>sales</w:t>
            </w:r>
          </w:p>
        </w:tc>
        <w:tc>
          <w:tcPr>
            <w:tcW w:w="1339"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7A1DD55C"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 gains v</w:t>
            </w:r>
            <w:r>
              <w:rPr>
                <w:rFonts w:ascii="Arial" w:hAnsi="Arial" w:cs="Arial"/>
                <w:color w:val="FFFFFF" w:themeColor="background1"/>
                <w:sz w:val="18"/>
                <w:szCs w:val="20"/>
              </w:rPr>
              <w:t>s. 2020</w:t>
            </w:r>
          </w:p>
        </w:tc>
        <w:tc>
          <w:tcPr>
            <w:tcW w:w="1417"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658F2EF8"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Dollar sales</w:t>
            </w:r>
            <w:r>
              <w:rPr>
                <w:rFonts w:ascii="Arial" w:hAnsi="Arial" w:cs="Arial"/>
                <w:color w:val="FFFFFF" w:themeColor="background1"/>
                <w:sz w:val="18"/>
                <w:szCs w:val="20"/>
              </w:rPr>
              <w:br/>
            </w:r>
            <w:r w:rsidRPr="00B265F0">
              <w:rPr>
                <w:rFonts w:ascii="Arial" w:hAnsi="Arial" w:cs="Arial"/>
                <w:color w:val="FFFFFF" w:themeColor="background1"/>
                <w:sz w:val="18"/>
                <w:szCs w:val="20"/>
              </w:rPr>
              <w:t xml:space="preserve"> gains v</w:t>
            </w:r>
            <w:r>
              <w:rPr>
                <w:rFonts w:ascii="Arial" w:hAnsi="Arial" w:cs="Arial"/>
                <w:color w:val="FFFFFF" w:themeColor="background1"/>
                <w:sz w:val="18"/>
                <w:szCs w:val="20"/>
              </w:rPr>
              <w:t>s. 2019</w:t>
            </w:r>
          </w:p>
        </w:tc>
        <w:tc>
          <w:tcPr>
            <w:tcW w:w="125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4109C65F"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Average price per unit</w:t>
            </w:r>
          </w:p>
        </w:tc>
        <w:tc>
          <w:tcPr>
            <w:tcW w:w="125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2F0C0208" w14:textId="77777777" w:rsidR="00770809" w:rsidRPr="00B265F0" w:rsidRDefault="00770809" w:rsidP="001F29DC">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Increase price vs. YA</w:t>
            </w:r>
          </w:p>
        </w:tc>
      </w:tr>
      <w:tr w:rsidR="00770809" w:rsidRPr="00E43E81" w14:paraId="2F1C231B" w14:textId="77777777" w:rsidTr="004567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12" w:type="dxa"/>
            <w:tcBorders>
              <w:left w:val="none" w:sz="0" w:space="0" w:color="auto"/>
              <w:right w:val="none" w:sz="0" w:space="0" w:color="auto"/>
            </w:tcBorders>
          </w:tcPr>
          <w:p w14:paraId="4C1996ED" w14:textId="77777777" w:rsidR="00770809" w:rsidRPr="000D5031" w:rsidRDefault="00770809" w:rsidP="001F29DC">
            <w:pPr>
              <w:pStyle w:val="NoSpacing"/>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Fresh produce department</w:t>
            </w:r>
          </w:p>
        </w:tc>
        <w:tc>
          <w:tcPr>
            <w:tcW w:w="1279" w:type="dxa"/>
            <w:tcBorders>
              <w:left w:val="none" w:sz="0" w:space="0" w:color="auto"/>
              <w:right w:val="none" w:sz="0" w:space="0" w:color="auto"/>
            </w:tcBorders>
            <w:vAlign w:val="center"/>
          </w:tcPr>
          <w:p w14:paraId="0CBFEB3A" w14:textId="2FF291DF" w:rsidR="00770809" w:rsidRPr="000D5031"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sidRPr="00361BCC">
              <w:rPr>
                <w:rFonts w:ascii="Arial" w:hAnsi="Arial" w:cs="Arial"/>
                <w:b/>
                <w:bCs/>
                <w:color w:val="215868" w:themeColor="accent5" w:themeShade="80"/>
                <w:sz w:val="18"/>
                <w:szCs w:val="20"/>
              </w:rPr>
              <w:t>$</w:t>
            </w:r>
            <w:r>
              <w:rPr>
                <w:rFonts w:ascii="Arial" w:hAnsi="Arial" w:cs="Arial"/>
                <w:b/>
                <w:bCs/>
                <w:color w:val="215868" w:themeColor="accent5" w:themeShade="80"/>
                <w:sz w:val="18"/>
                <w:szCs w:val="20"/>
              </w:rPr>
              <w:t>5.2</w:t>
            </w:r>
            <w:r w:rsidRPr="00361BCC">
              <w:rPr>
                <w:rFonts w:ascii="Arial" w:hAnsi="Arial" w:cs="Arial"/>
                <w:b/>
                <w:bCs/>
                <w:color w:val="215868" w:themeColor="accent5" w:themeShade="80"/>
                <w:sz w:val="18"/>
                <w:szCs w:val="20"/>
              </w:rPr>
              <w:t>B</w:t>
            </w:r>
          </w:p>
        </w:tc>
        <w:tc>
          <w:tcPr>
            <w:tcW w:w="1339" w:type="dxa"/>
            <w:tcBorders>
              <w:left w:val="none" w:sz="0" w:space="0" w:color="auto"/>
              <w:right w:val="none" w:sz="0" w:space="0" w:color="auto"/>
            </w:tcBorders>
            <w:vAlign w:val="center"/>
          </w:tcPr>
          <w:p w14:paraId="39AFBD7A" w14:textId="1A5EB364" w:rsidR="00770809" w:rsidRPr="000D5031"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b/>
                <w:bCs/>
                <w:color w:val="215868" w:themeColor="accent5" w:themeShade="80"/>
                <w:sz w:val="18"/>
                <w:szCs w:val="20"/>
              </w:rPr>
              <w:t>+6.5</w:t>
            </w:r>
            <w:r w:rsidRPr="00361BCC">
              <w:rPr>
                <w:rFonts w:ascii="Arial" w:hAnsi="Arial" w:cs="Arial"/>
                <w:b/>
                <w:bCs/>
                <w:color w:val="215868" w:themeColor="accent5" w:themeShade="80"/>
                <w:sz w:val="18"/>
                <w:szCs w:val="20"/>
              </w:rPr>
              <w:t>%</w:t>
            </w:r>
          </w:p>
        </w:tc>
        <w:tc>
          <w:tcPr>
            <w:tcW w:w="1417" w:type="dxa"/>
            <w:tcBorders>
              <w:left w:val="none" w:sz="0" w:space="0" w:color="auto"/>
              <w:right w:val="none" w:sz="0" w:space="0" w:color="auto"/>
            </w:tcBorders>
            <w:vAlign w:val="center"/>
          </w:tcPr>
          <w:p w14:paraId="2604CE02" w14:textId="53A6E14F" w:rsidR="00770809" w:rsidRPr="000D5031"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rPr>
            </w:pPr>
            <w:r w:rsidRPr="00361BCC">
              <w:rPr>
                <w:rFonts w:ascii="Arial" w:hAnsi="Arial" w:cs="Arial"/>
                <w:b/>
                <w:bCs/>
                <w:color w:val="215868" w:themeColor="accent5" w:themeShade="80"/>
                <w:sz w:val="18"/>
                <w:szCs w:val="20"/>
              </w:rPr>
              <w:t>+</w:t>
            </w:r>
            <w:r>
              <w:rPr>
                <w:rFonts w:ascii="Arial" w:hAnsi="Arial" w:cs="Arial"/>
                <w:b/>
                <w:bCs/>
                <w:color w:val="215868" w:themeColor="accent5" w:themeShade="80"/>
                <w:sz w:val="18"/>
                <w:szCs w:val="20"/>
              </w:rPr>
              <w:t>19.4</w:t>
            </w:r>
            <w:r w:rsidRPr="00361BCC">
              <w:rPr>
                <w:rFonts w:ascii="Arial" w:hAnsi="Arial" w:cs="Arial"/>
                <w:b/>
                <w:bCs/>
                <w:color w:val="215868" w:themeColor="accent5" w:themeShade="80"/>
                <w:sz w:val="18"/>
                <w:szCs w:val="20"/>
              </w:rPr>
              <w:t>%</w:t>
            </w:r>
          </w:p>
        </w:tc>
        <w:tc>
          <w:tcPr>
            <w:tcW w:w="1250" w:type="dxa"/>
            <w:tcBorders>
              <w:left w:val="none" w:sz="0" w:space="0" w:color="auto"/>
              <w:right w:val="none" w:sz="0" w:space="0" w:color="auto"/>
            </w:tcBorders>
          </w:tcPr>
          <w:p w14:paraId="215FF0A7" w14:textId="4F298A47" w:rsidR="00770809" w:rsidRPr="00361BCC"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$2.47</w:t>
            </w:r>
          </w:p>
        </w:tc>
        <w:tc>
          <w:tcPr>
            <w:tcW w:w="1250" w:type="dxa"/>
            <w:tcBorders>
              <w:left w:val="none" w:sz="0" w:space="0" w:color="auto"/>
              <w:right w:val="none" w:sz="0" w:space="0" w:color="auto"/>
            </w:tcBorders>
          </w:tcPr>
          <w:p w14:paraId="78A00CE8" w14:textId="430D530A" w:rsidR="00770809" w:rsidRPr="00361BCC"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themeColor="accent5" w:themeShade="80"/>
                <w:sz w:val="18"/>
                <w:szCs w:val="20"/>
              </w:rPr>
            </w:pPr>
            <w:r>
              <w:rPr>
                <w:rFonts w:ascii="Arial" w:hAnsi="Arial" w:cs="Arial"/>
                <w:b/>
                <w:bCs/>
                <w:color w:val="215868" w:themeColor="accent5" w:themeShade="80"/>
                <w:sz w:val="18"/>
                <w:szCs w:val="20"/>
              </w:rPr>
              <w:t>+9.7%</w:t>
            </w:r>
          </w:p>
        </w:tc>
      </w:tr>
      <w:tr w:rsidR="00770809" w:rsidRPr="00E43E81" w14:paraId="38934032" w14:textId="77777777" w:rsidTr="001F29DC">
        <w:trPr>
          <w:trHeight w:val="227"/>
        </w:trPr>
        <w:tc>
          <w:tcPr>
            <w:cnfStyle w:val="001000000000" w:firstRow="0" w:lastRow="0" w:firstColumn="1" w:lastColumn="0" w:oddVBand="0" w:evenVBand="0" w:oddHBand="0" w:evenHBand="0" w:firstRowFirstColumn="0" w:firstRowLastColumn="0" w:lastRowFirstColumn="0" w:lastRowLastColumn="0"/>
            <w:tcW w:w="4312" w:type="dxa"/>
          </w:tcPr>
          <w:p w14:paraId="657BA257"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 xml:space="preserve">Shelf stable fruits </w:t>
            </w:r>
          </w:p>
        </w:tc>
        <w:tc>
          <w:tcPr>
            <w:tcW w:w="1279" w:type="dxa"/>
          </w:tcPr>
          <w:p w14:paraId="530FD426" w14:textId="4FAA5D8C" w:rsidR="00770809" w:rsidRPr="000D5031"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$353M</w:t>
            </w:r>
          </w:p>
        </w:tc>
        <w:tc>
          <w:tcPr>
            <w:tcW w:w="1339" w:type="dxa"/>
          </w:tcPr>
          <w:p w14:paraId="214A88E7" w14:textId="5C518773" w:rsidR="00770809" w:rsidRPr="000D5031"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+9.4</w:t>
            </w:r>
            <w:r w:rsidRPr="000D5031">
              <w:rPr>
                <w:rFonts w:ascii="Arial" w:hAnsi="Arial" w:cs="Arial"/>
                <w:color w:val="215868" w:themeColor="accent5" w:themeShade="80"/>
                <w:sz w:val="18"/>
                <w:szCs w:val="20"/>
              </w:rPr>
              <w:t>%</w:t>
            </w:r>
          </w:p>
        </w:tc>
        <w:tc>
          <w:tcPr>
            <w:tcW w:w="1417" w:type="dxa"/>
          </w:tcPr>
          <w:p w14:paraId="4372CA41" w14:textId="585B1944" w:rsidR="00770809" w:rsidRPr="000D5031"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+18.5</w:t>
            </w:r>
            <w:r w:rsidRPr="000D5031">
              <w:rPr>
                <w:rFonts w:ascii="Arial" w:hAnsi="Arial" w:cs="Arial"/>
                <w:color w:val="215868" w:themeColor="accent5" w:themeShade="80"/>
                <w:sz w:val="18"/>
                <w:szCs w:val="20"/>
              </w:rPr>
              <w:t>%</w:t>
            </w:r>
          </w:p>
        </w:tc>
        <w:tc>
          <w:tcPr>
            <w:tcW w:w="1250" w:type="dxa"/>
          </w:tcPr>
          <w:p w14:paraId="25C5EC44" w14:textId="49F36A8A" w:rsidR="00770809"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$2.66</w:t>
            </w:r>
          </w:p>
        </w:tc>
        <w:tc>
          <w:tcPr>
            <w:tcW w:w="1250" w:type="dxa"/>
          </w:tcPr>
          <w:p w14:paraId="3505BF93" w14:textId="713779F3" w:rsidR="00770809"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+8.6%</w:t>
            </w:r>
          </w:p>
        </w:tc>
      </w:tr>
      <w:tr w:rsidR="00770809" w:rsidRPr="00E43E81" w14:paraId="160BD88A" w14:textId="77777777" w:rsidTr="0045675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312" w:type="dxa"/>
            <w:tcBorders>
              <w:left w:val="none" w:sz="0" w:space="0" w:color="auto"/>
              <w:right w:val="none" w:sz="0" w:space="0" w:color="auto"/>
            </w:tcBorders>
          </w:tcPr>
          <w:p w14:paraId="0412972F"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Shelf stable vegetables</w:t>
            </w:r>
          </w:p>
        </w:tc>
        <w:tc>
          <w:tcPr>
            <w:tcW w:w="1279" w:type="dxa"/>
            <w:tcBorders>
              <w:left w:val="none" w:sz="0" w:space="0" w:color="auto"/>
              <w:right w:val="none" w:sz="0" w:space="0" w:color="auto"/>
            </w:tcBorders>
          </w:tcPr>
          <w:p w14:paraId="583E9175" w14:textId="453C7AEF" w:rsidR="00770809" w:rsidRPr="000D5031"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$507</w:t>
            </w:r>
            <w:r w:rsidRPr="000D5031">
              <w:rPr>
                <w:rFonts w:ascii="Arial" w:hAnsi="Arial" w:cs="Arial"/>
                <w:color w:val="215868" w:themeColor="accent5" w:themeShade="80"/>
                <w:sz w:val="18"/>
                <w:szCs w:val="20"/>
              </w:rPr>
              <w:t>M</w:t>
            </w:r>
          </w:p>
        </w:tc>
        <w:tc>
          <w:tcPr>
            <w:tcW w:w="1339" w:type="dxa"/>
            <w:tcBorders>
              <w:left w:val="none" w:sz="0" w:space="0" w:color="auto"/>
              <w:right w:val="none" w:sz="0" w:space="0" w:color="auto"/>
            </w:tcBorders>
          </w:tcPr>
          <w:p w14:paraId="735F15DC" w14:textId="18C8381D" w:rsidR="00770809" w:rsidRPr="000D5031"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-5.1</w:t>
            </w:r>
            <w:r w:rsidRPr="000D5031">
              <w:rPr>
                <w:rFonts w:ascii="Arial" w:hAnsi="Arial" w:cs="Arial"/>
                <w:color w:val="215868" w:themeColor="accent5" w:themeShade="80"/>
                <w:sz w:val="18"/>
                <w:szCs w:val="20"/>
              </w:rPr>
              <w:t>%</w:t>
            </w:r>
          </w:p>
        </w:tc>
        <w:tc>
          <w:tcPr>
            <w:tcW w:w="1417" w:type="dxa"/>
            <w:tcBorders>
              <w:left w:val="none" w:sz="0" w:space="0" w:color="auto"/>
              <w:right w:val="none" w:sz="0" w:space="0" w:color="auto"/>
            </w:tcBorders>
          </w:tcPr>
          <w:p w14:paraId="21D68964" w14:textId="6DD1CDA8" w:rsidR="00770809" w:rsidRPr="000D5031"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highlight w:val="red"/>
              </w:rPr>
            </w:pPr>
            <w:r>
              <w:rPr>
                <w:rFonts w:ascii="Arial" w:hAnsi="Arial" w:cs="Arial"/>
                <w:color w:val="215868" w:themeColor="accent5" w:themeShade="80"/>
                <w:sz w:val="18"/>
                <w:szCs w:val="20"/>
              </w:rPr>
              <w:t>+4.4</w:t>
            </w:r>
            <w:r w:rsidRPr="000D5031">
              <w:rPr>
                <w:rFonts w:ascii="Arial" w:hAnsi="Arial" w:cs="Arial"/>
                <w:color w:val="215868" w:themeColor="accent5" w:themeShade="80"/>
                <w:sz w:val="18"/>
                <w:szCs w:val="20"/>
              </w:rPr>
              <w:t>%</w:t>
            </w:r>
          </w:p>
        </w:tc>
        <w:tc>
          <w:tcPr>
            <w:tcW w:w="1250" w:type="dxa"/>
            <w:tcBorders>
              <w:left w:val="none" w:sz="0" w:space="0" w:color="auto"/>
              <w:right w:val="none" w:sz="0" w:space="0" w:color="auto"/>
            </w:tcBorders>
          </w:tcPr>
          <w:p w14:paraId="3E618D88" w14:textId="1A4B1A62" w:rsidR="00770809"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$1.25</w:t>
            </w:r>
          </w:p>
        </w:tc>
        <w:tc>
          <w:tcPr>
            <w:tcW w:w="1250" w:type="dxa"/>
            <w:tcBorders>
              <w:left w:val="none" w:sz="0" w:space="0" w:color="auto"/>
              <w:right w:val="none" w:sz="0" w:space="0" w:color="auto"/>
            </w:tcBorders>
          </w:tcPr>
          <w:p w14:paraId="3F7F69D5" w14:textId="784E5EE1" w:rsidR="00770809" w:rsidRDefault="00770809"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hAnsi="Arial" w:cs="Arial"/>
                <w:color w:val="215868" w:themeColor="accent5" w:themeShade="80"/>
                <w:sz w:val="18"/>
                <w:szCs w:val="20"/>
              </w:rPr>
              <w:t>+6.5%</w:t>
            </w:r>
          </w:p>
        </w:tc>
      </w:tr>
      <w:tr w:rsidR="00770809" w:rsidRPr="00E43E81" w14:paraId="37C401E4" w14:textId="77777777" w:rsidTr="001F29DC">
        <w:trPr>
          <w:trHeight w:val="227"/>
        </w:trPr>
        <w:tc>
          <w:tcPr>
            <w:cnfStyle w:val="001000000000" w:firstRow="0" w:lastRow="0" w:firstColumn="1" w:lastColumn="0" w:oddVBand="0" w:evenVBand="0" w:oddHBand="0" w:evenHBand="0" w:firstRowFirstColumn="0" w:firstRowLastColumn="0" w:lastRowFirstColumn="0" w:lastRowLastColumn="0"/>
            <w:tcW w:w="4312" w:type="dxa"/>
          </w:tcPr>
          <w:p w14:paraId="5F7ED689" w14:textId="77777777" w:rsidR="00770809" w:rsidRPr="000D5031" w:rsidRDefault="00770809" w:rsidP="001F29DC">
            <w:pPr>
              <w:rPr>
                <w:rFonts w:ascii="Arial" w:hAnsi="Arial" w:cs="Arial"/>
                <w:b w:val="0"/>
                <w:color w:val="215868" w:themeColor="accent5" w:themeShade="80"/>
                <w:sz w:val="18"/>
                <w:szCs w:val="20"/>
              </w:rPr>
            </w:pPr>
            <w:r w:rsidRPr="000D5031">
              <w:rPr>
                <w:rFonts w:ascii="Arial" w:hAnsi="Arial" w:cs="Arial"/>
                <w:b w:val="0"/>
                <w:color w:val="215868" w:themeColor="accent5" w:themeShade="80"/>
                <w:sz w:val="18"/>
                <w:szCs w:val="20"/>
              </w:rPr>
              <w:t>Frozen fruits and vegetables</w:t>
            </w:r>
          </w:p>
        </w:tc>
        <w:tc>
          <w:tcPr>
            <w:tcW w:w="1279" w:type="dxa"/>
          </w:tcPr>
          <w:p w14:paraId="1FF92CA6" w14:textId="751F1EE1" w:rsidR="00770809" w:rsidRPr="000D5031"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$540</w:t>
            </w:r>
            <w:r w:rsidRPr="000D5031">
              <w:rPr>
                <w:rFonts w:ascii="Arial" w:eastAsia="Times New Roman" w:hAnsi="Arial" w:cs="Arial"/>
                <w:color w:val="215868" w:themeColor="accent5" w:themeShade="80"/>
                <w:sz w:val="18"/>
                <w:szCs w:val="18"/>
              </w:rPr>
              <w:t>M</w:t>
            </w:r>
          </w:p>
        </w:tc>
        <w:tc>
          <w:tcPr>
            <w:tcW w:w="1339" w:type="dxa"/>
          </w:tcPr>
          <w:p w14:paraId="35329ED8" w14:textId="482221EB" w:rsidR="00770809" w:rsidRPr="000D5031"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-2.6</w:t>
            </w:r>
            <w:r w:rsidRPr="000D5031">
              <w:rPr>
                <w:rFonts w:ascii="Arial" w:eastAsia="Times New Roman" w:hAnsi="Arial" w:cs="Arial"/>
                <w:color w:val="215868" w:themeColor="accent5" w:themeShade="80"/>
                <w:sz w:val="18"/>
                <w:szCs w:val="18"/>
              </w:rPr>
              <w:t>%</w:t>
            </w:r>
          </w:p>
        </w:tc>
        <w:tc>
          <w:tcPr>
            <w:tcW w:w="1417" w:type="dxa"/>
          </w:tcPr>
          <w:p w14:paraId="72048355" w14:textId="7F444C91" w:rsidR="00770809" w:rsidRPr="000D5031"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sidRPr="000D5031">
              <w:rPr>
                <w:rFonts w:ascii="Arial" w:eastAsia="Times New Roman" w:hAnsi="Arial" w:cs="Arial"/>
                <w:color w:val="215868" w:themeColor="accent5" w:themeShade="80"/>
                <w:sz w:val="18"/>
                <w:szCs w:val="18"/>
              </w:rPr>
              <w:t>+</w:t>
            </w:r>
            <w:r>
              <w:rPr>
                <w:rFonts w:ascii="Arial" w:eastAsia="Times New Roman" w:hAnsi="Arial" w:cs="Arial"/>
                <w:color w:val="215868" w:themeColor="accent5" w:themeShade="80"/>
                <w:sz w:val="18"/>
                <w:szCs w:val="18"/>
              </w:rPr>
              <w:t>14.6</w:t>
            </w:r>
            <w:r w:rsidRPr="000D5031">
              <w:rPr>
                <w:rFonts w:ascii="Arial" w:eastAsia="Times New Roman" w:hAnsi="Arial" w:cs="Arial"/>
                <w:color w:val="215868" w:themeColor="accent5" w:themeShade="80"/>
                <w:sz w:val="18"/>
                <w:szCs w:val="18"/>
              </w:rPr>
              <w:t>%</w:t>
            </w:r>
          </w:p>
        </w:tc>
        <w:tc>
          <w:tcPr>
            <w:tcW w:w="1250" w:type="dxa"/>
          </w:tcPr>
          <w:p w14:paraId="322F3CEE" w14:textId="31A2B480" w:rsidR="00770809" w:rsidRPr="000D5031"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$2.49</w:t>
            </w:r>
          </w:p>
        </w:tc>
        <w:tc>
          <w:tcPr>
            <w:tcW w:w="1250" w:type="dxa"/>
          </w:tcPr>
          <w:p w14:paraId="59414369" w14:textId="719AC476" w:rsidR="00770809" w:rsidRPr="000D5031" w:rsidRDefault="00770809" w:rsidP="001F29DC">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+6.5%</w:t>
            </w:r>
          </w:p>
        </w:tc>
      </w:tr>
    </w:tbl>
    <w:p w14:paraId="75894D22" w14:textId="77777777" w:rsidR="00770809" w:rsidRPr="00B265F0" w:rsidRDefault="00770809" w:rsidP="00770809">
      <w:pPr>
        <w:pStyle w:val="NoSpacing"/>
        <w:rPr>
          <w:rFonts w:ascii="Arial" w:hAnsi="Arial" w:cs="Arial"/>
          <w:sz w:val="10"/>
          <w:szCs w:val="10"/>
        </w:rPr>
      </w:pPr>
    </w:p>
    <w:p w14:paraId="2F61123B" w14:textId="76C4AD04" w:rsidR="00770809" w:rsidRPr="00B35CE9" w:rsidRDefault="00770809" w:rsidP="00770809">
      <w:pPr>
        <w:pStyle w:val="NoSpacing"/>
        <w:rPr>
          <w:rFonts w:ascii="Arial" w:hAnsi="Arial" w:cs="Arial"/>
          <w:sz w:val="16"/>
          <w:szCs w:val="16"/>
        </w:rPr>
      </w:pPr>
      <w:r w:rsidRPr="00B265F0">
        <w:rPr>
          <w:rFonts w:ascii="Arial" w:hAnsi="Arial" w:cs="Arial"/>
          <w:sz w:val="16"/>
          <w:szCs w:val="16"/>
        </w:rPr>
        <w:t>Source: IRI</w:t>
      </w:r>
      <w:r>
        <w:rPr>
          <w:rFonts w:ascii="Arial" w:hAnsi="Arial" w:cs="Arial"/>
          <w:sz w:val="16"/>
          <w:szCs w:val="16"/>
        </w:rPr>
        <w:t xml:space="preserve"> Integrated Fresh, </w:t>
      </w:r>
      <w:r w:rsidRPr="00B265F0">
        <w:rPr>
          <w:rFonts w:ascii="Arial" w:hAnsi="Arial" w:cs="Arial"/>
          <w:sz w:val="16"/>
          <w:szCs w:val="16"/>
        </w:rPr>
        <w:t>Total US, MULO</w:t>
      </w:r>
    </w:p>
    <w:p w14:paraId="3A052518" w14:textId="58D4FF90" w:rsidR="00770809" w:rsidRDefault="00770809" w:rsidP="00770809">
      <w:pPr>
        <w:pStyle w:val="NoSpacing"/>
        <w:rPr>
          <w:rFonts w:ascii="Arial" w:hAnsi="Arial" w:cs="Arial"/>
          <w:sz w:val="20"/>
          <w:szCs w:val="20"/>
        </w:rPr>
      </w:pPr>
    </w:p>
    <w:p w14:paraId="7E5D0C6D" w14:textId="56967DA5" w:rsidR="00770809" w:rsidRDefault="00C05AA1" w:rsidP="00770809">
      <w:pPr>
        <w:pStyle w:val="NoSpacing"/>
        <w:rPr>
          <w:rFonts w:ascii="Arial" w:hAnsi="Arial" w:cs="Arial"/>
          <w:sz w:val="20"/>
          <w:szCs w:val="20"/>
        </w:rPr>
      </w:pPr>
      <w:r>
        <w:rPr>
          <w:rFonts w:ascii="Arial" w:hAnsi="Arial" w:cs="Arial"/>
          <w:sz w:val="20"/>
          <w:szCs w:val="20"/>
        </w:rPr>
        <w:t xml:space="preserve">The December share of dollars for fresh produce was 78.8%, continuing the downward trend observed since late spring/summer times when the fresh share rose to around 84%. </w:t>
      </w:r>
    </w:p>
    <w:p w14:paraId="665F0578" w14:textId="77777777" w:rsidR="00C05AA1" w:rsidRDefault="00C05AA1" w:rsidP="00770809">
      <w:pPr>
        <w:pStyle w:val="NoSpacing"/>
        <w:rPr>
          <w:rFonts w:ascii="Arial" w:hAnsi="Arial" w:cs="Arial"/>
          <w:sz w:val="20"/>
          <w:szCs w:val="20"/>
        </w:rPr>
      </w:pPr>
    </w:p>
    <w:p w14:paraId="378E2A64" w14:textId="61C83432" w:rsidR="00C05AA1" w:rsidRDefault="00C05AA1" w:rsidP="00770809">
      <w:pPr>
        <w:pStyle w:val="NoSpacing"/>
        <w:rPr>
          <w:rFonts w:ascii="Arial" w:hAnsi="Arial" w:cs="Arial"/>
          <w:sz w:val="20"/>
          <w:szCs w:val="20"/>
        </w:rPr>
      </w:pPr>
      <w:r>
        <w:rPr>
          <w:noProof/>
        </w:rPr>
        <w:drawing>
          <wp:inline distT="0" distB="0" distL="0" distR="0" wp14:anchorId="58874093" wp14:editId="2EC67F25">
            <wp:extent cx="6750685" cy="2727298"/>
            <wp:effectExtent l="0" t="0" r="0" b="0"/>
            <wp:docPr id="8" name="Chart 8">
              <a:extLst xmlns:a="http://schemas.openxmlformats.org/drawingml/2006/main">
                <a:ext uri="{FF2B5EF4-FFF2-40B4-BE49-F238E27FC236}">
                  <a16:creationId xmlns:a16="http://schemas.microsoft.com/office/drawing/2014/main" id="{00000000-0008-0000-00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3932003" w14:textId="77777777" w:rsidR="00983F3F" w:rsidRDefault="00983F3F" w:rsidP="00983F3F">
      <w:pPr>
        <w:pStyle w:val="NoSpacing"/>
        <w:rPr>
          <w:rFonts w:ascii="Arial" w:hAnsi="Arial" w:cs="Arial"/>
          <w:sz w:val="16"/>
          <w:szCs w:val="16"/>
        </w:rPr>
      </w:pPr>
      <w:r w:rsidRPr="00507D74">
        <w:rPr>
          <w:rFonts w:ascii="Arial" w:hAnsi="Arial" w:cs="Arial"/>
          <w:sz w:val="16"/>
          <w:szCs w:val="16"/>
        </w:rPr>
        <w:t>Source: Source: IRI Integrated Fresh, Total U.S., MULO</w:t>
      </w:r>
    </w:p>
    <w:p w14:paraId="6254547F" w14:textId="42F0C307" w:rsidR="00AC0CDA" w:rsidRDefault="00AC0CDA" w:rsidP="00AC0CDA">
      <w:pPr>
        <w:pStyle w:val="NoSpacing"/>
        <w:rPr>
          <w:rFonts w:ascii="Arial" w:hAnsi="Arial" w:cs="Arial"/>
          <w:sz w:val="20"/>
          <w:szCs w:val="20"/>
        </w:rPr>
      </w:pPr>
    </w:p>
    <w:p w14:paraId="2976BCC9" w14:textId="2CC083F9" w:rsidR="00C05AA1" w:rsidRDefault="00CD725A" w:rsidP="00AC0CDA">
      <w:pPr>
        <w:pStyle w:val="NoSpacing"/>
        <w:rPr>
          <w:rFonts w:ascii="Arial" w:hAnsi="Arial" w:cs="Arial"/>
          <w:sz w:val="20"/>
          <w:szCs w:val="20"/>
        </w:rPr>
      </w:pPr>
      <w:r>
        <w:rPr>
          <w:rFonts w:ascii="Arial" w:hAnsi="Arial" w:cs="Arial"/>
          <w:sz w:val="20"/>
          <w:szCs w:val="20"/>
        </w:rPr>
        <w:t xml:space="preserve">Comparing the three calendar years shows that fresh lost significant ground in 2020, when shoppers looked to shop less and have inventory on hand to last them during lockdown periods. In 2021, the fresh produce share of dollars recovered to typical levels, but its above-average inflation played a role. When removing the effect of inflation by looking at unit sales it is clear that </w:t>
      </w:r>
      <w:r w:rsidR="00334F5C">
        <w:rPr>
          <w:rFonts w:ascii="Arial" w:hAnsi="Arial" w:cs="Arial"/>
          <w:sz w:val="20"/>
          <w:szCs w:val="20"/>
        </w:rPr>
        <w:t xml:space="preserve">the strong summer months helped boost the </w:t>
      </w:r>
      <w:r w:rsidR="007C430F">
        <w:rPr>
          <w:rFonts w:ascii="Arial" w:hAnsi="Arial" w:cs="Arial"/>
          <w:sz w:val="20"/>
          <w:szCs w:val="20"/>
        </w:rPr>
        <w:t xml:space="preserve">2021 </w:t>
      </w:r>
      <w:r w:rsidR="00334F5C">
        <w:rPr>
          <w:rFonts w:ascii="Arial" w:hAnsi="Arial" w:cs="Arial"/>
          <w:sz w:val="20"/>
          <w:szCs w:val="20"/>
        </w:rPr>
        <w:t xml:space="preserve">fresh share to above typical levels, at 77% of units. Shelf-stable does not have a pound-equivalent, rendering a volume comparison impossible. </w:t>
      </w:r>
    </w:p>
    <w:p w14:paraId="0967FF4D" w14:textId="77777777" w:rsidR="00983F3F" w:rsidRPr="00983F3F" w:rsidRDefault="00F8649C" w:rsidP="00983F3F">
      <w:pPr>
        <w:spacing w:after="0" w:line="240" w:lineRule="auto"/>
        <w:rPr>
          <w:rFonts w:ascii="Arial" w:hAnsi="Arial" w:cs="Arial"/>
          <w:color w:val="000000" w:themeColor="text1"/>
          <w:sz w:val="10"/>
          <w:szCs w:val="10"/>
          <w:shd w:val="clear" w:color="auto" w:fill="FFFFFF"/>
        </w:rPr>
      </w:pPr>
      <w:r>
        <w:rPr>
          <w:noProof/>
        </w:rPr>
        <w:drawing>
          <wp:inline distT="0" distB="0" distL="0" distR="0" wp14:anchorId="17E5BB0A" wp14:editId="1F0E22B5">
            <wp:extent cx="6861810" cy="2361538"/>
            <wp:effectExtent l="0" t="0" r="0" b="0"/>
            <wp:docPr id="7" name="Chart 7">
              <a:extLst xmlns:a="http://schemas.openxmlformats.org/drawingml/2006/main">
                <a:ext uri="{FF2B5EF4-FFF2-40B4-BE49-F238E27FC236}">
                  <a16:creationId xmlns:a16="http://schemas.microsoft.com/office/drawing/2014/main" id="{E68E4688-67DE-47EA-9662-49AE3FE15B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111C0" w:rsidRPr="00983F3F">
        <w:rPr>
          <w:rFonts w:ascii="Arial" w:hAnsi="Arial" w:cs="Arial"/>
          <w:color w:val="000000" w:themeColor="text1"/>
          <w:sz w:val="10"/>
          <w:szCs w:val="10"/>
          <w:shd w:val="clear" w:color="auto" w:fill="FFFFFF"/>
        </w:rPr>
        <w:t xml:space="preserve"> </w:t>
      </w:r>
    </w:p>
    <w:p w14:paraId="70E74242" w14:textId="540CC82B" w:rsidR="008111C0" w:rsidRDefault="008111C0" w:rsidP="00983F3F">
      <w:pPr>
        <w:spacing w:after="0" w:line="240" w:lineRule="auto"/>
        <w:rPr>
          <w:rFonts w:ascii="Arial" w:hAnsi="Arial" w:cs="Arial"/>
          <w:sz w:val="16"/>
          <w:szCs w:val="16"/>
        </w:rPr>
      </w:pPr>
      <w:r w:rsidRPr="00507D74">
        <w:rPr>
          <w:rFonts w:ascii="Arial" w:hAnsi="Arial" w:cs="Arial"/>
          <w:sz w:val="16"/>
          <w:szCs w:val="16"/>
        </w:rPr>
        <w:t>Source: Source: IRI Integrated Fresh, Total U.S., MULO</w:t>
      </w:r>
    </w:p>
    <w:p w14:paraId="72E5CB72" w14:textId="77777777" w:rsidR="008111C0" w:rsidRDefault="008111C0" w:rsidP="0053257C">
      <w:pPr>
        <w:spacing w:after="0" w:line="240" w:lineRule="auto"/>
        <w:rPr>
          <w:rFonts w:ascii="Arial" w:hAnsi="Arial" w:cs="Arial"/>
          <w:sz w:val="20"/>
          <w:shd w:val="clear" w:color="auto" w:fill="FFFFFF"/>
        </w:rPr>
      </w:pPr>
    </w:p>
    <w:p w14:paraId="754BB275" w14:textId="77777777" w:rsidR="00FA1373" w:rsidRDefault="00FA1373" w:rsidP="006069A6">
      <w:pPr>
        <w:pStyle w:val="NoSpacing"/>
        <w:rPr>
          <w:rFonts w:ascii="Arial" w:hAnsi="Arial" w:cs="Arial"/>
          <w:b/>
          <w:color w:val="595959" w:themeColor="text1" w:themeTint="A6"/>
          <w:sz w:val="24"/>
          <w:szCs w:val="24"/>
        </w:rPr>
      </w:pPr>
    </w:p>
    <w:p w14:paraId="740A2810" w14:textId="77777777" w:rsidR="002137F5" w:rsidRPr="00CF309B" w:rsidRDefault="006C3FCE" w:rsidP="006069A6">
      <w:pPr>
        <w:pStyle w:val="NoSpacing"/>
        <w:rPr>
          <w:rFonts w:ascii="Arial" w:hAnsi="Arial" w:cs="Arial"/>
          <w:b/>
          <w:color w:val="595959" w:themeColor="text1" w:themeTint="A6"/>
          <w:sz w:val="24"/>
          <w:szCs w:val="24"/>
        </w:rPr>
      </w:pPr>
      <w:r w:rsidRPr="00CF309B">
        <w:rPr>
          <w:rFonts w:ascii="Arial" w:hAnsi="Arial" w:cs="Arial"/>
          <w:b/>
          <w:color w:val="595959" w:themeColor="text1" w:themeTint="A6"/>
          <w:sz w:val="24"/>
          <w:szCs w:val="24"/>
        </w:rPr>
        <w:t xml:space="preserve">Fresh Produce </w:t>
      </w:r>
      <w:r w:rsidR="002137F5" w:rsidRPr="00CF309B">
        <w:rPr>
          <w:rFonts w:ascii="Arial" w:hAnsi="Arial" w:cs="Arial"/>
          <w:b/>
          <w:color w:val="595959" w:themeColor="text1" w:themeTint="A6"/>
          <w:sz w:val="24"/>
          <w:szCs w:val="24"/>
        </w:rPr>
        <w:t>Dollars versus Volume</w:t>
      </w:r>
    </w:p>
    <w:p w14:paraId="44AFEDDD" w14:textId="2FFC0489" w:rsidR="0005157F" w:rsidRDefault="005D3C9F" w:rsidP="006069A6">
      <w:pPr>
        <w:pStyle w:val="NoSpacing"/>
        <w:rPr>
          <w:rFonts w:ascii="Arial" w:hAnsi="Arial" w:cs="Arial"/>
          <w:sz w:val="20"/>
          <w:szCs w:val="20"/>
        </w:rPr>
      </w:pPr>
      <w:r>
        <w:rPr>
          <w:rFonts w:ascii="Arial" w:hAnsi="Arial" w:cs="Arial"/>
          <w:sz w:val="20"/>
          <w:szCs w:val="20"/>
        </w:rPr>
        <w:t xml:space="preserve">September was the highwater mark for volume sales when pounds </w:t>
      </w:r>
      <w:r w:rsidR="001946FE">
        <w:rPr>
          <w:rFonts w:ascii="Arial" w:hAnsi="Arial" w:cs="Arial"/>
          <w:sz w:val="20"/>
          <w:szCs w:val="20"/>
        </w:rPr>
        <w:t>came within 2.5 points of last year’s level</w:t>
      </w:r>
      <w:r>
        <w:rPr>
          <w:rFonts w:ascii="Arial" w:hAnsi="Arial" w:cs="Arial"/>
          <w:sz w:val="20"/>
          <w:szCs w:val="20"/>
        </w:rPr>
        <w:t>s</w:t>
      </w:r>
      <w:r w:rsidR="001946FE">
        <w:rPr>
          <w:rFonts w:ascii="Arial" w:hAnsi="Arial" w:cs="Arial"/>
          <w:sz w:val="20"/>
          <w:szCs w:val="20"/>
        </w:rPr>
        <w:t>. In</w:t>
      </w:r>
      <w:r w:rsidR="007C430F">
        <w:rPr>
          <w:rFonts w:ascii="Arial" w:hAnsi="Arial" w:cs="Arial"/>
          <w:sz w:val="20"/>
          <w:szCs w:val="20"/>
        </w:rPr>
        <w:t xml:space="preserve"> December, </w:t>
      </w:r>
      <w:r w:rsidR="001946FE">
        <w:rPr>
          <w:rFonts w:ascii="Arial" w:hAnsi="Arial" w:cs="Arial"/>
          <w:sz w:val="20"/>
          <w:szCs w:val="20"/>
        </w:rPr>
        <w:t xml:space="preserve">volume </w:t>
      </w:r>
      <w:r w:rsidR="007C430F">
        <w:rPr>
          <w:rFonts w:ascii="Arial" w:hAnsi="Arial" w:cs="Arial"/>
          <w:sz w:val="20"/>
          <w:szCs w:val="20"/>
        </w:rPr>
        <w:t>remained</w:t>
      </w:r>
      <w:r>
        <w:rPr>
          <w:rFonts w:ascii="Arial" w:hAnsi="Arial" w:cs="Arial"/>
          <w:sz w:val="20"/>
          <w:szCs w:val="20"/>
        </w:rPr>
        <w:t xml:space="preserve"> 4.</w:t>
      </w:r>
      <w:r w:rsidR="007C430F">
        <w:rPr>
          <w:rFonts w:ascii="Arial" w:hAnsi="Arial" w:cs="Arial"/>
          <w:sz w:val="20"/>
          <w:szCs w:val="20"/>
        </w:rPr>
        <w:t>0</w:t>
      </w:r>
      <w:r>
        <w:rPr>
          <w:rFonts w:ascii="Arial" w:hAnsi="Arial" w:cs="Arial"/>
          <w:sz w:val="20"/>
          <w:szCs w:val="20"/>
        </w:rPr>
        <w:t xml:space="preserve">% </w:t>
      </w:r>
      <w:r w:rsidR="007C430F">
        <w:rPr>
          <w:rFonts w:ascii="Arial" w:hAnsi="Arial" w:cs="Arial"/>
          <w:sz w:val="20"/>
          <w:szCs w:val="20"/>
        </w:rPr>
        <w:t xml:space="preserve">below </w:t>
      </w:r>
      <w:r>
        <w:rPr>
          <w:rFonts w:ascii="Arial" w:hAnsi="Arial" w:cs="Arial"/>
          <w:sz w:val="20"/>
          <w:szCs w:val="20"/>
        </w:rPr>
        <w:t>year ago levels.</w:t>
      </w:r>
      <w:r w:rsidR="001946FE">
        <w:rPr>
          <w:rFonts w:ascii="Arial" w:hAnsi="Arial" w:cs="Arial"/>
          <w:sz w:val="20"/>
          <w:szCs w:val="20"/>
        </w:rPr>
        <w:t xml:space="preserve"> Pound sales are still </w:t>
      </w:r>
      <w:r w:rsidR="007C430F">
        <w:rPr>
          <w:rFonts w:ascii="Arial" w:hAnsi="Arial" w:cs="Arial"/>
          <w:sz w:val="20"/>
          <w:szCs w:val="20"/>
        </w:rPr>
        <w:t>6.1</w:t>
      </w:r>
      <w:r w:rsidR="001946FE">
        <w:rPr>
          <w:rFonts w:ascii="Arial" w:hAnsi="Arial" w:cs="Arial"/>
          <w:sz w:val="20"/>
          <w:szCs w:val="20"/>
        </w:rPr>
        <w:t xml:space="preserve">% ahead of the pre-pandemic normal. </w:t>
      </w:r>
      <w:r>
        <w:rPr>
          <w:rFonts w:ascii="Arial" w:hAnsi="Arial" w:cs="Arial"/>
          <w:sz w:val="20"/>
          <w:szCs w:val="20"/>
        </w:rPr>
        <w:t xml:space="preserve">This is down from a high of 9.6% in September. </w:t>
      </w:r>
    </w:p>
    <w:p w14:paraId="2C452176" w14:textId="77777777" w:rsidR="00CB76FB" w:rsidRDefault="00CB76FB" w:rsidP="006069A6">
      <w:pPr>
        <w:pStyle w:val="NoSpacing"/>
        <w:rPr>
          <w:rFonts w:ascii="Arial" w:hAnsi="Arial" w:cs="Arial"/>
          <w:sz w:val="20"/>
          <w:szCs w:val="20"/>
        </w:rPr>
      </w:pPr>
    </w:p>
    <w:p w14:paraId="73216E1A" w14:textId="092B67E3" w:rsidR="00AC478B" w:rsidRPr="009D1A60" w:rsidRDefault="007C430F" w:rsidP="009D1A60">
      <w:pPr>
        <w:pStyle w:val="NoSpacing"/>
      </w:pPr>
      <w:r>
        <w:rPr>
          <w:noProof/>
        </w:rPr>
        <w:lastRenderedPageBreak/>
        <w:drawing>
          <wp:inline distT="0" distB="0" distL="0" distR="0" wp14:anchorId="613D1C7F" wp14:editId="0BA76ECF">
            <wp:extent cx="6750685" cy="3236181"/>
            <wp:effectExtent l="0" t="0" r="0" b="0"/>
            <wp:docPr id="9" name="Chart 9">
              <a:extLst xmlns:a="http://schemas.openxmlformats.org/drawingml/2006/main">
                <a:ext uri="{FF2B5EF4-FFF2-40B4-BE49-F238E27FC236}">
                  <a16:creationId xmlns:a16="http://schemas.microsoft.com/office/drawing/2014/main" id="{00000000-0008-0000-0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543DD82" w14:textId="08C7FC8A" w:rsidR="00441E8F" w:rsidRPr="00CF309B" w:rsidRDefault="00441E8F" w:rsidP="00441E8F">
      <w:pPr>
        <w:pStyle w:val="NoSpacing"/>
        <w:rPr>
          <w:rFonts w:ascii="Arial" w:hAnsi="Arial" w:cs="Arial"/>
          <w:sz w:val="16"/>
          <w:szCs w:val="16"/>
        </w:rPr>
      </w:pPr>
      <w:r w:rsidRPr="00CF309B">
        <w:rPr>
          <w:rFonts w:ascii="Arial" w:hAnsi="Arial" w:cs="Arial"/>
          <w:sz w:val="16"/>
          <w:szCs w:val="16"/>
        </w:rPr>
        <w:t>Source: Source: IRI</w:t>
      </w:r>
      <w:r w:rsidR="00906C46">
        <w:rPr>
          <w:rFonts w:ascii="Arial" w:hAnsi="Arial" w:cs="Arial"/>
          <w:sz w:val="16"/>
          <w:szCs w:val="16"/>
        </w:rPr>
        <w:t xml:space="preserve"> Integrated Fresh</w:t>
      </w:r>
      <w:r w:rsidRPr="00CF309B">
        <w:rPr>
          <w:rFonts w:ascii="Arial" w:hAnsi="Arial" w:cs="Arial"/>
          <w:sz w:val="16"/>
          <w:szCs w:val="16"/>
        </w:rPr>
        <w:t>, Total U.S., MULO</w:t>
      </w:r>
      <w:r w:rsidR="00AA6AEB">
        <w:rPr>
          <w:rFonts w:ascii="Arial" w:hAnsi="Arial" w:cs="Arial"/>
          <w:sz w:val="16"/>
          <w:szCs w:val="16"/>
        </w:rPr>
        <w:t xml:space="preserve"> </w:t>
      </w:r>
    </w:p>
    <w:p w14:paraId="67957022" w14:textId="77777777" w:rsidR="00043B43" w:rsidRPr="00CF309B" w:rsidRDefault="00043B43" w:rsidP="006069A6">
      <w:pPr>
        <w:pStyle w:val="NoSpacing"/>
        <w:rPr>
          <w:rFonts w:ascii="Arial" w:hAnsi="Arial" w:cs="Arial"/>
          <w:sz w:val="20"/>
          <w:szCs w:val="20"/>
        </w:rPr>
      </w:pPr>
    </w:p>
    <w:p w14:paraId="01784D3B" w14:textId="3FEA3C66" w:rsidR="00EF524A" w:rsidRDefault="00200C0F" w:rsidP="007C430F">
      <w:pPr>
        <w:pStyle w:val="NoSpacing"/>
        <w:rPr>
          <w:rFonts w:ascii="Arial" w:hAnsi="Arial" w:cs="Arial"/>
          <w:color w:val="000000" w:themeColor="text1"/>
          <w:sz w:val="20"/>
          <w:szCs w:val="18"/>
          <w:shd w:val="clear" w:color="auto" w:fill="FFFFFF"/>
        </w:rPr>
      </w:pPr>
      <w:r>
        <w:rPr>
          <w:rFonts w:ascii="Arial" w:hAnsi="Arial" w:cs="Arial"/>
          <w:color w:val="000000" w:themeColor="text1"/>
          <w:sz w:val="20"/>
          <w:szCs w:val="18"/>
          <w:shd w:val="clear" w:color="auto" w:fill="FFFFFF"/>
        </w:rPr>
        <w:t xml:space="preserve">Comparing </w:t>
      </w:r>
      <w:r w:rsidR="00EF524A">
        <w:rPr>
          <w:rFonts w:ascii="Arial" w:hAnsi="Arial" w:cs="Arial"/>
          <w:color w:val="000000" w:themeColor="text1"/>
          <w:sz w:val="20"/>
          <w:szCs w:val="18"/>
          <w:shd w:val="clear" w:color="auto" w:fill="FFFFFF"/>
        </w:rPr>
        <w:t xml:space="preserve">December </w:t>
      </w:r>
      <w:r w:rsidR="001946FE">
        <w:rPr>
          <w:rFonts w:ascii="Arial" w:hAnsi="Arial" w:cs="Arial"/>
          <w:color w:val="000000" w:themeColor="text1"/>
          <w:sz w:val="20"/>
          <w:szCs w:val="18"/>
          <w:shd w:val="clear" w:color="auto" w:fill="FFFFFF"/>
        </w:rPr>
        <w:t xml:space="preserve">fruit </w:t>
      </w:r>
      <w:r>
        <w:rPr>
          <w:rFonts w:ascii="Arial" w:hAnsi="Arial" w:cs="Arial"/>
          <w:color w:val="000000" w:themeColor="text1"/>
          <w:sz w:val="20"/>
          <w:szCs w:val="18"/>
          <w:shd w:val="clear" w:color="auto" w:fill="FFFFFF"/>
        </w:rPr>
        <w:t xml:space="preserve">pound </w:t>
      </w:r>
      <w:r w:rsidR="00EF524A">
        <w:rPr>
          <w:rFonts w:ascii="Arial" w:hAnsi="Arial" w:cs="Arial"/>
          <w:color w:val="000000" w:themeColor="text1"/>
          <w:sz w:val="20"/>
          <w:szCs w:val="18"/>
          <w:shd w:val="clear" w:color="auto" w:fill="FFFFFF"/>
        </w:rPr>
        <w:t>to dollar sales very clearly shows the impact of inflation. While December fruit dollars gained 13.0% over December 2020 levels, pounds were down 1.5%. The differences in the dollar versus pound performance were a little less pronounced for vegetables, but also shows the significant impact for vegetables. The fourth quarter numbers were similar to the ones seen in December.</w:t>
      </w:r>
    </w:p>
    <w:p w14:paraId="678F7C61" w14:textId="77777777" w:rsidR="000F7932" w:rsidRPr="002E09F5" w:rsidRDefault="000F7932" w:rsidP="006069A6">
      <w:pPr>
        <w:pStyle w:val="NoSpacing"/>
        <w:rPr>
          <w:rFonts w:ascii="Arial" w:hAnsi="Arial" w:cs="Arial"/>
          <w:sz w:val="16"/>
          <w:szCs w:val="16"/>
        </w:rPr>
      </w:pPr>
    </w:p>
    <w:tbl>
      <w:tblPr>
        <w:tblStyle w:val="LightShading-Accent5"/>
        <w:tblW w:w="10739" w:type="dxa"/>
        <w:tblInd w:w="108" w:type="dxa"/>
        <w:tblBorders>
          <w:top w:val="none" w:sz="0" w:space="0" w:color="auto"/>
          <w:bottom w:val="none" w:sz="0" w:space="0" w:color="auto"/>
        </w:tblBorders>
        <w:tblLook w:val="04A0" w:firstRow="1" w:lastRow="0" w:firstColumn="1" w:lastColumn="0" w:noHBand="0" w:noVBand="1"/>
      </w:tblPr>
      <w:tblGrid>
        <w:gridCol w:w="1321"/>
        <w:gridCol w:w="856"/>
        <w:gridCol w:w="856"/>
        <w:gridCol w:w="856"/>
        <w:gridCol w:w="856"/>
        <w:gridCol w:w="856"/>
        <w:gridCol w:w="857"/>
        <w:gridCol w:w="856"/>
        <w:gridCol w:w="856"/>
        <w:gridCol w:w="856"/>
        <w:gridCol w:w="856"/>
        <w:gridCol w:w="857"/>
      </w:tblGrid>
      <w:tr w:rsidR="00A74177" w:rsidRPr="00CF309B" w14:paraId="4C07E8F7" w14:textId="77777777" w:rsidTr="00EF524A">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0739" w:type="dxa"/>
            <w:gridSpan w:val="12"/>
            <w:tcBorders>
              <w:top w:val="none" w:sz="0" w:space="0" w:color="auto"/>
              <w:left w:val="none" w:sz="0" w:space="0" w:color="auto"/>
              <w:bottom w:val="none" w:sz="0" w:space="0" w:color="auto"/>
              <w:right w:val="none" w:sz="0" w:space="0" w:color="auto"/>
            </w:tcBorders>
            <w:shd w:val="clear" w:color="auto" w:fill="17365D" w:themeFill="text2" w:themeFillShade="BF"/>
          </w:tcPr>
          <w:p w14:paraId="06A39140" w14:textId="77777777" w:rsidR="00A74177" w:rsidRPr="00CF309B" w:rsidRDefault="00A74177" w:rsidP="00EC62BA">
            <w:pPr>
              <w:pStyle w:val="NoSpacing"/>
              <w:jc w:val="center"/>
              <w:rPr>
                <w:rFonts w:ascii="Arial" w:hAnsi="Arial" w:cs="Arial"/>
                <w:color w:val="FFFFFF" w:themeColor="background1"/>
                <w:sz w:val="18"/>
                <w:szCs w:val="18"/>
              </w:rPr>
            </w:pPr>
            <w:r w:rsidRPr="00CF309B">
              <w:rPr>
                <w:rFonts w:ascii="Arial" w:hAnsi="Arial" w:cs="Arial"/>
                <w:color w:val="FFFFFF" w:themeColor="background1"/>
                <w:sz w:val="18"/>
                <w:szCs w:val="18"/>
              </w:rPr>
              <w:t>Growth over comparable period</w:t>
            </w:r>
          </w:p>
        </w:tc>
      </w:tr>
      <w:tr w:rsidR="00A74177" w:rsidRPr="00CF309B" w14:paraId="0F9B2EAF" w14:textId="77777777" w:rsidTr="00EF524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321" w:type="dxa"/>
            <w:tcBorders>
              <w:left w:val="none" w:sz="0" w:space="0" w:color="auto"/>
              <w:right w:val="none" w:sz="0" w:space="0" w:color="auto"/>
            </w:tcBorders>
            <w:shd w:val="clear" w:color="auto" w:fill="17365D" w:themeFill="text2" w:themeFillShade="BF"/>
          </w:tcPr>
          <w:p w14:paraId="668125B8" w14:textId="77777777" w:rsidR="00A74177" w:rsidRPr="00CF309B" w:rsidRDefault="00A74177" w:rsidP="00CF61E8">
            <w:pPr>
              <w:pStyle w:val="NoSpacing"/>
              <w:rPr>
                <w:rFonts w:ascii="Arial" w:hAnsi="Arial" w:cs="Arial"/>
                <w:color w:val="FFFFFF" w:themeColor="background1"/>
                <w:sz w:val="18"/>
                <w:szCs w:val="18"/>
              </w:rPr>
            </w:pPr>
          </w:p>
        </w:tc>
        <w:tc>
          <w:tcPr>
            <w:tcW w:w="856" w:type="dxa"/>
            <w:tcBorders>
              <w:left w:val="none" w:sz="0" w:space="0" w:color="auto"/>
              <w:right w:val="none" w:sz="0" w:space="0" w:color="auto"/>
            </w:tcBorders>
            <w:shd w:val="clear" w:color="auto" w:fill="17365D" w:themeFill="text2" w:themeFillShade="BF"/>
            <w:vAlign w:val="bottom"/>
          </w:tcPr>
          <w:p w14:paraId="0390E375" w14:textId="77777777" w:rsidR="00A74177" w:rsidRPr="003C245B" w:rsidRDefault="00A74177"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Q1 ‘20</w:t>
            </w:r>
          </w:p>
        </w:tc>
        <w:tc>
          <w:tcPr>
            <w:tcW w:w="856" w:type="dxa"/>
            <w:tcBorders>
              <w:left w:val="none" w:sz="0" w:space="0" w:color="auto"/>
              <w:right w:val="none" w:sz="0" w:space="0" w:color="auto"/>
            </w:tcBorders>
            <w:shd w:val="clear" w:color="auto" w:fill="17365D" w:themeFill="text2" w:themeFillShade="BF"/>
            <w:vAlign w:val="bottom"/>
          </w:tcPr>
          <w:p w14:paraId="6872AA49" w14:textId="77777777" w:rsidR="00A74177" w:rsidRPr="003C245B" w:rsidRDefault="00A74177"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‘20</w:t>
            </w:r>
          </w:p>
        </w:tc>
        <w:tc>
          <w:tcPr>
            <w:tcW w:w="856" w:type="dxa"/>
            <w:tcBorders>
              <w:left w:val="none" w:sz="0" w:space="0" w:color="auto"/>
              <w:right w:val="none" w:sz="0" w:space="0" w:color="auto"/>
            </w:tcBorders>
            <w:shd w:val="clear" w:color="auto" w:fill="17365D" w:themeFill="text2" w:themeFillShade="BF"/>
            <w:vAlign w:val="bottom"/>
          </w:tcPr>
          <w:p w14:paraId="11FBA7DC" w14:textId="77777777" w:rsidR="00A74177" w:rsidRPr="003C245B" w:rsidRDefault="00A74177"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‘20</w:t>
            </w:r>
          </w:p>
        </w:tc>
        <w:tc>
          <w:tcPr>
            <w:tcW w:w="856" w:type="dxa"/>
            <w:tcBorders>
              <w:left w:val="none" w:sz="0" w:space="0" w:color="auto"/>
              <w:right w:val="none" w:sz="0" w:space="0" w:color="auto"/>
            </w:tcBorders>
            <w:shd w:val="clear" w:color="auto" w:fill="17365D" w:themeFill="text2" w:themeFillShade="BF"/>
            <w:vAlign w:val="bottom"/>
          </w:tcPr>
          <w:p w14:paraId="7E6367A1" w14:textId="77777777" w:rsidR="00A74177" w:rsidRPr="003C245B" w:rsidRDefault="00A74177"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‘20</w:t>
            </w:r>
          </w:p>
        </w:tc>
        <w:tc>
          <w:tcPr>
            <w:tcW w:w="856" w:type="dxa"/>
            <w:tcBorders>
              <w:left w:val="none" w:sz="0" w:space="0" w:color="auto"/>
              <w:right w:val="none" w:sz="0" w:space="0" w:color="auto"/>
            </w:tcBorders>
            <w:shd w:val="clear" w:color="auto" w:fill="17365D" w:themeFill="text2" w:themeFillShade="BF"/>
            <w:vAlign w:val="bottom"/>
          </w:tcPr>
          <w:p w14:paraId="468B7AFB" w14:textId="77777777" w:rsidR="00A74177" w:rsidRDefault="00A74177"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857" w:type="dxa"/>
            <w:tcBorders>
              <w:left w:val="none" w:sz="0" w:space="0" w:color="auto"/>
              <w:right w:val="none" w:sz="0" w:space="0" w:color="auto"/>
            </w:tcBorders>
            <w:shd w:val="clear" w:color="auto" w:fill="17365D" w:themeFill="text2" w:themeFillShade="BF"/>
            <w:vAlign w:val="bottom"/>
          </w:tcPr>
          <w:p w14:paraId="6FF9D3CF" w14:textId="77777777" w:rsidR="00A74177" w:rsidRDefault="00A74177"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856" w:type="dxa"/>
            <w:tcBorders>
              <w:left w:val="none" w:sz="0" w:space="0" w:color="auto"/>
              <w:right w:val="none" w:sz="0" w:space="0" w:color="auto"/>
            </w:tcBorders>
            <w:shd w:val="clear" w:color="auto" w:fill="17365D" w:themeFill="text2" w:themeFillShade="BF"/>
            <w:vAlign w:val="bottom"/>
          </w:tcPr>
          <w:p w14:paraId="5E3FAA3A" w14:textId="77777777" w:rsidR="00A74177" w:rsidRDefault="00A74177"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56" w:type="dxa"/>
            <w:tcBorders>
              <w:left w:val="none" w:sz="0" w:space="0" w:color="auto"/>
              <w:right w:val="none" w:sz="0" w:space="0" w:color="auto"/>
            </w:tcBorders>
            <w:shd w:val="clear" w:color="auto" w:fill="17365D" w:themeFill="text2" w:themeFillShade="BF"/>
            <w:vAlign w:val="bottom"/>
          </w:tcPr>
          <w:p w14:paraId="4B7260FD" w14:textId="77777777" w:rsidR="00A74177" w:rsidRDefault="00A74177" w:rsidP="00A7417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856" w:type="dxa"/>
            <w:tcBorders>
              <w:left w:val="none" w:sz="0" w:space="0" w:color="auto"/>
              <w:right w:val="none" w:sz="0" w:space="0" w:color="auto"/>
            </w:tcBorders>
            <w:shd w:val="clear" w:color="auto" w:fill="17365D" w:themeFill="text2" w:themeFillShade="BF"/>
            <w:vAlign w:val="bottom"/>
          </w:tcPr>
          <w:p w14:paraId="7DFFB5A7" w14:textId="77777777" w:rsidR="00A74177" w:rsidRDefault="00A74177" w:rsidP="00A74177">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Dec ‘21</w:t>
            </w:r>
          </w:p>
        </w:tc>
        <w:tc>
          <w:tcPr>
            <w:tcW w:w="856" w:type="dxa"/>
            <w:tcBorders>
              <w:left w:val="none" w:sz="0" w:space="0" w:color="auto"/>
              <w:right w:val="none" w:sz="0" w:space="0" w:color="auto"/>
            </w:tcBorders>
            <w:shd w:val="clear" w:color="auto" w:fill="17365D" w:themeFill="text2" w:themeFillShade="BF"/>
            <w:vAlign w:val="bottom"/>
          </w:tcPr>
          <w:p w14:paraId="55E8CF83" w14:textId="63A8DE88" w:rsidR="00A74177" w:rsidRDefault="00A74177"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Dec ‘21 vs </w:t>
            </w:r>
            <w:r w:rsidR="00422C9B">
              <w:rPr>
                <w:rFonts w:ascii="Arial" w:hAnsi="Arial" w:cs="Arial"/>
                <w:b/>
                <w:color w:val="FFFFFF" w:themeColor="background1"/>
                <w:sz w:val="18"/>
                <w:szCs w:val="18"/>
              </w:rPr>
              <w:t>‘</w:t>
            </w:r>
            <w:r>
              <w:rPr>
                <w:rFonts w:ascii="Arial" w:hAnsi="Arial" w:cs="Arial"/>
                <w:b/>
                <w:color w:val="FFFFFF" w:themeColor="background1"/>
                <w:sz w:val="18"/>
                <w:szCs w:val="18"/>
              </w:rPr>
              <w:t>20</w:t>
            </w:r>
          </w:p>
        </w:tc>
        <w:tc>
          <w:tcPr>
            <w:tcW w:w="857" w:type="dxa"/>
            <w:tcBorders>
              <w:left w:val="none" w:sz="0" w:space="0" w:color="auto"/>
              <w:right w:val="none" w:sz="0" w:space="0" w:color="auto"/>
            </w:tcBorders>
            <w:shd w:val="clear" w:color="auto" w:fill="17365D" w:themeFill="text2" w:themeFillShade="BF"/>
            <w:vAlign w:val="bottom"/>
          </w:tcPr>
          <w:p w14:paraId="5F6DBA91" w14:textId="36F330F0" w:rsidR="00A74177" w:rsidRDefault="00A74177" w:rsidP="00B63160">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xml:space="preserve">Dec ’21 vs </w:t>
            </w:r>
            <w:r w:rsidR="00422C9B">
              <w:rPr>
                <w:rFonts w:ascii="Arial" w:hAnsi="Arial" w:cs="Arial"/>
                <w:b/>
                <w:color w:val="FFFFFF" w:themeColor="background1"/>
                <w:sz w:val="18"/>
                <w:szCs w:val="18"/>
              </w:rPr>
              <w:t>‘</w:t>
            </w:r>
            <w:r>
              <w:rPr>
                <w:rFonts w:ascii="Arial" w:hAnsi="Arial" w:cs="Arial"/>
                <w:b/>
                <w:color w:val="FFFFFF" w:themeColor="background1"/>
                <w:sz w:val="18"/>
                <w:szCs w:val="18"/>
              </w:rPr>
              <w:t>19</w:t>
            </w:r>
          </w:p>
        </w:tc>
      </w:tr>
      <w:tr w:rsidR="00A74177" w:rsidRPr="00E43E81" w14:paraId="418A3354" w14:textId="77777777" w:rsidTr="00A74177">
        <w:trPr>
          <w:trHeight w:val="140"/>
        </w:trPr>
        <w:tc>
          <w:tcPr>
            <w:cnfStyle w:val="001000000000" w:firstRow="0" w:lastRow="0" w:firstColumn="1" w:lastColumn="0" w:oddVBand="0" w:evenVBand="0" w:oddHBand="0" w:evenHBand="0" w:firstRowFirstColumn="0" w:firstRowLastColumn="0" w:lastRowFirstColumn="0" w:lastRowLastColumn="0"/>
            <w:tcW w:w="1321" w:type="dxa"/>
            <w:vAlign w:val="center"/>
          </w:tcPr>
          <w:p w14:paraId="4F5AB987" w14:textId="77777777" w:rsidR="00A74177" w:rsidRPr="00E43E81" w:rsidRDefault="00A74177" w:rsidP="003A7E92">
            <w:pPr>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Fruit</w:t>
            </w:r>
          </w:p>
        </w:tc>
        <w:tc>
          <w:tcPr>
            <w:tcW w:w="856" w:type="dxa"/>
            <w:vAlign w:val="center"/>
          </w:tcPr>
          <w:p w14:paraId="668C5498"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6" w:type="dxa"/>
            <w:vAlign w:val="center"/>
          </w:tcPr>
          <w:p w14:paraId="30964248"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6" w:type="dxa"/>
            <w:vAlign w:val="center"/>
          </w:tcPr>
          <w:p w14:paraId="0F798FB0"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6" w:type="dxa"/>
            <w:vAlign w:val="center"/>
          </w:tcPr>
          <w:p w14:paraId="458A0A03"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6" w:type="dxa"/>
            <w:vAlign w:val="center"/>
          </w:tcPr>
          <w:p w14:paraId="5BAEDBF8"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7" w:type="dxa"/>
          </w:tcPr>
          <w:p w14:paraId="5E39B2DA"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6" w:type="dxa"/>
          </w:tcPr>
          <w:p w14:paraId="668F3567"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6" w:type="dxa"/>
          </w:tcPr>
          <w:p w14:paraId="1F0092F3"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6" w:type="dxa"/>
          </w:tcPr>
          <w:p w14:paraId="741248A5"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6" w:type="dxa"/>
          </w:tcPr>
          <w:p w14:paraId="7C79D002"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c>
          <w:tcPr>
            <w:tcW w:w="857" w:type="dxa"/>
          </w:tcPr>
          <w:p w14:paraId="682DD67C" w14:textId="77777777"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p>
        </w:tc>
      </w:tr>
      <w:tr w:rsidR="00A74177" w:rsidRPr="00EF524A" w14:paraId="07A82597" w14:textId="77777777" w:rsidTr="00EF524A">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1321" w:type="dxa"/>
            <w:tcBorders>
              <w:left w:val="none" w:sz="0" w:space="0" w:color="auto"/>
              <w:right w:val="none" w:sz="0" w:space="0" w:color="auto"/>
            </w:tcBorders>
            <w:vAlign w:val="center"/>
          </w:tcPr>
          <w:p w14:paraId="6DE00703" w14:textId="77777777" w:rsidR="00A74177" w:rsidRPr="00EF524A" w:rsidRDefault="00A74177" w:rsidP="003A7E92">
            <w:pPr>
              <w:pStyle w:val="NoSpacing"/>
              <w:jc w:val="right"/>
              <w:rPr>
                <w:rFonts w:ascii="Arial" w:hAnsi="Arial" w:cs="Arial"/>
                <w:b w:val="0"/>
                <w:color w:val="215868" w:themeColor="accent5" w:themeShade="80"/>
                <w:sz w:val="18"/>
                <w:szCs w:val="18"/>
              </w:rPr>
            </w:pPr>
            <w:r w:rsidRPr="00EF524A">
              <w:rPr>
                <w:rFonts w:ascii="Arial" w:hAnsi="Arial" w:cs="Arial"/>
                <w:b w:val="0"/>
                <w:color w:val="215868" w:themeColor="accent5" w:themeShade="80"/>
                <w:sz w:val="18"/>
                <w:szCs w:val="18"/>
              </w:rPr>
              <w:t xml:space="preserve">   Dollars</w:t>
            </w:r>
          </w:p>
        </w:tc>
        <w:tc>
          <w:tcPr>
            <w:tcW w:w="856" w:type="dxa"/>
            <w:tcBorders>
              <w:left w:val="none" w:sz="0" w:space="0" w:color="auto"/>
              <w:right w:val="none" w:sz="0" w:space="0" w:color="auto"/>
            </w:tcBorders>
            <w:vAlign w:val="bottom"/>
          </w:tcPr>
          <w:p w14:paraId="4679F4B4" w14:textId="181BD904" w:rsidR="00A74177" w:rsidRPr="00EF524A"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sidRPr="00EF524A">
              <w:rPr>
                <w:rFonts w:ascii="Arial" w:hAnsi="Arial" w:cs="Arial"/>
                <w:bCs/>
                <w:color w:val="215868"/>
                <w:sz w:val="18"/>
                <w:szCs w:val="18"/>
              </w:rPr>
              <w:t>+</w:t>
            </w:r>
            <w:r w:rsidR="00A74177" w:rsidRPr="00EF524A">
              <w:rPr>
                <w:rFonts w:ascii="Arial" w:hAnsi="Arial" w:cs="Arial"/>
                <w:bCs/>
                <w:color w:val="215868"/>
                <w:sz w:val="18"/>
                <w:szCs w:val="18"/>
              </w:rPr>
              <w:t>5%</w:t>
            </w:r>
          </w:p>
        </w:tc>
        <w:tc>
          <w:tcPr>
            <w:tcW w:w="856" w:type="dxa"/>
            <w:tcBorders>
              <w:left w:val="none" w:sz="0" w:space="0" w:color="auto"/>
              <w:right w:val="none" w:sz="0" w:space="0" w:color="auto"/>
            </w:tcBorders>
            <w:vAlign w:val="bottom"/>
          </w:tcPr>
          <w:p w14:paraId="4FAD658C" w14:textId="43EDB2C7" w:rsidR="00A74177" w:rsidRPr="00EF524A"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sidRPr="00EF524A">
              <w:rPr>
                <w:rFonts w:ascii="Arial" w:hAnsi="Arial" w:cs="Arial"/>
                <w:bCs/>
                <w:color w:val="215868"/>
                <w:sz w:val="18"/>
                <w:szCs w:val="18"/>
              </w:rPr>
              <w:t>+</w:t>
            </w:r>
            <w:r w:rsidR="00A74177" w:rsidRPr="00EF524A">
              <w:rPr>
                <w:rFonts w:ascii="Arial" w:hAnsi="Arial" w:cs="Arial"/>
                <w:bCs/>
                <w:color w:val="215868"/>
                <w:sz w:val="18"/>
                <w:szCs w:val="18"/>
              </w:rPr>
              <w:t>11%</w:t>
            </w:r>
          </w:p>
        </w:tc>
        <w:tc>
          <w:tcPr>
            <w:tcW w:w="856" w:type="dxa"/>
            <w:tcBorders>
              <w:left w:val="none" w:sz="0" w:space="0" w:color="auto"/>
              <w:right w:val="none" w:sz="0" w:space="0" w:color="auto"/>
            </w:tcBorders>
            <w:vAlign w:val="bottom"/>
          </w:tcPr>
          <w:p w14:paraId="4A1D82A0" w14:textId="584FA9CE" w:rsidR="00A74177" w:rsidRPr="00EF524A"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w:t>
            </w:r>
            <w:r w:rsidR="00A74177" w:rsidRPr="00EF524A">
              <w:rPr>
                <w:rFonts w:ascii="Arial" w:hAnsi="Arial" w:cs="Arial"/>
                <w:bCs/>
                <w:color w:val="215868"/>
                <w:sz w:val="18"/>
                <w:szCs w:val="18"/>
              </w:rPr>
              <w:t>10%</w:t>
            </w:r>
          </w:p>
        </w:tc>
        <w:tc>
          <w:tcPr>
            <w:tcW w:w="856" w:type="dxa"/>
            <w:tcBorders>
              <w:left w:val="none" w:sz="0" w:space="0" w:color="auto"/>
              <w:right w:val="none" w:sz="0" w:space="0" w:color="auto"/>
            </w:tcBorders>
            <w:vAlign w:val="bottom"/>
          </w:tcPr>
          <w:p w14:paraId="69291B00" w14:textId="2AB3A751" w:rsidR="00A74177" w:rsidRPr="00EF524A"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w:t>
            </w:r>
            <w:r w:rsidR="00A74177" w:rsidRPr="00EF524A">
              <w:rPr>
                <w:rFonts w:ascii="Arial" w:hAnsi="Arial" w:cs="Arial"/>
                <w:bCs/>
                <w:color w:val="215868"/>
                <w:sz w:val="18"/>
                <w:szCs w:val="18"/>
              </w:rPr>
              <w:t>9%</w:t>
            </w:r>
          </w:p>
        </w:tc>
        <w:tc>
          <w:tcPr>
            <w:tcW w:w="856" w:type="dxa"/>
            <w:tcBorders>
              <w:left w:val="none" w:sz="0" w:space="0" w:color="auto"/>
              <w:right w:val="none" w:sz="0" w:space="0" w:color="auto"/>
            </w:tcBorders>
            <w:vAlign w:val="bottom"/>
          </w:tcPr>
          <w:p w14:paraId="68FDB7E6" w14:textId="41F054A7" w:rsidR="00A74177" w:rsidRPr="00EF524A"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w:t>
            </w:r>
            <w:r w:rsidR="00A74177" w:rsidRPr="00EF524A">
              <w:rPr>
                <w:rFonts w:ascii="Arial" w:hAnsi="Arial" w:cs="Arial"/>
                <w:bCs/>
                <w:color w:val="215868"/>
                <w:sz w:val="18"/>
                <w:szCs w:val="18"/>
              </w:rPr>
              <w:t>5%</w:t>
            </w:r>
          </w:p>
        </w:tc>
        <w:tc>
          <w:tcPr>
            <w:tcW w:w="857" w:type="dxa"/>
            <w:tcBorders>
              <w:left w:val="none" w:sz="0" w:space="0" w:color="auto"/>
              <w:right w:val="none" w:sz="0" w:space="0" w:color="auto"/>
            </w:tcBorders>
          </w:tcPr>
          <w:p w14:paraId="6884D7C8" w14:textId="754ED29D" w:rsidR="00A74177" w:rsidRPr="00EF524A"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w:t>
            </w:r>
            <w:r w:rsidR="00A74177" w:rsidRPr="00EF524A">
              <w:rPr>
                <w:rFonts w:ascii="Arial" w:hAnsi="Arial" w:cs="Arial"/>
                <w:bCs/>
                <w:color w:val="215868"/>
                <w:sz w:val="18"/>
                <w:szCs w:val="18"/>
              </w:rPr>
              <w:t>3%</w:t>
            </w:r>
          </w:p>
        </w:tc>
        <w:tc>
          <w:tcPr>
            <w:tcW w:w="856" w:type="dxa"/>
            <w:tcBorders>
              <w:left w:val="none" w:sz="0" w:space="0" w:color="auto"/>
              <w:right w:val="none" w:sz="0" w:space="0" w:color="auto"/>
            </w:tcBorders>
          </w:tcPr>
          <w:p w14:paraId="4B56FCB5" w14:textId="6BF2C5EC" w:rsidR="00A74177" w:rsidRPr="00EF524A"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sz w:val="18"/>
                <w:szCs w:val="18"/>
              </w:rPr>
            </w:pPr>
            <w:r>
              <w:rPr>
                <w:rFonts w:ascii="Arial" w:hAnsi="Arial" w:cs="Arial"/>
                <w:bCs/>
                <w:color w:val="215868"/>
                <w:sz w:val="18"/>
                <w:szCs w:val="18"/>
              </w:rPr>
              <w:t>+</w:t>
            </w:r>
            <w:r w:rsidR="00A74177" w:rsidRPr="00EF524A">
              <w:rPr>
                <w:rFonts w:ascii="Arial" w:hAnsi="Arial" w:cs="Arial"/>
                <w:bCs/>
                <w:color w:val="215868"/>
                <w:sz w:val="18"/>
                <w:szCs w:val="18"/>
              </w:rPr>
              <w:t>6%</w:t>
            </w:r>
          </w:p>
        </w:tc>
        <w:tc>
          <w:tcPr>
            <w:tcW w:w="856" w:type="dxa"/>
            <w:tcBorders>
              <w:left w:val="none" w:sz="0" w:space="0" w:color="auto"/>
              <w:right w:val="none" w:sz="0" w:space="0" w:color="auto"/>
            </w:tcBorders>
          </w:tcPr>
          <w:p w14:paraId="6329788E" w14:textId="7E0233E6" w:rsidR="00A74177" w:rsidRPr="00EF524A" w:rsidRDefault="00EF524A" w:rsidP="00AA6AE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+10.8%</w:t>
            </w:r>
          </w:p>
        </w:tc>
        <w:tc>
          <w:tcPr>
            <w:tcW w:w="856" w:type="dxa"/>
            <w:tcBorders>
              <w:left w:val="none" w:sz="0" w:space="0" w:color="auto"/>
              <w:right w:val="none" w:sz="0" w:space="0" w:color="auto"/>
            </w:tcBorders>
          </w:tcPr>
          <w:p w14:paraId="4902C065" w14:textId="4A9672B3" w:rsidR="00A74177" w:rsidRPr="00EF524A" w:rsidRDefault="00A74177" w:rsidP="00AA6AE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7C430F" w:rsidRPr="00EF524A">
              <w:rPr>
                <w:rFonts w:ascii="Arial" w:hAnsi="Arial" w:cs="Arial"/>
                <w:bCs/>
                <w:color w:val="215868" w:themeColor="accent5" w:themeShade="80"/>
                <w:sz w:val="18"/>
                <w:szCs w:val="18"/>
              </w:rPr>
              <w:t>2.4</w:t>
            </w:r>
            <w:r w:rsidRPr="00EF524A">
              <w:rPr>
                <w:rFonts w:ascii="Arial" w:hAnsi="Arial" w:cs="Arial"/>
                <w:bCs/>
                <w:color w:val="215868" w:themeColor="accent5" w:themeShade="80"/>
                <w:sz w:val="18"/>
                <w:szCs w:val="18"/>
              </w:rPr>
              <w:t>B</w:t>
            </w:r>
          </w:p>
        </w:tc>
        <w:tc>
          <w:tcPr>
            <w:tcW w:w="856" w:type="dxa"/>
            <w:tcBorders>
              <w:left w:val="none" w:sz="0" w:space="0" w:color="auto"/>
              <w:right w:val="none" w:sz="0" w:space="0" w:color="auto"/>
            </w:tcBorders>
          </w:tcPr>
          <w:p w14:paraId="099BB03F" w14:textId="3B589FF2" w:rsidR="00A74177" w:rsidRPr="00EF524A" w:rsidRDefault="00A74177" w:rsidP="00AA6AEB">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EF524A" w:rsidRPr="00EF524A">
              <w:rPr>
                <w:rFonts w:ascii="Arial" w:hAnsi="Arial" w:cs="Arial"/>
                <w:bCs/>
                <w:color w:val="215868" w:themeColor="accent5" w:themeShade="80"/>
                <w:sz w:val="18"/>
                <w:szCs w:val="18"/>
              </w:rPr>
              <w:t>13.0</w:t>
            </w:r>
            <w:r w:rsidRPr="00EF524A">
              <w:rPr>
                <w:rFonts w:ascii="Arial" w:hAnsi="Arial" w:cs="Arial"/>
                <w:bCs/>
                <w:color w:val="215868" w:themeColor="accent5" w:themeShade="80"/>
                <w:sz w:val="18"/>
                <w:szCs w:val="18"/>
              </w:rPr>
              <w:t>%</w:t>
            </w:r>
          </w:p>
        </w:tc>
        <w:tc>
          <w:tcPr>
            <w:tcW w:w="857" w:type="dxa"/>
            <w:tcBorders>
              <w:left w:val="none" w:sz="0" w:space="0" w:color="auto"/>
              <w:right w:val="none" w:sz="0" w:space="0" w:color="auto"/>
            </w:tcBorders>
          </w:tcPr>
          <w:p w14:paraId="34C5144A" w14:textId="1035344B" w:rsidR="00A74177" w:rsidRPr="00EF524A" w:rsidRDefault="00A74177"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sidRPr="00EF524A">
              <w:rPr>
                <w:rFonts w:ascii="Arial" w:hAnsi="Arial" w:cs="Arial"/>
                <w:bCs/>
                <w:color w:val="215868" w:themeColor="accent5" w:themeShade="80"/>
                <w:sz w:val="18"/>
                <w:szCs w:val="18"/>
              </w:rPr>
              <w:t>+</w:t>
            </w:r>
            <w:r w:rsidR="00EF524A" w:rsidRPr="00EF524A">
              <w:rPr>
                <w:rFonts w:ascii="Arial" w:hAnsi="Arial" w:cs="Arial"/>
                <w:bCs/>
                <w:color w:val="215868" w:themeColor="accent5" w:themeShade="80"/>
                <w:sz w:val="18"/>
                <w:szCs w:val="18"/>
              </w:rPr>
              <w:t>23.3</w:t>
            </w:r>
            <w:r w:rsidRPr="00EF524A">
              <w:rPr>
                <w:rFonts w:ascii="Arial" w:hAnsi="Arial" w:cs="Arial"/>
                <w:bCs/>
                <w:color w:val="215868" w:themeColor="accent5" w:themeShade="80"/>
                <w:sz w:val="18"/>
                <w:szCs w:val="18"/>
              </w:rPr>
              <w:t>%</w:t>
            </w:r>
          </w:p>
        </w:tc>
      </w:tr>
      <w:tr w:rsidR="00A74177" w:rsidRPr="00E43E81" w14:paraId="46FEDBDA" w14:textId="77777777" w:rsidTr="00A74177">
        <w:trPr>
          <w:trHeight w:val="140"/>
        </w:trPr>
        <w:tc>
          <w:tcPr>
            <w:cnfStyle w:val="001000000000" w:firstRow="0" w:lastRow="0" w:firstColumn="1" w:lastColumn="0" w:oddVBand="0" w:evenVBand="0" w:oddHBand="0" w:evenHBand="0" w:firstRowFirstColumn="0" w:firstRowLastColumn="0" w:lastRowFirstColumn="0" w:lastRowLastColumn="0"/>
            <w:tcW w:w="1321" w:type="dxa"/>
            <w:vAlign w:val="center"/>
          </w:tcPr>
          <w:p w14:paraId="58B6C900" w14:textId="77777777" w:rsidR="00A74177" w:rsidRPr="00E43E81" w:rsidRDefault="00A74177" w:rsidP="003A7E92">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856" w:type="dxa"/>
            <w:vAlign w:val="bottom"/>
          </w:tcPr>
          <w:p w14:paraId="7749F936" w14:textId="7F613E9F" w:rsidR="00A74177" w:rsidRPr="00EF524A" w:rsidRDefault="00EF52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EF524A">
              <w:rPr>
                <w:rFonts w:ascii="Arial" w:hAnsi="Arial" w:cs="Arial"/>
                <w:color w:val="215868"/>
                <w:sz w:val="18"/>
                <w:szCs w:val="18"/>
              </w:rPr>
              <w:t>+</w:t>
            </w:r>
            <w:r w:rsidR="00A74177" w:rsidRPr="00EF524A">
              <w:rPr>
                <w:rFonts w:ascii="Arial" w:hAnsi="Arial" w:cs="Arial"/>
                <w:color w:val="215868"/>
                <w:sz w:val="18"/>
                <w:szCs w:val="18"/>
              </w:rPr>
              <w:t>8%</w:t>
            </w:r>
          </w:p>
        </w:tc>
        <w:tc>
          <w:tcPr>
            <w:tcW w:w="856" w:type="dxa"/>
            <w:vAlign w:val="bottom"/>
          </w:tcPr>
          <w:p w14:paraId="6BEA8241" w14:textId="10F06439" w:rsidR="00A74177" w:rsidRDefault="00EF52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11%</w:t>
            </w:r>
          </w:p>
        </w:tc>
        <w:tc>
          <w:tcPr>
            <w:tcW w:w="856" w:type="dxa"/>
            <w:vAlign w:val="bottom"/>
          </w:tcPr>
          <w:p w14:paraId="1E93D859" w14:textId="033226AC" w:rsidR="00A74177" w:rsidRDefault="00EF52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8%</w:t>
            </w:r>
          </w:p>
        </w:tc>
        <w:tc>
          <w:tcPr>
            <w:tcW w:w="856" w:type="dxa"/>
            <w:vAlign w:val="bottom"/>
          </w:tcPr>
          <w:p w14:paraId="28DF94FE" w14:textId="49269083" w:rsidR="00A74177" w:rsidRDefault="00EF52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9%</w:t>
            </w:r>
          </w:p>
        </w:tc>
        <w:tc>
          <w:tcPr>
            <w:tcW w:w="856" w:type="dxa"/>
            <w:vAlign w:val="bottom"/>
          </w:tcPr>
          <w:p w14:paraId="246392C4" w14:textId="77777777" w:rsidR="00A74177" w:rsidRDefault="00A7417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857" w:type="dxa"/>
          </w:tcPr>
          <w:p w14:paraId="1B022F6A" w14:textId="77777777" w:rsidR="00A74177" w:rsidRDefault="00A7417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-6%</w:t>
            </w:r>
          </w:p>
        </w:tc>
        <w:tc>
          <w:tcPr>
            <w:tcW w:w="856" w:type="dxa"/>
          </w:tcPr>
          <w:p w14:paraId="3DE1B08D" w14:textId="77777777" w:rsidR="00A74177" w:rsidRDefault="00A7417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w:t>
            </w:r>
          </w:p>
        </w:tc>
        <w:tc>
          <w:tcPr>
            <w:tcW w:w="856" w:type="dxa"/>
          </w:tcPr>
          <w:p w14:paraId="163EF029" w14:textId="07D3ABDC" w:rsidR="00A74177" w:rsidRDefault="00EF524A"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-1.2%</w:t>
            </w:r>
          </w:p>
        </w:tc>
        <w:tc>
          <w:tcPr>
            <w:tcW w:w="856" w:type="dxa"/>
          </w:tcPr>
          <w:p w14:paraId="07900DB2" w14:textId="12AB1DDB" w:rsidR="00A74177" w:rsidRDefault="007C430F"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w:t>
            </w:r>
            <w:r w:rsidR="00A74177">
              <w:rPr>
                <w:rFonts w:ascii="Arial" w:hAnsi="Arial" w:cs="Arial"/>
                <w:color w:val="215868" w:themeColor="accent5" w:themeShade="80"/>
                <w:sz w:val="18"/>
                <w:szCs w:val="18"/>
              </w:rPr>
              <w:t>B</w:t>
            </w:r>
          </w:p>
        </w:tc>
        <w:tc>
          <w:tcPr>
            <w:tcW w:w="856" w:type="dxa"/>
          </w:tcPr>
          <w:p w14:paraId="3C6A0D01" w14:textId="0760F060" w:rsidR="00A74177" w:rsidRPr="00E43E81" w:rsidRDefault="00A74177"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EF524A">
              <w:rPr>
                <w:rFonts w:ascii="Arial" w:hAnsi="Arial" w:cs="Arial"/>
                <w:color w:val="215868" w:themeColor="accent5" w:themeShade="80"/>
                <w:sz w:val="18"/>
                <w:szCs w:val="18"/>
              </w:rPr>
              <w:t>1.5</w:t>
            </w:r>
            <w:r w:rsidRPr="00E43E81">
              <w:rPr>
                <w:rFonts w:ascii="Arial" w:hAnsi="Arial" w:cs="Arial"/>
                <w:color w:val="215868" w:themeColor="accent5" w:themeShade="80"/>
                <w:sz w:val="18"/>
                <w:szCs w:val="18"/>
              </w:rPr>
              <w:t>%</w:t>
            </w:r>
          </w:p>
        </w:tc>
        <w:tc>
          <w:tcPr>
            <w:tcW w:w="857" w:type="dxa"/>
          </w:tcPr>
          <w:p w14:paraId="4B81A0B3" w14:textId="528C7CAB"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EF524A">
              <w:rPr>
                <w:rFonts w:ascii="Arial" w:hAnsi="Arial" w:cs="Arial"/>
                <w:color w:val="215868" w:themeColor="accent5" w:themeShade="80"/>
                <w:sz w:val="18"/>
                <w:szCs w:val="18"/>
              </w:rPr>
              <w:t>7.1</w:t>
            </w:r>
            <w:r w:rsidRPr="00E43E81">
              <w:rPr>
                <w:rFonts w:ascii="Arial" w:hAnsi="Arial" w:cs="Arial"/>
                <w:color w:val="215868" w:themeColor="accent5" w:themeShade="80"/>
                <w:sz w:val="18"/>
                <w:szCs w:val="18"/>
              </w:rPr>
              <w:t>%</w:t>
            </w:r>
          </w:p>
        </w:tc>
      </w:tr>
      <w:tr w:rsidR="00A74177" w:rsidRPr="00E43E81" w14:paraId="3BB052DA" w14:textId="77777777" w:rsidTr="00EF524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321" w:type="dxa"/>
            <w:tcBorders>
              <w:left w:val="none" w:sz="0" w:space="0" w:color="auto"/>
              <w:right w:val="none" w:sz="0" w:space="0" w:color="auto"/>
            </w:tcBorders>
            <w:vAlign w:val="center"/>
          </w:tcPr>
          <w:p w14:paraId="3A451875" w14:textId="77777777" w:rsidR="00A74177" w:rsidRPr="00E43E81" w:rsidRDefault="00A74177" w:rsidP="003A7E92">
            <w:pPr>
              <w:pStyle w:val="NoSpacing"/>
              <w:rPr>
                <w:rFonts w:ascii="Arial" w:hAnsi="Arial" w:cs="Arial"/>
                <w:color w:val="215868" w:themeColor="accent5" w:themeShade="80"/>
                <w:sz w:val="18"/>
                <w:szCs w:val="18"/>
              </w:rPr>
            </w:pPr>
            <w:r w:rsidRPr="00E43E81">
              <w:rPr>
                <w:rFonts w:ascii="Arial" w:hAnsi="Arial" w:cs="Arial"/>
                <w:color w:val="215868" w:themeColor="accent5" w:themeShade="80"/>
                <w:sz w:val="18"/>
                <w:szCs w:val="18"/>
              </w:rPr>
              <w:t>Vegetables</w:t>
            </w:r>
          </w:p>
        </w:tc>
        <w:tc>
          <w:tcPr>
            <w:tcW w:w="856" w:type="dxa"/>
            <w:tcBorders>
              <w:left w:val="none" w:sz="0" w:space="0" w:color="auto"/>
              <w:right w:val="none" w:sz="0" w:space="0" w:color="auto"/>
            </w:tcBorders>
            <w:vAlign w:val="bottom"/>
          </w:tcPr>
          <w:p w14:paraId="07C80751" w14:textId="77777777" w:rsidR="00A74177" w:rsidRPr="00EF524A" w:rsidRDefault="00A7417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6" w:type="dxa"/>
            <w:tcBorders>
              <w:left w:val="none" w:sz="0" w:space="0" w:color="auto"/>
              <w:right w:val="none" w:sz="0" w:space="0" w:color="auto"/>
            </w:tcBorders>
            <w:vAlign w:val="bottom"/>
          </w:tcPr>
          <w:p w14:paraId="1FCD547E" w14:textId="77777777" w:rsidR="00A74177" w:rsidRDefault="00A7417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6" w:type="dxa"/>
            <w:tcBorders>
              <w:left w:val="none" w:sz="0" w:space="0" w:color="auto"/>
              <w:right w:val="none" w:sz="0" w:space="0" w:color="auto"/>
            </w:tcBorders>
            <w:vAlign w:val="bottom"/>
          </w:tcPr>
          <w:p w14:paraId="232F23BE" w14:textId="77777777" w:rsidR="00A74177" w:rsidRDefault="00A7417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6" w:type="dxa"/>
            <w:tcBorders>
              <w:left w:val="none" w:sz="0" w:space="0" w:color="auto"/>
              <w:right w:val="none" w:sz="0" w:space="0" w:color="auto"/>
            </w:tcBorders>
            <w:vAlign w:val="bottom"/>
          </w:tcPr>
          <w:p w14:paraId="627AEBD0" w14:textId="77777777" w:rsidR="00A74177" w:rsidRDefault="00A7417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6" w:type="dxa"/>
            <w:tcBorders>
              <w:left w:val="none" w:sz="0" w:space="0" w:color="auto"/>
              <w:right w:val="none" w:sz="0" w:space="0" w:color="auto"/>
            </w:tcBorders>
            <w:vAlign w:val="bottom"/>
          </w:tcPr>
          <w:p w14:paraId="20B588D2" w14:textId="77777777" w:rsidR="00A74177" w:rsidRDefault="00A7417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7" w:type="dxa"/>
            <w:tcBorders>
              <w:left w:val="none" w:sz="0" w:space="0" w:color="auto"/>
              <w:right w:val="none" w:sz="0" w:space="0" w:color="auto"/>
            </w:tcBorders>
          </w:tcPr>
          <w:p w14:paraId="6F4E963C" w14:textId="77777777" w:rsidR="00A74177" w:rsidRDefault="00A7417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6" w:type="dxa"/>
            <w:tcBorders>
              <w:left w:val="none" w:sz="0" w:space="0" w:color="auto"/>
              <w:right w:val="none" w:sz="0" w:space="0" w:color="auto"/>
            </w:tcBorders>
          </w:tcPr>
          <w:p w14:paraId="34E6739C" w14:textId="77777777" w:rsidR="00A74177" w:rsidRDefault="00A74177">
            <w:pPr>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p>
        </w:tc>
        <w:tc>
          <w:tcPr>
            <w:tcW w:w="856" w:type="dxa"/>
            <w:tcBorders>
              <w:left w:val="none" w:sz="0" w:space="0" w:color="auto"/>
              <w:right w:val="none" w:sz="0" w:space="0" w:color="auto"/>
            </w:tcBorders>
          </w:tcPr>
          <w:p w14:paraId="07EDEC3C" w14:textId="77777777" w:rsidR="00A74177" w:rsidRPr="00E43E81" w:rsidRDefault="00A74177" w:rsidP="00CD25A6">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6" w:type="dxa"/>
            <w:tcBorders>
              <w:left w:val="none" w:sz="0" w:space="0" w:color="auto"/>
              <w:right w:val="none" w:sz="0" w:space="0" w:color="auto"/>
            </w:tcBorders>
          </w:tcPr>
          <w:p w14:paraId="4D8C74FD" w14:textId="77777777" w:rsidR="00A74177" w:rsidRPr="00E43E81" w:rsidRDefault="00A74177" w:rsidP="00CD25A6">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6" w:type="dxa"/>
            <w:tcBorders>
              <w:left w:val="none" w:sz="0" w:space="0" w:color="auto"/>
              <w:right w:val="none" w:sz="0" w:space="0" w:color="auto"/>
            </w:tcBorders>
          </w:tcPr>
          <w:p w14:paraId="2070FAC9" w14:textId="77777777" w:rsidR="00A74177" w:rsidRPr="00E43E81" w:rsidRDefault="00A74177" w:rsidP="00CD25A6">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c>
          <w:tcPr>
            <w:tcW w:w="857" w:type="dxa"/>
            <w:tcBorders>
              <w:left w:val="none" w:sz="0" w:space="0" w:color="auto"/>
              <w:right w:val="none" w:sz="0" w:space="0" w:color="auto"/>
            </w:tcBorders>
          </w:tcPr>
          <w:p w14:paraId="2951A193" w14:textId="77777777" w:rsidR="00A74177" w:rsidRPr="00E43E81" w:rsidRDefault="00A74177" w:rsidP="00B63160">
            <w:pPr>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p>
        </w:tc>
      </w:tr>
      <w:tr w:rsidR="00A74177" w:rsidRPr="00E43E81" w14:paraId="0C8BC889" w14:textId="77777777" w:rsidTr="00A74177">
        <w:trPr>
          <w:trHeight w:val="140"/>
        </w:trPr>
        <w:tc>
          <w:tcPr>
            <w:cnfStyle w:val="001000000000" w:firstRow="0" w:lastRow="0" w:firstColumn="1" w:lastColumn="0" w:oddVBand="0" w:evenVBand="0" w:oddHBand="0" w:evenHBand="0" w:firstRowFirstColumn="0" w:firstRowLastColumn="0" w:lastRowFirstColumn="0" w:lastRowLastColumn="0"/>
            <w:tcW w:w="1321" w:type="dxa"/>
            <w:vAlign w:val="center"/>
          </w:tcPr>
          <w:p w14:paraId="766755DA" w14:textId="77777777" w:rsidR="00A74177" w:rsidRPr="00E43E81" w:rsidRDefault="00A74177" w:rsidP="003A7E92">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Dollars</w:t>
            </w:r>
          </w:p>
        </w:tc>
        <w:tc>
          <w:tcPr>
            <w:tcW w:w="856" w:type="dxa"/>
            <w:vAlign w:val="bottom"/>
          </w:tcPr>
          <w:p w14:paraId="7555722B" w14:textId="50AC679A" w:rsidR="00A74177" w:rsidRPr="00EF524A" w:rsidRDefault="00EF52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EF524A">
              <w:rPr>
                <w:rFonts w:ascii="Arial" w:hAnsi="Arial" w:cs="Arial"/>
                <w:color w:val="215868"/>
                <w:sz w:val="18"/>
                <w:szCs w:val="18"/>
              </w:rPr>
              <w:t>+</w:t>
            </w:r>
            <w:r w:rsidR="00A74177" w:rsidRPr="00EF524A">
              <w:rPr>
                <w:rFonts w:ascii="Arial" w:hAnsi="Arial" w:cs="Arial"/>
                <w:color w:val="215868"/>
                <w:sz w:val="18"/>
                <w:szCs w:val="18"/>
              </w:rPr>
              <w:t>8%</w:t>
            </w:r>
          </w:p>
        </w:tc>
        <w:tc>
          <w:tcPr>
            <w:tcW w:w="856" w:type="dxa"/>
            <w:vAlign w:val="bottom"/>
          </w:tcPr>
          <w:p w14:paraId="6A09E410" w14:textId="71419B2C" w:rsidR="00A74177" w:rsidRDefault="00EF52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21%</w:t>
            </w:r>
          </w:p>
        </w:tc>
        <w:tc>
          <w:tcPr>
            <w:tcW w:w="856" w:type="dxa"/>
            <w:vAlign w:val="bottom"/>
          </w:tcPr>
          <w:p w14:paraId="187F312D" w14:textId="36023800" w:rsidR="00A74177" w:rsidRDefault="00EF52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15%</w:t>
            </w:r>
          </w:p>
        </w:tc>
        <w:tc>
          <w:tcPr>
            <w:tcW w:w="856" w:type="dxa"/>
            <w:vAlign w:val="bottom"/>
          </w:tcPr>
          <w:p w14:paraId="628E4C62" w14:textId="6782D35F" w:rsidR="00A74177" w:rsidRDefault="00EF52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15%</w:t>
            </w:r>
          </w:p>
        </w:tc>
        <w:tc>
          <w:tcPr>
            <w:tcW w:w="856" w:type="dxa"/>
            <w:vAlign w:val="bottom"/>
          </w:tcPr>
          <w:p w14:paraId="08153EEC" w14:textId="3BEC5A3E" w:rsidR="00A74177" w:rsidRDefault="00EF524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5%</w:t>
            </w:r>
          </w:p>
        </w:tc>
        <w:tc>
          <w:tcPr>
            <w:tcW w:w="857" w:type="dxa"/>
          </w:tcPr>
          <w:p w14:paraId="321B85C1" w14:textId="77777777" w:rsidR="00A74177" w:rsidRDefault="00A7417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w:t>
            </w:r>
          </w:p>
        </w:tc>
        <w:tc>
          <w:tcPr>
            <w:tcW w:w="856" w:type="dxa"/>
          </w:tcPr>
          <w:p w14:paraId="64E7026C" w14:textId="77777777" w:rsidR="00A74177" w:rsidRDefault="00A7417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w:t>
            </w:r>
          </w:p>
        </w:tc>
        <w:tc>
          <w:tcPr>
            <w:tcW w:w="856" w:type="dxa"/>
          </w:tcPr>
          <w:p w14:paraId="0D54C3C0" w14:textId="4DD3DDEF" w:rsidR="00A74177" w:rsidRDefault="00EF524A"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+0.1%</w:t>
            </w:r>
          </w:p>
        </w:tc>
        <w:tc>
          <w:tcPr>
            <w:tcW w:w="856" w:type="dxa"/>
          </w:tcPr>
          <w:p w14:paraId="07E6606A" w14:textId="3302AB43" w:rsidR="00A74177" w:rsidRDefault="00A74177"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7C430F">
              <w:rPr>
                <w:rFonts w:ascii="Arial" w:hAnsi="Arial" w:cs="Arial"/>
                <w:color w:val="215868" w:themeColor="accent5" w:themeShade="80"/>
                <w:sz w:val="18"/>
              </w:rPr>
              <w:t>2.7</w:t>
            </w:r>
            <w:r>
              <w:rPr>
                <w:rFonts w:ascii="Arial" w:hAnsi="Arial" w:cs="Arial"/>
                <w:color w:val="215868" w:themeColor="accent5" w:themeShade="80"/>
                <w:sz w:val="18"/>
              </w:rPr>
              <w:t>B</w:t>
            </w:r>
          </w:p>
        </w:tc>
        <w:tc>
          <w:tcPr>
            <w:tcW w:w="856" w:type="dxa"/>
          </w:tcPr>
          <w:p w14:paraId="2C0D76CF" w14:textId="06D0B9AE" w:rsidR="00A74177" w:rsidRPr="00E43E81" w:rsidRDefault="00A74177" w:rsidP="00AA6AE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EF524A">
              <w:rPr>
                <w:rFonts w:ascii="Arial" w:hAnsi="Arial" w:cs="Arial"/>
                <w:color w:val="215868" w:themeColor="accent5" w:themeShade="80"/>
                <w:sz w:val="18"/>
              </w:rPr>
              <w:t>1.0</w:t>
            </w:r>
            <w:r w:rsidRPr="00E43E81">
              <w:rPr>
                <w:rFonts w:ascii="Arial" w:hAnsi="Arial" w:cs="Arial"/>
                <w:color w:val="215868" w:themeColor="accent5" w:themeShade="80"/>
                <w:sz w:val="18"/>
              </w:rPr>
              <w:t>%</w:t>
            </w:r>
          </w:p>
        </w:tc>
        <w:tc>
          <w:tcPr>
            <w:tcW w:w="857" w:type="dxa"/>
          </w:tcPr>
          <w:p w14:paraId="1B93B4CC" w14:textId="60F396A5" w:rsidR="00A74177" w:rsidRPr="00E43E81" w:rsidRDefault="00A74177" w:rsidP="00A128E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EF524A">
              <w:rPr>
                <w:rFonts w:ascii="Arial" w:hAnsi="Arial" w:cs="Arial"/>
                <w:color w:val="215868" w:themeColor="accent5" w:themeShade="80"/>
                <w:sz w:val="18"/>
              </w:rPr>
              <w:t>16.8</w:t>
            </w:r>
            <w:r w:rsidRPr="00E43E81">
              <w:rPr>
                <w:rFonts w:ascii="Arial" w:hAnsi="Arial" w:cs="Arial"/>
                <w:color w:val="215868" w:themeColor="accent5" w:themeShade="80"/>
                <w:sz w:val="18"/>
              </w:rPr>
              <w:t>%</w:t>
            </w:r>
          </w:p>
        </w:tc>
      </w:tr>
      <w:tr w:rsidR="00A74177" w:rsidRPr="00E43E81" w14:paraId="0C0F3C51" w14:textId="77777777" w:rsidTr="00EF524A">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1321" w:type="dxa"/>
            <w:tcBorders>
              <w:left w:val="none" w:sz="0" w:space="0" w:color="auto"/>
              <w:right w:val="none" w:sz="0" w:space="0" w:color="auto"/>
            </w:tcBorders>
            <w:vAlign w:val="center"/>
          </w:tcPr>
          <w:p w14:paraId="6998DBC0" w14:textId="77777777" w:rsidR="00A74177" w:rsidRPr="00E43E81" w:rsidRDefault="00A74177" w:rsidP="003A7E92">
            <w:pPr>
              <w:pStyle w:val="NoSpacing"/>
              <w:jc w:val="right"/>
              <w:rPr>
                <w:rFonts w:ascii="Arial" w:hAnsi="Arial" w:cs="Arial"/>
                <w:b w:val="0"/>
                <w:color w:val="215868" w:themeColor="accent5" w:themeShade="80"/>
                <w:sz w:val="18"/>
                <w:szCs w:val="18"/>
              </w:rPr>
            </w:pPr>
            <w:r w:rsidRPr="00E43E81">
              <w:rPr>
                <w:rFonts w:ascii="Arial" w:hAnsi="Arial" w:cs="Arial"/>
                <w:b w:val="0"/>
                <w:color w:val="215868" w:themeColor="accent5" w:themeShade="80"/>
                <w:sz w:val="18"/>
                <w:szCs w:val="18"/>
              </w:rPr>
              <w:t xml:space="preserve">   Volume</w:t>
            </w:r>
          </w:p>
        </w:tc>
        <w:tc>
          <w:tcPr>
            <w:tcW w:w="856" w:type="dxa"/>
            <w:tcBorders>
              <w:left w:val="none" w:sz="0" w:space="0" w:color="auto"/>
              <w:right w:val="none" w:sz="0" w:space="0" w:color="auto"/>
            </w:tcBorders>
            <w:vAlign w:val="bottom"/>
          </w:tcPr>
          <w:p w14:paraId="2833467E" w14:textId="010F52F2" w:rsidR="00A74177" w:rsidRPr="00EF524A"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EF524A">
              <w:rPr>
                <w:rFonts w:ascii="Arial" w:hAnsi="Arial" w:cs="Arial"/>
                <w:color w:val="215868"/>
                <w:sz w:val="18"/>
                <w:szCs w:val="18"/>
              </w:rPr>
              <w:t>+</w:t>
            </w:r>
            <w:r w:rsidR="00A74177" w:rsidRPr="00EF524A">
              <w:rPr>
                <w:rFonts w:ascii="Arial" w:hAnsi="Arial" w:cs="Arial"/>
                <w:color w:val="215868"/>
                <w:sz w:val="18"/>
                <w:szCs w:val="18"/>
              </w:rPr>
              <w:t>11%</w:t>
            </w:r>
          </w:p>
        </w:tc>
        <w:tc>
          <w:tcPr>
            <w:tcW w:w="856" w:type="dxa"/>
            <w:tcBorders>
              <w:left w:val="none" w:sz="0" w:space="0" w:color="auto"/>
              <w:right w:val="none" w:sz="0" w:space="0" w:color="auto"/>
            </w:tcBorders>
            <w:vAlign w:val="bottom"/>
          </w:tcPr>
          <w:p w14:paraId="52241F46" w14:textId="7CEAD739" w:rsidR="00A74177"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22%</w:t>
            </w:r>
          </w:p>
        </w:tc>
        <w:tc>
          <w:tcPr>
            <w:tcW w:w="856" w:type="dxa"/>
            <w:tcBorders>
              <w:left w:val="none" w:sz="0" w:space="0" w:color="auto"/>
              <w:right w:val="none" w:sz="0" w:space="0" w:color="auto"/>
            </w:tcBorders>
            <w:vAlign w:val="bottom"/>
          </w:tcPr>
          <w:p w14:paraId="4ED08F8E" w14:textId="0E2B3597" w:rsidR="00A74177"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13%</w:t>
            </w:r>
          </w:p>
        </w:tc>
        <w:tc>
          <w:tcPr>
            <w:tcW w:w="856" w:type="dxa"/>
            <w:tcBorders>
              <w:left w:val="none" w:sz="0" w:space="0" w:color="auto"/>
              <w:right w:val="none" w:sz="0" w:space="0" w:color="auto"/>
            </w:tcBorders>
            <w:vAlign w:val="bottom"/>
          </w:tcPr>
          <w:p w14:paraId="32200D3C" w14:textId="20F3BEED" w:rsidR="00A74177" w:rsidRDefault="00EF524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A74177">
              <w:rPr>
                <w:rFonts w:ascii="Arial" w:hAnsi="Arial" w:cs="Arial"/>
                <w:color w:val="215868"/>
                <w:sz w:val="18"/>
                <w:szCs w:val="18"/>
              </w:rPr>
              <w:t>11%</w:t>
            </w:r>
          </w:p>
        </w:tc>
        <w:tc>
          <w:tcPr>
            <w:tcW w:w="856" w:type="dxa"/>
            <w:tcBorders>
              <w:left w:val="none" w:sz="0" w:space="0" w:color="auto"/>
              <w:right w:val="none" w:sz="0" w:space="0" w:color="auto"/>
            </w:tcBorders>
            <w:vAlign w:val="bottom"/>
          </w:tcPr>
          <w:p w14:paraId="12A877B0" w14:textId="77777777" w:rsidR="00A74177" w:rsidRDefault="00A7417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w:t>
            </w:r>
          </w:p>
        </w:tc>
        <w:tc>
          <w:tcPr>
            <w:tcW w:w="857" w:type="dxa"/>
            <w:tcBorders>
              <w:left w:val="none" w:sz="0" w:space="0" w:color="auto"/>
              <w:right w:val="none" w:sz="0" w:space="0" w:color="auto"/>
            </w:tcBorders>
          </w:tcPr>
          <w:p w14:paraId="640459F3" w14:textId="77777777" w:rsidR="00A74177" w:rsidRDefault="00A7417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-12%</w:t>
            </w:r>
          </w:p>
        </w:tc>
        <w:tc>
          <w:tcPr>
            <w:tcW w:w="856" w:type="dxa"/>
            <w:tcBorders>
              <w:left w:val="none" w:sz="0" w:space="0" w:color="auto"/>
              <w:right w:val="none" w:sz="0" w:space="0" w:color="auto"/>
            </w:tcBorders>
          </w:tcPr>
          <w:p w14:paraId="15FBB644" w14:textId="77777777" w:rsidR="00A74177" w:rsidRDefault="00A74177">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-6%</w:t>
            </w:r>
          </w:p>
        </w:tc>
        <w:tc>
          <w:tcPr>
            <w:tcW w:w="856" w:type="dxa"/>
            <w:tcBorders>
              <w:left w:val="none" w:sz="0" w:space="0" w:color="auto"/>
              <w:right w:val="none" w:sz="0" w:space="0" w:color="auto"/>
            </w:tcBorders>
          </w:tcPr>
          <w:p w14:paraId="748C1342" w14:textId="723DC362" w:rsidR="00A74177" w:rsidRDefault="00EF524A"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-5.7%</w:t>
            </w:r>
          </w:p>
        </w:tc>
        <w:tc>
          <w:tcPr>
            <w:tcW w:w="856" w:type="dxa"/>
            <w:tcBorders>
              <w:left w:val="none" w:sz="0" w:space="0" w:color="auto"/>
              <w:right w:val="none" w:sz="0" w:space="0" w:color="auto"/>
            </w:tcBorders>
          </w:tcPr>
          <w:p w14:paraId="3CCBD2E6" w14:textId="7C7D9A7E" w:rsidR="00A74177" w:rsidRDefault="007C430F"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1.5</w:t>
            </w:r>
            <w:r w:rsidR="00A74177">
              <w:rPr>
                <w:rFonts w:ascii="Arial" w:hAnsi="Arial" w:cs="Arial"/>
                <w:color w:val="215868" w:themeColor="accent5" w:themeShade="80"/>
                <w:sz w:val="18"/>
              </w:rPr>
              <w:t>B</w:t>
            </w:r>
          </w:p>
        </w:tc>
        <w:tc>
          <w:tcPr>
            <w:tcW w:w="856" w:type="dxa"/>
            <w:tcBorders>
              <w:left w:val="none" w:sz="0" w:space="0" w:color="auto"/>
              <w:right w:val="none" w:sz="0" w:space="0" w:color="auto"/>
            </w:tcBorders>
          </w:tcPr>
          <w:p w14:paraId="72668836" w14:textId="253646F0" w:rsidR="00A74177" w:rsidRPr="00E43E81" w:rsidRDefault="00A74177"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EF524A">
              <w:rPr>
                <w:rFonts w:ascii="Arial" w:hAnsi="Arial" w:cs="Arial"/>
                <w:color w:val="215868" w:themeColor="accent5" w:themeShade="80"/>
                <w:sz w:val="18"/>
              </w:rPr>
              <w:t>6.4</w:t>
            </w:r>
            <w:r w:rsidRPr="00E43E81">
              <w:rPr>
                <w:rFonts w:ascii="Arial" w:hAnsi="Arial" w:cs="Arial"/>
                <w:color w:val="215868" w:themeColor="accent5" w:themeShade="80"/>
                <w:sz w:val="18"/>
              </w:rPr>
              <w:t>%</w:t>
            </w:r>
          </w:p>
        </w:tc>
        <w:tc>
          <w:tcPr>
            <w:tcW w:w="857" w:type="dxa"/>
            <w:tcBorders>
              <w:left w:val="none" w:sz="0" w:space="0" w:color="auto"/>
              <w:right w:val="none" w:sz="0" w:space="0" w:color="auto"/>
            </w:tcBorders>
          </w:tcPr>
          <w:p w14:paraId="62846478" w14:textId="1FA56C3F" w:rsidR="00A74177" w:rsidRPr="00E43E81" w:rsidRDefault="00A74177" w:rsidP="00A128EA">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rPr>
            </w:pPr>
            <w:r>
              <w:rPr>
                <w:rFonts w:ascii="Arial" w:hAnsi="Arial" w:cs="Arial"/>
                <w:color w:val="215868" w:themeColor="accent5" w:themeShade="80"/>
                <w:sz w:val="18"/>
              </w:rPr>
              <w:t>+</w:t>
            </w:r>
            <w:r w:rsidR="00EF524A">
              <w:rPr>
                <w:rFonts w:ascii="Arial" w:hAnsi="Arial" w:cs="Arial"/>
                <w:color w:val="215868" w:themeColor="accent5" w:themeShade="80"/>
                <w:sz w:val="18"/>
              </w:rPr>
              <w:t>5.3</w:t>
            </w:r>
            <w:r w:rsidRPr="00E43E81">
              <w:rPr>
                <w:rFonts w:ascii="Arial" w:hAnsi="Arial" w:cs="Arial"/>
                <w:color w:val="215868" w:themeColor="accent5" w:themeShade="80"/>
                <w:sz w:val="18"/>
              </w:rPr>
              <w:t>%</w:t>
            </w:r>
          </w:p>
        </w:tc>
      </w:tr>
    </w:tbl>
    <w:p w14:paraId="3F89B868" w14:textId="77777777" w:rsidR="00315642" w:rsidRPr="002E09F5" w:rsidRDefault="00FE5D0F" w:rsidP="006069A6">
      <w:pPr>
        <w:pStyle w:val="NoSpacing"/>
        <w:rPr>
          <w:rFonts w:ascii="Arial" w:hAnsi="Arial" w:cs="Arial"/>
          <w:sz w:val="6"/>
          <w:szCs w:val="10"/>
        </w:rPr>
      </w:pPr>
      <w:r w:rsidRPr="002E09F5">
        <w:rPr>
          <w:rFonts w:ascii="Arial" w:hAnsi="Arial" w:cs="Arial"/>
          <w:sz w:val="6"/>
          <w:szCs w:val="10"/>
        </w:rPr>
        <w:t xml:space="preserve"> </w:t>
      </w:r>
    </w:p>
    <w:p w14:paraId="2174447A" w14:textId="4A9DAC11" w:rsidR="00441E8F" w:rsidRDefault="00441E8F" w:rsidP="00441E8F">
      <w:pPr>
        <w:pStyle w:val="NoSpacing"/>
        <w:rPr>
          <w:rFonts w:ascii="Arial" w:hAnsi="Arial" w:cs="Arial"/>
          <w:sz w:val="16"/>
          <w:szCs w:val="16"/>
        </w:rPr>
      </w:pPr>
      <w:r w:rsidRPr="00CF309B">
        <w:rPr>
          <w:rFonts w:ascii="Arial" w:hAnsi="Arial" w:cs="Arial"/>
          <w:sz w:val="16"/>
          <w:szCs w:val="16"/>
        </w:rPr>
        <w:t>Source:</w:t>
      </w:r>
      <w:r w:rsidR="00BA516E" w:rsidRPr="00CF309B">
        <w:rPr>
          <w:rFonts w:ascii="Arial" w:hAnsi="Arial" w:cs="Arial"/>
          <w:sz w:val="16"/>
          <w:szCs w:val="16"/>
        </w:rPr>
        <w:t xml:space="preserve"> IRI</w:t>
      </w:r>
      <w:r w:rsidR="00906C46">
        <w:rPr>
          <w:rFonts w:ascii="Arial" w:hAnsi="Arial" w:cs="Arial"/>
          <w:sz w:val="16"/>
          <w:szCs w:val="16"/>
        </w:rPr>
        <w:t xml:space="preserve"> Integrated Fresh,</w:t>
      </w:r>
      <w:r w:rsidR="00BA516E" w:rsidRPr="00CF309B">
        <w:rPr>
          <w:rFonts w:ascii="Arial" w:hAnsi="Arial" w:cs="Arial"/>
          <w:sz w:val="16"/>
          <w:szCs w:val="16"/>
        </w:rPr>
        <w:t xml:space="preserve"> Total U.S., MULO</w:t>
      </w:r>
    </w:p>
    <w:p w14:paraId="0473B5DF" w14:textId="09146DEE" w:rsidR="00517D7F" w:rsidRDefault="00517D7F" w:rsidP="00CB6454">
      <w:pPr>
        <w:pStyle w:val="NoSpacing"/>
        <w:rPr>
          <w:rFonts w:ascii="Arial" w:hAnsi="Arial" w:cs="Arial"/>
          <w:b/>
          <w:color w:val="595959" w:themeColor="text1" w:themeTint="A6"/>
          <w:sz w:val="24"/>
          <w:szCs w:val="24"/>
        </w:rPr>
      </w:pPr>
    </w:p>
    <w:p w14:paraId="6FCA0878" w14:textId="481F583E" w:rsidR="00413E9F" w:rsidRDefault="00413E9F" w:rsidP="00CB6454">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t>2021 Top Sellers Fruit and Vegetables</w:t>
      </w:r>
    </w:p>
    <w:tbl>
      <w:tblPr>
        <w:tblStyle w:val="LightShading-Accent5"/>
        <w:tblpPr w:leftFromText="180" w:rightFromText="180" w:vertAnchor="text" w:tblpXSpec="right" w:tblpY="1"/>
        <w:tblOverlap w:val="never"/>
        <w:tblW w:w="6300" w:type="dxa"/>
        <w:jc w:val="right"/>
        <w:tblBorders>
          <w:top w:val="none" w:sz="0" w:space="0" w:color="auto"/>
          <w:bottom w:val="none" w:sz="0" w:space="0" w:color="auto"/>
        </w:tblBorders>
        <w:tblLayout w:type="fixed"/>
        <w:tblLook w:val="04A0" w:firstRow="1" w:lastRow="0" w:firstColumn="1" w:lastColumn="0" w:noHBand="0" w:noVBand="1"/>
      </w:tblPr>
      <w:tblGrid>
        <w:gridCol w:w="1468"/>
        <w:gridCol w:w="2222"/>
        <w:gridCol w:w="2610"/>
      </w:tblGrid>
      <w:tr w:rsidR="001D2163" w:rsidRPr="000F7932" w14:paraId="33557A13" w14:textId="77777777" w:rsidTr="001D2163">
        <w:trPr>
          <w:cnfStyle w:val="100000000000" w:firstRow="1" w:lastRow="0" w:firstColumn="0" w:lastColumn="0" w:oddVBand="0" w:evenVBand="0" w:oddHBand="0" w:evenHBand="0" w:firstRowFirstColumn="0" w:firstRowLastColumn="0" w:lastRowFirstColumn="0" w:lastRowLastColumn="0"/>
          <w:trHeight w:val="235"/>
          <w:jc w:val="right"/>
        </w:trPr>
        <w:tc>
          <w:tcPr>
            <w:cnfStyle w:val="001000000000" w:firstRow="0" w:lastRow="0" w:firstColumn="1" w:lastColumn="0" w:oddVBand="0" w:evenVBand="0" w:oddHBand="0" w:evenHBand="0" w:firstRowFirstColumn="0" w:firstRowLastColumn="0" w:lastRowFirstColumn="0" w:lastRowLastColumn="0"/>
            <w:tcW w:w="1468"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C45AA92" w14:textId="77777777" w:rsidR="001D2163" w:rsidRPr="00413E9F" w:rsidRDefault="001D2163" w:rsidP="001729EA">
            <w:pPr>
              <w:pStyle w:val="NoSpacing"/>
              <w:jc w:val="right"/>
              <w:rPr>
                <w:rFonts w:ascii="Arial" w:hAnsi="Arial" w:cs="Arial"/>
                <w:color w:val="FFFFFF" w:themeColor="background1"/>
                <w:sz w:val="18"/>
                <w:szCs w:val="18"/>
              </w:rPr>
            </w:pPr>
          </w:p>
        </w:tc>
        <w:tc>
          <w:tcPr>
            <w:tcW w:w="2222"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77AD9B72" w14:textId="77777777" w:rsidR="001D2163" w:rsidRPr="00413E9F" w:rsidRDefault="001D2163" w:rsidP="001729EA">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13E9F">
              <w:rPr>
                <w:rFonts w:ascii="Arial" w:hAnsi="Arial" w:cs="Arial"/>
                <w:color w:val="FFFFFF" w:themeColor="background1"/>
                <w:sz w:val="18"/>
                <w:szCs w:val="18"/>
              </w:rPr>
              <w:t>2021 sales</w:t>
            </w:r>
          </w:p>
        </w:tc>
        <w:tc>
          <w:tcPr>
            <w:tcW w:w="2610"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5A3160A5" w14:textId="77777777" w:rsidR="001D2163" w:rsidRPr="00413E9F" w:rsidRDefault="001D2163" w:rsidP="001729EA">
            <w:pPr>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413E9F">
              <w:rPr>
                <w:rFonts w:ascii="Arial" w:hAnsi="Arial" w:cs="Arial"/>
                <w:color w:val="FFFFFF" w:themeColor="background1"/>
                <w:sz w:val="18"/>
                <w:szCs w:val="18"/>
              </w:rPr>
              <w:t>2021 $ sales growth</w:t>
            </w:r>
          </w:p>
        </w:tc>
      </w:tr>
      <w:tr w:rsidR="001D2163" w14:paraId="3476D7D9" w14:textId="77777777" w:rsidTr="001D2163">
        <w:trPr>
          <w:cnfStyle w:val="000000100000" w:firstRow="0" w:lastRow="0" w:firstColumn="0" w:lastColumn="0" w:oddVBand="0" w:evenVBand="0" w:oddHBand="1" w:evenHBand="0" w:firstRowFirstColumn="0" w:firstRowLastColumn="0" w:lastRowFirstColumn="0" w:lastRowLastColumn="0"/>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71390676" w14:textId="77777777" w:rsidR="001D2163" w:rsidRPr="00413E9F" w:rsidRDefault="001D2163" w:rsidP="001D2163">
            <w:pPr>
              <w:pStyle w:val="NoSpacing"/>
              <w:jc w:val="right"/>
              <w:rPr>
                <w:rFonts w:ascii="Arial" w:hAnsi="Arial" w:cs="Arial"/>
                <w:b w:val="0"/>
                <w:color w:val="0F243E" w:themeColor="text2" w:themeShade="80"/>
                <w:sz w:val="18"/>
                <w:szCs w:val="18"/>
              </w:rPr>
            </w:pPr>
            <w:r w:rsidRPr="00413E9F">
              <w:rPr>
                <w:rFonts w:ascii="Arial" w:hAnsi="Arial" w:cs="Arial"/>
                <w:b w:val="0"/>
                <w:color w:val="0F243E" w:themeColor="text2" w:themeShade="80"/>
                <w:sz w:val="18"/>
                <w:szCs w:val="18"/>
              </w:rPr>
              <w:t>Berries</w:t>
            </w:r>
          </w:p>
        </w:tc>
        <w:tc>
          <w:tcPr>
            <w:tcW w:w="2222" w:type="dxa"/>
            <w:vAlign w:val="center"/>
          </w:tcPr>
          <w:p w14:paraId="33B9DBB9"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$8.1B</w:t>
            </w:r>
          </w:p>
        </w:tc>
        <w:tc>
          <w:tcPr>
            <w:tcW w:w="2610" w:type="dxa"/>
            <w:vAlign w:val="center"/>
          </w:tcPr>
          <w:p w14:paraId="7C2F0F9C"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+11.7%</w:t>
            </w:r>
          </w:p>
        </w:tc>
      </w:tr>
      <w:tr w:rsidR="001D2163" w14:paraId="0FE2FF22" w14:textId="77777777" w:rsidTr="001D2163">
        <w:trPr>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4E436331" w14:textId="77777777" w:rsidR="001D2163" w:rsidRPr="00413E9F" w:rsidRDefault="001D2163" w:rsidP="001D2163">
            <w:pPr>
              <w:pStyle w:val="NoSpacing"/>
              <w:jc w:val="right"/>
              <w:rPr>
                <w:rFonts w:ascii="Arial" w:hAnsi="Arial" w:cs="Arial"/>
                <w:b w:val="0"/>
                <w:color w:val="0F243E" w:themeColor="text2" w:themeShade="80"/>
                <w:sz w:val="18"/>
                <w:szCs w:val="18"/>
              </w:rPr>
            </w:pPr>
            <w:r w:rsidRPr="00413E9F">
              <w:rPr>
                <w:rFonts w:ascii="Arial" w:hAnsi="Arial" w:cs="Arial"/>
                <w:b w:val="0"/>
                <w:color w:val="0F243E" w:themeColor="text2" w:themeShade="80"/>
                <w:sz w:val="18"/>
                <w:szCs w:val="18"/>
              </w:rPr>
              <w:t xml:space="preserve">  Apples</w:t>
            </w:r>
          </w:p>
        </w:tc>
        <w:tc>
          <w:tcPr>
            <w:tcW w:w="2222" w:type="dxa"/>
            <w:vAlign w:val="center"/>
          </w:tcPr>
          <w:p w14:paraId="0A4133F5"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$4.1B</w:t>
            </w:r>
          </w:p>
        </w:tc>
        <w:tc>
          <w:tcPr>
            <w:tcW w:w="2610" w:type="dxa"/>
            <w:vAlign w:val="center"/>
          </w:tcPr>
          <w:p w14:paraId="0272F9BA"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+4.5%</w:t>
            </w:r>
          </w:p>
        </w:tc>
      </w:tr>
      <w:tr w:rsidR="001D2163" w14:paraId="42179405" w14:textId="77777777" w:rsidTr="001D2163">
        <w:trPr>
          <w:cnfStyle w:val="000000100000" w:firstRow="0" w:lastRow="0" w:firstColumn="0" w:lastColumn="0" w:oddVBand="0" w:evenVBand="0" w:oddHBand="1" w:evenHBand="0" w:firstRowFirstColumn="0" w:firstRowLastColumn="0" w:lastRowFirstColumn="0" w:lastRowLastColumn="0"/>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1262756D" w14:textId="77777777" w:rsidR="001D2163" w:rsidRPr="00413E9F" w:rsidRDefault="001D2163" w:rsidP="001D2163">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Tomatoes</w:t>
            </w:r>
          </w:p>
        </w:tc>
        <w:tc>
          <w:tcPr>
            <w:tcW w:w="2222" w:type="dxa"/>
            <w:vAlign w:val="center"/>
          </w:tcPr>
          <w:p w14:paraId="663F984F"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$3.9B</w:t>
            </w:r>
          </w:p>
        </w:tc>
        <w:tc>
          <w:tcPr>
            <w:tcW w:w="2610" w:type="dxa"/>
            <w:vAlign w:val="center"/>
          </w:tcPr>
          <w:p w14:paraId="30C2F401"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-2.9%</w:t>
            </w:r>
          </w:p>
        </w:tc>
      </w:tr>
      <w:tr w:rsidR="001D2163" w14:paraId="017C9174" w14:textId="77777777" w:rsidTr="001D2163">
        <w:trPr>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1D964C80" w14:textId="77777777" w:rsidR="001D2163" w:rsidRPr="00413E9F" w:rsidRDefault="001D2163" w:rsidP="001D2163">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Grapes</w:t>
            </w:r>
          </w:p>
        </w:tc>
        <w:tc>
          <w:tcPr>
            <w:tcW w:w="2222" w:type="dxa"/>
            <w:vAlign w:val="center"/>
          </w:tcPr>
          <w:p w14:paraId="2A018552"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$3.6B</w:t>
            </w:r>
          </w:p>
        </w:tc>
        <w:tc>
          <w:tcPr>
            <w:tcW w:w="2610" w:type="dxa"/>
            <w:vAlign w:val="center"/>
          </w:tcPr>
          <w:p w14:paraId="176464D2"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+6.4%</w:t>
            </w:r>
          </w:p>
        </w:tc>
      </w:tr>
      <w:tr w:rsidR="001D2163" w14:paraId="46E040E8" w14:textId="77777777" w:rsidTr="001D2163">
        <w:trPr>
          <w:cnfStyle w:val="000000100000" w:firstRow="0" w:lastRow="0" w:firstColumn="0" w:lastColumn="0" w:oddVBand="0" w:evenVBand="0" w:oddHBand="1" w:evenHBand="0" w:firstRowFirstColumn="0" w:firstRowLastColumn="0" w:lastRowFirstColumn="0" w:lastRowLastColumn="0"/>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22E4B55B" w14:textId="77777777" w:rsidR="001D2163" w:rsidRPr="00413E9F" w:rsidRDefault="001D2163" w:rsidP="001D2163">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Potatoes</w:t>
            </w:r>
          </w:p>
        </w:tc>
        <w:tc>
          <w:tcPr>
            <w:tcW w:w="2222" w:type="dxa"/>
            <w:vAlign w:val="center"/>
          </w:tcPr>
          <w:p w14:paraId="3B0E2FF6"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$3.3B</w:t>
            </w:r>
          </w:p>
        </w:tc>
        <w:tc>
          <w:tcPr>
            <w:tcW w:w="2610" w:type="dxa"/>
            <w:vAlign w:val="center"/>
          </w:tcPr>
          <w:p w14:paraId="2A52D5C9"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-7.3%</w:t>
            </w:r>
          </w:p>
        </w:tc>
      </w:tr>
      <w:tr w:rsidR="001D2163" w14:paraId="6BED096E" w14:textId="77777777" w:rsidTr="001D2163">
        <w:trPr>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2426E9A9" w14:textId="77777777" w:rsidR="001D2163" w:rsidRPr="00413E9F" w:rsidRDefault="001D2163" w:rsidP="001D2163">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Bananas</w:t>
            </w:r>
          </w:p>
        </w:tc>
        <w:tc>
          <w:tcPr>
            <w:tcW w:w="2222" w:type="dxa"/>
            <w:vAlign w:val="center"/>
          </w:tcPr>
          <w:p w14:paraId="03DEC905"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$3.2B</w:t>
            </w:r>
          </w:p>
        </w:tc>
        <w:tc>
          <w:tcPr>
            <w:tcW w:w="2610" w:type="dxa"/>
            <w:vAlign w:val="center"/>
          </w:tcPr>
          <w:p w14:paraId="14D28961"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+1.1%</w:t>
            </w:r>
          </w:p>
        </w:tc>
      </w:tr>
      <w:tr w:rsidR="001D2163" w14:paraId="6BE346DE" w14:textId="77777777" w:rsidTr="001D2163">
        <w:trPr>
          <w:cnfStyle w:val="000000100000" w:firstRow="0" w:lastRow="0" w:firstColumn="0" w:lastColumn="0" w:oddVBand="0" w:evenVBand="0" w:oddHBand="1" w:evenHBand="0" w:firstRowFirstColumn="0" w:firstRowLastColumn="0" w:lastRowFirstColumn="0" w:lastRowLastColumn="0"/>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7F8FADD4" w14:textId="77777777" w:rsidR="001D2163" w:rsidRPr="00413E9F" w:rsidRDefault="001D2163" w:rsidP="001D2163">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Salad kits</w:t>
            </w:r>
          </w:p>
        </w:tc>
        <w:tc>
          <w:tcPr>
            <w:tcW w:w="2222" w:type="dxa"/>
            <w:vAlign w:val="center"/>
          </w:tcPr>
          <w:p w14:paraId="460C9B5F"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$3.2B</w:t>
            </w:r>
          </w:p>
        </w:tc>
        <w:tc>
          <w:tcPr>
            <w:tcW w:w="2610" w:type="dxa"/>
            <w:vAlign w:val="center"/>
          </w:tcPr>
          <w:p w14:paraId="6CB16101"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+11.5%</w:t>
            </w:r>
          </w:p>
        </w:tc>
      </w:tr>
      <w:tr w:rsidR="001D2163" w14:paraId="084C22A5" w14:textId="77777777" w:rsidTr="001D2163">
        <w:trPr>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092294E2" w14:textId="77777777" w:rsidR="001D2163" w:rsidRPr="00413E9F" w:rsidRDefault="001D2163" w:rsidP="001D2163">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Melons</w:t>
            </w:r>
          </w:p>
        </w:tc>
        <w:tc>
          <w:tcPr>
            <w:tcW w:w="2222" w:type="dxa"/>
            <w:vAlign w:val="center"/>
          </w:tcPr>
          <w:p w14:paraId="0EB65AAD"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$3.0B</w:t>
            </w:r>
          </w:p>
        </w:tc>
        <w:tc>
          <w:tcPr>
            <w:tcW w:w="2610" w:type="dxa"/>
            <w:vAlign w:val="center"/>
          </w:tcPr>
          <w:p w14:paraId="04C157A6"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+11.4%</w:t>
            </w:r>
          </w:p>
        </w:tc>
      </w:tr>
      <w:tr w:rsidR="001D2163" w14:paraId="58938E12" w14:textId="77777777" w:rsidTr="001D2163">
        <w:trPr>
          <w:cnfStyle w:val="000000100000" w:firstRow="0" w:lastRow="0" w:firstColumn="0" w:lastColumn="0" w:oddVBand="0" w:evenVBand="0" w:oddHBand="1" w:evenHBand="0" w:firstRowFirstColumn="0" w:firstRowLastColumn="0" w:lastRowFirstColumn="0" w:lastRowLastColumn="0"/>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6BD9D547" w14:textId="77777777" w:rsidR="001D2163" w:rsidRPr="00413E9F" w:rsidRDefault="001D2163" w:rsidP="001D2163">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Lettuce</w:t>
            </w:r>
          </w:p>
        </w:tc>
        <w:tc>
          <w:tcPr>
            <w:tcW w:w="2222" w:type="dxa"/>
            <w:vAlign w:val="center"/>
          </w:tcPr>
          <w:p w14:paraId="1ED7ED9F"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$2.7B</w:t>
            </w:r>
          </w:p>
        </w:tc>
        <w:tc>
          <w:tcPr>
            <w:tcW w:w="2610" w:type="dxa"/>
            <w:vAlign w:val="center"/>
          </w:tcPr>
          <w:p w14:paraId="5CC3A4BB" w14:textId="77777777" w:rsidR="001D2163" w:rsidRPr="00413E9F" w:rsidRDefault="001D2163" w:rsidP="001D216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+1.9%</w:t>
            </w:r>
          </w:p>
        </w:tc>
      </w:tr>
      <w:tr w:rsidR="001D2163" w14:paraId="4691C7DD" w14:textId="77777777" w:rsidTr="001D2163">
        <w:trPr>
          <w:trHeight w:val="253"/>
          <w:jc w:val="right"/>
        </w:trPr>
        <w:tc>
          <w:tcPr>
            <w:cnfStyle w:val="001000000000" w:firstRow="0" w:lastRow="0" w:firstColumn="1" w:lastColumn="0" w:oddVBand="0" w:evenVBand="0" w:oddHBand="0" w:evenHBand="0" w:firstRowFirstColumn="0" w:firstRowLastColumn="0" w:lastRowFirstColumn="0" w:lastRowLastColumn="0"/>
            <w:tcW w:w="1468" w:type="dxa"/>
            <w:vAlign w:val="center"/>
          </w:tcPr>
          <w:p w14:paraId="2FBE3736" w14:textId="77777777" w:rsidR="001D2163" w:rsidRPr="00413E9F" w:rsidRDefault="001D2163" w:rsidP="001D2163">
            <w:pPr>
              <w:pStyle w:val="NoSpacing"/>
              <w:jc w:val="right"/>
              <w:rPr>
                <w:rFonts w:ascii="Arial" w:hAnsi="Arial" w:cs="Arial"/>
                <w:b w:val="0"/>
                <w:color w:val="0F243E" w:themeColor="text2" w:themeShade="80"/>
                <w:sz w:val="18"/>
                <w:szCs w:val="18"/>
              </w:rPr>
            </w:pPr>
            <w:r>
              <w:rPr>
                <w:rFonts w:ascii="Arial" w:hAnsi="Arial" w:cs="Arial"/>
                <w:b w:val="0"/>
                <w:color w:val="0F243E" w:themeColor="text2" w:themeShade="80"/>
                <w:sz w:val="18"/>
                <w:szCs w:val="18"/>
              </w:rPr>
              <w:t>Peppers</w:t>
            </w:r>
          </w:p>
        </w:tc>
        <w:tc>
          <w:tcPr>
            <w:tcW w:w="2222" w:type="dxa"/>
            <w:vAlign w:val="center"/>
          </w:tcPr>
          <w:p w14:paraId="2F58D0F5"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$2.5B</w:t>
            </w:r>
          </w:p>
        </w:tc>
        <w:tc>
          <w:tcPr>
            <w:tcW w:w="2610" w:type="dxa"/>
            <w:vAlign w:val="center"/>
          </w:tcPr>
          <w:p w14:paraId="7D5525A3" w14:textId="77777777" w:rsidR="001D2163" w:rsidRPr="00413E9F" w:rsidRDefault="001D2163" w:rsidP="001D216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0F243E"/>
                <w:sz w:val="18"/>
                <w:szCs w:val="18"/>
              </w:rPr>
            </w:pPr>
            <w:r>
              <w:rPr>
                <w:rFonts w:ascii="Arial" w:hAnsi="Arial" w:cs="Arial"/>
                <w:bCs/>
                <w:color w:val="0F243E"/>
                <w:sz w:val="18"/>
                <w:szCs w:val="18"/>
              </w:rPr>
              <w:t>-0.6%</w:t>
            </w:r>
          </w:p>
        </w:tc>
      </w:tr>
    </w:tbl>
    <w:p w14:paraId="7589105F" w14:textId="419C6E03" w:rsidR="00413E9F" w:rsidRDefault="001D2163" w:rsidP="00CB6454">
      <w:pPr>
        <w:pStyle w:val="NoSpacing"/>
        <w:rPr>
          <w:rFonts w:ascii="Arial" w:hAnsi="Arial" w:cs="Arial"/>
          <w:bCs/>
          <w:sz w:val="20"/>
          <w:szCs w:val="20"/>
        </w:rPr>
      </w:pPr>
      <w:r w:rsidRPr="001D2163">
        <w:rPr>
          <w:rFonts w:ascii="Arial" w:hAnsi="Arial" w:cs="Arial"/>
          <w:bCs/>
          <w:sz w:val="20"/>
          <w:szCs w:val="20"/>
        </w:rPr>
        <w:t xml:space="preserve">The </w:t>
      </w:r>
      <w:r>
        <w:rPr>
          <w:rFonts w:ascii="Arial" w:hAnsi="Arial" w:cs="Arial"/>
          <w:bCs/>
          <w:sz w:val="20"/>
          <w:szCs w:val="20"/>
        </w:rPr>
        <w:t xml:space="preserve">top sellers in 2021 reflect a mix of fruits and vegetables. Berry sales were nearly twice that of the number two, apples and tomatoes were the biggest seller on the vegetable side. Additionally, berries recorded the highest growth rates among the top 10 sellers, at +11.7%. Other areas with high year-on-year growth were salad kits and melons. </w:t>
      </w:r>
    </w:p>
    <w:p w14:paraId="34435764" w14:textId="167C75F7" w:rsidR="001D2163" w:rsidRDefault="001D2163" w:rsidP="00CB6454">
      <w:pPr>
        <w:pStyle w:val="NoSpacing"/>
        <w:rPr>
          <w:rFonts w:ascii="Arial" w:hAnsi="Arial" w:cs="Arial"/>
          <w:bCs/>
          <w:sz w:val="20"/>
          <w:szCs w:val="20"/>
        </w:rPr>
      </w:pPr>
    </w:p>
    <w:p w14:paraId="3FC64804" w14:textId="6121D811" w:rsidR="001D2163" w:rsidRDefault="001D2163" w:rsidP="00CB6454">
      <w:pPr>
        <w:pStyle w:val="NoSpacing"/>
        <w:rPr>
          <w:rFonts w:ascii="Arial" w:hAnsi="Arial" w:cs="Arial"/>
          <w:bCs/>
          <w:sz w:val="20"/>
          <w:szCs w:val="20"/>
        </w:rPr>
      </w:pPr>
      <w:r>
        <w:rPr>
          <w:rFonts w:ascii="Arial" w:hAnsi="Arial" w:cs="Arial"/>
          <w:bCs/>
          <w:sz w:val="20"/>
          <w:szCs w:val="20"/>
        </w:rPr>
        <w:t xml:space="preserve">Not all top 10 sellers grew sales in 2021. Tomatoes, potatoes and peppers lost a little ground compared with their 2020 records. </w:t>
      </w:r>
    </w:p>
    <w:p w14:paraId="29FAA647" w14:textId="026BB299" w:rsidR="00413E9F" w:rsidRDefault="00413E9F" w:rsidP="00413E9F">
      <w:pPr>
        <w:pStyle w:val="NoSpacing"/>
        <w:rPr>
          <w:rFonts w:ascii="Arial" w:hAnsi="Arial" w:cs="Arial"/>
          <w:sz w:val="16"/>
          <w:szCs w:val="16"/>
        </w:rPr>
      </w:pPr>
    </w:p>
    <w:p w14:paraId="63E3DE5A" w14:textId="3A9DE6D9" w:rsidR="00413E9F" w:rsidRDefault="00413E9F" w:rsidP="00413E9F">
      <w:pPr>
        <w:pStyle w:val="NoSpacing"/>
        <w:rPr>
          <w:rFonts w:ascii="Arial" w:hAnsi="Arial" w:cs="Arial"/>
          <w:sz w:val="16"/>
          <w:szCs w:val="16"/>
        </w:rPr>
      </w:pPr>
      <w:r w:rsidRPr="00CF309B">
        <w:rPr>
          <w:rFonts w:ascii="Arial" w:hAnsi="Arial" w:cs="Arial"/>
          <w:sz w:val="16"/>
          <w:szCs w:val="16"/>
        </w:rPr>
        <w:t>Source: IRI</w:t>
      </w:r>
      <w:r>
        <w:rPr>
          <w:rFonts w:ascii="Arial" w:hAnsi="Arial" w:cs="Arial"/>
          <w:sz w:val="16"/>
          <w:szCs w:val="16"/>
        </w:rPr>
        <w:t xml:space="preserve"> Integrated Fresh,</w:t>
      </w:r>
      <w:r w:rsidRPr="00CF309B">
        <w:rPr>
          <w:rFonts w:ascii="Arial" w:hAnsi="Arial" w:cs="Arial"/>
          <w:sz w:val="16"/>
          <w:szCs w:val="16"/>
        </w:rPr>
        <w:t xml:space="preserve"> Total U.S., MULO</w:t>
      </w:r>
    </w:p>
    <w:p w14:paraId="66CD4C89" w14:textId="77777777" w:rsidR="00413E9F" w:rsidRDefault="00413E9F" w:rsidP="00CB6454">
      <w:pPr>
        <w:pStyle w:val="NoSpacing"/>
        <w:rPr>
          <w:rFonts w:ascii="Arial" w:hAnsi="Arial" w:cs="Arial"/>
          <w:b/>
          <w:color w:val="595959" w:themeColor="text1" w:themeTint="A6"/>
          <w:sz w:val="24"/>
          <w:szCs w:val="24"/>
        </w:rPr>
      </w:pPr>
    </w:p>
    <w:p w14:paraId="702369B9" w14:textId="77777777" w:rsidR="00413E9F" w:rsidRDefault="00413E9F" w:rsidP="00CB6454">
      <w:pPr>
        <w:pStyle w:val="NoSpacing"/>
        <w:rPr>
          <w:rFonts w:ascii="Arial" w:hAnsi="Arial" w:cs="Arial"/>
          <w:b/>
          <w:color w:val="595959" w:themeColor="text1" w:themeTint="A6"/>
          <w:sz w:val="24"/>
          <w:szCs w:val="24"/>
        </w:rPr>
      </w:pPr>
    </w:p>
    <w:p w14:paraId="46EEB130" w14:textId="5B063698" w:rsidR="00CB6454" w:rsidRPr="00B34F5D" w:rsidRDefault="00983F3F" w:rsidP="006453BA">
      <w:pPr>
        <w:rPr>
          <w:rFonts w:ascii="Arial" w:hAnsi="Arial" w:cs="Arial"/>
          <w:b/>
          <w:color w:val="595959" w:themeColor="text1" w:themeTint="A6"/>
          <w:sz w:val="24"/>
          <w:szCs w:val="24"/>
        </w:rPr>
      </w:pPr>
      <w:r>
        <w:rPr>
          <w:rFonts w:ascii="Arial" w:hAnsi="Arial" w:cs="Arial"/>
          <w:b/>
          <w:color w:val="595959" w:themeColor="text1" w:themeTint="A6"/>
          <w:sz w:val="24"/>
          <w:szCs w:val="24"/>
        </w:rPr>
        <w:br w:type="page"/>
      </w:r>
      <w:r w:rsidR="00CB6454" w:rsidRPr="00B34F5D">
        <w:rPr>
          <w:rFonts w:ascii="Arial" w:hAnsi="Arial" w:cs="Arial"/>
          <w:b/>
          <w:color w:val="595959" w:themeColor="text1" w:themeTint="A6"/>
          <w:sz w:val="24"/>
          <w:szCs w:val="24"/>
        </w:rPr>
        <w:lastRenderedPageBreak/>
        <w:t>Fresh Fruit</w:t>
      </w:r>
      <w:r w:rsidR="00EB33CE">
        <w:rPr>
          <w:rFonts w:ascii="Arial" w:hAnsi="Arial" w:cs="Arial"/>
          <w:b/>
          <w:color w:val="595959" w:themeColor="text1" w:themeTint="A6"/>
          <w:sz w:val="24"/>
          <w:szCs w:val="24"/>
        </w:rPr>
        <w:t xml:space="preserve"> Sales in </w:t>
      </w:r>
      <w:r w:rsidR="001D2163">
        <w:rPr>
          <w:rFonts w:ascii="Arial" w:hAnsi="Arial" w:cs="Arial"/>
          <w:b/>
          <w:color w:val="595959" w:themeColor="text1" w:themeTint="A6"/>
          <w:sz w:val="24"/>
          <w:szCs w:val="24"/>
        </w:rPr>
        <w:t>December</w:t>
      </w:r>
    </w:p>
    <w:p w14:paraId="4E106B02" w14:textId="7C58409F" w:rsidR="0006645D" w:rsidRDefault="00CB6454" w:rsidP="00CB6454">
      <w:pPr>
        <w:pStyle w:val="NoSpacing"/>
        <w:rPr>
          <w:rFonts w:ascii="Arial" w:hAnsi="Arial" w:cs="Arial"/>
          <w:sz w:val="20"/>
          <w:szCs w:val="20"/>
        </w:rPr>
      </w:pPr>
      <w:r>
        <w:rPr>
          <w:rFonts w:ascii="Arial" w:hAnsi="Arial" w:cs="Arial"/>
          <w:sz w:val="20"/>
          <w:szCs w:val="20"/>
        </w:rPr>
        <w:t>“</w:t>
      </w:r>
      <w:r w:rsidR="00576207">
        <w:rPr>
          <w:rFonts w:ascii="Arial" w:hAnsi="Arial" w:cs="Arial"/>
          <w:sz w:val="20"/>
          <w:szCs w:val="20"/>
        </w:rPr>
        <w:t xml:space="preserve">On the fruit side, </w:t>
      </w:r>
      <w:r w:rsidR="00946FA4">
        <w:rPr>
          <w:rFonts w:ascii="Arial" w:hAnsi="Arial" w:cs="Arial"/>
          <w:sz w:val="20"/>
          <w:szCs w:val="20"/>
        </w:rPr>
        <w:t>all top 10 items gained versus year ago</w:t>
      </w:r>
      <w:r w:rsidRPr="00B35CE9">
        <w:rPr>
          <w:rFonts w:ascii="Arial" w:hAnsi="Arial" w:cs="Arial"/>
          <w:sz w:val="20"/>
          <w:szCs w:val="20"/>
        </w:rPr>
        <w:t>,” said</w:t>
      </w:r>
      <w:r w:rsidR="00EB33CE">
        <w:rPr>
          <w:rFonts w:ascii="Arial" w:hAnsi="Arial" w:cs="Arial"/>
          <w:sz w:val="20"/>
          <w:szCs w:val="20"/>
        </w:rPr>
        <w:t xml:space="preserve"> Parker</w:t>
      </w:r>
      <w:r w:rsidRPr="00B35CE9">
        <w:rPr>
          <w:rFonts w:ascii="Arial" w:hAnsi="Arial" w:cs="Arial"/>
          <w:sz w:val="20"/>
          <w:szCs w:val="20"/>
        </w:rPr>
        <w:t>. “</w:t>
      </w:r>
      <w:r w:rsidR="00E407FC">
        <w:rPr>
          <w:rFonts w:ascii="Arial" w:hAnsi="Arial" w:cs="Arial"/>
          <w:sz w:val="20"/>
          <w:szCs w:val="20"/>
        </w:rPr>
        <w:t>In fact, eight out of the 10 top sellers in December gained in double digits, boosted by inflation</w:t>
      </w:r>
      <w:r w:rsidR="00946FA4">
        <w:rPr>
          <w:rFonts w:ascii="Arial" w:hAnsi="Arial" w:cs="Arial"/>
          <w:sz w:val="20"/>
          <w:szCs w:val="20"/>
        </w:rPr>
        <w:t>.</w:t>
      </w:r>
      <w:r w:rsidR="00E407FC">
        <w:rPr>
          <w:rFonts w:ascii="Arial" w:hAnsi="Arial" w:cs="Arial"/>
          <w:sz w:val="20"/>
          <w:szCs w:val="20"/>
        </w:rPr>
        <w:t xml:space="preserve"> The month features a very similar set of powerhouses, such as berries, avocados and bananas, that we see month after month. However, the resurgence of entertaining is clear when regarding the very strong performance of both melons and mixed fruit in the fourth quarter and December, specifically.</w:t>
      </w:r>
      <w:r w:rsidRPr="00B35CE9">
        <w:rPr>
          <w:rFonts w:ascii="Arial" w:hAnsi="Arial" w:cs="Arial"/>
          <w:sz w:val="20"/>
          <w:szCs w:val="20"/>
        </w:rPr>
        <w:t>”</w:t>
      </w:r>
      <w:r w:rsidR="00E407FC">
        <w:rPr>
          <w:rFonts w:ascii="Arial" w:hAnsi="Arial" w:cs="Arial"/>
          <w:sz w:val="20"/>
          <w:szCs w:val="20"/>
        </w:rPr>
        <w:t xml:space="preserve"> </w:t>
      </w:r>
      <w:r w:rsidRPr="00B35CE9">
        <w:rPr>
          <w:rFonts w:ascii="Arial" w:hAnsi="Arial" w:cs="Arial"/>
          <w:sz w:val="20"/>
          <w:szCs w:val="20"/>
        </w:rPr>
        <w:t xml:space="preserve"> </w:t>
      </w:r>
    </w:p>
    <w:p w14:paraId="66E60D22" w14:textId="77777777" w:rsidR="005E2F61" w:rsidRDefault="005E2F61" w:rsidP="00CB6454">
      <w:pPr>
        <w:pStyle w:val="NoSpacing"/>
        <w:rPr>
          <w:rFonts w:ascii="Arial" w:hAnsi="Arial" w:cs="Arial"/>
          <w:sz w:val="20"/>
          <w:szCs w:val="20"/>
        </w:rPr>
      </w:pPr>
    </w:p>
    <w:tbl>
      <w:tblPr>
        <w:tblStyle w:val="LightShading-Accent5"/>
        <w:tblW w:w="10739" w:type="dxa"/>
        <w:tblInd w:w="108" w:type="dxa"/>
        <w:tblBorders>
          <w:top w:val="none" w:sz="0" w:space="0" w:color="auto"/>
          <w:bottom w:val="none" w:sz="0" w:space="0" w:color="auto"/>
        </w:tblBorders>
        <w:tblLayout w:type="fixed"/>
        <w:tblLook w:val="04A0" w:firstRow="1" w:lastRow="0" w:firstColumn="1" w:lastColumn="0" w:noHBand="0" w:noVBand="1"/>
      </w:tblPr>
      <w:tblGrid>
        <w:gridCol w:w="1467"/>
        <w:gridCol w:w="843"/>
        <w:gridCol w:w="843"/>
        <w:gridCol w:w="843"/>
        <w:gridCol w:w="843"/>
        <w:gridCol w:w="843"/>
        <w:gridCol w:w="842"/>
        <w:gridCol w:w="843"/>
        <w:gridCol w:w="843"/>
        <w:gridCol w:w="843"/>
        <w:gridCol w:w="843"/>
        <w:gridCol w:w="843"/>
      </w:tblGrid>
      <w:tr w:rsidR="00422C9B" w:rsidRPr="0003007F" w14:paraId="0A9A9CE6" w14:textId="77777777" w:rsidTr="00422C9B">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310" w:type="dxa"/>
            <w:gridSpan w:val="2"/>
            <w:tcBorders>
              <w:top w:val="none" w:sz="0" w:space="0" w:color="auto"/>
              <w:left w:val="none" w:sz="0" w:space="0" w:color="auto"/>
              <w:bottom w:val="none" w:sz="0" w:space="0" w:color="auto"/>
              <w:right w:val="none" w:sz="0" w:space="0" w:color="auto"/>
            </w:tcBorders>
            <w:shd w:val="clear" w:color="auto" w:fill="17365D" w:themeFill="text2" w:themeFillShade="BF"/>
          </w:tcPr>
          <w:p w14:paraId="5E71296B" w14:textId="4AC25512" w:rsidR="00422C9B" w:rsidRPr="00AB1306" w:rsidRDefault="00422C9B" w:rsidP="00422C9B">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429" w:type="dxa"/>
            <w:gridSpan w:val="10"/>
            <w:tcBorders>
              <w:top w:val="none" w:sz="0" w:space="0" w:color="auto"/>
              <w:left w:val="none" w:sz="0" w:space="0" w:color="auto"/>
              <w:bottom w:val="none" w:sz="0" w:space="0" w:color="auto"/>
              <w:right w:val="none" w:sz="0" w:space="0" w:color="auto"/>
            </w:tcBorders>
            <w:shd w:val="clear" w:color="auto" w:fill="17365D" w:themeFill="text2" w:themeFillShade="BF"/>
          </w:tcPr>
          <w:p w14:paraId="364EDDAA" w14:textId="77777777" w:rsidR="00422C9B" w:rsidRPr="0003007F" w:rsidRDefault="00422C9B"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w:t>
            </w:r>
            <w:r w:rsidRPr="00AB1306">
              <w:rPr>
                <w:rFonts w:ascii="Arial" w:hAnsi="Arial" w:cs="Arial"/>
                <w:color w:val="FFFFFF" w:themeColor="background1"/>
                <w:sz w:val="18"/>
                <w:szCs w:val="18"/>
              </w:rPr>
              <w:t xml:space="preserve"> in 2019</w:t>
            </w:r>
            <w:r>
              <w:rPr>
                <w:rFonts w:ascii="Arial" w:hAnsi="Arial" w:cs="Arial"/>
                <w:color w:val="FFFFFF" w:themeColor="background1"/>
                <w:sz w:val="18"/>
                <w:szCs w:val="18"/>
              </w:rPr>
              <w:t>/2020</w:t>
            </w:r>
          </w:p>
        </w:tc>
      </w:tr>
      <w:tr w:rsidR="00036105" w:rsidRPr="0003007F" w14:paraId="370F0BE9" w14:textId="77777777" w:rsidTr="00422C9B">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467" w:type="dxa"/>
            <w:tcBorders>
              <w:left w:val="none" w:sz="0" w:space="0" w:color="auto"/>
              <w:right w:val="none" w:sz="0" w:space="0" w:color="auto"/>
            </w:tcBorders>
            <w:shd w:val="clear" w:color="auto" w:fill="17365D" w:themeFill="text2" w:themeFillShade="BF"/>
          </w:tcPr>
          <w:p w14:paraId="6881EABC" w14:textId="77777777" w:rsidR="00036105" w:rsidRPr="000F7932" w:rsidRDefault="00036105" w:rsidP="00F103B9">
            <w:pPr>
              <w:pStyle w:val="NoSpacing"/>
              <w:rPr>
                <w:rFonts w:ascii="Arial" w:hAnsi="Arial" w:cs="Arial"/>
                <w:color w:val="FFFFFF" w:themeColor="background1"/>
                <w:sz w:val="18"/>
                <w:szCs w:val="18"/>
              </w:rPr>
            </w:pPr>
          </w:p>
        </w:tc>
        <w:tc>
          <w:tcPr>
            <w:tcW w:w="843" w:type="dxa"/>
            <w:tcBorders>
              <w:left w:val="none" w:sz="0" w:space="0" w:color="auto"/>
              <w:right w:val="none" w:sz="0" w:space="0" w:color="auto"/>
            </w:tcBorders>
            <w:shd w:val="clear" w:color="auto" w:fill="17365D" w:themeFill="text2" w:themeFillShade="BF"/>
            <w:vAlign w:val="bottom"/>
          </w:tcPr>
          <w:p w14:paraId="5B171D90" w14:textId="77777777" w:rsidR="00036105" w:rsidRPr="000F7932" w:rsidRDefault="00036105"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0F7932">
              <w:rPr>
                <w:rFonts w:ascii="Arial" w:hAnsi="Arial" w:cs="Arial"/>
                <w:b/>
                <w:color w:val="FFFFFF" w:themeColor="background1"/>
                <w:sz w:val="18"/>
                <w:szCs w:val="18"/>
              </w:rPr>
              <w:t>Q1 ‘20</w:t>
            </w:r>
          </w:p>
        </w:tc>
        <w:tc>
          <w:tcPr>
            <w:tcW w:w="843" w:type="dxa"/>
            <w:tcBorders>
              <w:left w:val="none" w:sz="0" w:space="0" w:color="auto"/>
              <w:right w:val="none" w:sz="0" w:space="0" w:color="auto"/>
            </w:tcBorders>
            <w:shd w:val="clear" w:color="auto" w:fill="17365D" w:themeFill="text2" w:themeFillShade="BF"/>
            <w:vAlign w:val="bottom"/>
          </w:tcPr>
          <w:p w14:paraId="20D61367" w14:textId="77777777" w:rsidR="00036105" w:rsidRPr="000F7932" w:rsidRDefault="00036105"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Q2 ‘20</w:t>
            </w:r>
          </w:p>
        </w:tc>
        <w:tc>
          <w:tcPr>
            <w:tcW w:w="843" w:type="dxa"/>
            <w:tcBorders>
              <w:left w:val="none" w:sz="0" w:space="0" w:color="auto"/>
              <w:right w:val="none" w:sz="0" w:space="0" w:color="auto"/>
            </w:tcBorders>
            <w:shd w:val="clear" w:color="auto" w:fill="17365D" w:themeFill="text2" w:themeFillShade="BF"/>
            <w:vAlign w:val="bottom"/>
          </w:tcPr>
          <w:p w14:paraId="4FB31415" w14:textId="77777777" w:rsidR="00036105" w:rsidRPr="000F7932" w:rsidRDefault="00036105"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Q3 ‘20</w:t>
            </w:r>
          </w:p>
        </w:tc>
        <w:tc>
          <w:tcPr>
            <w:tcW w:w="843" w:type="dxa"/>
            <w:tcBorders>
              <w:left w:val="none" w:sz="0" w:space="0" w:color="auto"/>
              <w:right w:val="none" w:sz="0" w:space="0" w:color="auto"/>
            </w:tcBorders>
            <w:shd w:val="clear" w:color="auto" w:fill="17365D" w:themeFill="text2" w:themeFillShade="BF"/>
            <w:vAlign w:val="bottom"/>
          </w:tcPr>
          <w:p w14:paraId="24165647" w14:textId="77777777" w:rsidR="00036105" w:rsidRPr="000F7932" w:rsidRDefault="00036105" w:rsidP="00470A5F">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Q4 ‘20</w:t>
            </w:r>
          </w:p>
        </w:tc>
        <w:tc>
          <w:tcPr>
            <w:tcW w:w="843" w:type="dxa"/>
            <w:tcBorders>
              <w:left w:val="none" w:sz="0" w:space="0" w:color="auto"/>
              <w:right w:val="none" w:sz="0" w:space="0" w:color="auto"/>
            </w:tcBorders>
            <w:shd w:val="clear" w:color="auto" w:fill="17365D" w:themeFill="text2" w:themeFillShade="BF"/>
            <w:vAlign w:val="bottom"/>
          </w:tcPr>
          <w:p w14:paraId="07F8A3CF" w14:textId="77777777" w:rsidR="00036105" w:rsidRPr="000F7932" w:rsidRDefault="00036105"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0F7932">
              <w:rPr>
                <w:rFonts w:ascii="Arial" w:hAnsi="Arial" w:cs="Arial"/>
                <w:b/>
                <w:color w:val="FFFFFF" w:themeColor="background1"/>
                <w:sz w:val="18"/>
                <w:szCs w:val="18"/>
              </w:rPr>
              <w:t>Q1 ‘21</w:t>
            </w:r>
          </w:p>
        </w:tc>
        <w:tc>
          <w:tcPr>
            <w:tcW w:w="842" w:type="dxa"/>
            <w:tcBorders>
              <w:left w:val="none" w:sz="0" w:space="0" w:color="auto"/>
              <w:right w:val="none" w:sz="0" w:space="0" w:color="auto"/>
            </w:tcBorders>
            <w:shd w:val="clear" w:color="auto" w:fill="17365D" w:themeFill="text2" w:themeFillShade="BF"/>
            <w:vAlign w:val="bottom"/>
          </w:tcPr>
          <w:p w14:paraId="68B0F0A6" w14:textId="77777777" w:rsidR="00036105" w:rsidRPr="000F7932" w:rsidRDefault="00036105"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w:t>
            </w:r>
            <w:r w:rsidRPr="000F7932">
              <w:rPr>
                <w:rFonts w:ascii="Arial" w:hAnsi="Arial" w:cs="Arial"/>
                <w:b/>
                <w:color w:val="FFFFFF" w:themeColor="background1"/>
                <w:sz w:val="18"/>
                <w:szCs w:val="18"/>
              </w:rPr>
              <w:t xml:space="preserve"> ‘21</w:t>
            </w:r>
          </w:p>
        </w:tc>
        <w:tc>
          <w:tcPr>
            <w:tcW w:w="843" w:type="dxa"/>
            <w:tcBorders>
              <w:left w:val="none" w:sz="0" w:space="0" w:color="auto"/>
              <w:right w:val="none" w:sz="0" w:space="0" w:color="auto"/>
            </w:tcBorders>
            <w:shd w:val="clear" w:color="auto" w:fill="17365D" w:themeFill="text2" w:themeFillShade="BF"/>
            <w:vAlign w:val="bottom"/>
          </w:tcPr>
          <w:p w14:paraId="670CEFD6" w14:textId="77777777" w:rsidR="00036105" w:rsidRDefault="00036105"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43" w:type="dxa"/>
            <w:tcBorders>
              <w:left w:val="none" w:sz="0" w:space="0" w:color="auto"/>
              <w:right w:val="none" w:sz="0" w:space="0" w:color="auto"/>
            </w:tcBorders>
            <w:shd w:val="clear" w:color="auto" w:fill="17365D" w:themeFill="text2" w:themeFillShade="BF"/>
            <w:vAlign w:val="bottom"/>
          </w:tcPr>
          <w:p w14:paraId="7659D548" w14:textId="77777777" w:rsidR="00036105" w:rsidRDefault="00036105" w:rsidP="00036105">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843" w:type="dxa"/>
            <w:tcBorders>
              <w:left w:val="none" w:sz="0" w:space="0" w:color="auto"/>
              <w:right w:val="none" w:sz="0" w:space="0" w:color="auto"/>
            </w:tcBorders>
            <w:shd w:val="clear" w:color="auto" w:fill="17365D" w:themeFill="text2" w:themeFillShade="BF"/>
            <w:vAlign w:val="bottom"/>
          </w:tcPr>
          <w:p w14:paraId="6F58249D" w14:textId="77777777" w:rsidR="00036105" w:rsidRPr="000F7932" w:rsidRDefault="00036105"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Dec</w:t>
            </w:r>
            <w:r w:rsidRPr="000F7932">
              <w:rPr>
                <w:rFonts w:ascii="Arial" w:hAnsi="Arial" w:cs="Arial"/>
                <w:b/>
                <w:color w:val="FFFFFF" w:themeColor="background1"/>
                <w:sz w:val="18"/>
                <w:szCs w:val="18"/>
              </w:rPr>
              <w:t xml:space="preserve"> ‘21</w:t>
            </w:r>
          </w:p>
        </w:tc>
        <w:tc>
          <w:tcPr>
            <w:tcW w:w="843" w:type="dxa"/>
            <w:tcBorders>
              <w:left w:val="none" w:sz="0" w:space="0" w:color="auto"/>
              <w:right w:val="none" w:sz="0" w:space="0" w:color="auto"/>
            </w:tcBorders>
            <w:shd w:val="clear" w:color="auto" w:fill="17365D" w:themeFill="text2" w:themeFillShade="BF"/>
            <w:vAlign w:val="bottom"/>
          </w:tcPr>
          <w:p w14:paraId="238185CF" w14:textId="77777777" w:rsidR="00036105" w:rsidRPr="000F7932" w:rsidRDefault="00036105"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Dec</w:t>
            </w:r>
            <w:r w:rsidRPr="000F7932">
              <w:rPr>
                <w:rFonts w:ascii="Arial" w:hAnsi="Arial" w:cs="Arial"/>
                <w:b/>
                <w:color w:val="FFFFFF" w:themeColor="background1"/>
                <w:sz w:val="18"/>
                <w:szCs w:val="18"/>
              </w:rPr>
              <w:t xml:space="preserve"> vs ‘</w:t>
            </w:r>
            <w:r>
              <w:rPr>
                <w:rFonts w:ascii="Arial" w:hAnsi="Arial" w:cs="Arial"/>
                <w:b/>
                <w:color w:val="FFFFFF" w:themeColor="background1"/>
                <w:sz w:val="18"/>
                <w:szCs w:val="18"/>
              </w:rPr>
              <w:t>20</w:t>
            </w:r>
          </w:p>
        </w:tc>
        <w:tc>
          <w:tcPr>
            <w:tcW w:w="843" w:type="dxa"/>
            <w:tcBorders>
              <w:left w:val="none" w:sz="0" w:space="0" w:color="auto"/>
              <w:right w:val="none" w:sz="0" w:space="0" w:color="auto"/>
            </w:tcBorders>
            <w:shd w:val="clear" w:color="auto" w:fill="17365D" w:themeFill="text2" w:themeFillShade="BF"/>
            <w:vAlign w:val="bottom"/>
          </w:tcPr>
          <w:p w14:paraId="3AF729E5" w14:textId="77777777" w:rsidR="00036105" w:rsidRPr="000F7932" w:rsidRDefault="00036105" w:rsidP="00470A5F">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Dec</w:t>
            </w:r>
            <w:r w:rsidRPr="000F7932">
              <w:rPr>
                <w:rFonts w:ascii="Arial" w:hAnsi="Arial" w:cs="Arial"/>
                <w:b/>
                <w:color w:val="FFFFFF" w:themeColor="background1"/>
                <w:sz w:val="18"/>
                <w:szCs w:val="18"/>
              </w:rPr>
              <w:t xml:space="preserve"> vs ‘</w:t>
            </w:r>
            <w:r>
              <w:rPr>
                <w:rFonts w:ascii="Arial" w:hAnsi="Arial" w:cs="Arial"/>
                <w:b/>
                <w:color w:val="FFFFFF" w:themeColor="background1"/>
                <w:sz w:val="18"/>
                <w:szCs w:val="18"/>
              </w:rPr>
              <w:t>19</w:t>
            </w:r>
          </w:p>
        </w:tc>
      </w:tr>
      <w:tr w:rsidR="00E407FC" w:rsidRPr="00091E61" w14:paraId="700A8FEE" w14:textId="77777777" w:rsidTr="00422C9B">
        <w:trPr>
          <w:trHeight w:val="298"/>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5748BBB1" w14:textId="77777777" w:rsidR="00036105" w:rsidRPr="00091E61" w:rsidRDefault="00036105" w:rsidP="00576207">
            <w:pPr>
              <w:pStyle w:val="NoSpacing"/>
              <w:jc w:val="right"/>
              <w:rPr>
                <w:rFonts w:ascii="Arial" w:hAnsi="Arial" w:cs="Arial"/>
                <w:color w:val="17365D" w:themeColor="text2" w:themeShade="BF"/>
                <w:sz w:val="18"/>
                <w:szCs w:val="18"/>
              </w:rPr>
            </w:pPr>
            <w:r w:rsidRPr="00091E61">
              <w:rPr>
                <w:rFonts w:ascii="Arial" w:hAnsi="Arial" w:cs="Arial"/>
                <w:color w:val="17365D" w:themeColor="text2" w:themeShade="BF"/>
                <w:sz w:val="18"/>
                <w:szCs w:val="18"/>
              </w:rPr>
              <w:t>Fresh fruit</w:t>
            </w:r>
          </w:p>
        </w:tc>
        <w:tc>
          <w:tcPr>
            <w:tcW w:w="843" w:type="dxa"/>
            <w:vAlign w:val="center"/>
          </w:tcPr>
          <w:p w14:paraId="1C554B2C" w14:textId="23BF58F6"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036105" w:rsidRPr="00091E61">
              <w:rPr>
                <w:rFonts w:ascii="Arial" w:hAnsi="Arial" w:cs="Arial"/>
                <w:b/>
                <w:bCs/>
                <w:color w:val="17365D" w:themeColor="text2" w:themeShade="BF"/>
                <w:sz w:val="18"/>
                <w:szCs w:val="18"/>
              </w:rPr>
              <w:t>5%</w:t>
            </w:r>
          </w:p>
        </w:tc>
        <w:tc>
          <w:tcPr>
            <w:tcW w:w="843" w:type="dxa"/>
            <w:vAlign w:val="center"/>
          </w:tcPr>
          <w:p w14:paraId="0F31909C" w14:textId="7C982B66"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036105" w:rsidRPr="00091E61">
              <w:rPr>
                <w:rFonts w:ascii="Arial" w:hAnsi="Arial" w:cs="Arial"/>
                <w:b/>
                <w:bCs/>
                <w:color w:val="17365D" w:themeColor="text2" w:themeShade="BF"/>
                <w:sz w:val="18"/>
                <w:szCs w:val="18"/>
              </w:rPr>
              <w:t>11%</w:t>
            </w:r>
          </w:p>
        </w:tc>
        <w:tc>
          <w:tcPr>
            <w:tcW w:w="843" w:type="dxa"/>
            <w:vAlign w:val="center"/>
          </w:tcPr>
          <w:p w14:paraId="7B8557EE" w14:textId="64567C4A"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036105" w:rsidRPr="00091E61">
              <w:rPr>
                <w:rFonts w:ascii="Arial" w:hAnsi="Arial" w:cs="Arial"/>
                <w:b/>
                <w:bCs/>
                <w:color w:val="17365D" w:themeColor="text2" w:themeShade="BF"/>
                <w:sz w:val="18"/>
                <w:szCs w:val="18"/>
              </w:rPr>
              <w:t>10%</w:t>
            </w:r>
          </w:p>
        </w:tc>
        <w:tc>
          <w:tcPr>
            <w:tcW w:w="843" w:type="dxa"/>
            <w:vAlign w:val="center"/>
          </w:tcPr>
          <w:p w14:paraId="458B4C8E" w14:textId="0664E443"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036105" w:rsidRPr="00091E61">
              <w:rPr>
                <w:rFonts w:ascii="Arial" w:hAnsi="Arial" w:cs="Arial"/>
                <w:b/>
                <w:bCs/>
                <w:color w:val="17365D" w:themeColor="text2" w:themeShade="BF"/>
                <w:sz w:val="18"/>
                <w:szCs w:val="18"/>
              </w:rPr>
              <w:t>9%</w:t>
            </w:r>
          </w:p>
        </w:tc>
        <w:tc>
          <w:tcPr>
            <w:tcW w:w="843" w:type="dxa"/>
            <w:vAlign w:val="center"/>
          </w:tcPr>
          <w:p w14:paraId="0C04D09C" w14:textId="10C66FAE"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036105" w:rsidRPr="00091E61">
              <w:rPr>
                <w:rFonts w:ascii="Arial" w:hAnsi="Arial" w:cs="Arial"/>
                <w:b/>
                <w:bCs/>
                <w:color w:val="17365D" w:themeColor="text2" w:themeShade="BF"/>
                <w:sz w:val="18"/>
                <w:szCs w:val="18"/>
              </w:rPr>
              <w:t>5%</w:t>
            </w:r>
          </w:p>
        </w:tc>
        <w:tc>
          <w:tcPr>
            <w:tcW w:w="842" w:type="dxa"/>
            <w:vAlign w:val="center"/>
          </w:tcPr>
          <w:p w14:paraId="2FC3AF2A" w14:textId="48DEFBB4"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036105" w:rsidRPr="00091E61">
              <w:rPr>
                <w:rFonts w:ascii="Arial" w:hAnsi="Arial" w:cs="Arial"/>
                <w:b/>
                <w:bCs/>
                <w:color w:val="17365D" w:themeColor="text2" w:themeShade="BF"/>
                <w:sz w:val="18"/>
                <w:szCs w:val="18"/>
              </w:rPr>
              <w:t>3%</w:t>
            </w:r>
          </w:p>
        </w:tc>
        <w:tc>
          <w:tcPr>
            <w:tcW w:w="843" w:type="dxa"/>
            <w:vAlign w:val="center"/>
          </w:tcPr>
          <w:p w14:paraId="0123A478" w14:textId="5B84A36D"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Pr>
                <w:rFonts w:ascii="Arial" w:hAnsi="Arial" w:cs="Arial"/>
                <w:b/>
                <w:bCs/>
                <w:color w:val="17365D" w:themeColor="text2" w:themeShade="BF"/>
                <w:sz w:val="18"/>
                <w:szCs w:val="18"/>
              </w:rPr>
              <w:t>+</w:t>
            </w:r>
            <w:r w:rsidR="00036105" w:rsidRPr="00091E61">
              <w:rPr>
                <w:rFonts w:ascii="Arial" w:hAnsi="Arial" w:cs="Arial"/>
                <w:b/>
                <w:bCs/>
                <w:color w:val="17365D" w:themeColor="text2" w:themeShade="BF"/>
                <w:sz w:val="18"/>
                <w:szCs w:val="18"/>
              </w:rPr>
              <w:t>6%</w:t>
            </w:r>
          </w:p>
        </w:tc>
        <w:tc>
          <w:tcPr>
            <w:tcW w:w="843" w:type="dxa"/>
            <w:vAlign w:val="center"/>
          </w:tcPr>
          <w:p w14:paraId="4F694AA3" w14:textId="350A89BE" w:rsidR="00036105" w:rsidRPr="00091E61" w:rsidRDefault="00E407FC"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+10.8%</w:t>
            </w:r>
          </w:p>
        </w:tc>
        <w:tc>
          <w:tcPr>
            <w:tcW w:w="843" w:type="dxa"/>
            <w:vAlign w:val="center"/>
          </w:tcPr>
          <w:p w14:paraId="15612E27" w14:textId="5C77D1D1" w:rsidR="00036105" w:rsidRPr="00091E61"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672D72" w:rsidRPr="00091E61">
              <w:rPr>
                <w:rFonts w:ascii="Arial" w:hAnsi="Arial" w:cs="Arial"/>
                <w:b/>
                <w:bCs/>
                <w:color w:val="17365D" w:themeColor="text2" w:themeShade="BF"/>
                <w:sz w:val="18"/>
                <w:szCs w:val="18"/>
              </w:rPr>
              <w:t>2.4</w:t>
            </w:r>
            <w:r w:rsidRPr="00091E61">
              <w:rPr>
                <w:rFonts w:ascii="Arial" w:hAnsi="Arial" w:cs="Arial"/>
                <w:b/>
                <w:bCs/>
                <w:color w:val="17365D" w:themeColor="text2" w:themeShade="BF"/>
                <w:sz w:val="18"/>
                <w:szCs w:val="18"/>
              </w:rPr>
              <w:t>B</w:t>
            </w:r>
          </w:p>
        </w:tc>
        <w:tc>
          <w:tcPr>
            <w:tcW w:w="843" w:type="dxa"/>
            <w:vAlign w:val="center"/>
          </w:tcPr>
          <w:p w14:paraId="4C34526D" w14:textId="1BF331BF" w:rsidR="00036105" w:rsidRPr="00091E61"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672D72" w:rsidRPr="00091E61">
              <w:rPr>
                <w:rFonts w:ascii="Arial" w:hAnsi="Arial" w:cs="Arial"/>
                <w:b/>
                <w:bCs/>
                <w:color w:val="17365D" w:themeColor="text2" w:themeShade="BF"/>
                <w:sz w:val="18"/>
                <w:szCs w:val="18"/>
              </w:rPr>
              <w:t>13.0</w:t>
            </w:r>
            <w:r w:rsidRPr="00091E61">
              <w:rPr>
                <w:rFonts w:ascii="Arial" w:hAnsi="Arial" w:cs="Arial"/>
                <w:b/>
                <w:bCs/>
                <w:color w:val="17365D" w:themeColor="text2" w:themeShade="BF"/>
                <w:sz w:val="18"/>
                <w:szCs w:val="18"/>
              </w:rPr>
              <w:t>%</w:t>
            </w:r>
          </w:p>
        </w:tc>
        <w:tc>
          <w:tcPr>
            <w:tcW w:w="843" w:type="dxa"/>
            <w:vAlign w:val="center"/>
          </w:tcPr>
          <w:p w14:paraId="0E4B0BA6" w14:textId="5E72F6AD" w:rsidR="00036105" w:rsidRPr="00091E61"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17365D" w:themeColor="text2" w:themeShade="BF"/>
                <w:sz w:val="18"/>
                <w:szCs w:val="18"/>
              </w:rPr>
            </w:pPr>
            <w:r w:rsidRPr="00091E61">
              <w:rPr>
                <w:rFonts w:ascii="Arial" w:hAnsi="Arial" w:cs="Arial"/>
                <w:b/>
                <w:bCs/>
                <w:color w:val="17365D" w:themeColor="text2" w:themeShade="BF"/>
                <w:sz w:val="18"/>
                <w:szCs w:val="18"/>
              </w:rPr>
              <w:t>+</w:t>
            </w:r>
            <w:r w:rsidR="00672D72" w:rsidRPr="00091E61">
              <w:rPr>
                <w:rFonts w:ascii="Arial" w:hAnsi="Arial" w:cs="Arial"/>
                <w:b/>
                <w:bCs/>
                <w:color w:val="17365D" w:themeColor="text2" w:themeShade="BF"/>
                <w:sz w:val="18"/>
                <w:szCs w:val="18"/>
              </w:rPr>
              <w:t>23.3</w:t>
            </w:r>
            <w:r w:rsidRPr="00091E61">
              <w:rPr>
                <w:rFonts w:ascii="Arial" w:hAnsi="Arial" w:cs="Arial"/>
                <w:b/>
                <w:bCs/>
                <w:color w:val="17365D" w:themeColor="text2" w:themeShade="BF"/>
                <w:sz w:val="18"/>
                <w:szCs w:val="18"/>
              </w:rPr>
              <w:t>%</w:t>
            </w:r>
          </w:p>
        </w:tc>
      </w:tr>
      <w:tr w:rsidR="00E407FC" w:rsidRPr="00E407FC" w14:paraId="41432437" w14:textId="77777777" w:rsidTr="00422C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6040993E" w14:textId="77777777" w:rsidR="00036105" w:rsidRPr="00E407FC" w:rsidRDefault="00036105" w:rsidP="00474357">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Berries</w:t>
            </w:r>
          </w:p>
        </w:tc>
        <w:tc>
          <w:tcPr>
            <w:tcW w:w="843" w:type="dxa"/>
            <w:vAlign w:val="center"/>
          </w:tcPr>
          <w:p w14:paraId="2943BC10" w14:textId="7EC48E02" w:rsidR="00036105" w:rsidRPr="00091E61"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091E61">
              <w:rPr>
                <w:rFonts w:ascii="Arial" w:hAnsi="Arial" w:cs="Arial"/>
                <w:color w:val="17365D" w:themeColor="text2" w:themeShade="BF"/>
                <w:sz w:val="18"/>
                <w:szCs w:val="18"/>
              </w:rPr>
              <w:t>11%</w:t>
            </w:r>
          </w:p>
        </w:tc>
        <w:tc>
          <w:tcPr>
            <w:tcW w:w="843" w:type="dxa"/>
            <w:vAlign w:val="center"/>
          </w:tcPr>
          <w:p w14:paraId="269271CE" w14:textId="74C5F1D8"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15%</w:t>
            </w:r>
          </w:p>
        </w:tc>
        <w:tc>
          <w:tcPr>
            <w:tcW w:w="843" w:type="dxa"/>
            <w:vAlign w:val="center"/>
          </w:tcPr>
          <w:p w14:paraId="5B24A3F5" w14:textId="64EB1A9E"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14%</w:t>
            </w:r>
          </w:p>
        </w:tc>
        <w:tc>
          <w:tcPr>
            <w:tcW w:w="843" w:type="dxa"/>
            <w:vAlign w:val="center"/>
          </w:tcPr>
          <w:p w14:paraId="27B2C9B8" w14:textId="67959C44"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16%</w:t>
            </w:r>
          </w:p>
        </w:tc>
        <w:tc>
          <w:tcPr>
            <w:tcW w:w="843" w:type="dxa"/>
            <w:vAlign w:val="center"/>
          </w:tcPr>
          <w:p w14:paraId="10F157E9" w14:textId="27B73197"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11%</w:t>
            </w:r>
          </w:p>
        </w:tc>
        <w:tc>
          <w:tcPr>
            <w:tcW w:w="842" w:type="dxa"/>
            <w:vAlign w:val="center"/>
          </w:tcPr>
          <w:p w14:paraId="15C644BD" w14:textId="2D6B1351"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9%</w:t>
            </w:r>
          </w:p>
        </w:tc>
        <w:tc>
          <w:tcPr>
            <w:tcW w:w="843" w:type="dxa"/>
            <w:vAlign w:val="center"/>
          </w:tcPr>
          <w:p w14:paraId="7247B7E3" w14:textId="0A7E6B16"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11%</w:t>
            </w:r>
          </w:p>
        </w:tc>
        <w:tc>
          <w:tcPr>
            <w:tcW w:w="843" w:type="dxa"/>
            <w:vAlign w:val="center"/>
          </w:tcPr>
          <w:p w14:paraId="44666644" w14:textId="5131264B" w:rsidR="00036105" w:rsidRPr="00E407FC" w:rsidRDefault="00E407FC"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+16.3%</w:t>
            </w:r>
          </w:p>
        </w:tc>
        <w:tc>
          <w:tcPr>
            <w:tcW w:w="843" w:type="dxa"/>
            <w:vAlign w:val="center"/>
          </w:tcPr>
          <w:p w14:paraId="276E20A3" w14:textId="2A8F215C"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592</w:t>
            </w:r>
            <w:r w:rsidRPr="00E407FC">
              <w:rPr>
                <w:rFonts w:ascii="Arial" w:hAnsi="Arial" w:cs="Arial"/>
                <w:bCs/>
                <w:color w:val="17365D" w:themeColor="text2" w:themeShade="BF"/>
                <w:sz w:val="18"/>
                <w:szCs w:val="18"/>
              </w:rPr>
              <w:t>M</w:t>
            </w:r>
          </w:p>
        </w:tc>
        <w:tc>
          <w:tcPr>
            <w:tcW w:w="843" w:type="dxa"/>
            <w:vAlign w:val="center"/>
          </w:tcPr>
          <w:p w14:paraId="46E6D033" w14:textId="740EA01D"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19.5</w:t>
            </w:r>
            <w:r w:rsidRPr="00E407FC">
              <w:rPr>
                <w:rFonts w:ascii="Arial" w:hAnsi="Arial" w:cs="Arial"/>
                <w:bCs/>
                <w:color w:val="17365D" w:themeColor="text2" w:themeShade="BF"/>
                <w:sz w:val="18"/>
                <w:szCs w:val="18"/>
              </w:rPr>
              <w:t>%</w:t>
            </w:r>
          </w:p>
        </w:tc>
        <w:tc>
          <w:tcPr>
            <w:tcW w:w="843" w:type="dxa"/>
            <w:vAlign w:val="center"/>
          </w:tcPr>
          <w:p w14:paraId="1FCE1D34" w14:textId="2749C050"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39.7</w:t>
            </w:r>
            <w:r w:rsidRPr="00E407FC">
              <w:rPr>
                <w:rFonts w:ascii="Arial" w:hAnsi="Arial" w:cs="Arial"/>
                <w:bCs/>
                <w:color w:val="17365D" w:themeColor="text2" w:themeShade="BF"/>
                <w:sz w:val="18"/>
                <w:szCs w:val="18"/>
              </w:rPr>
              <w:t>%</w:t>
            </w:r>
          </w:p>
        </w:tc>
      </w:tr>
      <w:tr w:rsidR="00E407FC" w:rsidRPr="00E407FC" w14:paraId="5A985E51" w14:textId="77777777" w:rsidTr="00422C9B">
        <w:trPr>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47D12108" w14:textId="77777777" w:rsidR="00036105" w:rsidRPr="00E407FC" w:rsidRDefault="00036105" w:rsidP="00E623A4">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Apples</w:t>
            </w:r>
          </w:p>
        </w:tc>
        <w:tc>
          <w:tcPr>
            <w:tcW w:w="843" w:type="dxa"/>
            <w:vAlign w:val="center"/>
          </w:tcPr>
          <w:p w14:paraId="3CECFB96" w14:textId="5588EF37"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091E61">
              <w:rPr>
                <w:rFonts w:ascii="Arial" w:hAnsi="Arial" w:cs="Arial"/>
                <w:color w:val="17365D" w:themeColor="text2" w:themeShade="BF"/>
                <w:sz w:val="18"/>
                <w:szCs w:val="18"/>
              </w:rPr>
              <w:t>2%</w:t>
            </w:r>
          </w:p>
        </w:tc>
        <w:tc>
          <w:tcPr>
            <w:tcW w:w="843" w:type="dxa"/>
            <w:vAlign w:val="center"/>
          </w:tcPr>
          <w:p w14:paraId="6A7C6E80" w14:textId="68DBED2B"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3%</w:t>
            </w:r>
          </w:p>
        </w:tc>
        <w:tc>
          <w:tcPr>
            <w:tcW w:w="843" w:type="dxa"/>
            <w:vAlign w:val="center"/>
          </w:tcPr>
          <w:p w14:paraId="42A80981" w14:textId="2A690348"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0%</w:t>
            </w:r>
          </w:p>
        </w:tc>
        <w:tc>
          <w:tcPr>
            <w:tcW w:w="843" w:type="dxa"/>
            <w:vAlign w:val="center"/>
          </w:tcPr>
          <w:p w14:paraId="43816E02" w14:textId="7198CE8E"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2%</w:t>
            </w:r>
          </w:p>
        </w:tc>
        <w:tc>
          <w:tcPr>
            <w:tcW w:w="843" w:type="dxa"/>
            <w:vAlign w:val="center"/>
          </w:tcPr>
          <w:p w14:paraId="57661BE4" w14:textId="7777777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w:t>
            </w:r>
          </w:p>
        </w:tc>
        <w:tc>
          <w:tcPr>
            <w:tcW w:w="842" w:type="dxa"/>
            <w:vAlign w:val="center"/>
          </w:tcPr>
          <w:p w14:paraId="0348D984" w14:textId="7FD0C59E"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3%</w:t>
            </w:r>
          </w:p>
        </w:tc>
        <w:tc>
          <w:tcPr>
            <w:tcW w:w="843" w:type="dxa"/>
            <w:vAlign w:val="center"/>
          </w:tcPr>
          <w:p w14:paraId="1CCD4EB5" w14:textId="2EDEE058"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8%</w:t>
            </w:r>
          </w:p>
        </w:tc>
        <w:tc>
          <w:tcPr>
            <w:tcW w:w="843" w:type="dxa"/>
            <w:vAlign w:val="center"/>
          </w:tcPr>
          <w:p w14:paraId="0B51409D" w14:textId="642E919E" w:rsidR="00036105" w:rsidRPr="00E407FC" w:rsidRDefault="00E407FC"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+7.4%</w:t>
            </w:r>
          </w:p>
        </w:tc>
        <w:tc>
          <w:tcPr>
            <w:tcW w:w="843" w:type="dxa"/>
            <w:vAlign w:val="center"/>
          </w:tcPr>
          <w:p w14:paraId="47287CC2" w14:textId="245D93D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336</w:t>
            </w:r>
            <w:r w:rsidRPr="00E407FC">
              <w:rPr>
                <w:rFonts w:ascii="Arial" w:hAnsi="Arial" w:cs="Arial"/>
                <w:bCs/>
                <w:color w:val="17365D" w:themeColor="text2" w:themeShade="BF"/>
                <w:sz w:val="18"/>
                <w:szCs w:val="18"/>
              </w:rPr>
              <w:t>M</w:t>
            </w:r>
          </w:p>
        </w:tc>
        <w:tc>
          <w:tcPr>
            <w:tcW w:w="843" w:type="dxa"/>
            <w:vAlign w:val="center"/>
          </w:tcPr>
          <w:p w14:paraId="77470161" w14:textId="21C1AB04"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7.5</w:t>
            </w:r>
            <w:r w:rsidRPr="00E407FC">
              <w:rPr>
                <w:rFonts w:ascii="Arial" w:hAnsi="Arial" w:cs="Arial"/>
                <w:bCs/>
                <w:color w:val="17365D" w:themeColor="text2" w:themeShade="BF"/>
                <w:sz w:val="18"/>
                <w:szCs w:val="18"/>
              </w:rPr>
              <w:t>%</w:t>
            </w:r>
          </w:p>
        </w:tc>
        <w:tc>
          <w:tcPr>
            <w:tcW w:w="843" w:type="dxa"/>
            <w:vAlign w:val="center"/>
          </w:tcPr>
          <w:p w14:paraId="7A0CDD72" w14:textId="3ACD3C79"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14.0</w:t>
            </w:r>
            <w:r w:rsidRPr="00E407FC">
              <w:rPr>
                <w:rFonts w:ascii="Arial" w:hAnsi="Arial" w:cs="Arial"/>
                <w:bCs/>
                <w:color w:val="17365D" w:themeColor="text2" w:themeShade="BF"/>
                <w:sz w:val="18"/>
                <w:szCs w:val="18"/>
              </w:rPr>
              <w:t>%</w:t>
            </w:r>
          </w:p>
        </w:tc>
      </w:tr>
      <w:tr w:rsidR="00E407FC" w:rsidRPr="00E407FC" w14:paraId="6D0F2ABB" w14:textId="77777777" w:rsidTr="00422C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226725AA" w14:textId="77777777" w:rsidR="00036105" w:rsidRPr="00E407FC" w:rsidRDefault="00036105" w:rsidP="00474357">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Grapes</w:t>
            </w:r>
          </w:p>
        </w:tc>
        <w:tc>
          <w:tcPr>
            <w:tcW w:w="843" w:type="dxa"/>
            <w:vAlign w:val="center"/>
          </w:tcPr>
          <w:p w14:paraId="6A1CB53C" w14:textId="014E0101" w:rsidR="00036105" w:rsidRPr="00091E61"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091E61">
              <w:rPr>
                <w:rFonts w:ascii="Arial" w:hAnsi="Arial" w:cs="Arial"/>
                <w:color w:val="17365D" w:themeColor="text2" w:themeShade="BF"/>
                <w:sz w:val="18"/>
                <w:szCs w:val="18"/>
              </w:rPr>
              <w:t>2%</w:t>
            </w:r>
          </w:p>
        </w:tc>
        <w:tc>
          <w:tcPr>
            <w:tcW w:w="843" w:type="dxa"/>
            <w:vAlign w:val="center"/>
          </w:tcPr>
          <w:p w14:paraId="6A61ADC3" w14:textId="77777777"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w:t>
            </w:r>
          </w:p>
        </w:tc>
        <w:tc>
          <w:tcPr>
            <w:tcW w:w="843" w:type="dxa"/>
            <w:vAlign w:val="center"/>
          </w:tcPr>
          <w:p w14:paraId="4054126B" w14:textId="19AF9981"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0%</w:t>
            </w:r>
          </w:p>
        </w:tc>
        <w:tc>
          <w:tcPr>
            <w:tcW w:w="843" w:type="dxa"/>
            <w:vAlign w:val="center"/>
          </w:tcPr>
          <w:p w14:paraId="74536105" w14:textId="0E390AAF"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0%</w:t>
            </w:r>
          </w:p>
        </w:tc>
        <w:tc>
          <w:tcPr>
            <w:tcW w:w="843" w:type="dxa"/>
            <w:vAlign w:val="center"/>
          </w:tcPr>
          <w:p w14:paraId="3DBDE7F7" w14:textId="39F63D5B"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3%</w:t>
            </w:r>
          </w:p>
        </w:tc>
        <w:tc>
          <w:tcPr>
            <w:tcW w:w="842" w:type="dxa"/>
            <w:vAlign w:val="center"/>
          </w:tcPr>
          <w:p w14:paraId="3978BEFB" w14:textId="77777777"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w:t>
            </w:r>
          </w:p>
        </w:tc>
        <w:tc>
          <w:tcPr>
            <w:tcW w:w="843" w:type="dxa"/>
            <w:vAlign w:val="center"/>
          </w:tcPr>
          <w:p w14:paraId="68436B43" w14:textId="37515009"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4%</w:t>
            </w:r>
          </w:p>
        </w:tc>
        <w:tc>
          <w:tcPr>
            <w:tcW w:w="843" w:type="dxa"/>
            <w:vAlign w:val="center"/>
          </w:tcPr>
          <w:p w14:paraId="7D76DF80" w14:textId="121B405C" w:rsidR="00036105" w:rsidRPr="00E407FC" w:rsidRDefault="00E407FC"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+11.7%</w:t>
            </w:r>
          </w:p>
        </w:tc>
        <w:tc>
          <w:tcPr>
            <w:tcW w:w="843" w:type="dxa"/>
            <w:vAlign w:val="center"/>
          </w:tcPr>
          <w:p w14:paraId="54691C7F" w14:textId="3BABB89E"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262</w:t>
            </w:r>
            <w:r w:rsidRPr="00E407FC">
              <w:rPr>
                <w:rFonts w:ascii="Arial" w:hAnsi="Arial" w:cs="Arial"/>
                <w:bCs/>
                <w:color w:val="17365D" w:themeColor="text2" w:themeShade="BF"/>
                <w:sz w:val="18"/>
                <w:szCs w:val="18"/>
              </w:rPr>
              <w:t>M</w:t>
            </w:r>
          </w:p>
        </w:tc>
        <w:tc>
          <w:tcPr>
            <w:tcW w:w="843" w:type="dxa"/>
            <w:vAlign w:val="center"/>
          </w:tcPr>
          <w:p w14:paraId="5F771CA9" w14:textId="3A184EA4"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13.9</w:t>
            </w:r>
            <w:r w:rsidRPr="00E407FC">
              <w:rPr>
                <w:rFonts w:ascii="Arial" w:hAnsi="Arial" w:cs="Arial"/>
                <w:bCs/>
                <w:color w:val="17365D" w:themeColor="text2" w:themeShade="BF"/>
                <w:sz w:val="18"/>
                <w:szCs w:val="18"/>
              </w:rPr>
              <w:t>%</w:t>
            </w:r>
          </w:p>
        </w:tc>
        <w:tc>
          <w:tcPr>
            <w:tcW w:w="843" w:type="dxa"/>
            <w:vAlign w:val="center"/>
          </w:tcPr>
          <w:p w14:paraId="77936824" w14:textId="5063D418"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16.7</w:t>
            </w:r>
            <w:r w:rsidRPr="00E407FC">
              <w:rPr>
                <w:rFonts w:ascii="Arial" w:hAnsi="Arial" w:cs="Arial"/>
                <w:bCs/>
                <w:color w:val="17365D" w:themeColor="text2" w:themeShade="BF"/>
                <w:sz w:val="18"/>
                <w:szCs w:val="18"/>
              </w:rPr>
              <w:t>%</w:t>
            </w:r>
          </w:p>
        </w:tc>
      </w:tr>
      <w:tr w:rsidR="00E407FC" w:rsidRPr="00E407FC" w14:paraId="0AC9EFA6" w14:textId="77777777" w:rsidTr="00422C9B">
        <w:trPr>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79E7394C" w14:textId="77777777" w:rsidR="00036105" w:rsidRPr="00E407FC" w:rsidRDefault="00036105" w:rsidP="00E623A4">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Bananas</w:t>
            </w:r>
          </w:p>
        </w:tc>
        <w:tc>
          <w:tcPr>
            <w:tcW w:w="843" w:type="dxa"/>
            <w:vAlign w:val="center"/>
          </w:tcPr>
          <w:p w14:paraId="368E1212" w14:textId="288925AF"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091E61">
              <w:rPr>
                <w:rFonts w:ascii="Arial" w:hAnsi="Arial" w:cs="Arial"/>
                <w:color w:val="17365D" w:themeColor="text2" w:themeShade="BF"/>
                <w:sz w:val="18"/>
                <w:szCs w:val="18"/>
              </w:rPr>
              <w:t>6%</w:t>
            </w:r>
          </w:p>
        </w:tc>
        <w:tc>
          <w:tcPr>
            <w:tcW w:w="843" w:type="dxa"/>
            <w:vAlign w:val="center"/>
          </w:tcPr>
          <w:p w14:paraId="035800F4" w14:textId="582674A5"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6%</w:t>
            </w:r>
          </w:p>
        </w:tc>
        <w:tc>
          <w:tcPr>
            <w:tcW w:w="843" w:type="dxa"/>
            <w:vAlign w:val="center"/>
          </w:tcPr>
          <w:p w14:paraId="62293DE5" w14:textId="00A0B41F"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w:t>
            </w:r>
          </w:p>
        </w:tc>
        <w:tc>
          <w:tcPr>
            <w:tcW w:w="843" w:type="dxa"/>
            <w:vAlign w:val="center"/>
          </w:tcPr>
          <w:p w14:paraId="63386F4D" w14:textId="3D5BA109"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2%</w:t>
            </w:r>
          </w:p>
        </w:tc>
        <w:tc>
          <w:tcPr>
            <w:tcW w:w="843" w:type="dxa"/>
            <w:vAlign w:val="center"/>
          </w:tcPr>
          <w:p w14:paraId="0712D982" w14:textId="7777777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w:t>
            </w:r>
          </w:p>
        </w:tc>
        <w:tc>
          <w:tcPr>
            <w:tcW w:w="842" w:type="dxa"/>
            <w:vAlign w:val="center"/>
          </w:tcPr>
          <w:p w14:paraId="792EFF5A" w14:textId="7777777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-2%</w:t>
            </w:r>
          </w:p>
        </w:tc>
        <w:tc>
          <w:tcPr>
            <w:tcW w:w="843" w:type="dxa"/>
            <w:vAlign w:val="center"/>
          </w:tcPr>
          <w:p w14:paraId="1B072991" w14:textId="4578285C"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4%</w:t>
            </w:r>
          </w:p>
        </w:tc>
        <w:tc>
          <w:tcPr>
            <w:tcW w:w="843" w:type="dxa"/>
            <w:vAlign w:val="center"/>
          </w:tcPr>
          <w:p w14:paraId="7CD25B8A" w14:textId="410EAACD" w:rsidR="00036105" w:rsidRPr="00E407FC" w:rsidRDefault="00E407FC"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+3.0%</w:t>
            </w:r>
          </w:p>
        </w:tc>
        <w:tc>
          <w:tcPr>
            <w:tcW w:w="843" w:type="dxa"/>
            <w:vAlign w:val="center"/>
          </w:tcPr>
          <w:p w14:paraId="2D0EC25B" w14:textId="05D0845D"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236</w:t>
            </w:r>
            <w:r w:rsidRPr="00E407FC">
              <w:rPr>
                <w:rFonts w:ascii="Arial" w:hAnsi="Arial" w:cs="Arial"/>
                <w:bCs/>
                <w:color w:val="17365D" w:themeColor="text2" w:themeShade="BF"/>
                <w:sz w:val="18"/>
                <w:szCs w:val="18"/>
              </w:rPr>
              <w:t>M</w:t>
            </w:r>
          </w:p>
        </w:tc>
        <w:tc>
          <w:tcPr>
            <w:tcW w:w="843" w:type="dxa"/>
            <w:vAlign w:val="center"/>
          </w:tcPr>
          <w:p w14:paraId="2A42F567" w14:textId="0096414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3.3</w:t>
            </w:r>
            <w:r w:rsidRPr="00E407FC">
              <w:rPr>
                <w:rFonts w:ascii="Arial" w:hAnsi="Arial" w:cs="Arial"/>
                <w:bCs/>
                <w:color w:val="17365D" w:themeColor="text2" w:themeShade="BF"/>
                <w:sz w:val="18"/>
                <w:szCs w:val="18"/>
              </w:rPr>
              <w:t>%</w:t>
            </w:r>
          </w:p>
        </w:tc>
        <w:tc>
          <w:tcPr>
            <w:tcW w:w="843" w:type="dxa"/>
            <w:vAlign w:val="center"/>
          </w:tcPr>
          <w:p w14:paraId="65CD29D0" w14:textId="15C5C4D8"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7.7</w:t>
            </w:r>
            <w:r w:rsidRPr="00E407FC">
              <w:rPr>
                <w:rFonts w:ascii="Arial" w:hAnsi="Arial" w:cs="Arial"/>
                <w:bCs/>
                <w:color w:val="17365D" w:themeColor="text2" w:themeShade="BF"/>
                <w:sz w:val="18"/>
                <w:szCs w:val="18"/>
              </w:rPr>
              <w:t>%</w:t>
            </w:r>
          </w:p>
        </w:tc>
      </w:tr>
      <w:tr w:rsidR="00E407FC" w:rsidRPr="00E407FC" w14:paraId="02814958" w14:textId="77777777" w:rsidTr="001F29DC">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373440A1" w14:textId="77777777" w:rsidR="00672D72" w:rsidRPr="00E407FC" w:rsidRDefault="00672D72" w:rsidP="001F29DC">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Mandarins</w:t>
            </w:r>
          </w:p>
        </w:tc>
        <w:tc>
          <w:tcPr>
            <w:tcW w:w="843" w:type="dxa"/>
            <w:vAlign w:val="center"/>
          </w:tcPr>
          <w:p w14:paraId="6AA02558" w14:textId="30776565" w:rsidR="00672D72" w:rsidRPr="00091E61" w:rsidRDefault="00091E61"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672D72" w:rsidRPr="00091E61">
              <w:rPr>
                <w:rFonts w:ascii="Arial" w:hAnsi="Arial" w:cs="Arial"/>
                <w:color w:val="17365D" w:themeColor="text2" w:themeShade="BF"/>
                <w:sz w:val="18"/>
                <w:szCs w:val="18"/>
              </w:rPr>
              <w:t>7%</w:t>
            </w:r>
          </w:p>
        </w:tc>
        <w:tc>
          <w:tcPr>
            <w:tcW w:w="843" w:type="dxa"/>
            <w:vAlign w:val="center"/>
          </w:tcPr>
          <w:p w14:paraId="1CC59E67" w14:textId="5655B89B" w:rsidR="00672D72" w:rsidRPr="00E407FC" w:rsidRDefault="00091E61"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672D72" w:rsidRPr="00E407FC">
              <w:rPr>
                <w:rFonts w:ascii="Arial" w:hAnsi="Arial" w:cs="Arial"/>
                <w:color w:val="17365D" w:themeColor="text2" w:themeShade="BF"/>
                <w:sz w:val="18"/>
                <w:szCs w:val="18"/>
              </w:rPr>
              <w:t>8%</w:t>
            </w:r>
          </w:p>
        </w:tc>
        <w:tc>
          <w:tcPr>
            <w:tcW w:w="843" w:type="dxa"/>
            <w:vAlign w:val="center"/>
          </w:tcPr>
          <w:p w14:paraId="645A8B70" w14:textId="302ABCF7" w:rsidR="00672D72" w:rsidRPr="00E407FC" w:rsidRDefault="00091E61"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672D72" w:rsidRPr="00E407FC">
              <w:rPr>
                <w:rFonts w:ascii="Arial" w:hAnsi="Arial" w:cs="Arial"/>
                <w:color w:val="17365D" w:themeColor="text2" w:themeShade="BF"/>
                <w:sz w:val="18"/>
                <w:szCs w:val="18"/>
              </w:rPr>
              <w:t>14%</w:t>
            </w:r>
          </w:p>
        </w:tc>
        <w:tc>
          <w:tcPr>
            <w:tcW w:w="843" w:type="dxa"/>
            <w:vAlign w:val="center"/>
          </w:tcPr>
          <w:p w14:paraId="00A44678" w14:textId="7F3D985A" w:rsidR="00672D72" w:rsidRPr="00E407FC" w:rsidRDefault="00091E61"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672D72" w:rsidRPr="00E407FC">
              <w:rPr>
                <w:rFonts w:ascii="Arial" w:hAnsi="Arial" w:cs="Arial"/>
                <w:color w:val="17365D" w:themeColor="text2" w:themeShade="BF"/>
                <w:sz w:val="18"/>
                <w:szCs w:val="18"/>
              </w:rPr>
              <w:t>16%</w:t>
            </w:r>
          </w:p>
        </w:tc>
        <w:tc>
          <w:tcPr>
            <w:tcW w:w="843" w:type="dxa"/>
            <w:vAlign w:val="center"/>
          </w:tcPr>
          <w:p w14:paraId="393029F5" w14:textId="77777777" w:rsidR="00672D72" w:rsidRPr="00E407FC" w:rsidRDefault="00672D72"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w:t>
            </w:r>
          </w:p>
        </w:tc>
        <w:tc>
          <w:tcPr>
            <w:tcW w:w="842" w:type="dxa"/>
            <w:vAlign w:val="center"/>
          </w:tcPr>
          <w:p w14:paraId="07C676F9" w14:textId="073A2B46" w:rsidR="00672D72" w:rsidRPr="00E407FC" w:rsidRDefault="00091E61"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672D72" w:rsidRPr="00E407FC">
              <w:rPr>
                <w:rFonts w:ascii="Arial" w:hAnsi="Arial" w:cs="Arial"/>
                <w:color w:val="17365D" w:themeColor="text2" w:themeShade="BF"/>
                <w:sz w:val="18"/>
                <w:szCs w:val="18"/>
              </w:rPr>
              <w:t>14%</w:t>
            </w:r>
          </w:p>
        </w:tc>
        <w:tc>
          <w:tcPr>
            <w:tcW w:w="843" w:type="dxa"/>
            <w:vAlign w:val="center"/>
          </w:tcPr>
          <w:p w14:paraId="63CEDAAA" w14:textId="2DB12904" w:rsidR="00672D72" w:rsidRPr="00E407FC" w:rsidRDefault="00091E61"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672D72" w:rsidRPr="00E407FC">
              <w:rPr>
                <w:rFonts w:ascii="Arial" w:hAnsi="Arial" w:cs="Arial"/>
                <w:color w:val="17365D" w:themeColor="text2" w:themeShade="BF"/>
                <w:sz w:val="18"/>
                <w:szCs w:val="18"/>
              </w:rPr>
              <w:t>12%</w:t>
            </w:r>
          </w:p>
        </w:tc>
        <w:tc>
          <w:tcPr>
            <w:tcW w:w="843" w:type="dxa"/>
            <w:vAlign w:val="center"/>
          </w:tcPr>
          <w:p w14:paraId="11A78C0B" w14:textId="17CDCF4A" w:rsidR="00672D72" w:rsidRPr="00E407FC" w:rsidRDefault="00E407FC"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+4.9%</w:t>
            </w:r>
          </w:p>
        </w:tc>
        <w:tc>
          <w:tcPr>
            <w:tcW w:w="843" w:type="dxa"/>
            <w:vAlign w:val="center"/>
          </w:tcPr>
          <w:p w14:paraId="63B44521" w14:textId="30E13865" w:rsidR="00672D72" w:rsidRPr="00E407FC" w:rsidRDefault="00672D72"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$180M</w:t>
            </w:r>
          </w:p>
        </w:tc>
        <w:tc>
          <w:tcPr>
            <w:tcW w:w="843" w:type="dxa"/>
            <w:vAlign w:val="center"/>
          </w:tcPr>
          <w:p w14:paraId="15CCF99A" w14:textId="36B68BE6" w:rsidR="00672D72" w:rsidRPr="00E407FC" w:rsidRDefault="00672D72"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+14.5%</w:t>
            </w:r>
          </w:p>
        </w:tc>
        <w:tc>
          <w:tcPr>
            <w:tcW w:w="843" w:type="dxa"/>
            <w:vAlign w:val="center"/>
          </w:tcPr>
          <w:p w14:paraId="73905106" w14:textId="11FBC0DF" w:rsidR="00672D72" w:rsidRPr="00E407FC" w:rsidRDefault="00672D72" w:rsidP="001F29D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+17.9%</w:t>
            </w:r>
          </w:p>
        </w:tc>
      </w:tr>
      <w:tr w:rsidR="00E407FC" w:rsidRPr="00E407FC" w14:paraId="7495C605" w14:textId="77777777" w:rsidTr="00422C9B">
        <w:trPr>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7FFB7A09" w14:textId="77777777" w:rsidR="00036105" w:rsidRPr="00E407FC" w:rsidRDefault="00036105" w:rsidP="002C7619">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Avocados</w:t>
            </w:r>
          </w:p>
        </w:tc>
        <w:tc>
          <w:tcPr>
            <w:tcW w:w="843" w:type="dxa"/>
            <w:vAlign w:val="center"/>
          </w:tcPr>
          <w:p w14:paraId="6D859717" w14:textId="6F79A938"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091E61">
              <w:rPr>
                <w:rFonts w:ascii="Arial" w:hAnsi="Arial" w:cs="Arial"/>
                <w:color w:val="17365D" w:themeColor="text2" w:themeShade="BF"/>
                <w:sz w:val="18"/>
                <w:szCs w:val="18"/>
              </w:rPr>
              <w:t>7%</w:t>
            </w:r>
          </w:p>
        </w:tc>
        <w:tc>
          <w:tcPr>
            <w:tcW w:w="843" w:type="dxa"/>
            <w:vAlign w:val="center"/>
          </w:tcPr>
          <w:p w14:paraId="390235E2" w14:textId="3197E3E8"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15%</w:t>
            </w:r>
          </w:p>
        </w:tc>
        <w:tc>
          <w:tcPr>
            <w:tcW w:w="843" w:type="dxa"/>
            <w:vAlign w:val="center"/>
          </w:tcPr>
          <w:p w14:paraId="24D9E191" w14:textId="72A00FF1"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2%</w:t>
            </w:r>
          </w:p>
        </w:tc>
        <w:tc>
          <w:tcPr>
            <w:tcW w:w="843" w:type="dxa"/>
            <w:vAlign w:val="center"/>
          </w:tcPr>
          <w:p w14:paraId="55AF2F92" w14:textId="790ABCD6"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6%</w:t>
            </w:r>
          </w:p>
        </w:tc>
        <w:tc>
          <w:tcPr>
            <w:tcW w:w="843" w:type="dxa"/>
            <w:vAlign w:val="center"/>
          </w:tcPr>
          <w:p w14:paraId="3CC0E136" w14:textId="7777777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w:t>
            </w:r>
          </w:p>
        </w:tc>
        <w:tc>
          <w:tcPr>
            <w:tcW w:w="842" w:type="dxa"/>
            <w:vAlign w:val="center"/>
          </w:tcPr>
          <w:p w14:paraId="4E8CA10B" w14:textId="7777777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-10%</w:t>
            </w:r>
          </w:p>
        </w:tc>
        <w:tc>
          <w:tcPr>
            <w:tcW w:w="843" w:type="dxa"/>
            <w:vAlign w:val="center"/>
          </w:tcPr>
          <w:p w14:paraId="040B0754" w14:textId="7777777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-3%</w:t>
            </w:r>
          </w:p>
        </w:tc>
        <w:tc>
          <w:tcPr>
            <w:tcW w:w="843" w:type="dxa"/>
            <w:vAlign w:val="center"/>
          </w:tcPr>
          <w:p w14:paraId="3624DD4F" w14:textId="76FED5CD" w:rsidR="00036105" w:rsidRPr="00E407FC" w:rsidRDefault="00E407FC"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+9.2%</w:t>
            </w:r>
          </w:p>
        </w:tc>
        <w:tc>
          <w:tcPr>
            <w:tcW w:w="843" w:type="dxa"/>
            <w:vAlign w:val="center"/>
          </w:tcPr>
          <w:p w14:paraId="3F4AF797" w14:textId="22F5FB38"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170</w:t>
            </w:r>
            <w:r w:rsidRPr="00E407FC">
              <w:rPr>
                <w:rFonts w:ascii="Arial" w:hAnsi="Arial" w:cs="Arial"/>
                <w:bCs/>
                <w:color w:val="17365D" w:themeColor="text2" w:themeShade="BF"/>
                <w:sz w:val="18"/>
                <w:szCs w:val="18"/>
              </w:rPr>
              <w:t>M</w:t>
            </w:r>
          </w:p>
        </w:tc>
        <w:tc>
          <w:tcPr>
            <w:tcW w:w="843" w:type="dxa"/>
            <w:vAlign w:val="center"/>
          </w:tcPr>
          <w:p w14:paraId="3A09382B" w14:textId="15321535"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12.8</w:t>
            </w:r>
            <w:r w:rsidRPr="00E407FC">
              <w:rPr>
                <w:rFonts w:ascii="Arial" w:hAnsi="Arial" w:cs="Arial"/>
                <w:bCs/>
                <w:color w:val="17365D" w:themeColor="text2" w:themeShade="BF"/>
                <w:sz w:val="18"/>
                <w:szCs w:val="18"/>
              </w:rPr>
              <w:t>%</w:t>
            </w:r>
          </w:p>
        </w:tc>
        <w:tc>
          <w:tcPr>
            <w:tcW w:w="843" w:type="dxa"/>
            <w:vAlign w:val="center"/>
          </w:tcPr>
          <w:p w14:paraId="0EBC9B12" w14:textId="49C0D8BA"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20.9</w:t>
            </w:r>
            <w:r w:rsidRPr="00E407FC">
              <w:rPr>
                <w:rFonts w:ascii="Arial" w:hAnsi="Arial" w:cs="Arial"/>
                <w:bCs/>
                <w:color w:val="17365D" w:themeColor="text2" w:themeShade="BF"/>
                <w:sz w:val="18"/>
                <w:szCs w:val="18"/>
              </w:rPr>
              <w:t>%</w:t>
            </w:r>
          </w:p>
        </w:tc>
      </w:tr>
      <w:tr w:rsidR="00E407FC" w:rsidRPr="00E407FC" w14:paraId="5B6B39ED" w14:textId="77777777" w:rsidTr="00422C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07154AA7" w14:textId="77777777" w:rsidR="00036105" w:rsidRPr="00E407FC" w:rsidRDefault="00036105" w:rsidP="002C7619">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 xml:space="preserve">  Melons</w:t>
            </w:r>
          </w:p>
        </w:tc>
        <w:tc>
          <w:tcPr>
            <w:tcW w:w="843" w:type="dxa"/>
            <w:vAlign w:val="center"/>
          </w:tcPr>
          <w:p w14:paraId="56DD91BA" w14:textId="295DC384" w:rsidR="00036105" w:rsidRPr="00091E61"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091E61">
              <w:rPr>
                <w:rFonts w:ascii="Arial" w:hAnsi="Arial" w:cs="Arial"/>
                <w:color w:val="17365D" w:themeColor="text2" w:themeShade="BF"/>
                <w:sz w:val="18"/>
                <w:szCs w:val="18"/>
              </w:rPr>
              <w:t>4%</w:t>
            </w:r>
          </w:p>
        </w:tc>
        <w:tc>
          <w:tcPr>
            <w:tcW w:w="843" w:type="dxa"/>
            <w:vAlign w:val="center"/>
          </w:tcPr>
          <w:p w14:paraId="0D2C7B18" w14:textId="2B0F0DB4"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3%</w:t>
            </w:r>
          </w:p>
        </w:tc>
        <w:tc>
          <w:tcPr>
            <w:tcW w:w="843" w:type="dxa"/>
            <w:vAlign w:val="center"/>
          </w:tcPr>
          <w:p w14:paraId="7E7AF81E" w14:textId="01908F72"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14%</w:t>
            </w:r>
          </w:p>
        </w:tc>
        <w:tc>
          <w:tcPr>
            <w:tcW w:w="843" w:type="dxa"/>
            <w:vAlign w:val="center"/>
          </w:tcPr>
          <w:p w14:paraId="4E8DA423" w14:textId="2BFB5F98"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19%</w:t>
            </w:r>
          </w:p>
        </w:tc>
        <w:tc>
          <w:tcPr>
            <w:tcW w:w="843" w:type="dxa"/>
            <w:vAlign w:val="center"/>
          </w:tcPr>
          <w:p w14:paraId="2ADEBBB1" w14:textId="369C9B2F"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10%</w:t>
            </w:r>
          </w:p>
        </w:tc>
        <w:tc>
          <w:tcPr>
            <w:tcW w:w="842" w:type="dxa"/>
            <w:vAlign w:val="center"/>
          </w:tcPr>
          <w:p w14:paraId="3DD33B22" w14:textId="5D9ACD0F"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12%</w:t>
            </w:r>
          </w:p>
        </w:tc>
        <w:tc>
          <w:tcPr>
            <w:tcW w:w="843" w:type="dxa"/>
            <w:vAlign w:val="center"/>
          </w:tcPr>
          <w:p w14:paraId="6B906C47" w14:textId="007F3EE5"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6%</w:t>
            </w:r>
          </w:p>
        </w:tc>
        <w:tc>
          <w:tcPr>
            <w:tcW w:w="843" w:type="dxa"/>
            <w:vAlign w:val="center"/>
          </w:tcPr>
          <w:p w14:paraId="1E96D356" w14:textId="07EE409C" w:rsidR="00036105" w:rsidRPr="00E407FC" w:rsidRDefault="00E407FC"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+23.0%</w:t>
            </w:r>
          </w:p>
        </w:tc>
        <w:tc>
          <w:tcPr>
            <w:tcW w:w="843" w:type="dxa"/>
            <w:vAlign w:val="center"/>
          </w:tcPr>
          <w:p w14:paraId="1B364151" w14:textId="2D40228A"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115</w:t>
            </w:r>
            <w:r w:rsidRPr="00E407FC">
              <w:rPr>
                <w:rFonts w:ascii="Arial" w:hAnsi="Arial" w:cs="Arial"/>
                <w:bCs/>
                <w:color w:val="17365D" w:themeColor="text2" w:themeShade="BF"/>
                <w:sz w:val="18"/>
                <w:szCs w:val="18"/>
              </w:rPr>
              <w:t>M</w:t>
            </w:r>
          </w:p>
        </w:tc>
        <w:tc>
          <w:tcPr>
            <w:tcW w:w="843" w:type="dxa"/>
            <w:vAlign w:val="center"/>
          </w:tcPr>
          <w:p w14:paraId="0B748750" w14:textId="6C5A345C"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31.9</w:t>
            </w:r>
            <w:r w:rsidRPr="00E407FC">
              <w:rPr>
                <w:rFonts w:ascii="Arial" w:hAnsi="Arial" w:cs="Arial"/>
                <w:bCs/>
                <w:color w:val="17365D" w:themeColor="text2" w:themeShade="BF"/>
                <w:sz w:val="18"/>
                <w:szCs w:val="18"/>
              </w:rPr>
              <w:t>%</w:t>
            </w:r>
          </w:p>
        </w:tc>
        <w:tc>
          <w:tcPr>
            <w:tcW w:w="843" w:type="dxa"/>
            <w:vAlign w:val="center"/>
          </w:tcPr>
          <w:p w14:paraId="1077B519" w14:textId="6C9A962B"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42.2</w:t>
            </w:r>
            <w:r w:rsidRPr="00E407FC">
              <w:rPr>
                <w:rFonts w:ascii="Arial" w:hAnsi="Arial" w:cs="Arial"/>
                <w:bCs/>
                <w:color w:val="17365D" w:themeColor="text2" w:themeShade="BF"/>
                <w:sz w:val="18"/>
                <w:szCs w:val="18"/>
              </w:rPr>
              <w:t>%</w:t>
            </w:r>
          </w:p>
        </w:tc>
      </w:tr>
      <w:tr w:rsidR="00E407FC" w:rsidRPr="00E407FC" w14:paraId="501A5833" w14:textId="77777777" w:rsidTr="00422C9B">
        <w:trPr>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3B9A1BA1" w14:textId="77777777" w:rsidR="00036105" w:rsidRPr="00E407FC" w:rsidRDefault="00036105" w:rsidP="00E623A4">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Oranges</w:t>
            </w:r>
          </w:p>
        </w:tc>
        <w:tc>
          <w:tcPr>
            <w:tcW w:w="843" w:type="dxa"/>
            <w:vAlign w:val="center"/>
          </w:tcPr>
          <w:p w14:paraId="2222C3DC" w14:textId="0D226C0F" w:rsidR="00036105" w:rsidRPr="00091E61"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091E61">
              <w:rPr>
                <w:rFonts w:ascii="Arial" w:hAnsi="Arial" w:cs="Arial"/>
                <w:color w:val="17365D" w:themeColor="text2" w:themeShade="BF"/>
                <w:sz w:val="18"/>
                <w:szCs w:val="18"/>
              </w:rPr>
              <w:t>9%</w:t>
            </w:r>
          </w:p>
        </w:tc>
        <w:tc>
          <w:tcPr>
            <w:tcW w:w="843" w:type="dxa"/>
            <w:vAlign w:val="center"/>
          </w:tcPr>
          <w:p w14:paraId="2AC096A1" w14:textId="7B8D84BC"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66%</w:t>
            </w:r>
          </w:p>
        </w:tc>
        <w:tc>
          <w:tcPr>
            <w:tcW w:w="843" w:type="dxa"/>
            <w:vAlign w:val="center"/>
          </w:tcPr>
          <w:p w14:paraId="395F71CF" w14:textId="21DBC017"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40%</w:t>
            </w:r>
          </w:p>
        </w:tc>
        <w:tc>
          <w:tcPr>
            <w:tcW w:w="843" w:type="dxa"/>
            <w:vAlign w:val="center"/>
          </w:tcPr>
          <w:p w14:paraId="1D9DEB71" w14:textId="658F1BD0"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23%</w:t>
            </w:r>
          </w:p>
        </w:tc>
        <w:tc>
          <w:tcPr>
            <w:tcW w:w="843" w:type="dxa"/>
            <w:vAlign w:val="center"/>
          </w:tcPr>
          <w:p w14:paraId="4E5E0E57" w14:textId="30FA2CB9"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3%</w:t>
            </w:r>
          </w:p>
        </w:tc>
        <w:tc>
          <w:tcPr>
            <w:tcW w:w="842" w:type="dxa"/>
            <w:vAlign w:val="center"/>
          </w:tcPr>
          <w:p w14:paraId="0958F39B" w14:textId="7777777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-25%</w:t>
            </w:r>
          </w:p>
        </w:tc>
        <w:tc>
          <w:tcPr>
            <w:tcW w:w="843" w:type="dxa"/>
            <w:vAlign w:val="center"/>
          </w:tcPr>
          <w:p w14:paraId="3486262D" w14:textId="77777777"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-11%</w:t>
            </w:r>
          </w:p>
        </w:tc>
        <w:tc>
          <w:tcPr>
            <w:tcW w:w="843" w:type="dxa"/>
            <w:vAlign w:val="center"/>
          </w:tcPr>
          <w:p w14:paraId="19734DEA" w14:textId="769CCE15" w:rsidR="00036105" w:rsidRPr="00E407FC" w:rsidRDefault="00E407FC"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+3.3%</w:t>
            </w:r>
          </w:p>
        </w:tc>
        <w:tc>
          <w:tcPr>
            <w:tcW w:w="843" w:type="dxa"/>
            <w:vAlign w:val="center"/>
          </w:tcPr>
          <w:p w14:paraId="7780BB02" w14:textId="3BAB4526"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100</w:t>
            </w:r>
            <w:r w:rsidRPr="00E407FC">
              <w:rPr>
                <w:rFonts w:ascii="Arial" w:hAnsi="Arial" w:cs="Arial"/>
                <w:bCs/>
                <w:color w:val="17365D" w:themeColor="text2" w:themeShade="BF"/>
                <w:sz w:val="18"/>
                <w:szCs w:val="18"/>
              </w:rPr>
              <w:t>M</w:t>
            </w:r>
          </w:p>
        </w:tc>
        <w:tc>
          <w:tcPr>
            <w:tcW w:w="843" w:type="dxa"/>
            <w:vAlign w:val="center"/>
          </w:tcPr>
          <w:p w14:paraId="209333FD" w14:textId="5F8AF8F6"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3.0</w:t>
            </w:r>
            <w:r w:rsidRPr="00E407FC">
              <w:rPr>
                <w:rFonts w:ascii="Arial" w:hAnsi="Arial" w:cs="Arial"/>
                <w:bCs/>
                <w:color w:val="17365D" w:themeColor="text2" w:themeShade="BF"/>
                <w:sz w:val="18"/>
                <w:szCs w:val="18"/>
              </w:rPr>
              <w:t>%</w:t>
            </w:r>
          </w:p>
        </w:tc>
        <w:tc>
          <w:tcPr>
            <w:tcW w:w="843" w:type="dxa"/>
            <w:vAlign w:val="center"/>
          </w:tcPr>
          <w:p w14:paraId="4A3E38EA" w14:textId="1AE44812"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33.3</w:t>
            </w:r>
            <w:r w:rsidRPr="00E407FC">
              <w:rPr>
                <w:rFonts w:ascii="Arial" w:hAnsi="Arial" w:cs="Arial"/>
                <w:bCs/>
                <w:color w:val="17365D" w:themeColor="text2" w:themeShade="BF"/>
                <w:sz w:val="18"/>
                <w:szCs w:val="18"/>
              </w:rPr>
              <w:t>%</w:t>
            </w:r>
          </w:p>
        </w:tc>
      </w:tr>
      <w:tr w:rsidR="00E407FC" w:rsidRPr="00E407FC" w14:paraId="15E41D65" w14:textId="77777777" w:rsidTr="00422C9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1DB68BA6" w14:textId="77777777" w:rsidR="00036105" w:rsidRPr="00E407FC" w:rsidRDefault="00036105" w:rsidP="002C7619">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Mixed fruit</w:t>
            </w:r>
          </w:p>
        </w:tc>
        <w:tc>
          <w:tcPr>
            <w:tcW w:w="843" w:type="dxa"/>
            <w:vAlign w:val="center"/>
          </w:tcPr>
          <w:p w14:paraId="7F182117" w14:textId="77777777" w:rsidR="00036105" w:rsidRPr="00091E61"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091E61">
              <w:rPr>
                <w:rFonts w:ascii="Arial" w:hAnsi="Arial" w:cs="Arial"/>
                <w:color w:val="17365D" w:themeColor="text2" w:themeShade="BF"/>
                <w:sz w:val="18"/>
                <w:szCs w:val="18"/>
              </w:rPr>
              <w:t>-1%</w:t>
            </w:r>
          </w:p>
        </w:tc>
        <w:tc>
          <w:tcPr>
            <w:tcW w:w="843" w:type="dxa"/>
            <w:vAlign w:val="center"/>
          </w:tcPr>
          <w:p w14:paraId="5BBA5BA0" w14:textId="77777777"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-26%</w:t>
            </w:r>
          </w:p>
        </w:tc>
        <w:tc>
          <w:tcPr>
            <w:tcW w:w="843" w:type="dxa"/>
            <w:vAlign w:val="center"/>
          </w:tcPr>
          <w:p w14:paraId="1759F519" w14:textId="77777777"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-2%</w:t>
            </w:r>
          </w:p>
        </w:tc>
        <w:tc>
          <w:tcPr>
            <w:tcW w:w="843" w:type="dxa"/>
            <w:vAlign w:val="center"/>
          </w:tcPr>
          <w:p w14:paraId="711C901A" w14:textId="77777777"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color w:val="17365D" w:themeColor="text2" w:themeShade="BF"/>
                <w:sz w:val="18"/>
                <w:szCs w:val="18"/>
              </w:rPr>
              <w:t>-9%</w:t>
            </w:r>
          </w:p>
        </w:tc>
        <w:tc>
          <w:tcPr>
            <w:tcW w:w="843" w:type="dxa"/>
            <w:vAlign w:val="center"/>
          </w:tcPr>
          <w:p w14:paraId="6FD13558" w14:textId="08927619"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8%</w:t>
            </w:r>
          </w:p>
        </w:tc>
        <w:tc>
          <w:tcPr>
            <w:tcW w:w="842" w:type="dxa"/>
            <w:vAlign w:val="center"/>
          </w:tcPr>
          <w:p w14:paraId="47F87392" w14:textId="16B98DDF"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58%</w:t>
            </w:r>
          </w:p>
        </w:tc>
        <w:tc>
          <w:tcPr>
            <w:tcW w:w="843" w:type="dxa"/>
            <w:vAlign w:val="center"/>
          </w:tcPr>
          <w:p w14:paraId="21767298" w14:textId="2C9C92C3" w:rsidR="00036105" w:rsidRPr="00E407FC" w:rsidRDefault="00091E61"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28%</w:t>
            </w:r>
          </w:p>
        </w:tc>
        <w:tc>
          <w:tcPr>
            <w:tcW w:w="843" w:type="dxa"/>
            <w:vAlign w:val="center"/>
          </w:tcPr>
          <w:p w14:paraId="581700CB" w14:textId="4A8EFF68" w:rsidR="00036105" w:rsidRPr="00E407FC" w:rsidRDefault="00E407FC"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+28.9%</w:t>
            </w:r>
          </w:p>
        </w:tc>
        <w:tc>
          <w:tcPr>
            <w:tcW w:w="843" w:type="dxa"/>
            <w:vAlign w:val="center"/>
          </w:tcPr>
          <w:p w14:paraId="058641D8" w14:textId="759572A4"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72</w:t>
            </w:r>
            <w:r w:rsidRPr="00E407FC">
              <w:rPr>
                <w:rFonts w:ascii="Arial" w:hAnsi="Arial" w:cs="Arial"/>
                <w:bCs/>
                <w:color w:val="17365D" w:themeColor="text2" w:themeShade="BF"/>
                <w:sz w:val="18"/>
                <w:szCs w:val="18"/>
              </w:rPr>
              <w:t>M</w:t>
            </w:r>
          </w:p>
        </w:tc>
        <w:tc>
          <w:tcPr>
            <w:tcW w:w="843" w:type="dxa"/>
            <w:vAlign w:val="center"/>
          </w:tcPr>
          <w:p w14:paraId="0A98A3A2" w14:textId="6B0982EA"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34.1</w:t>
            </w:r>
            <w:r w:rsidRPr="00E407FC">
              <w:rPr>
                <w:rFonts w:ascii="Arial" w:hAnsi="Arial" w:cs="Arial"/>
                <w:bCs/>
                <w:color w:val="17365D" w:themeColor="text2" w:themeShade="BF"/>
                <w:sz w:val="18"/>
                <w:szCs w:val="18"/>
              </w:rPr>
              <w:t>%</w:t>
            </w:r>
          </w:p>
        </w:tc>
        <w:tc>
          <w:tcPr>
            <w:tcW w:w="843" w:type="dxa"/>
            <w:vAlign w:val="center"/>
          </w:tcPr>
          <w:p w14:paraId="1CCA3F1E" w14:textId="4C1B981C" w:rsidR="00036105" w:rsidRPr="00E407FC" w:rsidRDefault="00036105" w:rsidP="0003610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14.0</w:t>
            </w:r>
            <w:r w:rsidRPr="00E407FC">
              <w:rPr>
                <w:rFonts w:ascii="Arial" w:hAnsi="Arial" w:cs="Arial"/>
                <w:bCs/>
                <w:color w:val="17365D" w:themeColor="text2" w:themeShade="BF"/>
                <w:sz w:val="18"/>
                <w:szCs w:val="18"/>
              </w:rPr>
              <w:t>%</w:t>
            </w:r>
          </w:p>
        </w:tc>
      </w:tr>
      <w:tr w:rsidR="00E407FC" w:rsidRPr="00E407FC" w14:paraId="51B48E2F" w14:textId="77777777" w:rsidTr="00422C9B">
        <w:trPr>
          <w:trHeight w:val="253"/>
        </w:trPr>
        <w:tc>
          <w:tcPr>
            <w:cnfStyle w:val="001000000000" w:firstRow="0" w:lastRow="0" w:firstColumn="1" w:lastColumn="0" w:oddVBand="0" w:evenVBand="0" w:oddHBand="0" w:evenHBand="0" w:firstRowFirstColumn="0" w:firstRowLastColumn="0" w:lastRowFirstColumn="0" w:lastRowLastColumn="0"/>
            <w:tcW w:w="1467" w:type="dxa"/>
            <w:vAlign w:val="center"/>
          </w:tcPr>
          <w:p w14:paraId="6B4867B5" w14:textId="77777777" w:rsidR="00036105" w:rsidRPr="00E407FC" w:rsidRDefault="00036105" w:rsidP="002C7619">
            <w:pPr>
              <w:pStyle w:val="NoSpacing"/>
              <w:jc w:val="right"/>
              <w:rPr>
                <w:rFonts w:ascii="Arial" w:hAnsi="Arial" w:cs="Arial"/>
                <w:b w:val="0"/>
                <w:color w:val="17365D" w:themeColor="text2" w:themeShade="BF"/>
                <w:sz w:val="18"/>
                <w:szCs w:val="18"/>
              </w:rPr>
            </w:pPr>
            <w:r w:rsidRPr="00E407FC">
              <w:rPr>
                <w:rFonts w:ascii="Arial" w:hAnsi="Arial" w:cs="Arial"/>
                <w:b w:val="0"/>
                <w:color w:val="17365D" w:themeColor="text2" w:themeShade="BF"/>
                <w:sz w:val="18"/>
                <w:szCs w:val="18"/>
              </w:rPr>
              <w:t>Pineapples</w:t>
            </w:r>
          </w:p>
        </w:tc>
        <w:tc>
          <w:tcPr>
            <w:tcW w:w="843" w:type="dxa"/>
            <w:vAlign w:val="center"/>
          </w:tcPr>
          <w:p w14:paraId="53BF778D" w14:textId="77777777" w:rsidR="00036105" w:rsidRPr="00091E61"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091E61">
              <w:rPr>
                <w:rFonts w:ascii="Arial" w:hAnsi="Arial" w:cs="Arial"/>
                <w:color w:val="17365D" w:themeColor="text2" w:themeShade="BF"/>
                <w:sz w:val="18"/>
                <w:szCs w:val="18"/>
              </w:rPr>
              <w:t>-6%</w:t>
            </w:r>
          </w:p>
        </w:tc>
        <w:tc>
          <w:tcPr>
            <w:tcW w:w="843" w:type="dxa"/>
            <w:vAlign w:val="center"/>
          </w:tcPr>
          <w:p w14:paraId="735A2C2B" w14:textId="7F2A1209"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7%</w:t>
            </w:r>
          </w:p>
        </w:tc>
        <w:tc>
          <w:tcPr>
            <w:tcW w:w="843" w:type="dxa"/>
            <w:vAlign w:val="center"/>
          </w:tcPr>
          <w:p w14:paraId="655D668E" w14:textId="0C02D949"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16%</w:t>
            </w:r>
          </w:p>
        </w:tc>
        <w:tc>
          <w:tcPr>
            <w:tcW w:w="843" w:type="dxa"/>
            <w:vAlign w:val="center"/>
          </w:tcPr>
          <w:p w14:paraId="4B343605" w14:textId="3E2AF359"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15%</w:t>
            </w:r>
          </w:p>
        </w:tc>
        <w:tc>
          <w:tcPr>
            <w:tcW w:w="843" w:type="dxa"/>
            <w:vAlign w:val="center"/>
          </w:tcPr>
          <w:p w14:paraId="2D092EE4" w14:textId="75C95C18"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12%</w:t>
            </w:r>
          </w:p>
        </w:tc>
        <w:tc>
          <w:tcPr>
            <w:tcW w:w="842" w:type="dxa"/>
            <w:vAlign w:val="center"/>
          </w:tcPr>
          <w:p w14:paraId="5458A8D5" w14:textId="67845A2F"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11%</w:t>
            </w:r>
          </w:p>
        </w:tc>
        <w:tc>
          <w:tcPr>
            <w:tcW w:w="843" w:type="dxa"/>
            <w:vAlign w:val="center"/>
          </w:tcPr>
          <w:p w14:paraId="6851E292" w14:textId="0DB705D5" w:rsidR="00036105" w:rsidRPr="00E407FC" w:rsidRDefault="00091E61"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Pr>
                <w:rFonts w:ascii="Arial" w:hAnsi="Arial" w:cs="Arial"/>
                <w:color w:val="17365D" w:themeColor="text2" w:themeShade="BF"/>
                <w:sz w:val="18"/>
                <w:szCs w:val="18"/>
              </w:rPr>
              <w:t>+</w:t>
            </w:r>
            <w:r w:rsidR="00036105" w:rsidRPr="00E407FC">
              <w:rPr>
                <w:rFonts w:ascii="Arial" w:hAnsi="Arial" w:cs="Arial"/>
                <w:color w:val="17365D" w:themeColor="text2" w:themeShade="BF"/>
                <w:sz w:val="18"/>
                <w:szCs w:val="18"/>
              </w:rPr>
              <w:t>8%</w:t>
            </w:r>
          </w:p>
        </w:tc>
        <w:tc>
          <w:tcPr>
            <w:tcW w:w="843" w:type="dxa"/>
            <w:vAlign w:val="center"/>
          </w:tcPr>
          <w:p w14:paraId="286DEA29" w14:textId="36BA8928" w:rsidR="00036105" w:rsidRPr="00E407FC" w:rsidRDefault="00E407FC"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17365D" w:themeColor="text2" w:themeShade="BF"/>
                <w:sz w:val="18"/>
                <w:szCs w:val="18"/>
              </w:rPr>
            </w:pPr>
            <w:r w:rsidRPr="00E407FC">
              <w:rPr>
                <w:rFonts w:ascii="Arial" w:hAnsi="Arial" w:cs="Arial"/>
                <w:bCs/>
                <w:color w:val="17365D" w:themeColor="text2" w:themeShade="BF"/>
                <w:sz w:val="18"/>
                <w:szCs w:val="18"/>
              </w:rPr>
              <w:t>+11.2%</w:t>
            </w:r>
          </w:p>
        </w:tc>
        <w:tc>
          <w:tcPr>
            <w:tcW w:w="843" w:type="dxa"/>
            <w:vAlign w:val="center"/>
          </w:tcPr>
          <w:p w14:paraId="1BBCE8AF" w14:textId="148791C8"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64</w:t>
            </w:r>
            <w:r w:rsidRPr="00E407FC">
              <w:rPr>
                <w:rFonts w:ascii="Arial" w:hAnsi="Arial" w:cs="Arial"/>
                <w:bCs/>
                <w:color w:val="17365D" w:themeColor="text2" w:themeShade="BF"/>
                <w:sz w:val="18"/>
                <w:szCs w:val="18"/>
              </w:rPr>
              <w:t>M</w:t>
            </w:r>
          </w:p>
        </w:tc>
        <w:tc>
          <w:tcPr>
            <w:tcW w:w="843" w:type="dxa"/>
            <w:vAlign w:val="center"/>
          </w:tcPr>
          <w:p w14:paraId="3937477C" w14:textId="6699642E"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10.9</w:t>
            </w:r>
            <w:r w:rsidRPr="00E407FC">
              <w:rPr>
                <w:rFonts w:ascii="Arial" w:hAnsi="Arial" w:cs="Arial"/>
                <w:bCs/>
                <w:color w:val="17365D" w:themeColor="text2" w:themeShade="BF"/>
                <w:sz w:val="18"/>
                <w:szCs w:val="18"/>
              </w:rPr>
              <w:t>%</w:t>
            </w:r>
          </w:p>
        </w:tc>
        <w:tc>
          <w:tcPr>
            <w:tcW w:w="843" w:type="dxa"/>
            <w:vAlign w:val="center"/>
          </w:tcPr>
          <w:p w14:paraId="18BE2595" w14:textId="56C734B1" w:rsidR="00036105" w:rsidRPr="00E407FC" w:rsidRDefault="00036105" w:rsidP="00036105">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18"/>
              </w:rPr>
            </w:pPr>
            <w:r w:rsidRPr="00E407FC">
              <w:rPr>
                <w:rFonts w:ascii="Arial" w:hAnsi="Arial" w:cs="Arial"/>
                <w:bCs/>
                <w:color w:val="17365D" w:themeColor="text2" w:themeShade="BF"/>
                <w:sz w:val="18"/>
                <w:szCs w:val="18"/>
              </w:rPr>
              <w:t>+</w:t>
            </w:r>
            <w:r w:rsidR="00672D72" w:rsidRPr="00E407FC">
              <w:rPr>
                <w:rFonts w:ascii="Arial" w:hAnsi="Arial" w:cs="Arial"/>
                <w:bCs/>
                <w:color w:val="17365D" w:themeColor="text2" w:themeShade="BF"/>
                <w:sz w:val="18"/>
                <w:szCs w:val="18"/>
              </w:rPr>
              <w:t>19.5</w:t>
            </w:r>
            <w:r w:rsidRPr="00E407FC">
              <w:rPr>
                <w:rFonts w:ascii="Arial" w:hAnsi="Arial" w:cs="Arial"/>
                <w:bCs/>
                <w:color w:val="17365D" w:themeColor="text2" w:themeShade="BF"/>
                <w:sz w:val="18"/>
                <w:szCs w:val="18"/>
              </w:rPr>
              <w:t>%</w:t>
            </w:r>
          </w:p>
        </w:tc>
      </w:tr>
    </w:tbl>
    <w:p w14:paraId="16BF7EBD" w14:textId="77777777" w:rsidR="00CB6454" w:rsidRPr="00EA1FE4" w:rsidRDefault="00CB6454" w:rsidP="00CB6454">
      <w:pPr>
        <w:pStyle w:val="NoSpacing"/>
        <w:rPr>
          <w:rFonts w:ascii="Arial" w:hAnsi="Arial" w:cs="Arial"/>
          <w:sz w:val="10"/>
          <w:szCs w:val="10"/>
        </w:rPr>
      </w:pPr>
    </w:p>
    <w:p w14:paraId="4B6DCE15" w14:textId="31976AB3" w:rsidR="00CB6454" w:rsidRPr="00B35CE9" w:rsidRDefault="00CB6454" w:rsidP="00CB6454">
      <w:pPr>
        <w:pStyle w:val="NoSpacing"/>
        <w:rPr>
          <w:rFonts w:ascii="Arial" w:hAnsi="Arial" w:cs="Arial"/>
          <w:sz w:val="16"/>
          <w:szCs w:val="16"/>
        </w:rPr>
      </w:pPr>
      <w:r>
        <w:rPr>
          <w:rFonts w:ascii="Arial" w:hAnsi="Arial" w:cs="Arial"/>
          <w:sz w:val="16"/>
          <w:szCs w:val="16"/>
        </w:rPr>
        <w:t xml:space="preserve">    </w:t>
      </w:r>
      <w:r w:rsidRPr="00B35CE9">
        <w:rPr>
          <w:rFonts w:ascii="Arial" w:hAnsi="Arial" w:cs="Arial"/>
          <w:sz w:val="16"/>
          <w:szCs w:val="16"/>
        </w:rPr>
        <w:t>Source: Source</w:t>
      </w:r>
      <w:r>
        <w:rPr>
          <w:rFonts w:ascii="Arial" w:hAnsi="Arial" w:cs="Arial"/>
          <w:sz w:val="16"/>
          <w:szCs w:val="16"/>
        </w:rPr>
        <w:t>: IRI Integrated Fresh, Total U.S., MULO</w:t>
      </w:r>
    </w:p>
    <w:p w14:paraId="4E87E906" w14:textId="77777777" w:rsidR="00E43E81" w:rsidRDefault="00E43E81" w:rsidP="00E43E81">
      <w:pPr>
        <w:pStyle w:val="NoSpacing"/>
        <w:rPr>
          <w:rFonts w:ascii="Arial" w:hAnsi="Arial" w:cs="Arial"/>
          <w:sz w:val="20"/>
          <w:shd w:val="clear" w:color="auto" w:fill="FFFFFF"/>
        </w:rPr>
      </w:pPr>
    </w:p>
    <w:p w14:paraId="4F036C83" w14:textId="77777777" w:rsidR="00DB444F" w:rsidRDefault="00DB444F" w:rsidP="00B10C22">
      <w:pPr>
        <w:pStyle w:val="NoSpacing"/>
        <w:rPr>
          <w:rFonts w:ascii="Arial" w:hAnsi="Arial" w:cs="Arial"/>
          <w:b/>
          <w:color w:val="595959" w:themeColor="text1" w:themeTint="A6"/>
          <w:sz w:val="24"/>
          <w:szCs w:val="24"/>
        </w:rPr>
      </w:pPr>
    </w:p>
    <w:p w14:paraId="5166B58E" w14:textId="6881E319" w:rsidR="00B10C22" w:rsidRPr="00BF7B2A" w:rsidRDefault="00B10C22" w:rsidP="00B10C22">
      <w:pPr>
        <w:pStyle w:val="NoSpacing"/>
        <w:rPr>
          <w:rFonts w:ascii="Arial" w:hAnsi="Arial" w:cs="Arial"/>
          <w:b/>
          <w:color w:val="595959" w:themeColor="text1" w:themeTint="A6"/>
          <w:sz w:val="24"/>
          <w:szCs w:val="24"/>
        </w:rPr>
      </w:pPr>
      <w:r w:rsidRPr="00BF7B2A">
        <w:rPr>
          <w:rFonts w:ascii="Arial" w:hAnsi="Arial" w:cs="Arial"/>
          <w:b/>
          <w:color w:val="595959" w:themeColor="text1" w:themeTint="A6"/>
          <w:sz w:val="24"/>
          <w:szCs w:val="24"/>
        </w:rPr>
        <w:t xml:space="preserve">Fresh </w:t>
      </w:r>
      <w:r w:rsidR="00BF7B2A">
        <w:rPr>
          <w:rFonts w:ascii="Arial" w:hAnsi="Arial" w:cs="Arial"/>
          <w:b/>
          <w:color w:val="595959" w:themeColor="text1" w:themeTint="A6"/>
          <w:sz w:val="24"/>
          <w:szCs w:val="24"/>
        </w:rPr>
        <w:t>V</w:t>
      </w:r>
      <w:r w:rsidRPr="00BF7B2A">
        <w:rPr>
          <w:rFonts w:ascii="Arial" w:hAnsi="Arial" w:cs="Arial"/>
          <w:b/>
          <w:color w:val="595959" w:themeColor="text1" w:themeTint="A6"/>
          <w:sz w:val="24"/>
          <w:szCs w:val="24"/>
        </w:rPr>
        <w:t>egetables</w:t>
      </w:r>
      <w:r w:rsidR="00EB33CE">
        <w:rPr>
          <w:rFonts w:ascii="Arial" w:hAnsi="Arial" w:cs="Arial"/>
          <w:b/>
          <w:color w:val="595959" w:themeColor="text1" w:themeTint="A6"/>
          <w:sz w:val="24"/>
          <w:szCs w:val="24"/>
        </w:rPr>
        <w:t xml:space="preserve"> Sales in </w:t>
      </w:r>
      <w:r w:rsidR="00E407FC">
        <w:rPr>
          <w:rFonts w:ascii="Arial" w:hAnsi="Arial" w:cs="Arial"/>
          <w:b/>
          <w:color w:val="595959" w:themeColor="text1" w:themeTint="A6"/>
          <w:sz w:val="24"/>
          <w:szCs w:val="24"/>
        </w:rPr>
        <w:t>December</w:t>
      </w:r>
    </w:p>
    <w:p w14:paraId="6C4FEBDD" w14:textId="42FB5AC7" w:rsidR="00836D73" w:rsidRDefault="007273B2" w:rsidP="00B10C22">
      <w:pPr>
        <w:pStyle w:val="NoSpacing"/>
        <w:rPr>
          <w:rFonts w:ascii="Arial" w:hAnsi="Arial" w:cs="Arial"/>
          <w:sz w:val="20"/>
          <w:szCs w:val="20"/>
        </w:rPr>
      </w:pPr>
      <w:r>
        <w:rPr>
          <w:rFonts w:ascii="Arial" w:hAnsi="Arial" w:cs="Arial"/>
          <w:sz w:val="20"/>
          <w:szCs w:val="20"/>
        </w:rPr>
        <w:t>“</w:t>
      </w:r>
      <w:r w:rsidR="00AD5C59">
        <w:rPr>
          <w:rFonts w:ascii="Arial" w:hAnsi="Arial" w:cs="Arial"/>
          <w:sz w:val="20"/>
          <w:szCs w:val="20"/>
        </w:rPr>
        <w:t>The top 10 sellers on the vegetable side had a mixed performance in terms of dollar sales growth</w:t>
      </w:r>
      <w:r w:rsidR="00546508">
        <w:rPr>
          <w:rFonts w:ascii="Arial" w:hAnsi="Arial" w:cs="Arial"/>
          <w:sz w:val="20"/>
          <w:szCs w:val="20"/>
        </w:rPr>
        <w:t xml:space="preserve">,” said Watson. </w:t>
      </w:r>
      <w:r w:rsidR="00084469">
        <w:rPr>
          <w:rFonts w:ascii="Arial" w:hAnsi="Arial" w:cs="Arial"/>
          <w:sz w:val="20"/>
          <w:szCs w:val="20"/>
        </w:rPr>
        <w:t>“</w:t>
      </w:r>
      <w:r w:rsidR="00AD5C59">
        <w:rPr>
          <w:rFonts w:ascii="Arial" w:hAnsi="Arial" w:cs="Arial"/>
          <w:sz w:val="20"/>
          <w:szCs w:val="20"/>
        </w:rPr>
        <w:t>Vegetables did not see the same inflationary boost as fruit and while total vegetables increased sales by 1% over December 2020 levels, four areas lost ground, including potatoes, onions, peppers and mushrooms</w:t>
      </w:r>
      <w:r w:rsidR="008D0296">
        <w:rPr>
          <w:rFonts w:ascii="Arial" w:hAnsi="Arial" w:cs="Arial"/>
          <w:sz w:val="20"/>
          <w:szCs w:val="20"/>
        </w:rPr>
        <w:t>.</w:t>
      </w:r>
      <w:r w:rsidR="00AD5C59">
        <w:rPr>
          <w:rFonts w:ascii="Arial" w:hAnsi="Arial" w:cs="Arial"/>
          <w:sz w:val="20"/>
          <w:szCs w:val="20"/>
        </w:rPr>
        <w:t xml:space="preserve"> However, given the very strong 2020 performance, it is important to compare to normal sales levels as well, which shows demand is still quite strong for all top 10 sellers, even taking the effect of inflation into account.</w:t>
      </w:r>
      <w:r w:rsidR="00A225C7">
        <w:rPr>
          <w:rFonts w:ascii="Arial" w:hAnsi="Arial" w:cs="Arial"/>
          <w:sz w:val="20"/>
          <w:szCs w:val="20"/>
        </w:rPr>
        <w:t>”</w:t>
      </w:r>
      <w:r w:rsidR="00CF30D8">
        <w:rPr>
          <w:rFonts w:ascii="Arial" w:hAnsi="Arial" w:cs="Arial"/>
          <w:sz w:val="20"/>
          <w:szCs w:val="20"/>
        </w:rPr>
        <w:t xml:space="preserve"> </w:t>
      </w:r>
    </w:p>
    <w:p w14:paraId="511870F9" w14:textId="77777777" w:rsidR="001F53D3" w:rsidRPr="002E6833" w:rsidRDefault="001F53D3" w:rsidP="00B10C22">
      <w:pPr>
        <w:pStyle w:val="NoSpacing"/>
        <w:rPr>
          <w:rFonts w:ascii="Arial" w:hAnsi="Arial" w:cs="Arial"/>
          <w:sz w:val="18"/>
          <w:szCs w:val="20"/>
        </w:rPr>
      </w:pPr>
    </w:p>
    <w:tbl>
      <w:tblPr>
        <w:tblStyle w:val="LightShading-Accent5"/>
        <w:tblW w:w="10847" w:type="dxa"/>
        <w:tblBorders>
          <w:top w:val="none" w:sz="0" w:space="0" w:color="auto"/>
          <w:bottom w:val="none" w:sz="0" w:space="0" w:color="auto"/>
        </w:tblBorders>
        <w:tblLayout w:type="fixed"/>
        <w:tblLook w:val="04A0" w:firstRow="1" w:lastRow="0" w:firstColumn="1" w:lastColumn="0" w:noHBand="0" w:noVBand="1"/>
      </w:tblPr>
      <w:tblGrid>
        <w:gridCol w:w="1560"/>
        <w:gridCol w:w="800"/>
        <w:gridCol w:w="44"/>
        <w:gridCol w:w="844"/>
        <w:gridCol w:w="844"/>
        <w:gridCol w:w="845"/>
        <w:gridCol w:w="844"/>
        <w:gridCol w:w="844"/>
        <w:gridCol w:w="844"/>
        <w:gridCol w:w="845"/>
        <w:gridCol w:w="844"/>
        <w:gridCol w:w="844"/>
        <w:gridCol w:w="845"/>
      </w:tblGrid>
      <w:tr w:rsidR="00E623A4" w:rsidRPr="0003007F" w14:paraId="30F0052E" w14:textId="77777777" w:rsidTr="001D0D13">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2360" w:type="dxa"/>
            <w:gridSpan w:val="2"/>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1B2EBAE" w14:textId="77777777" w:rsidR="00E623A4" w:rsidRPr="00AB1306" w:rsidRDefault="00E623A4" w:rsidP="00CF30D8">
            <w:pPr>
              <w:pStyle w:val="NoSpacing"/>
              <w:rPr>
                <w:rFonts w:ascii="Arial" w:hAnsi="Arial" w:cs="Arial"/>
                <w:color w:val="FFFFFF" w:themeColor="background1"/>
                <w:sz w:val="18"/>
                <w:szCs w:val="18"/>
              </w:rPr>
            </w:pPr>
            <w:r w:rsidRPr="00AB1306">
              <w:rPr>
                <w:rFonts w:ascii="Arial" w:hAnsi="Arial" w:cs="Arial"/>
                <w:color w:val="FFFFFF" w:themeColor="background1"/>
                <w:sz w:val="18"/>
                <w:szCs w:val="18"/>
              </w:rPr>
              <w:t>Top 10 in sales</w:t>
            </w:r>
          </w:p>
        </w:tc>
        <w:tc>
          <w:tcPr>
            <w:tcW w:w="8487" w:type="dxa"/>
            <w:gridSpan w:val="11"/>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8084947" w14:textId="77777777" w:rsidR="00E623A4" w:rsidRPr="0003007F" w:rsidRDefault="00E623A4" w:rsidP="00CF30D8">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AB1306">
              <w:rPr>
                <w:rFonts w:ascii="Arial" w:hAnsi="Arial" w:cs="Arial"/>
                <w:color w:val="FFFFFF" w:themeColor="background1"/>
                <w:sz w:val="18"/>
                <w:szCs w:val="18"/>
              </w:rPr>
              <w:t>Dollar sal</w:t>
            </w:r>
            <w:r>
              <w:rPr>
                <w:rFonts w:ascii="Arial" w:hAnsi="Arial" w:cs="Arial"/>
                <w:color w:val="FFFFFF" w:themeColor="background1"/>
                <w:sz w:val="18"/>
                <w:szCs w:val="18"/>
              </w:rPr>
              <w:t>es increase over comparable period</w:t>
            </w:r>
            <w:r w:rsidRPr="00AB1306">
              <w:rPr>
                <w:rFonts w:ascii="Arial" w:hAnsi="Arial" w:cs="Arial"/>
                <w:color w:val="FFFFFF" w:themeColor="background1"/>
                <w:sz w:val="18"/>
                <w:szCs w:val="18"/>
              </w:rPr>
              <w:t xml:space="preserve"> in 2019</w:t>
            </w:r>
            <w:r>
              <w:rPr>
                <w:rFonts w:ascii="Arial" w:hAnsi="Arial" w:cs="Arial"/>
                <w:color w:val="FFFFFF" w:themeColor="background1"/>
                <w:sz w:val="18"/>
                <w:szCs w:val="18"/>
              </w:rPr>
              <w:t>/2020</w:t>
            </w:r>
          </w:p>
        </w:tc>
      </w:tr>
      <w:tr w:rsidR="00E623A4" w:rsidRPr="0003007F" w14:paraId="34F2C87C" w14:textId="77777777" w:rsidTr="001D0D13">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shd w:val="clear" w:color="auto" w:fill="17365D" w:themeFill="text2" w:themeFillShade="BF"/>
            <w:vAlign w:val="center"/>
          </w:tcPr>
          <w:p w14:paraId="03038E21" w14:textId="77777777" w:rsidR="00E623A4" w:rsidRPr="0003007F" w:rsidRDefault="00E623A4" w:rsidP="00CF30D8">
            <w:pPr>
              <w:pStyle w:val="NoSpacing"/>
              <w:jc w:val="right"/>
              <w:rPr>
                <w:rFonts w:ascii="Arial" w:hAnsi="Arial" w:cs="Arial"/>
                <w:color w:val="FFFFFF" w:themeColor="background1"/>
                <w:sz w:val="18"/>
                <w:szCs w:val="18"/>
              </w:rPr>
            </w:pPr>
          </w:p>
        </w:tc>
        <w:tc>
          <w:tcPr>
            <w:tcW w:w="844" w:type="dxa"/>
            <w:gridSpan w:val="2"/>
            <w:tcBorders>
              <w:left w:val="none" w:sz="0" w:space="0" w:color="auto"/>
              <w:right w:val="none" w:sz="0" w:space="0" w:color="auto"/>
            </w:tcBorders>
            <w:shd w:val="clear" w:color="auto" w:fill="17365D" w:themeFill="text2" w:themeFillShade="BF"/>
            <w:vAlign w:val="bottom"/>
          </w:tcPr>
          <w:p w14:paraId="3A70485A" w14:textId="77777777" w:rsidR="00E623A4" w:rsidRPr="003C245B" w:rsidRDefault="00E623A4" w:rsidP="00E623A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color w:val="FFFFFF" w:themeColor="background1"/>
                <w:sz w:val="18"/>
                <w:szCs w:val="18"/>
              </w:rPr>
              <w:t>Q1 ‘20</w:t>
            </w:r>
          </w:p>
        </w:tc>
        <w:tc>
          <w:tcPr>
            <w:tcW w:w="844" w:type="dxa"/>
            <w:tcBorders>
              <w:left w:val="none" w:sz="0" w:space="0" w:color="auto"/>
              <w:right w:val="none" w:sz="0" w:space="0" w:color="auto"/>
            </w:tcBorders>
            <w:shd w:val="clear" w:color="auto" w:fill="17365D" w:themeFill="text2" w:themeFillShade="BF"/>
            <w:vAlign w:val="bottom"/>
          </w:tcPr>
          <w:p w14:paraId="00947FAA" w14:textId="77777777" w:rsidR="00E623A4" w:rsidRPr="003C245B" w:rsidRDefault="00E623A4" w:rsidP="00E623A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‘20</w:t>
            </w:r>
          </w:p>
        </w:tc>
        <w:tc>
          <w:tcPr>
            <w:tcW w:w="844" w:type="dxa"/>
            <w:tcBorders>
              <w:left w:val="none" w:sz="0" w:space="0" w:color="auto"/>
              <w:right w:val="none" w:sz="0" w:space="0" w:color="auto"/>
            </w:tcBorders>
            <w:shd w:val="clear" w:color="auto" w:fill="17365D" w:themeFill="text2" w:themeFillShade="BF"/>
            <w:vAlign w:val="bottom"/>
          </w:tcPr>
          <w:p w14:paraId="5BF25481" w14:textId="77777777" w:rsidR="00E623A4" w:rsidRPr="003C245B" w:rsidRDefault="00E623A4" w:rsidP="00E623A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‘20</w:t>
            </w:r>
          </w:p>
        </w:tc>
        <w:tc>
          <w:tcPr>
            <w:tcW w:w="845" w:type="dxa"/>
            <w:tcBorders>
              <w:left w:val="none" w:sz="0" w:space="0" w:color="auto"/>
              <w:right w:val="none" w:sz="0" w:space="0" w:color="auto"/>
            </w:tcBorders>
            <w:shd w:val="clear" w:color="auto" w:fill="17365D" w:themeFill="text2" w:themeFillShade="BF"/>
            <w:vAlign w:val="bottom"/>
          </w:tcPr>
          <w:p w14:paraId="7AA0B818" w14:textId="77777777" w:rsidR="00E623A4" w:rsidRPr="003C245B" w:rsidRDefault="00E623A4" w:rsidP="00E623A4">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‘20</w:t>
            </w:r>
          </w:p>
        </w:tc>
        <w:tc>
          <w:tcPr>
            <w:tcW w:w="844" w:type="dxa"/>
            <w:tcBorders>
              <w:left w:val="none" w:sz="0" w:space="0" w:color="auto"/>
              <w:right w:val="none" w:sz="0" w:space="0" w:color="auto"/>
            </w:tcBorders>
            <w:shd w:val="clear" w:color="auto" w:fill="17365D" w:themeFill="text2" w:themeFillShade="BF"/>
            <w:vAlign w:val="bottom"/>
          </w:tcPr>
          <w:p w14:paraId="02C37738" w14:textId="77777777" w:rsidR="00E623A4" w:rsidRDefault="00E623A4" w:rsidP="00E623A4">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Q1 ‘21</w:t>
            </w:r>
          </w:p>
        </w:tc>
        <w:tc>
          <w:tcPr>
            <w:tcW w:w="844" w:type="dxa"/>
            <w:tcBorders>
              <w:left w:val="none" w:sz="0" w:space="0" w:color="auto"/>
              <w:right w:val="none" w:sz="0" w:space="0" w:color="auto"/>
            </w:tcBorders>
            <w:shd w:val="clear" w:color="auto" w:fill="17365D" w:themeFill="text2" w:themeFillShade="BF"/>
            <w:vAlign w:val="bottom"/>
          </w:tcPr>
          <w:p w14:paraId="1FC1549F" w14:textId="77777777" w:rsidR="00E623A4" w:rsidRDefault="00E623A4" w:rsidP="00E623A4">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Q2 ‘21</w:t>
            </w:r>
          </w:p>
        </w:tc>
        <w:tc>
          <w:tcPr>
            <w:tcW w:w="844" w:type="dxa"/>
            <w:tcBorders>
              <w:left w:val="none" w:sz="0" w:space="0" w:color="auto"/>
              <w:right w:val="none" w:sz="0" w:space="0" w:color="auto"/>
            </w:tcBorders>
            <w:shd w:val="clear" w:color="auto" w:fill="17365D" w:themeFill="text2" w:themeFillShade="BF"/>
            <w:vAlign w:val="bottom"/>
          </w:tcPr>
          <w:p w14:paraId="56D810DC" w14:textId="77777777" w:rsidR="00E623A4" w:rsidRDefault="00E623A4" w:rsidP="00E623A4">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Q3 ‘21</w:t>
            </w:r>
          </w:p>
        </w:tc>
        <w:tc>
          <w:tcPr>
            <w:tcW w:w="845" w:type="dxa"/>
            <w:tcBorders>
              <w:left w:val="none" w:sz="0" w:space="0" w:color="auto"/>
              <w:right w:val="none" w:sz="0" w:space="0" w:color="auto"/>
            </w:tcBorders>
            <w:shd w:val="clear" w:color="auto" w:fill="17365D" w:themeFill="text2" w:themeFillShade="BF"/>
            <w:vAlign w:val="bottom"/>
          </w:tcPr>
          <w:p w14:paraId="3A0BA223" w14:textId="77777777" w:rsidR="00E623A4" w:rsidRDefault="00E623A4" w:rsidP="00E623A4">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844" w:type="dxa"/>
            <w:tcBorders>
              <w:left w:val="none" w:sz="0" w:space="0" w:color="auto"/>
              <w:right w:val="none" w:sz="0" w:space="0" w:color="auto"/>
            </w:tcBorders>
            <w:shd w:val="clear" w:color="auto" w:fill="17365D" w:themeFill="text2" w:themeFillShade="BF"/>
            <w:vAlign w:val="bottom"/>
          </w:tcPr>
          <w:p w14:paraId="6B57E6DD" w14:textId="77777777" w:rsidR="00E623A4" w:rsidRDefault="00E623A4" w:rsidP="00E623A4">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Dec ‘21</w:t>
            </w:r>
          </w:p>
        </w:tc>
        <w:tc>
          <w:tcPr>
            <w:tcW w:w="844" w:type="dxa"/>
            <w:tcBorders>
              <w:left w:val="none" w:sz="0" w:space="0" w:color="auto"/>
              <w:right w:val="none" w:sz="0" w:space="0" w:color="auto"/>
            </w:tcBorders>
            <w:shd w:val="clear" w:color="auto" w:fill="17365D" w:themeFill="text2" w:themeFillShade="BF"/>
            <w:vAlign w:val="bottom"/>
          </w:tcPr>
          <w:p w14:paraId="2640976F" w14:textId="77777777" w:rsidR="00E623A4" w:rsidRPr="0003007F" w:rsidRDefault="00E623A4" w:rsidP="00E623A4">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Dec vs ‘20</w:t>
            </w:r>
          </w:p>
        </w:tc>
        <w:tc>
          <w:tcPr>
            <w:tcW w:w="845" w:type="dxa"/>
            <w:tcBorders>
              <w:left w:val="none" w:sz="0" w:space="0" w:color="auto"/>
              <w:right w:val="none" w:sz="0" w:space="0" w:color="auto"/>
            </w:tcBorders>
            <w:shd w:val="clear" w:color="auto" w:fill="17365D" w:themeFill="text2" w:themeFillShade="BF"/>
            <w:vAlign w:val="bottom"/>
          </w:tcPr>
          <w:p w14:paraId="16FE4D93" w14:textId="77777777" w:rsidR="00E623A4" w:rsidRPr="0003007F" w:rsidRDefault="00E623A4" w:rsidP="00E623A4">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Dec vs ‘19</w:t>
            </w:r>
          </w:p>
        </w:tc>
      </w:tr>
      <w:tr w:rsidR="00E623A4" w:rsidRPr="00091E61" w14:paraId="1BB0C8DF" w14:textId="77777777" w:rsidTr="001D0D13">
        <w:trPr>
          <w:trHeight w:val="29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1020CD8" w14:textId="77777777" w:rsidR="00E623A4" w:rsidRPr="00091E61" w:rsidRDefault="00E623A4" w:rsidP="001D0D13">
            <w:pPr>
              <w:pStyle w:val="NoSpacing"/>
              <w:jc w:val="right"/>
              <w:rPr>
                <w:rFonts w:ascii="Arial" w:hAnsi="Arial" w:cs="Arial"/>
                <w:color w:val="215868" w:themeColor="accent5" w:themeShade="80"/>
                <w:sz w:val="18"/>
                <w:szCs w:val="18"/>
              </w:rPr>
            </w:pPr>
            <w:r w:rsidRPr="00091E61">
              <w:rPr>
                <w:rFonts w:ascii="Arial" w:hAnsi="Arial" w:cs="Arial"/>
                <w:color w:val="215868" w:themeColor="accent5" w:themeShade="80"/>
                <w:sz w:val="18"/>
                <w:szCs w:val="18"/>
              </w:rPr>
              <w:t>Fresh vegetables</w:t>
            </w:r>
          </w:p>
        </w:tc>
        <w:tc>
          <w:tcPr>
            <w:tcW w:w="844" w:type="dxa"/>
            <w:gridSpan w:val="2"/>
            <w:vAlign w:val="center"/>
          </w:tcPr>
          <w:p w14:paraId="26B3A578" w14:textId="52855B6D"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sidR="00E623A4" w:rsidRPr="00091E61">
              <w:rPr>
                <w:rFonts w:ascii="Arial" w:hAnsi="Arial" w:cs="Arial"/>
                <w:b/>
                <w:bCs/>
                <w:color w:val="215868"/>
                <w:sz w:val="18"/>
                <w:szCs w:val="18"/>
              </w:rPr>
              <w:t>8%</w:t>
            </w:r>
          </w:p>
        </w:tc>
        <w:tc>
          <w:tcPr>
            <w:tcW w:w="844" w:type="dxa"/>
            <w:vAlign w:val="center"/>
          </w:tcPr>
          <w:p w14:paraId="54DFAEC1" w14:textId="285DEDE0"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sidR="00E623A4" w:rsidRPr="00091E61">
              <w:rPr>
                <w:rFonts w:ascii="Arial" w:hAnsi="Arial" w:cs="Arial"/>
                <w:b/>
                <w:bCs/>
                <w:color w:val="215868"/>
                <w:sz w:val="18"/>
                <w:szCs w:val="18"/>
              </w:rPr>
              <w:t>21%</w:t>
            </w:r>
          </w:p>
        </w:tc>
        <w:tc>
          <w:tcPr>
            <w:tcW w:w="844" w:type="dxa"/>
            <w:vAlign w:val="center"/>
          </w:tcPr>
          <w:p w14:paraId="24400ADD" w14:textId="367B6246"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sidR="00E623A4" w:rsidRPr="00091E61">
              <w:rPr>
                <w:rFonts w:ascii="Arial" w:hAnsi="Arial" w:cs="Arial"/>
                <w:b/>
                <w:bCs/>
                <w:color w:val="215868"/>
                <w:sz w:val="18"/>
                <w:szCs w:val="18"/>
              </w:rPr>
              <w:t>15%</w:t>
            </w:r>
          </w:p>
        </w:tc>
        <w:tc>
          <w:tcPr>
            <w:tcW w:w="845" w:type="dxa"/>
            <w:vAlign w:val="center"/>
          </w:tcPr>
          <w:p w14:paraId="47ED9794" w14:textId="2A52886D"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sidR="00E623A4" w:rsidRPr="00091E61">
              <w:rPr>
                <w:rFonts w:ascii="Arial" w:hAnsi="Arial" w:cs="Arial"/>
                <w:b/>
                <w:bCs/>
                <w:color w:val="215868"/>
                <w:sz w:val="18"/>
                <w:szCs w:val="18"/>
              </w:rPr>
              <w:t>15%</w:t>
            </w:r>
          </w:p>
        </w:tc>
        <w:tc>
          <w:tcPr>
            <w:tcW w:w="844" w:type="dxa"/>
            <w:vAlign w:val="center"/>
          </w:tcPr>
          <w:p w14:paraId="00DCD3B3" w14:textId="644D5B43"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w:t>
            </w:r>
            <w:r w:rsidR="00E623A4" w:rsidRPr="00091E61">
              <w:rPr>
                <w:rFonts w:ascii="Arial" w:hAnsi="Arial" w:cs="Arial"/>
                <w:b/>
                <w:bCs/>
                <w:color w:val="215868"/>
                <w:sz w:val="18"/>
                <w:szCs w:val="18"/>
              </w:rPr>
              <w:t>%</w:t>
            </w:r>
          </w:p>
        </w:tc>
        <w:tc>
          <w:tcPr>
            <w:tcW w:w="844" w:type="dxa"/>
            <w:vAlign w:val="center"/>
          </w:tcPr>
          <w:p w14:paraId="32B21FB8" w14:textId="77777777" w:rsidR="00E623A4" w:rsidRPr="00091E61"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-7%</w:t>
            </w:r>
          </w:p>
        </w:tc>
        <w:tc>
          <w:tcPr>
            <w:tcW w:w="844" w:type="dxa"/>
            <w:vAlign w:val="center"/>
          </w:tcPr>
          <w:p w14:paraId="76779754" w14:textId="77777777" w:rsidR="00E623A4" w:rsidRPr="00091E61"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sidRPr="00091E61">
              <w:rPr>
                <w:rFonts w:ascii="Arial" w:hAnsi="Arial" w:cs="Arial"/>
                <w:b/>
                <w:bCs/>
                <w:color w:val="215868"/>
                <w:sz w:val="18"/>
                <w:szCs w:val="18"/>
              </w:rPr>
              <w:t>-3%</w:t>
            </w:r>
          </w:p>
        </w:tc>
        <w:tc>
          <w:tcPr>
            <w:tcW w:w="845" w:type="dxa"/>
            <w:vAlign w:val="center"/>
          </w:tcPr>
          <w:p w14:paraId="64F573C7" w14:textId="630B514C"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rPr>
            </w:pPr>
            <w:r w:rsidRPr="00091E61">
              <w:rPr>
                <w:rFonts w:ascii="Arial" w:hAnsi="Arial" w:cs="Arial"/>
                <w:b/>
                <w:bCs/>
                <w:color w:val="215868" w:themeColor="accent5" w:themeShade="80"/>
                <w:sz w:val="18"/>
              </w:rPr>
              <w:t>+0.1%</w:t>
            </w:r>
          </w:p>
        </w:tc>
        <w:tc>
          <w:tcPr>
            <w:tcW w:w="844" w:type="dxa"/>
            <w:vAlign w:val="center"/>
          </w:tcPr>
          <w:p w14:paraId="37677E13" w14:textId="0E122881" w:rsidR="00E623A4" w:rsidRPr="00091E61"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themeColor="accent5" w:themeShade="80"/>
                <w:sz w:val="18"/>
                <w:szCs w:val="18"/>
              </w:rPr>
            </w:pPr>
            <w:r w:rsidRPr="00091E61">
              <w:rPr>
                <w:rFonts w:ascii="Arial" w:hAnsi="Arial" w:cs="Arial"/>
                <w:b/>
                <w:bCs/>
                <w:color w:val="215868" w:themeColor="accent5" w:themeShade="80"/>
                <w:sz w:val="18"/>
              </w:rPr>
              <w:t>$</w:t>
            </w:r>
            <w:r w:rsidR="00E407FC" w:rsidRPr="00091E61">
              <w:rPr>
                <w:rFonts w:ascii="Arial" w:hAnsi="Arial" w:cs="Arial"/>
                <w:b/>
                <w:bCs/>
                <w:color w:val="215868" w:themeColor="accent5" w:themeShade="80"/>
                <w:sz w:val="18"/>
              </w:rPr>
              <w:t>2.7</w:t>
            </w:r>
            <w:r w:rsidRPr="00091E61">
              <w:rPr>
                <w:rFonts w:ascii="Arial" w:hAnsi="Arial" w:cs="Arial"/>
                <w:b/>
                <w:bCs/>
                <w:color w:val="215868" w:themeColor="accent5" w:themeShade="80"/>
                <w:sz w:val="18"/>
              </w:rPr>
              <w:t>B</w:t>
            </w:r>
          </w:p>
        </w:tc>
        <w:tc>
          <w:tcPr>
            <w:tcW w:w="844" w:type="dxa"/>
            <w:vAlign w:val="center"/>
          </w:tcPr>
          <w:p w14:paraId="185C5E25" w14:textId="6DB59062" w:rsidR="00E623A4" w:rsidRPr="00091E61" w:rsidRDefault="00E623A4" w:rsidP="001D0D13">
            <w:pPr>
              <w:jc w:val="right"/>
              <w:cnfStyle w:val="000000000000" w:firstRow="0" w:lastRow="0" w:firstColumn="0" w:lastColumn="0" w:oddVBand="0" w:evenVBand="0" w:oddHBand="0" w:evenHBand="0" w:firstRowFirstColumn="0" w:firstRowLastColumn="0" w:lastRowFirstColumn="0" w:lastRowLastColumn="0"/>
              <w:rPr>
                <w:b/>
                <w:bCs/>
                <w:color w:val="215868" w:themeColor="accent5" w:themeShade="80"/>
              </w:rPr>
            </w:pPr>
            <w:r w:rsidRPr="00091E61">
              <w:rPr>
                <w:rFonts w:ascii="Arial" w:hAnsi="Arial" w:cs="Arial"/>
                <w:b/>
                <w:bCs/>
                <w:color w:val="215868" w:themeColor="accent5" w:themeShade="80"/>
                <w:sz w:val="18"/>
              </w:rPr>
              <w:t>+</w:t>
            </w:r>
            <w:r w:rsidR="00091E61" w:rsidRPr="00091E61">
              <w:rPr>
                <w:rFonts w:ascii="Arial" w:hAnsi="Arial" w:cs="Arial"/>
                <w:b/>
                <w:bCs/>
                <w:color w:val="215868" w:themeColor="accent5" w:themeShade="80"/>
                <w:sz w:val="18"/>
              </w:rPr>
              <w:t>1.0</w:t>
            </w:r>
            <w:r w:rsidRPr="00091E61">
              <w:rPr>
                <w:rFonts w:ascii="Arial" w:hAnsi="Arial" w:cs="Arial"/>
                <w:b/>
                <w:bCs/>
                <w:color w:val="215868" w:themeColor="accent5" w:themeShade="80"/>
                <w:sz w:val="18"/>
              </w:rPr>
              <w:t>%</w:t>
            </w:r>
          </w:p>
        </w:tc>
        <w:tc>
          <w:tcPr>
            <w:tcW w:w="845" w:type="dxa"/>
            <w:vAlign w:val="center"/>
          </w:tcPr>
          <w:p w14:paraId="2A94709C" w14:textId="44604C5F" w:rsidR="00E623A4" w:rsidRPr="00091E61" w:rsidRDefault="00E623A4" w:rsidP="001D0D13">
            <w:pPr>
              <w:jc w:val="right"/>
              <w:cnfStyle w:val="000000000000" w:firstRow="0" w:lastRow="0" w:firstColumn="0" w:lastColumn="0" w:oddVBand="0" w:evenVBand="0" w:oddHBand="0" w:evenHBand="0" w:firstRowFirstColumn="0" w:firstRowLastColumn="0" w:lastRowFirstColumn="0" w:lastRowLastColumn="0"/>
              <w:rPr>
                <w:b/>
                <w:bCs/>
                <w:color w:val="215868" w:themeColor="accent5" w:themeShade="80"/>
              </w:rPr>
            </w:pPr>
            <w:r w:rsidRPr="00091E61">
              <w:rPr>
                <w:rFonts w:ascii="Arial" w:hAnsi="Arial" w:cs="Arial"/>
                <w:b/>
                <w:bCs/>
                <w:color w:val="215868" w:themeColor="accent5" w:themeShade="80"/>
                <w:sz w:val="18"/>
              </w:rPr>
              <w:t>+</w:t>
            </w:r>
            <w:r w:rsidR="00091E61" w:rsidRPr="00091E61">
              <w:rPr>
                <w:rFonts w:ascii="Arial" w:hAnsi="Arial" w:cs="Arial"/>
                <w:b/>
                <w:bCs/>
                <w:color w:val="215868" w:themeColor="accent5" w:themeShade="80"/>
                <w:sz w:val="18"/>
              </w:rPr>
              <w:t>16.8</w:t>
            </w:r>
            <w:r w:rsidRPr="00091E61">
              <w:rPr>
                <w:rFonts w:ascii="Arial" w:hAnsi="Arial" w:cs="Arial"/>
                <w:b/>
                <w:bCs/>
                <w:color w:val="215868" w:themeColor="accent5" w:themeShade="80"/>
                <w:sz w:val="18"/>
              </w:rPr>
              <w:t>%</w:t>
            </w:r>
          </w:p>
        </w:tc>
      </w:tr>
      <w:tr w:rsidR="00E407FC" w14:paraId="2B4843F7" w14:textId="77777777" w:rsidTr="001D0D1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vAlign w:val="center"/>
          </w:tcPr>
          <w:p w14:paraId="38E0BEE7" w14:textId="77777777" w:rsidR="00E407FC" w:rsidRPr="00576207" w:rsidRDefault="00E407FC" w:rsidP="001D0D13">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Tomatoes</w:t>
            </w:r>
          </w:p>
        </w:tc>
        <w:tc>
          <w:tcPr>
            <w:tcW w:w="844" w:type="dxa"/>
            <w:gridSpan w:val="2"/>
            <w:tcBorders>
              <w:left w:val="none" w:sz="0" w:space="0" w:color="auto"/>
              <w:right w:val="none" w:sz="0" w:space="0" w:color="auto"/>
            </w:tcBorders>
            <w:vAlign w:val="center"/>
          </w:tcPr>
          <w:p w14:paraId="21088627" w14:textId="6111525E" w:rsidR="00E407FC" w:rsidRPr="00091E61"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sidR="00E407FC" w:rsidRPr="00091E61">
              <w:rPr>
                <w:rFonts w:ascii="Arial" w:hAnsi="Arial" w:cs="Arial"/>
                <w:color w:val="215868"/>
                <w:sz w:val="18"/>
                <w:szCs w:val="18"/>
              </w:rPr>
              <w:t>13%</w:t>
            </w:r>
          </w:p>
        </w:tc>
        <w:tc>
          <w:tcPr>
            <w:tcW w:w="844" w:type="dxa"/>
            <w:tcBorders>
              <w:left w:val="none" w:sz="0" w:space="0" w:color="auto"/>
              <w:right w:val="none" w:sz="0" w:space="0" w:color="auto"/>
            </w:tcBorders>
            <w:vAlign w:val="center"/>
          </w:tcPr>
          <w:p w14:paraId="5F0F3EAA" w14:textId="0ECC7997" w:rsidR="00E407FC"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407FC">
              <w:rPr>
                <w:rFonts w:ascii="Arial" w:hAnsi="Arial" w:cs="Arial"/>
                <w:color w:val="215868"/>
                <w:sz w:val="18"/>
                <w:szCs w:val="18"/>
              </w:rPr>
              <w:t>25%</w:t>
            </w:r>
          </w:p>
        </w:tc>
        <w:tc>
          <w:tcPr>
            <w:tcW w:w="844" w:type="dxa"/>
            <w:tcBorders>
              <w:left w:val="none" w:sz="0" w:space="0" w:color="auto"/>
              <w:right w:val="none" w:sz="0" w:space="0" w:color="auto"/>
            </w:tcBorders>
            <w:vAlign w:val="center"/>
          </w:tcPr>
          <w:p w14:paraId="66E3D7F2" w14:textId="3675DE3D" w:rsidR="00E407FC"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407FC">
              <w:rPr>
                <w:rFonts w:ascii="Arial" w:hAnsi="Arial" w:cs="Arial"/>
                <w:color w:val="215868"/>
                <w:sz w:val="18"/>
                <w:szCs w:val="18"/>
              </w:rPr>
              <w:t>18%</w:t>
            </w:r>
          </w:p>
        </w:tc>
        <w:tc>
          <w:tcPr>
            <w:tcW w:w="845" w:type="dxa"/>
            <w:tcBorders>
              <w:left w:val="none" w:sz="0" w:space="0" w:color="auto"/>
              <w:right w:val="none" w:sz="0" w:space="0" w:color="auto"/>
            </w:tcBorders>
            <w:vAlign w:val="center"/>
          </w:tcPr>
          <w:p w14:paraId="4DE05719" w14:textId="3B487652" w:rsidR="00E407FC"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407FC">
              <w:rPr>
                <w:rFonts w:ascii="Arial" w:hAnsi="Arial" w:cs="Arial"/>
                <w:color w:val="215868"/>
                <w:sz w:val="18"/>
                <w:szCs w:val="18"/>
              </w:rPr>
              <w:t>18%</w:t>
            </w:r>
          </w:p>
        </w:tc>
        <w:tc>
          <w:tcPr>
            <w:tcW w:w="844" w:type="dxa"/>
            <w:tcBorders>
              <w:left w:val="none" w:sz="0" w:space="0" w:color="auto"/>
              <w:right w:val="none" w:sz="0" w:space="0" w:color="auto"/>
            </w:tcBorders>
            <w:vAlign w:val="center"/>
          </w:tcPr>
          <w:p w14:paraId="327A4169" w14:textId="06B2F7AE" w:rsidR="00E407FC"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407FC">
              <w:rPr>
                <w:rFonts w:ascii="Arial" w:hAnsi="Arial" w:cs="Arial"/>
                <w:color w:val="215868"/>
                <w:sz w:val="18"/>
                <w:szCs w:val="18"/>
              </w:rPr>
              <w:t>4%</w:t>
            </w:r>
          </w:p>
        </w:tc>
        <w:tc>
          <w:tcPr>
            <w:tcW w:w="844" w:type="dxa"/>
            <w:tcBorders>
              <w:left w:val="none" w:sz="0" w:space="0" w:color="auto"/>
              <w:right w:val="none" w:sz="0" w:space="0" w:color="auto"/>
            </w:tcBorders>
            <w:vAlign w:val="center"/>
          </w:tcPr>
          <w:p w14:paraId="172C1F21" w14:textId="77777777" w:rsidR="00E407FC" w:rsidRDefault="00E407FC"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-9%</w:t>
            </w:r>
          </w:p>
        </w:tc>
        <w:tc>
          <w:tcPr>
            <w:tcW w:w="844" w:type="dxa"/>
            <w:tcBorders>
              <w:left w:val="none" w:sz="0" w:space="0" w:color="auto"/>
              <w:right w:val="none" w:sz="0" w:space="0" w:color="auto"/>
            </w:tcBorders>
            <w:vAlign w:val="center"/>
          </w:tcPr>
          <w:p w14:paraId="12B3017E" w14:textId="77777777" w:rsidR="00E407FC" w:rsidRDefault="00E407FC"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w:t>
            </w:r>
          </w:p>
        </w:tc>
        <w:tc>
          <w:tcPr>
            <w:tcW w:w="845" w:type="dxa"/>
            <w:tcBorders>
              <w:left w:val="none" w:sz="0" w:space="0" w:color="auto"/>
              <w:right w:val="none" w:sz="0" w:space="0" w:color="auto"/>
            </w:tcBorders>
            <w:vAlign w:val="center"/>
          </w:tcPr>
          <w:p w14:paraId="784D03B4" w14:textId="429B28CC" w:rsidR="00E407FC" w:rsidRPr="00576207"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-1.2%</w:t>
            </w:r>
          </w:p>
        </w:tc>
        <w:tc>
          <w:tcPr>
            <w:tcW w:w="844" w:type="dxa"/>
            <w:tcBorders>
              <w:left w:val="none" w:sz="0" w:space="0" w:color="auto"/>
              <w:right w:val="none" w:sz="0" w:space="0" w:color="auto"/>
            </w:tcBorders>
            <w:vAlign w:val="center"/>
          </w:tcPr>
          <w:p w14:paraId="3D9414CA" w14:textId="2ED83B86" w:rsidR="00E407FC" w:rsidRPr="00576207" w:rsidRDefault="00E407FC" w:rsidP="001D0D13">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281</w:t>
            </w:r>
            <w:r w:rsidRPr="00576207">
              <w:rPr>
                <w:rFonts w:ascii="Arial" w:hAnsi="Arial" w:cs="Arial"/>
                <w:bCs/>
                <w:color w:val="215868" w:themeColor="accent5" w:themeShade="80"/>
                <w:sz w:val="18"/>
                <w:szCs w:val="18"/>
              </w:rPr>
              <w:t>M</w:t>
            </w:r>
          </w:p>
        </w:tc>
        <w:tc>
          <w:tcPr>
            <w:tcW w:w="844" w:type="dxa"/>
            <w:tcBorders>
              <w:left w:val="none" w:sz="0" w:space="0" w:color="auto"/>
              <w:right w:val="none" w:sz="0" w:space="0" w:color="auto"/>
            </w:tcBorders>
            <w:vAlign w:val="center"/>
          </w:tcPr>
          <w:p w14:paraId="74EE61B8" w14:textId="23F64FEE" w:rsidR="00E407FC" w:rsidRPr="00576207" w:rsidRDefault="00091E61" w:rsidP="001D0D13">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Pr>
                <w:rFonts w:ascii="Arial" w:hAnsi="Arial" w:cs="Arial"/>
                <w:bCs/>
                <w:color w:val="215868" w:themeColor="accent5" w:themeShade="80"/>
                <w:sz w:val="18"/>
                <w:szCs w:val="18"/>
              </w:rPr>
              <w:t>+0.6</w:t>
            </w:r>
            <w:r w:rsidR="00E407FC" w:rsidRPr="00576207">
              <w:rPr>
                <w:rFonts w:ascii="Arial" w:hAnsi="Arial" w:cs="Arial"/>
                <w:bCs/>
                <w:color w:val="215868" w:themeColor="accent5" w:themeShade="80"/>
                <w:sz w:val="18"/>
                <w:szCs w:val="18"/>
              </w:rPr>
              <w:t>%</w:t>
            </w:r>
          </w:p>
        </w:tc>
        <w:tc>
          <w:tcPr>
            <w:tcW w:w="845" w:type="dxa"/>
            <w:tcBorders>
              <w:left w:val="none" w:sz="0" w:space="0" w:color="auto"/>
              <w:right w:val="none" w:sz="0" w:space="0" w:color="auto"/>
            </w:tcBorders>
            <w:vAlign w:val="center"/>
          </w:tcPr>
          <w:p w14:paraId="7827D5F6" w14:textId="7B603405" w:rsidR="00E407FC" w:rsidRPr="00576207" w:rsidRDefault="00E407FC" w:rsidP="001D0D13">
            <w:pPr>
              <w:jc w:val="right"/>
              <w:cnfStyle w:val="000000100000" w:firstRow="0" w:lastRow="0" w:firstColumn="0" w:lastColumn="0" w:oddVBand="0" w:evenVBand="0" w:oddHBand="1" w:evenHBand="0" w:firstRowFirstColumn="0" w:firstRowLastColumn="0" w:lastRowFirstColumn="0" w:lastRowLastColumn="0"/>
              <w:rPr>
                <w:color w:val="215868" w:themeColor="accent5" w:themeShade="80"/>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16.0</w:t>
            </w:r>
            <w:r w:rsidRPr="00576207">
              <w:rPr>
                <w:rFonts w:ascii="Arial" w:hAnsi="Arial" w:cs="Arial"/>
                <w:bCs/>
                <w:color w:val="215868" w:themeColor="accent5" w:themeShade="80"/>
                <w:sz w:val="18"/>
                <w:szCs w:val="18"/>
              </w:rPr>
              <w:t>%</w:t>
            </w:r>
          </w:p>
        </w:tc>
      </w:tr>
      <w:tr w:rsidR="00E623A4" w14:paraId="2B485227" w14:textId="77777777" w:rsidTr="001D0D13">
        <w:trPr>
          <w:trHeight w:val="25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816CF54" w14:textId="77777777" w:rsidR="00E623A4" w:rsidRPr="00576207" w:rsidRDefault="00E623A4" w:rsidP="001D0D13">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Potatoes</w:t>
            </w:r>
          </w:p>
        </w:tc>
        <w:tc>
          <w:tcPr>
            <w:tcW w:w="844" w:type="dxa"/>
            <w:gridSpan w:val="2"/>
            <w:vAlign w:val="center"/>
          </w:tcPr>
          <w:p w14:paraId="4E1CABD2" w14:textId="7091BDF5"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sidR="00E623A4" w:rsidRPr="00091E61">
              <w:rPr>
                <w:rFonts w:ascii="Arial" w:hAnsi="Arial" w:cs="Arial"/>
                <w:color w:val="215868"/>
                <w:sz w:val="18"/>
                <w:szCs w:val="18"/>
              </w:rPr>
              <w:t>19%</w:t>
            </w:r>
          </w:p>
        </w:tc>
        <w:tc>
          <w:tcPr>
            <w:tcW w:w="844" w:type="dxa"/>
            <w:vAlign w:val="center"/>
          </w:tcPr>
          <w:p w14:paraId="3CF87D1E" w14:textId="5561608F"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37%</w:t>
            </w:r>
          </w:p>
        </w:tc>
        <w:tc>
          <w:tcPr>
            <w:tcW w:w="844" w:type="dxa"/>
            <w:vAlign w:val="center"/>
          </w:tcPr>
          <w:p w14:paraId="23E4BBF8" w14:textId="62DB9696"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17%</w:t>
            </w:r>
          </w:p>
        </w:tc>
        <w:tc>
          <w:tcPr>
            <w:tcW w:w="845" w:type="dxa"/>
            <w:vAlign w:val="center"/>
          </w:tcPr>
          <w:p w14:paraId="190BEB4B" w14:textId="65EFEE85"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12%</w:t>
            </w:r>
          </w:p>
        </w:tc>
        <w:tc>
          <w:tcPr>
            <w:tcW w:w="844" w:type="dxa"/>
            <w:vAlign w:val="center"/>
          </w:tcPr>
          <w:p w14:paraId="794E59AF" w14:textId="77777777" w:rsidR="00E623A4"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w:t>
            </w:r>
          </w:p>
        </w:tc>
        <w:tc>
          <w:tcPr>
            <w:tcW w:w="844" w:type="dxa"/>
            <w:vAlign w:val="center"/>
          </w:tcPr>
          <w:p w14:paraId="4DD38CAE" w14:textId="77777777" w:rsidR="00E623A4"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-20%</w:t>
            </w:r>
          </w:p>
        </w:tc>
        <w:tc>
          <w:tcPr>
            <w:tcW w:w="844" w:type="dxa"/>
            <w:vAlign w:val="center"/>
          </w:tcPr>
          <w:p w14:paraId="47C8BDA9" w14:textId="77777777" w:rsidR="00E623A4"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w:t>
            </w:r>
          </w:p>
        </w:tc>
        <w:tc>
          <w:tcPr>
            <w:tcW w:w="845" w:type="dxa"/>
            <w:vAlign w:val="center"/>
          </w:tcPr>
          <w:p w14:paraId="7B20DD0C" w14:textId="470A3178" w:rsidR="00E623A4" w:rsidRPr="00576207"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+0.1%</w:t>
            </w:r>
          </w:p>
        </w:tc>
        <w:tc>
          <w:tcPr>
            <w:tcW w:w="844" w:type="dxa"/>
            <w:vAlign w:val="center"/>
          </w:tcPr>
          <w:p w14:paraId="36CD21B3" w14:textId="512C52E3"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E407FC">
              <w:rPr>
                <w:rFonts w:ascii="Arial" w:hAnsi="Arial" w:cs="Arial"/>
                <w:bCs/>
                <w:color w:val="215868" w:themeColor="accent5" w:themeShade="80"/>
                <w:sz w:val="18"/>
                <w:szCs w:val="18"/>
              </w:rPr>
              <w:t>277</w:t>
            </w:r>
            <w:r w:rsidRPr="00576207">
              <w:rPr>
                <w:rFonts w:ascii="Arial" w:hAnsi="Arial" w:cs="Arial"/>
                <w:bCs/>
                <w:color w:val="215868" w:themeColor="accent5" w:themeShade="80"/>
                <w:sz w:val="18"/>
                <w:szCs w:val="18"/>
              </w:rPr>
              <w:t>M</w:t>
            </w:r>
          </w:p>
        </w:tc>
        <w:tc>
          <w:tcPr>
            <w:tcW w:w="844" w:type="dxa"/>
            <w:vAlign w:val="center"/>
          </w:tcPr>
          <w:p w14:paraId="7692B21B" w14:textId="63FBB39F" w:rsidR="00E623A4" w:rsidRPr="00576207"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-0.9</w:t>
            </w:r>
            <w:r w:rsidR="00E623A4" w:rsidRPr="00576207">
              <w:rPr>
                <w:rFonts w:ascii="Arial" w:hAnsi="Arial" w:cs="Arial"/>
                <w:bCs/>
                <w:color w:val="215868" w:themeColor="accent5" w:themeShade="80"/>
                <w:sz w:val="18"/>
                <w:szCs w:val="18"/>
              </w:rPr>
              <w:t>%</w:t>
            </w:r>
          </w:p>
        </w:tc>
        <w:tc>
          <w:tcPr>
            <w:tcW w:w="845" w:type="dxa"/>
            <w:vAlign w:val="center"/>
          </w:tcPr>
          <w:p w14:paraId="74C7AD17" w14:textId="4CD5E1C4"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13.8</w:t>
            </w:r>
            <w:r w:rsidRPr="00576207">
              <w:rPr>
                <w:rFonts w:ascii="Arial" w:hAnsi="Arial" w:cs="Arial"/>
                <w:bCs/>
                <w:color w:val="215868" w:themeColor="accent5" w:themeShade="80"/>
                <w:sz w:val="18"/>
                <w:szCs w:val="18"/>
              </w:rPr>
              <w:t>%</w:t>
            </w:r>
          </w:p>
        </w:tc>
      </w:tr>
      <w:tr w:rsidR="00E407FC" w14:paraId="52DB8B27" w14:textId="77777777" w:rsidTr="001D0D1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vAlign w:val="center"/>
          </w:tcPr>
          <w:p w14:paraId="7C3D7BBA" w14:textId="77777777" w:rsidR="00E623A4" w:rsidRPr="00576207" w:rsidRDefault="00E623A4" w:rsidP="001D0D13">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Packaged salad</w:t>
            </w:r>
          </w:p>
        </w:tc>
        <w:tc>
          <w:tcPr>
            <w:tcW w:w="844" w:type="dxa"/>
            <w:gridSpan w:val="2"/>
            <w:tcBorders>
              <w:left w:val="none" w:sz="0" w:space="0" w:color="auto"/>
              <w:right w:val="none" w:sz="0" w:space="0" w:color="auto"/>
            </w:tcBorders>
            <w:vAlign w:val="center"/>
          </w:tcPr>
          <w:p w14:paraId="5DC08614" w14:textId="223149BB" w:rsidR="00E623A4" w:rsidRPr="00091E61"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sidR="00E623A4" w:rsidRPr="00091E61">
              <w:rPr>
                <w:rFonts w:ascii="Arial" w:hAnsi="Arial" w:cs="Arial"/>
                <w:color w:val="215868"/>
                <w:sz w:val="18"/>
                <w:szCs w:val="18"/>
              </w:rPr>
              <w:t>13%</w:t>
            </w:r>
          </w:p>
        </w:tc>
        <w:tc>
          <w:tcPr>
            <w:tcW w:w="844" w:type="dxa"/>
            <w:tcBorders>
              <w:left w:val="none" w:sz="0" w:space="0" w:color="auto"/>
              <w:right w:val="none" w:sz="0" w:space="0" w:color="auto"/>
            </w:tcBorders>
            <w:vAlign w:val="center"/>
          </w:tcPr>
          <w:p w14:paraId="3DE4A2AE" w14:textId="13C22B76"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12%</w:t>
            </w:r>
          </w:p>
        </w:tc>
        <w:tc>
          <w:tcPr>
            <w:tcW w:w="844" w:type="dxa"/>
            <w:tcBorders>
              <w:left w:val="none" w:sz="0" w:space="0" w:color="auto"/>
              <w:right w:val="none" w:sz="0" w:space="0" w:color="auto"/>
            </w:tcBorders>
            <w:vAlign w:val="center"/>
          </w:tcPr>
          <w:p w14:paraId="0741B8E4" w14:textId="1D2CDCD3"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14%</w:t>
            </w:r>
          </w:p>
        </w:tc>
        <w:tc>
          <w:tcPr>
            <w:tcW w:w="845" w:type="dxa"/>
            <w:tcBorders>
              <w:left w:val="none" w:sz="0" w:space="0" w:color="auto"/>
              <w:right w:val="none" w:sz="0" w:space="0" w:color="auto"/>
            </w:tcBorders>
            <w:vAlign w:val="center"/>
          </w:tcPr>
          <w:p w14:paraId="7F5EC7D5" w14:textId="409E5023"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22%</w:t>
            </w:r>
          </w:p>
        </w:tc>
        <w:tc>
          <w:tcPr>
            <w:tcW w:w="844" w:type="dxa"/>
            <w:tcBorders>
              <w:left w:val="none" w:sz="0" w:space="0" w:color="auto"/>
              <w:right w:val="none" w:sz="0" w:space="0" w:color="auto"/>
            </w:tcBorders>
            <w:vAlign w:val="center"/>
          </w:tcPr>
          <w:p w14:paraId="722541BE" w14:textId="1AD475A0"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13%</w:t>
            </w:r>
          </w:p>
        </w:tc>
        <w:tc>
          <w:tcPr>
            <w:tcW w:w="844" w:type="dxa"/>
            <w:tcBorders>
              <w:left w:val="none" w:sz="0" w:space="0" w:color="auto"/>
              <w:right w:val="none" w:sz="0" w:space="0" w:color="auto"/>
            </w:tcBorders>
            <w:vAlign w:val="center"/>
          </w:tcPr>
          <w:p w14:paraId="1A581089" w14:textId="77777777" w:rsidR="00E623A4"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15%</w:t>
            </w:r>
          </w:p>
        </w:tc>
        <w:tc>
          <w:tcPr>
            <w:tcW w:w="844" w:type="dxa"/>
            <w:tcBorders>
              <w:left w:val="none" w:sz="0" w:space="0" w:color="auto"/>
              <w:right w:val="none" w:sz="0" w:space="0" w:color="auto"/>
            </w:tcBorders>
            <w:vAlign w:val="center"/>
          </w:tcPr>
          <w:p w14:paraId="3F7F0AA5" w14:textId="2C5B9962"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11%</w:t>
            </w:r>
          </w:p>
        </w:tc>
        <w:tc>
          <w:tcPr>
            <w:tcW w:w="845" w:type="dxa"/>
            <w:tcBorders>
              <w:left w:val="none" w:sz="0" w:space="0" w:color="auto"/>
              <w:right w:val="none" w:sz="0" w:space="0" w:color="auto"/>
            </w:tcBorders>
            <w:vAlign w:val="center"/>
          </w:tcPr>
          <w:p w14:paraId="07C84299" w14:textId="27B09094"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+8.5%</w:t>
            </w:r>
          </w:p>
        </w:tc>
        <w:tc>
          <w:tcPr>
            <w:tcW w:w="844" w:type="dxa"/>
            <w:tcBorders>
              <w:left w:val="none" w:sz="0" w:space="0" w:color="auto"/>
              <w:right w:val="none" w:sz="0" w:space="0" w:color="auto"/>
            </w:tcBorders>
            <w:vAlign w:val="center"/>
          </w:tcPr>
          <w:p w14:paraId="28AF9537" w14:textId="7D1E810C"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E407FC">
              <w:rPr>
                <w:rFonts w:ascii="Arial" w:hAnsi="Arial" w:cs="Arial"/>
                <w:bCs/>
                <w:color w:val="215868" w:themeColor="accent5" w:themeShade="80"/>
                <w:sz w:val="18"/>
                <w:szCs w:val="18"/>
              </w:rPr>
              <w:t>237</w:t>
            </w:r>
            <w:r w:rsidRPr="00576207">
              <w:rPr>
                <w:rFonts w:ascii="Arial" w:hAnsi="Arial" w:cs="Arial"/>
                <w:bCs/>
                <w:color w:val="215868" w:themeColor="accent5" w:themeShade="80"/>
                <w:sz w:val="18"/>
                <w:szCs w:val="18"/>
              </w:rPr>
              <w:t>M</w:t>
            </w:r>
          </w:p>
        </w:tc>
        <w:tc>
          <w:tcPr>
            <w:tcW w:w="844" w:type="dxa"/>
            <w:tcBorders>
              <w:left w:val="none" w:sz="0" w:space="0" w:color="auto"/>
              <w:right w:val="none" w:sz="0" w:space="0" w:color="auto"/>
            </w:tcBorders>
            <w:vAlign w:val="center"/>
          </w:tcPr>
          <w:p w14:paraId="72FC2A35" w14:textId="7DC72069"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11.1</w:t>
            </w:r>
            <w:r w:rsidRPr="00576207">
              <w:rPr>
                <w:rFonts w:ascii="Arial" w:hAnsi="Arial" w:cs="Arial"/>
                <w:bCs/>
                <w:color w:val="215868" w:themeColor="accent5" w:themeShade="80"/>
                <w:sz w:val="18"/>
                <w:szCs w:val="18"/>
              </w:rPr>
              <w:t>%</w:t>
            </w:r>
          </w:p>
        </w:tc>
        <w:tc>
          <w:tcPr>
            <w:tcW w:w="845" w:type="dxa"/>
            <w:tcBorders>
              <w:left w:val="none" w:sz="0" w:space="0" w:color="auto"/>
              <w:right w:val="none" w:sz="0" w:space="0" w:color="auto"/>
            </w:tcBorders>
            <w:vAlign w:val="center"/>
          </w:tcPr>
          <w:p w14:paraId="4EEC1B2E" w14:textId="04429DBF"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40.0</w:t>
            </w:r>
            <w:r w:rsidRPr="00576207">
              <w:rPr>
                <w:rFonts w:ascii="Arial" w:hAnsi="Arial" w:cs="Arial"/>
                <w:bCs/>
                <w:color w:val="215868" w:themeColor="accent5" w:themeShade="80"/>
                <w:sz w:val="18"/>
                <w:szCs w:val="18"/>
              </w:rPr>
              <w:t>%</w:t>
            </w:r>
          </w:p>
        </w:tc>
      </w:tr>
      <w:tr w:rsidR="00E407FC" w14:paraId="0A1A04E1" w14:textId="77777777" w:rsidTr="001D0D13">
        <w:trPr>
          <w:trHeight w:val="25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26DE639E" w14:textId="77777777" w:rsidR="00E407FC" w:rsidRPr="00576207" w:rsidRDefault="00E407FC" w:rsidP="001D0D13">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Lettuce</w:t>
            </w:r>
          </w:p>
        </w:tc>
        <w:tc>
          <w:tcPr>
            <w:tcW w:w="844" w:type="dxa"/>
            <w:gridSpan w:val="2"/>
            <w:vAlign w:val="center"/>
          </w:tcPr>
          <w:p w14:paraId="3CA06F1A" w14:textId="57E649CC" w:rsidR="00E407FC"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sidR="00E407FC" w:rsidRPr="00091E61">
              <w:rPr>
                <w:rFonts w:ascii="Arial" w:hAnsi="Arial" w:cs="Arial"/>
                <w:color w:val="215868"/>
                <w:sz w:val="18"/>
                <w:szCs w:val="18"/>
              </w:rPr>
              <w:t>4%</w:t>
            </w:r>
          </w:p>
        </w:tc>
        <w:tc>
          <w:tcPr>
            <w:tcW w:w="844" w:type="dxa"/>
            <w:vAlign w:val="center"/>
          </w:tcPr>
          <w:p w14:paraId="71D315F4" w14:textId="1B0A1BB8" w:rsidR="00E407FC"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407FC">
              <w:rPr>
                <w:rFonts w:ascii="Arial" w:hAnsi="Arial" w:cs="Arial"/>
                <w:color w:val="215868"/>
                <w:sz w:val="18"/>
                <w:szCs w:val="18"/>
              </w:rPr>
              <w:t>14%</w:t>
            </w:r>
          </w:p>
        </w:tc>
        <w:tc>
          <w:tcPr>
            <w:tcW w:w="844" w:type="dxa"/>
            <w:vAlign w:val="center"/>
          </w:tcPr>
          <w:p w14:paraId="49FE25DB" w14:textId="5D204672" w:rsidR="00E407FC"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407FC">
              <w:rPr>
                <w:rFonts w:ascii="Arial" w:hAnsi="Arial" w:cs="Arial"/>
                <w:color w:val="215868"/>
                <w:sz w:val="18"/>
                <w:szCs w:val="18"/>
              </w:rPr>
              <w:t>8%</w:t>
            </w:r>
          </w:p>
        </w:tc>
        <w:tc>
          <w:tcPr>
            <w:tcW w:w="845" w:type="dxa"/>
            <w:vAlign w:val="center"/>
          </w:tcPr>
          <w:p w14:paraId="35FF11E9" w14:textId="1475372B" w:rsidR="00E407FC"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407FC">
              <w:rPr>
                <w:rFonts w:ascii="Arial" w:hAnsi="Arial" w:cs="Arial"/>
                <w:color w:val="215868"/>
                <w:sz w:val="18"/>
                <w:szCs w:val="18"/>
              </w:rPr>
              <w:t>23%</w:t>
            </w:r>
          </w:p>
        </w:tc>
        <w:tc>
          <w:tcPr>
            <w:tcW w:w="844" w:type="dxa"/>
            <w:vAlign w:val="center"/>
          </w:tcPr>
          <w:p w14:paraId="155ED8D6" w14:textId="63B1436E" w:rsidR="00E407FC"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407FC">
              <w:rPr>
                <w:rFonts w:ascii="Arial" w:hAnsi="Arial" w:cs="Arial"/>
                <w:color w:val="215868"/>
                <w:sz w:val="18"/>
                <w:szCs w:val="18"/>
              </w:rPr>
              <w:t>9%</w:t>
            </w:r>
          </w:p>
        </w:tc>
        <w:tc>
          <w:tcPr>
            <w:tcW w:w="844" w:type="dxa"/>
            <w:vAlign w:val="center"/>
          </w:tcPr>
          <w:p w14:paraId="72B13E44" w14:textId="77777777" w:rsidR="00E407FC" w:rsidRDefault="00E407FC"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w:t>
            </w:r>
          </w:p>
        </w:tc>
        <w:tc>
          <w:tcPr>
            <w:tcW w:w="844" w:type="dxa"/>
            <w:vAlign w:val="center"/>
          </w:tcPr>
          <w:p w14:paraId="14AE9D35" w14:textId="511813E0" w:rsidR="00E407FC"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407FC">
              <w:rPr>
                <w:rFonts w:ascii="Arial" w:hAnsi="Arial" w:cs="Arial"/>
                <w:color w:val="215868"/>
                <w:sz w:val="18"/>
                <w:szCs w:val="18"/>
              </w:rPr>
              <w:t>2%</w:t>
            </w:r>
          </w:p>
        </w:tc>
        <w:tc>
          <w:tcPr>
            <w:tcW w:w="845" w:type="dxa"/>
            <w:vAlign w:val="center"/>
          </w:tcPr>
          <w:p w14:paraId="09D1C051" w14:textId="15040BF0" w:rsidR="00E407FC" w:rsidRPr="00576207"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+0.5%</w:t>
            </w:r>
          </w:p>
        </w:tc>
        <w:tc>
          <w:tcPr>
            <w:tcW w:w="844" w:type="dxa"/>
            <w:vAlign w:val="center"/>
          </w:tcPr>
          <w:p w14:paraId="4ECB9088" w14:textId="4366865F" w:rsidR="00E407FC" w:rsidRPr="00576207" w:rsidRDefault="00E407FC"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Pr>
                <w:rFonts w:ascii="Arial" w:hAnsi="Arial" w:cs="Arial"/>
                <w:bCs/>
                <w:color w:val="215868" w:themeColor="accent5" w:themeShade="80"/>
                <w:sz w:val="18"/>
                <w:szCs w:val="18"/>
              </w:rPr>
              <w:t>206</w:t>
            </w:r>
            <w:r w:rsidRPr="00576207">
              <w:rPr>
                <w:rFonts w:ascii="Arial" w:hAnsi="Arial" w:cs="Arial"/>
                <w:bCs/>
                <w:color w:val="215868" w:themeColor="accent5" w:themeShade="80"/>
                <w:sz w:val="18"/>
                <w:szCs w:val="18"/>
              </w:rPr>
              <w:t>M</w:t>
            </w:r>
          </w:p>
        </w:tc>
        <w:tc>
          <w:tcPr>
            <w:tcW w:w="844" w:type="dxa"/>
            <w:vAlign w:val="center"/>
          </w:tcPr>
          <w:p w14:paraId="72749894" w14:textId="1549E1BC" w:rsidR="00E407FC" w:rsidRPr="00576207" w:rsidRDefault="00E407FC"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4.8</w:t>
            </w:r>
            <w:r w:rsidRPr="00576207">
              <w:rPr>
                <w:rFonts w:ascii="Arial" w:hAnsi="Arial" w:cs="Arial"/>
                <w:bCs/>
                <w:color w:val="215868" w:themeColor="accent5" w:themeShade="80"/>
                <w:sz w:val="18"/>
                <w:szCs w:val="18"/>
              </w:rPr>
              <w:t>%</w:t>
            </w:r>
          </w:p>
        </w:tc>
        <w:tc>
          <w:tcPr>
            <w:tcW w:w="845" w:type="dxa"/>
            <w:vAlign w:val="center"/>
          </w:tcPr>
          <w:p w14:paraId="7E0E6A89" w14:textId="0F741121" w:rsidR="00E407FC" w:rsidRPr="00576207" w:rsidRDefault="00E407FC"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30.0</w:t>
            </w:r>
            <w:r w:rsidRPr="00576207">
              <w:rPr>
                <w:rFonts w:ascii="Arial" w:hAnsi="Arial" w:cs="Arial"/>
                <w:bCs/>
                <w:color w:val="215868" w:themeColor="accent5" w:themeShade="80"/>
                <w:sz w:val="18"/>
                <w:szCs w:val="18"/>
              </w:rPr>
              <w:t>%</w:t>
            </w:r>
          </w:p>
        </w:tc>
      </w:tr>
      <w:tr w:rsidR="00E407FC" w14:paraId="2DCF30F8" w14:textId="77777777" w:rsidTr="001D0D1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vAlign w:val="center"/>
          </w:tcPr>
          <w:p w14:paraId="4B763008" w14:textId="77777777" w:rsidR="00E623A4" w:rsidRPr="00576207" w:rsidRDefault="00E623A4" w:rsidP="001D0D13">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Onions</w:t>
            </w:r>
          </w:p>
        </w:tc>
        <w:tc>
          <w:tcPr>
            <w:tcW w:w="844" w:type="dxa"/>
            <w:gridSpan w:val="2"/>
            <w:tcBorders>
              <w:left w:val="none" w:sz="0" w:space="0" w:color="auto"/>
              <w:right w:val="none" w:sz="0" w:space="0" w:color="auto"/>
            </w:tcBorders>
            <w:vAlign w:val="center"/>
          </w:tcPr>
          <w:p w14:paraId="101D8D15" w14:textId="40491A79" w:rsidR="00E623A4" w:rsidRPr="00091E61"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sidR="00E623A4" w:rsidRPr="00091E61">
              <w:rPr>
                <w:rFonts w:ascii="Arial" w:hAnsi="Arial" w:cs="Arial"/>
                <w:color w:val="215868"/>
                <w:sz w:val="18"/>
                <w:szCs w:val="18"/>
              </w:rPr>
              <w:t>12%</w:t>
            </w:r>
          </w:p>
        </w:tc>
        <w:tc>
          <w:tcPr>
            <w:tcW w:w="844" w:type="dxa"/>
            <w:tcBorders>
              <w:left w:val="none" w:sz="0" w:space="0" w:color="auto"/>
              <w:right w:val="none" w:sz="0" w:space="0" w:color="auto"/>
            </w:tcBorders>
            <w:vAlign w:val="center"/>
          </w:tcPr>
          <w:p w14:paraId="58BA20DD" w14:textId="6DD6311E"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23%</w:t>
            </w:r>
          </w:p>
        </w:tc>
        <w:tc>
          <w:tcPr>
            <w:tcW w:w="844" w:type="dxa"/>
            <w:tcBorders>
              <w:left w:val="none" w:sz="0" w:space="0" w:color="auto"/>
              <w:right w:val="none" w:sz="0" w:space="0" w:color="auto"/>
            </w:tcBorders>
            <w:vAlign w:val="center"/>
          </w:tcPr>
          <w:p w14:paraId="778BAE00" w14:textId="419AB82C"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12%</w:t>
            </w:r>
          </w:p>
        </w:tc>
        <w:tc>
          <w:tcPr>
            <w:tcW w:w="845" w:type="dxa"/>
            <w:tcBorders>
              <w:left w:val="none" w:sz="0" w:space="0" w:color="auto"/>
              <w:right w:val="none" w:sz="0" w:space="0" w:color="auto"/>
            </w:tcBorders>
            <w:vAlign w:val="center"/>
          </w:tcPr>
          <w:p w14:paraId="449F2F89" w14:textId="6FD22809"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11%</w:t>
            </w:r>
          </w:p>
        </w:tc>
        <w:tc>
          <w:tcPr>
            <w:tcW w:w="844" w:type="dxa"/>
            <w:tcBorders>
              <w:left w:val="none" w:sz="0" w:space="0" w:color="auto"/>
              <w:right w:val="none" w:sz="0" w:space="0" w:color="auto"/>
            </w:tcBorders>
            <w:vAlign w:val="center"/>
          </w:tcPr>
          <w:p w14:paraId="29EF6639" w14:textId="2274B7AB"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w:t>
            </w:r>
          </w:p>
        </w:tc>
        <w:tc>
          <w:tcPr>
            <w:tcW w:w="844" w:type="dxa"/>
            <w:tcBorders>
              <w:left w:val="none" w:sz="0" w:space="0" w:color="auto"/>
              <w:right w:val="none" w:sz="0" w:space="0" w:color="auto"/>
            </w:tcBorders>
            <w:vAlign w:val="center"/>
          </w:tcPr>
          <w:p w14:paraId="60316F2C" w14:textId="77777777" w:rsidR="00E623A4"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-15%</w:t>
            </w:r>
          </w:p>
        </w:tc>
        <w:tc>
          <w:tcPr>
            <w:tcW w:w="844" w:type="dxa"/>
            <w:tcBorders>
              <w:left w:val="none" w:sz="0" w:space="0" w:color="auto"/>
              <w:right w:val="none" w:sz="0" w:space="0" w:color="auto"/>
            </w:tcBorders>
            <w:vAlign w:val="center"/>
          </w:tcPr>
          <w:p w14:paraId="6382DC59" w14:textId="77777777" w:rsidR="00E623A4"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w:t>
            </w:r>
          </w:p>
        </w:tc>
        <w:tc>
          <w:tcPr>
            <w:tcW w:w="845" w:type="dxa"/>
            <w:tcBorders>
              <w:left w:val="none" w:sz="0" w:space="0" w:color="auto"/>
              <w:right w:val="none" w:sz="0" w:space="0" w:color="auto"/>
            </w:tcBorders>
            <w:vAlign w:val="center"/>
          </w:tcPr>
          <w:p w14:paraId="2E4C3BB8" w14:textId="6F6D0FDA" w:rsidR="00E623A4" w:rsidRPr="00576207"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+1.4%</w:t>
            </w:r>
          </w:p>
        </w:tc>
        <w:tc>
          <w:tcPr>
            <w:tcW w:w="844" w:type="dxa"/>
            <w:tcBorders>
              <w:left w:val="none" w:sz="0" w:space="0" w:color="auto"/>
              <w:right w:val="none" w:sz="0" w:space="0" w:color="auto"/>
            </w:tcBorders>
            <w:vAlign w:val="center"/>
          </w:tcPr>
          <w:p w14:paraId="3D9BBF36" w14:textId="102D9251"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E407FC">
              <w:rPr>
                <w:rFonts w:ascii="Arial" w:hAnsi="Arial" w:cs="Arial"/>
                <w:bCs/>
                <w:color w:val="215868" w:themeColor="accent5" w:themeShade="80"/>
                <w:sz w:val="18"/>
                <w:szCs w:val="18"/>
              </w:rPr>
              <w:t>192</w:t>
            </w:r>
            <w:r w:rsidRPr="00576207">
              <w:rPr>
                <w:rFonts w:ascii="Arial" w:hAnsi="Arial" w:cs="Arial"/>
                <w:bCs/>
                <w:color w:val="215868" w:themeColor="accent5" w:themeShade="80"/>
                <w:sz w:val="18"/>
                <w:szCs w:val="18"/>
              </w:rPr>
              <w:t>M</w:t>
            </w:r>
          </w:p>
        </w:tc>
        <w:tc>
          <w:tcPr>
            <w:tcW w:w="844" w:type="dxa"/>
            <w:tcBorders>
              <w:left w:val="none" w:sz="0" w:space="0" w:color="auto"/>
              <w:right w:val="none" w:sz="0" w:space="0" w:color="auto"/>
            </w:tcBorders>
            <w:vAlign w:val="center"/>
          </w:tcPr>
          <w:p w14:paraId="1B034B64" w14:textId="63A8AD8E" w:rsidR="00E623A4" w:rsidRPr="00576207"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-0.1</w:t>
            </w:r>
            <w:r w:rsidR="00E623A4" w:rsidRPr="00576207">
              <w:rPr>
                <w:rFonts w:ascii="Arial" w:hAnsi="Arial" w:cs="Arial"/>
                <w:bCs/>
                <w:color w:val="215868" w:themeColor="accent5" w:themeShade="80"/>
                <w:sz w:val="18"/>
                <w:szCs w:val="18"/>
              </w:rPr>
              <w:t>%</w:t>
            </w:r>
          </w:p>
        </w:tc>
        <w:tc>
          <w:tcPr>
            <w:tcW w:w="845" w:type="dxa"/>
            <w:tcBorders>
              <w:left w:val="none" w:sz="0" w:space="0" w:color="auto"/>
              <w:right w:val="none" w:sz="0" w:space="0" w:color="auto"/>
            </w:tcBorders>
            <w:vAlign w:val="center"/>
          </w:tcPr>
          <w:p w14:paraId="68700DD2" w14:textId="5D5823B8"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14.5</w:t>
            </w:r>
            <w:r w:rsidRPr="00576207">
              <w:rPr>
                <w:rFonts w:ascii="Arial" w:hAnsi="Arial" w:cs="Arial"/>
                <w:bCs/>
                <w:color w:val="215868" w:themeColor="accent5" w:themeShade="80"/>
                <w:sz w:val="18"/>
                <w:szCs w:val="18"/>
              </w:rPr>
              <w:t>%</w:t>
            </w:r>
          </w:p>
        </w:tc>
      </w:tr>
      <w:tr w:rsidR="00E407FC" w14:paraId="19EA75D3" w14:textId="77777777" w:rsidTr="001D0D13">
        <w:trPr>
          <w:trHeight w:val="25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A4CF5AB" w14:textId="77777777" w:rsidR="00E623A4" w:rsidRPr="00576207" w:rsidRDefault="00E623A4" w:rsidP="001D0D13">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Peppers</w:t>
            </w:r>
          </w:p>
        </w:tc>
        <w:tc>
          <w:tcPr>
            <w:tcW w:w="844" w:type="dxa"/>
            <w:gridSpan w:val="2"/>
            <w:vAlign w:val="center"/>
          </w:tcPr>
          <w:p w14:paraId="45796142" w14:textId="4F896182"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sidR="00E623A4" w:rsidRPr="00091E61">
              <w:rPr>
                <w:rFonts w:ascii="Arial" w:hAnsi="Arial" w:cs="Arial"/>
                <w:color w:val="215868"/>
                <w:sz w:val="18"/>
                <w:szCs w:val="18"/>
              </w:rPr>
              <w:t>6%</w:t>
            </w:r>
          </w:p>
        </w:tc>
        <w:tc>
          <w:tcPr>
            <w:tcW w:w="844" w:type="dxa"/>
            <w:vAlign w:val="center"/>
          </w:tcPr>
          <w:p w14:paraId="5C950D65" w14:textId="4D272C7B"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28%</w:t>
            </w:r>
          </w:p>
        </w:tc>
        <w:tc>
          <w:tcPr>
            <w:tcW w:w="844" w:type="dxa"/>
            <w:vAlign w:val="center"/>
          </w:tcPr>
          <w:p w14:paraId="5D2FD586" w14:textId="67983AB0"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22%</w:t>
            </w:r>
          </w:p>
        </w:tc>
        <w:tc>
          <w:tcPr>
            <w:tcW w:w="845" w:type="dxa"/>
            <w:vAlign w:val="center"/>
          </w:tcPr>
          <w:p w14:paraId="0F1F5CDC" w14:textId="6C56E30B"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22%</w:t>
            </w:r>
          </w:p>
        </w:tc>
        <w:tc>
          <w:tcPr>
            <w:tcW w:w="844" w:type="dxa"/>
            <w:vAlign w:val="center"/>
          </w:tcPr>
          <w:p w14:paraId="413A1BF8" w14:textId="72B6D364"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12%</w:t>
            </w:r>
          </w:p>
        </w:tc>
        <w:tc>
          <w:tcPr>
            <w:tcW w:w="844" w:type="dxa"/>
            <w:vAlign w:val="center"/>
          </w:tcPr>
          <w:p w14:paraId="6D4FCDD6" w14:textId="77777777" w:rsidR="00E623A4"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-7%</w:t>
            </w:r>
          </w:p>
        </w:tc>
        <w:tc>
          <w:tcPr>
            <w:tcW w:w="844" w:type="dxa"/>
            <w:vAlign w:val="center"/>
          </w:tcPr>
          <w:p w14:paraId="2998754B" w14:textId="77777777" w:rsidR="00E623A4"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w:t>
            </w:r>
          </w:p>
        </w:tc>
        <w:tc>
          <w:tcPr>
            <w:tcW w:w="845" w:type="dxa"/>
            <w:vAlign w:val="center"/>
          </w:tcPr>
          <w:p w14:paraId="58D87D1C" w14:textId="5D588B4A" w:rsidR="00E623A4" w:rsidRPr="00576207"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-2.4%</w:t>
            </w:r>
          </w:p>
        </w:tc>
        <w:tc>
          <w:tcPr>
            <w:tcW w:w="844" w:type="dxa"/>
            <w:vAlign w:val="center"/>
          </w:tcPr>
          <w:p w14:paraId="0444843A" w14:textId="29032C1A"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E407FC">
              <w:rPr>
                <w:rFonts w:ascii="Arial" w:hAnsi="Arial" w:cs="Arial"/>
                <w:bCs/>
                <w:color w:val="215868" w:themeColor="accent5" w:themeShade="80"/>
                <w:sz w:val="18"/>
                <w:szCs w:val="18"/>
              </w:rPr>
              <w:t>183</w:t>
            </w:r>
            <w:r w:rsidRPr="00576207">
              <w:rPr>
                <w:rFonts w:ascii="Arial" w:hAnsi="Arial" w:cs="Arial"/>
                <w:bCs/>
                <w:color w:val="215868" w:themeColor="accent5" w:themeShade="80"/>
                <w:sz w:val="18"/>
                <w:szCs w:val="18"/>
              </w:rPr>
              <w:t>M</w:t>
            </w:r>
          </w:p>
        </w:tc>
        <w:tc>
          <w:tcPr>
            <w:tcW w:w="844" w:type="dxa"/>
            <w:vAlign w:val="center"/>
          </w:tcPr>
          <w:p w14:paraId="53914B82" w14:textId="5E9AEB29"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0.7</w:t>
            </w:r>
            <w:r w:rsidRPr="00576207">
              <w:rPr>
                <w:rFonts w:ascii="Arial" w:hAnsi="Arial" w:cs="Arial"/>
                <w:bCs/>
                <w:color w:val="215868" w:themeColor="accent5" w:themeShade="80"/>
                <w:sz w:val="18"/>
                <w:szCs w:val="18"/>
              </w:rPr>
              <w:t>%</w:t>
            </w:r>
          </w:p>
        </w:tc>
        <w:tc>
          <w:tcPr>
            <w:tcW w:w="845" w:type="dxa"/>
            <w:vAlign w:val="center"/>
          </w:tcPr>
          <w:p w14:paraId="080A9B0A" w14:textId="6032B663"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20.7</w:t>
            </w:r>
            <w:r w:rsidRPr="00576207">
              <w:rPr>
                <w:rFonts w:ascii="Arial" w:hAnsi="Arial" w:cs="Arial"/>
                <w:bCs/>
                <w:color w:val="215868" w:themeColor="accent5" w:themeShade="80"/>
                <w:sz w:val="18"/>
                <w:szCs w:val="18"/>
              </w:rPr>
              <w:t>%</w:t>
            </w:r>
          </w:p>
        </w:tc>
      </w:tr>
      <w:tr w:rsidR="00E407FC" w14:paraId="78081550" w14:textId="77777777" w:rsidTr="001D0D1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vAlign w:val="center"/>
          </w:tcPr>
          <w:p w14:paraId="52B6D30D" w14:textId="77777777" w:rsidR="00E623A4" w:rsidRPr="00576207" w:rsidRDefault="00E623A4" w:rsidP="001D0D13">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Carrots</w:t>
            </w:r>
          </w:p>
        </w:tc>
        <w:tc>
          <w:tcPr>
            <w:tcW w:w="844" w:type="dxa"/>
            <w:gridSpan w:val="2"/>
            <w:tcBorders>
              <w:left w:val="none" w:sz="0" w:space="0" w:color="auto"/>
              <w:right w:val="none" w:sz="0" w:space="0" w:color="auto"/>
            </w:tcBorders>
            <w:vAlign w:val="center"/>
          </w:tcPr>
          <w:p w14:paraId="4ACB8ACA" w14:textId="646E91FD" w:rsidR="00E623A4" w:rsidRPr="00091E61"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sidR="00E623A4" w:rsidRPr="00091E61">
              <w:rPr>
                <w:rFonts w:ascii="Arial" w:hAnsi="Arial" w:cs="Arial"/>
                <w:color w:val="215868"/>
                <w:sz w:val="18"/>
                <w:szCs w:val="18"/>
              </w:rPr>
              <w:t>6%</w:t>
            </w:r>
          </w:p>
        </w:tc>
        <w:tc>
          <w:tcPr>
            <w:tcW w:w="844" w:type="dxa"/>
            <w:tcBorders>
              <w:left w:val="none" w:sz="0" w:space="0" w:color="auto"/>
              <w:right w:val="none" w:sz="0" w:space="0" w:color="auto"/>
            </w:tcBorders>
            <w:vAlign w:val="center"/>
          </w:tcPr>
          <w:p w14:paraId="7D9844E4" w14:textId="72E249C4"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12%</w:t>
            </w:r>
          </w:p>
        </w:tc>
        <w:tc>
          <w:tcPr>
            <w:tcW w:w="844" w:type="dxa"/>
            <w:tcBorders>
              <w:left w:val="none" w:sz="0" w:space="0" w:color="auto"/>
              <w:right w:val="none" w:sz="0" w:space="0" w:color="auto"/>
            </w:tcBorders>
            <w:vAlign w:val="center"/>
          </w:tcPr>
          <w:p w14:paraId="5597D30A" w14:textId="56104F72"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7%</w:t>
            </w:r>
          </w:p>
        </w:tc>
        <w:tc>
          <w:tcPr>
            <w:tcW w:w="845" w:type="dxa"/>
            <w:tcBorders>
              <w:left w:val="none" w:sz="0" w:space="0" w:color="auto"/>
              <w:right w:val="none" w:sz="0" w:space="0" w:color="auto"/>
            </w:tcBorders>
            <w:vAlign w:val="center"/>
          </w:tcPr>
          <w:p w14:paraId="3C881C58" w14:textId="5C510DE9"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5%</w:t>
            </w:r>
          </w:p>
        </w:tc>
        <w:tc>
          <w:tcPr>
            <w:tcW w:w="844" w:type="dxa"/>
            <w:tcBorders>
              <w:left w:val="none" w:sz="0" w:space="0" w:color="auto"/>
              <w:right w:val="none" w:sz="0" w:space="0" w:color="auto"/>
            </w:tcBorders>
            <w:vAlign w:val="center"/>
          </w:tcPr>
          <w:p w14:paraId="4CB44385" w14:textId="77777777" w:rsidR="00E623A4"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w:t>
            </w:r>
          </w:p>
        </w:tc>
        <w:tc>
          <w:tcPr>
            <w:tcW w:w="844" w:type="dxa"/>
            <w:tcBorders>
              <w:left w:val="none" w:sz="0" w:space="0" w:color="auto"/>
              <w:right w:val="none" w:sz="0" w:space="0" w:color="auto"/>
            </w:tcBorders>
            <w:vAlign w:val="center"/>
          </w:tcPr>
          <w:p w14:paraId="3A8F2035" w14:textId="77777777" w:rsidR="00E623A4"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w:t>
            </w:r>
          </w:p>
        </w:tc>
        <w:tc>
          <w:tcPr>
            <w:tcW w:w="844" w:type="dxa"/>
            <w:tcBorders>
              <w:left w:val="none" w:sz="0" w:space="0" w:color="auto"/>
              <w:right w:val="none" w:sz="0" w:space="0" w:color="auto"/>
            </w:tcBorders>
            <w:vAlign w:val="center"/>
          </w:tcPr>
          <w:p w14:paraId="1FD35165" w14:textId="77777777" w:rsidR="00E623A4"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w:t>
            </w:r>
          </w:p>
        </w:tc>
        <w:tc>
          <w:tcPr>
            <w:tcW w:w="845" w:type="dxa"/>
            <w:tcBorders>
              <w:left w:val="none" w:sz="0" w:space="0" w:color="auto"/>
              <w:right w:val="none" w:sz="0" w:space="0" w:color="auto"/>
            </w:tcBorders>
            <w:vAlign w:val="center"/>
          </w:tcPr>
          <w:p w14:paraId="08E655C1" w14:textId="22BC9381" w:rsidR="00E623A4" w:rsidRPr="00576207"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+1.0%</w:t>
            </w:r>
          </w:p>
        </w:tc>
        <w:tc>
          <w:tcPr>
            <w:tcW w:w="844" w:type="dxa"/>
            <w:tcBorders>
              <w:left w:val="none" w:sz="0" w:space="0" w:color="auto"/>
              <w:right w:val="none" w:sz="0" w:space="0" w:color="auto"/>
            </w:tcBorders>
            <w:vAlign w:val="center"/>
          </w:tcPr>
          <w:p w14:paraId="07747A39" w14:textId="75E6A396"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E407FC">
              <w:rPr>
                <w:rFonts w:ascii="Arial" w:hAnsi="Arial" w:cs="Arial"/>
                <w:bCs/>
                <w:color w:val="215868" w:themeColor="accent5" w:themeShade="80"/>
                <w:sz w:val="18"/>
                <w:szCs w:val="18"/>
              </w:rPr>
              <w:t>110</w:t>
            </w:r>
            <w:r w:rsidRPr="00576207">
              <w:rPr>
                <w:rFonts w:ascii="Arial" w:hAnsi="Arial" w:cs="Arial"/>
                <w:bCs/>
                <w:color w:val="215868" w:themeColor="accent5" w:themeShade="80"/>
                <w:sz w:val="18"/>
                <w:szCs w:val="18"/>
              </w:rPr>
              <w:t>M</w:t>
            </w:r>
          </w:p>
        </w:tc>
        <w:tc>
          <w:tcPr>
            <w:tcW w:w="844" w:type="dxa"/>
            <w:tcBorders>
              <w:left w:val="none" w:sz="0" w:space="0" w:color="auto"/>
              <w:right w:val="none" w:sz="0" w:space="0" w:color="auto"/>
            </w:tcBorders>
            <w:vAlign w:val="center"/>
          </w:tcPr>
          <w:p w14:paraId="1A819D86" w14:textId="326010F4"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3.2</w:t>
            </w:r>
            <w:r w:rsidRPr="00576207">
              <w:rPr>
                <w:rFonts w:ascii="Arial" w:hAnsi="Arial" w:cs="Arial"/>
                <w:bCs/>
                <w:color w:val="215868" w:themeColor="accent5" w:themeShade="80"/>
                <w:sz w:val="18"/>
                <w:szCs w:val="18"/>
              </w:rPr>
              <w:t>%</w:t>
            </w:r>
          </w:p>
        </w:tc>
        <w:tc>
          <w:tcPr>
            <w:tcW w:w="845" w:type="dxa"/>
            <w:tcBorders>
              <w:left w:val="none" w:sz="0" w:space="0" w:color="auto"/>
              <w:right w:val="none" w:sz="0" w:space="0" w:color="auto"/>
            </w:tcBorders>
            <w:vAlign w:val="center"/>
          </w:tcPr>
          <w:p w14:paraId="7984D5B9" w14:textId="586C41B4"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9.1</w:t>
            </w:r>
            <w:r w:rsidRPr="00576207">
              <w:rPr>
                <w:rFonts w:ascii="Arial" w:hAnsi="Arial" w:cs="Arial"/>
                <w:bCs/>
                <w:color w:val="215868" w:themeColor="accent5" w:themeShade="80"/>
                <w:sz w:val="18"/>
                <w:szCs w:val="18"/>
              </w:rPr>
              <w:t>%</w:t>
            </w:r>
          </w:p>
        </w:tc>
      </w:tr>
      <w:tr w:rsidR="00E407FC" w14:paraId="13B48F4E" w14:textId="77777777" w:rsidTr="001D0D13">
        <w:trPr>
          <w:trHeight w:val="25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692688AF" w14:textId="77777777" w:rsidR="00E623A4" w:rsidRPr="00576207" w:rsidRDefault="00E623A4" w:rsidP="001D0D13">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Mushrooms</w:t>
            </w:r>
          </w:p>
        </w:tc>
        <w:tc>
          <w:tcPr>
            <w:tcW w:w="844" w:type="dxa"/>
            <w:gridSpan w:val="2"/>
            <w:vAlign w:val="center"/>
          </w:tcPr>
          <w:p w14:paraId="06568DB3" w14:textId="00E387FB"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sidR="00E623A4" w:rsidRPr="00091E61">
              <w:rPr>
                <w:rFonts w:ascii="Arial" w:hAnsi="Arial" w:cs="Arial"/>
                <w:color w:val="215868"/>
                <w:sz w:val="18"/>
                <w:szCs w:val="18"/>
              </w:rPr>
              <w:t>8%</w:t>
            </w:r>
          </w:p>
        </w:tc>
        <w:tc>
          <w:tcPr>
            <w:tcW w:w="844" w:type="dxa"/>
            <w:vAlign w:val="center"/>
          </w:tcPr>
          <w:p w14:paraId="4186C3A0" w14:textId="6E34D14C"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31%</w:t>
            </w:r>
          </w:p>
        </w:tc>
        <w:tc>
          <w:tcPr>
            <w:tcW w:w="844" w:type="dxa"/>
            <w:vAlign w:val="center"/>
          </w:tcPr>
          <w:p w14:paraId="6A0BA26C" w14:textId="4AC4BCA1"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23%</w:t>
            </w:r>
          </w:p>
        </w:tc>
        <w:tc>
          <w:tcPr>
            <w:tcW w:w="845" w:type="dxa"/>
            <w:vAlign w:val="center"/>
          </w:tcPr>
          <w:p w14:paraId="5B62E625" w14:textId="2C8F99A8"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18%</w:t>
            </w:r>
          </w:p>
        </w:tc>
        <w:tc>
          <w:tcPr>
            <w:tcW w:w="844" w:type="dxa"/>
            <w:vAlign w:val="center"/>
          </w:tcPr>
          <w:p w14:paraId="7C23FC45" w14:textId="6AD88CFA"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8%</w:t>
            </w:r>
          </w:p>
        </w:tc>
        <w:tc>
          <w:tcPr>
            <w:tcW w:w="844" w:type="dxa"/>
            <w:vAlign w:val="center"/>
          </w:tcPr>
          <w:p w14:paraId="0B91D350" w14:textId="77777777" w:rsidR="00E623A4"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-13%</w:t>
            </w:r>
          </w:p>
        </w:tc>
        <w:tc>
          <w:tcPr>
            <w:tcW w:w="844" w:type="dxa"/>
            <w:vAlign w:val="center"/>
          </w:tcPr>
          <w:p w14:paraId="74645B6E" w14:textId="77777777" w:rsidR="00E623A4"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-10%</w:t>
            </w:r>
          </w:p>
        </w:tc>
        <w:tc>
          <w:tcPr>
            <w:tcW w:w="845" w:type="dxa"/>
            <w:vAlign w:val="center"/>
          </w:tcPr>
          <w:p w14:paraId="49149414" w14:textId="4A074EF8" w:rsidR="00E623A4" w:rsidRPr="00576207"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-6.4%</w:t>
            </w:r>
          </w:p>
        </w:tc>
        <w:tc>
          <w:tcPr>
            <w:tcW w:w="844" w:type="dxa"/>
            <w:vAlign w:val="center"/>
          </w:tcPr>
          <w:p w14:paraId="3581ACB1" w14:textId="2975C83A"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E407FC">
              <w:rPr>
                <w:rFonts w:ascii="Arial" w:hAnsi="Arial" w:cs="Arial"/>
                <w:bCs/>
                <w:color w:val="215868" w:themeColor="accent5" w:themeShade="80"/>
                <w:sz w:val="18"/>
                <w:szCs w:val="18"/>
              </w:rPr>
              <w:t>104</w:t>
            </w:r>
            <w:r w:rsidRPr="00576207">
              <w:rPr>
                <w:rFonts w:ascii="Arial" w:hAnsi="Arial" w:cs="Arial"/>
                <w:bCs/>
                <w:color w:val="215868" w:themeColor="accent5" w:themeShade="80"/>
                <w:sz w:val="18"/>
                <w:szCs w:val="18"/>
              </w:rPr>
              <w:t>M</w:t>
            </w:r>
          </w:p>
        </w:tc>
        <w:tc>
          <w:tcPr>
            <w:tcW w:w="844" w:type="dxa"/>
            <w:vAlign w:val="center"/>
          </w:tcPr>
          <w:p w14:paraId="4ACACB95" w14:textId="65E8762D"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6.2</w:t>
            </w:r>
            <w:r w:rsidRPr="00576207">
              <w:rPr>
                <w:rFonts w:ascii="Arial" w:hAnsi="Arial" w:cs="Arial"/>
                <w:bCs/>
                <w:color w:val="215868" w:themeColor="accent5" w:themeShade="80"/>
                <w:sz w:val="18"/>
                <w:szCs w:val="18"/>
              </w:rPr>
              <w:t>%</w:t>
            </w:r>
          </w:p>
        </w:tc>
        <w:tc>
          <w:tcPr>
            <w:tcW w:w="845" w:type="dxa"/>
            <w:vAlign w:val="center"/>
          </w:tcPr>
          <w:p w14:paraId="60F0DF54" w14:textId="4AED65F8"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11.1</w:t>
            </w:r>
            <w:r w:rsidRPr="00576207">
              <w:rPr>
                <w:rFonts w:ascii="Arial" w:hAnsi="Arial" w:cs="Arial"/>
                <w:bCs/>
                <w:color w:val="215868" w:themeColor="accent5" w:themeShade="80"/>
                <w:sz w:val="18"/>
                <w:szCs w:val="18"/>
              </w:rPr>
              <w:t>%</w:t>
            </w:r>
          </w:p>
        </w:tc>
      </w:tr>
      <w:tr w:rsidR="00E407FC" w14:paraId="27CD69D5" w14:textId="77777777" w:rsidTr="001D0D1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60" w:type="dxa"/>
            <w:tcBorders>
              <w:left w:val="none" w:sz="0" w:space="0" w:color="auto"/>
              <w:right w:val="none" w:sz="0" w:space="0" w:color="auto"/>
            </w:tcBorders>
            <w:vAlign w:val="center"/>
          </w:tcPr>
          <w:p w14:paraId="10EA6B7F" w14:textId="77777777" w:rsidR="00E623A4" w:rsidRPr="00576207" w:rsidRDefault="00E623A4" w:rsidP="001D0D13">
            <w:pPr>
              <w:jc w:val="right"/>
              <w:rPr>
                <w:rFonts w:ascii="Arial" w:hAnsi="Arial" w:cs="Arial"/>
                <w:b w:val="0"/>
                <w:color w:val="215868" w:themeColor="accent5" w:themeShade="80"/>
                <w:sz w:val="18"/>
                <w:szCs w:val="18"/>
              </w:rPr>
            </w:pPr>
            <w:r w:rsidRPr="00576207">
              <w:rPr>
                <w:rFonts w:ascii="Arial" w:hAnsi="Arial" w:cs="Arial"/>
                <w:b w:val="0"/>
                <w:color w:val="215868" w:themeColor="accent5" w:themeShade="80"/>
                <w:sz w:val="18"/>
                <w:szCs w:val="18"/>
              </w:rPr>
              <w:t>Broccoli</w:t>
            </w:r>
          </w:p>
        </w:tc>
        <w:tc>
          <w:tcPr>
            <w:tcW w:w="844" w:type="dxa"/>
            <w:gridSpan w:val="2"/>
            <w:tcBorders>
              <w:left w:val="none" w:sz="0" w:space="0" w:color="auto"/>
              <w:right w:val="none" w:sz="0" w:space="0" w:color="auto"/>
            </w:tcBorders>
            <w:vAlign w:val="center"/>
          </w:tcPr>
          <w:p w14:paraId="0C2A978B" w14:textId="33E45F55" w:rsidR="00E623A4" w:rsidRPr="00091E61"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w:t>
            </w:r>
            <w:r w:rsidR="00E623A4" w:rsidRPr="00091E61">
              <w:rPr>
                <w:rFonts w:ascii="Arial" w:hAnsi="Arial" w:cs="Arial"/>
                <w:color w:val="215868"/>
                <w:sz w:val="18"/>
                <w:szCs w:val="18"/>
              </w:rPr>
              <w:t>5%</w:t>
            </w:r>
          </w:p>
        </w:tc>
        <w:tc>
          <w:tcPr>
            <w:tcW w:w="844" w:type="dxa"/>
            <w:tcBorders>
              <w:left w:val="none" w:sz="0" w:space="0" w:color="auto"/>
              <w:right w:val="none" w:sz="0" w:space="0" w:color="auto"/>
            </w:tcBorders>
            <w:vAlign w:val="center"/>
          </w:tcPr>
          <w:p w14:paraId="59047002" w14:textId="7B4E3C6E"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19%</w:t>
            </w:r>
          </w:p>
        </w:tc>
        <w:tc>
          <w:tcPr>
            <w:tcW w:w="844" w:type="dxa"/>
            <w:tcBorders>
              <w:left w:val="none" w:sz="0" w:space="0" w:color="auto"/>
              <w:right w:val="none" w:sz="0" w:space="0" w:color="auto"/>
            </w:tcBorders>
            <w:vAlign w:val="center"/>
          </w:tcPr>
          <w:p w14:paraId="1A49E5A1" w14:textId="78853BC2"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14%</w:t>
            </w:r>
          </w:p>
        </w:tc>
        <w:tc>
          <w:tcPr>
            <w:tcW w:w="845" w:type="dxa"/>
            <w:tcBorders>
              <w:left w:val="none" w:sz="0" w:space="0" w:color="auto"/>
              <w:right w:val="none" w:sz="0" w:space="0" w:color="auto"/>
            </w:tcBorders>
            <w:vAlign w:val="center"/>
          </w:tcPr>
          <w:p w14:paraId="1FFB105B" w14:textId="1C069F18"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12%</w:t>
            </w:r>
          </w:p>
        </w:tc>
        <w:tc>
          <w:tcPr>
            <w:tcW w:w="844" w:type="dxa"/>
            <w:tcBorders>
              <w:left w:val="none" w:sz="0" w:space="0" w:color="auto"/>
              <w:right w:val="none" w:sz="0" w:space="0" w:color="auto"/>
            </w:tcBorders>
            <w:vAlign w:val="center"/>
          </w:tcPr>
          <w:p w14:paraId="7DAF35BE" w14:textId="10A53129"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E623A4">
              <w:rPr>
                <w:rFonts w:ascii="Arial" w:hAnsi="Arial" w:cs="Arial"/>
                <w:color w:val="215868"/>
                <w:sz w:val="18"/>
                <w:szCs w:val="18"/>
              </w:rPr>
              <w:t>5%</w:t>
            </w:r>
          </w:p>
        </w:tc>
        <w:tc>
          <w:tcPr>
            <w:tcW w:w="844" w:type="dxa"/>
            <w:tcBorders>
              <w:left w:val="none" w:sz="0" w:space="0" w:color="auto"/>
              <w:right w:val="none" w:sz="0" w:space="0" w:color="auto"/>
            </w:tcBorders>
            <w:vAlign w:val="center"/>
          </w:tcPr>
          <w:p w14:paraId="45ADAD30" w14:textId="77777777" w:rsidR="00E623A4"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-5%</w:t>
            </w:r>
          </w:p>
        </w:tc>
        <w:tc>
          <w:tcPr>
            <w:tcW w:w="844" w:type="dxa"/>
            <w:tcBorders>
              <w:left w:val="none" w:sz="0" w:space="0" w:color="auto"/>
              <w:right w:val="none" w:sz="0" w:space="0" w:color="auto"/>
            </w:tcBorders>
            <w:vAlign w:val="center"/>
          </w:tcPr>
          <w:p w14:paraId="32D9EB52" w14:textId="77777777" w:rsidR="00E623A4"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0%</w:t>
            </w:r>
          </w:p>
        </w:tc>
        <w:tc>
          <w:tcPr>
            <w:tcW w:w="845" w:type="dxa"/>
            <w:tcBorders>
              <w:left w:val="none" w:sz="0" w:space="0" w:color="auto"/>
              <w:right w:val="none" w:sz="0" w:space="0" w:color="auto"/>
            </w:tcBorders>
            <w:vAlign w:val="center"/>
          </w:tcPr>
          <w:p w14:paraId="6D257D4E" w14:textId="648E289E" w:rsidR="00E623A4" w:rsidRDefault="00091E61"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+7.3%</w:t>
            </w:r>
          </w:p>
        </w:tc>
        <w:tc>
          <w:tcPr>
            <w:tcW w:w="844" w:type="dxa"/>
            <w:tcBorders>
              <w:left w:val="none" w:sz="0" w:space="0" w:color="auto"/>
              <w:right w:val="none" w:sz="0" w:space="0" w:color="auto"/>
            </w:tcBorders>
            <w:vAlign w:val="center"/>
          </w:tcPr>
          <w:p w14:paraId="52451557" w14:textId="5B6ACB4D"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bCs/>
                <w:color w:val="215868" w:themeColor="accent5" w:themeShade="80"/>
                <w:sz w:val="18"/>
                <w:szCs w:val="18"/>
              </w:rPr>
              <w:t>$</w:t>
            </w:r>
            <w:r w:rsidR="00E407FC">
              <w:rPr>
                <w:rFonts w:ascii="Arial" w:hAnsi="Arial" w:cs="Arial"/>
                <w:bCs/>
                <w:color w:val="215868" w:themeColor="accent5" w:themeShade="80"/>
                <w:sz w:val="18"/>
                <w:szCs w:val="18"/>
              </w:rPr>
              <w:t>99</w:t>
            </w:r>
            <w:r w:rsidRPr="00576207">
              <w:rPr>
                <w:rFonts w:ascii="Arial" w:hAnsi="Arial" w:cs="Arial"/>
                <w:bCs/>
                <w:color w:val="215868" w:themeColor="accent5" w:themeShade="80"/>
                <w:sz w:val="18"/>
                <w:szCs w:val="18"/>
              </w:rPr>
              <w:t>M</w:t>
            </w:r>
          </w:p>
        </w:tc>
        <w:tc>
          <w:tcPr>
            <w:tcW w:w="844" w:type="dxa"/>
            <w:tcBorders>
              <w:left w:val="none" w:sz="0" w:space="0" w:color="auto"/>
              <w:right w:val="none" w:sz="0" w:space="0" w:color="auto"/>
            </w:tcBorders>
            <w:vAlign w:val="center"/>
          </w:tcPr>
          <w:p w14:paraId="3F509C1F" w14:textId="0BBC2A35"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7.0</w:t>
            </w:r>
            <w:r w:rsidRPr="00576207">
              <w:rPr>
                <w:rFonts w:ascii="Arial" w:hAnsi="Arial" w:cs="Arial"/>
                <w:bCs/>
                <w:color w:val="215868" w:themeColor="accent5" w:themeShade="80"/>
                <w:sz w:val="18"/>
                <w:szCs w:val="18"/>
              </w:rPr>
              <w:t>%</w:t>
            </w:r>
          </w:p>
        </w:tc>
        <w:tc>
          <w:tcPr>
            <w:tcW w:w="845" w:type="dxa"/>
            <w:tcBorders>
              <w:left w:val="none" w:sz="0" w:space="0" w:color="auto"/>
              <w:right w:val="none" w:sz="0" w:space="0" w:color="auto"/>
            </w:tcBorders>
            <w:vAlign w:val="center"/>
          </w:tcPr>
          <w:p w14:paraId="12823239" w14:textId="3D2EA4C9" w:rsidR="00E623A4" w:rsidRPr="00576207" w:rsidRDefault="00E623A4" w:rsidP="001D0D13">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25.3</w:t>
            </w:r>
            <w:r w:rsidRPr="00576207">
              <w:rPr>
                <w:rFonts w:ascii="Arial" w:hAnsi="Arial" w:cs="Arial"/>
                <w:bCs/>
                <w:color w:val="215868" w:themeColor="accent5" w:themeShade="80"/>
                <w:sz w:val="18"/>
                <w:szCs w:val="18"/>
              </w:rPr>
              <w:t>%</w:t>
            </w:r>
          </w:p>
        </w:tc>
      </w:tr>
      <w:tr w:rsidR="00E407FC" w14:paraId="2304914C" w14:textId="77777777" w:rsidTr="001D0D13">
        <w:trPr>
          <w:trHeight w:val="253"/>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0E61E1E7" w14:textId="22F6E1B6" w:rsidR="00E623A4" w:rsidRPr="00576207" w:rsidRDefault="00E407FC" w:rsidP="001D0D13">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Cucumbers</w:t>
            </w:r>
          </w:p>
        </w:tc>
        <w:tc>
          <w:tcPr>
            <w:tcW w:w="844" w:type="dxa"/>
            <w:gridSpan w:val="2"/>
            <w:vAlign w:val="center"/>
          </w:tcPr>
          <w:p w14:paraId="5C24265F" w14:textId="64446A08" w:rsidR="00E623A4" w:rsidRPr="00091E61"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sidRPr="00091E61">
              <w:rPr>
                <w:rFonts w:ascii="Arial" w:hAnsi="Arial" w:cs="Arial"/>
                <w:color w:val="215868"/>
                <w:sz w:val="18"/>
                <w:szCs w:val="18"/>
              </w:rPr>
              <w:t>+10%</w:t>
            </w:r>
          </w:p>
        </w:tc>
        <w:tc>
          <w:tcPr>
            <w:tcW w:w="844" w:type="dxa"/>
            <w:vAlign w:val="center"/>
          </w:tcPr>
          <w:p w14:paraId="71E0E0FA" w14:textId="6546140F"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+21%</w:t>
            </w:r>
          </w:p>
        </w:tc>
        <w:tc>
          <w:tcPr>
            <w:tcW w:w="844" w:type="dxa"/>
            <w:vAlign w:val="center"/>
          </w:tcPr>
          <w:p w14:paraId="5B23C82F" w14:textId="01AED864"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+19%</w:t>
            </w:r>
          </w:p>
        </w:tc>
        <w:tc>
          <w:tcPr>
            <w:tcW w:w="845" w:type="dxa"/>
            <w:vAlign w:val="center"/>
          </w:tcPr>
          <w:p w14:paraId="06C3AC89" w14:textId="777F95D9"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+22%</w:t>
            </w:r>
          </w:p>
        </w:tc>
        <w:tc>
          <w:tcPr>
            <w:tcW w:w="844" w:type="dxa"/>
            <w:vAlign w:val="center"/>
          </w:tcPr>
          <w:p w14:paraId="1BBEC81B" w14:textId="1D0FA658"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+10%</w:t>
            </w:r>
          </w:p>
        </w:tc>
        <w:tc>
          <w:tcPr>
            <w:tcW w:w="844" w:type="dxa"/>
            <w:vAlign w:val="center"/>
          </w:tcPr>
          <w:p w14:paraId="010F8077" w14:textId="17B375AA"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+3%</w:t>
            </w:r>
          </w:p>
        </w:tc>
        <w:tc>
          <w:tcPr>
            <w:tcW w:w="844" w:type="dxa"/>
            <w:vAlign w:val="center"/>
          </w:tcPr>
          <w:p w14:paraId="4AC001BD" w14:textId="4CB69DCA"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+4%</w:t>
            </w:r>
          </w:p>
        </w:tc>
        <w:tc>
          <w:tcPr>
            <w:tcW w:w="845" w:type="dxa"/>
            <w:vAlign w:val="center"/>
          </w:tcPr>
          <w:p w14:paraId="430F8574" w14:textId="2778709F" w:rsidR="00E623A4" w:rsidRDefault="00091E61"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+5.1%</w:t>
            </w:r>
          </w:p>
        </w:tc>
        <w:tc>
          <w:tcPr>
            <w:tcW w:w="844" w:type="dxa"/>
            <w:vAlign w:val="center"/>
          </w:tcPr>
          <w:p w14:paraId="457F979F" w14:textId="3879187B"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091E61">
              <w:rPr>
                <w:rFonts w:ascii="Arial" w:hAnsi="Arial" w:cs="Arial"/>
                <w:color w:val="215868" w:themeColor="accent5" w:themeShade="80"/>
                <w:sz w:val="18"/>
                <w:szCs w:val="18"/>
              </w:rPr>
              <w:t>91</w:t>
            </w:r>
            <w:r>
              <w:rPr>
                <w:rFonts w:ascii="Arial" w:hAnsi="Arial" w:cs="Arial"/>
                <w:color w:val="215868" w:themeColor="accent5" w:themeShade="80"/>
                <w:sz w:val="18"/>
                <w:szCs w:val="18"/>
              </w:rPr>
              <w:t>M</w:t>
            </w:r>
          </w:p>
        </w:tc>
        <w:tc>
          <w:tcPr>
            <w:tcW w:w="844" w:type="dxa"/>
            <w:vAlign w:val="center"/>
          </w:tcPr>
          <w:p w14:paraId="4AE8787E" w14:textId="7DD56FC5"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7.0</w:t>
            </w:r>
            <w:r w:rsidRPr="00576207">
              <w:rPr>
                <w:rFonts w:ascii="Arial" w:hAnsi="Arial" w:cs="Arial"/>
                <w:bCs/>
                <w:color w:val="215868" w:themeColor="accent5" w:themeShade="80"/>
                <w:sz w:val="18"/>
                <w:szCs w:val="18"/>
              </w:rPr>
              <w:t>%</w:t>
            </w:r>
          </w:p>
        </w:tc>
        <w:tc>
          <w:tcPr>
            <w:tcW w:w="845" w:type="dxa"/>
            <w:vAlign w:val="center"/>
          </w:tcPr>
          <w:p w14:paraId="5363496C" w14:textId="2370C530" w:rsidR="00E623A4" w:rsidRPr="00576207" w:rsidRDefault="00E623A4" w:rsidP="001D0D1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576207">
              <w:rPr>
                <w:rFonts w:ascii="Arial" w:hAnsi="Arial" w:cs="Arial"/>
                <w:bCs/>
                <w:color w:val="215868" w:themeColor="accent5" w:themeShade="80"/>
                <w:sz w:val="18"/>
                <w:szCs w:val="18"/>
              </w:rPr>
              <w:t>+</w:t>
            </w:r>
            <w:r w:rsidR="00091E61">
              <w:rPr>
                <w:rFonts w:ascii="Arial" w:hAnsi="Arial" w:cs="Arial"/>
                <w:bCs/>
                <w:color w:val="215868" w:themeColor="accent5" w:themeShade="80"/>
                <w:sz w:val="18"/>
                <w:szCs w:val="18"/>
              </w:rPr>
              <w:t>29.1</w:t>
            </w:r>
            <w:r w:rsidRPr="00576207">
              <w:rPr>
                <w:rFonts w:ascii="Arial" w:hAnsi="Arial" w:cs="Arial"/>
                <w:bCs/>
                <w:color w:val="215868" w:themeColor="accent5" w:themeShade="80"/>
                <w:sz w:val="18"/>
                <w:szCs w:val="18"/>
              </w:rPr>
              <w:t>%</w:t>
            </w:r>
          </w:p>
        </w:tc>
      </w:tr>
    </w:tbl>
    <w:p w14:paraId="0146DB04" w14:textId="77777777" w:rsidR="00CB1955" w:rsidRPr="0009337A" w:rsidRDefault="00CB1955" w:rsidP="00EC2806">
      <w:pPr>
        <w:pStyle w:val="NoSpacing"/>
        <w:rPr>
          <w:rFonts w:ascii="Arial" w:hAnsi="Arial" w:cs="Arial"/>
          <w:sz w:val="14"/>
          <w:szCs w:val="4"/>
        </w:rPr>
      </w:pPr>
    </w:p>
    <w:p w14:paraId="164CEA18" w14:textId="03746765" w:rsidR="00EC2806" w:rsidRPr="00B35CE9" w:rsidRDefault="00EC2806" w:rsidP="00EC2806">
      <w:pPr>
        <w:pStyle w:val="NoSpacing"/>
        <w:rPr>
          <w:rFonts w:ascii="Arial" w:hAnsi="Arial" w:cs="Arial"/>
          <w:sz w:val="16"/>
          <w:szCs w:val="16"/>
        </w:rPr>
      </w:pPr>
      <w:r w:rsidRPr="00B35CE9">
        <w:rPr>
          <w:rFonts w:ascii="Arial" w:hAnsi="Arial" w:cs="Arial"/>
          <w:sz w:val="16"/>
          <w:szCs w:val="16"/>
        </w:rPr>
        <w:t>Source: Source:</w:t>
      </w:r>
      <w:r w:rsidR="007E5948">
        <w:rPr>
          <w:rFonts w:ascii="Arial" w:hAnsi="Arial" w:cs="Arial"/>
          <w:sz w:val="16"/>
          <w:szCs w:val="16"/>
        </w:rPr>
        <w:t xml:space="preserve"> IRI</w:t>
      </w:r>
      <w:r w:rsidR="00012355">
        <w:rPr>
          <w:rFonts w:ascii="Arial" w:hAnsi="Arial" w:cs="Arial"/>
          <w:sz w:val="16"/>
          <w:szCs w:val="16"/>
        </w:rPr>
        <w:t xml:space="preserve"> Integrated Fresh</w:t>
      </w:r>
      <w:r w:rsidR="007E5948">
        <w:rPr>
          <w:rFonts w:ascii="Arial" w:hAnsi="Arial" w:cs="Arial"/>
          <w:sz w:val="16"/>
          <w:szCs w:val="16"/>
        </w:rPr>
        <w:t>, Total U.S., MULO</w:t>
      </w:r>
    </w:p>
    <w:p w14:paraId="1FBD52B2" w14:textId="77777777" w:rsidR="00F8382F" w:rsidRDefault="00F8382F" w:rsidP="00D77735">
      <w:pPr>
        <w:spacing w:after="0" w:line="240" w:lineRule="auto"/>
        <w:rPr>
          <w:rFonts w:ascii="Arial" w:hAnsi="Arial" w:cs="Arial"/>
          <w:b/>
          <w:color w:val="595959" w:themeColor="text1" w:themeTint="A6"/>
          <w:sz w:val="24"/>
          <w:szCs w:val="24"/>
        </w:rPr>
      </w:pPr>
    </w:p>
    <w:p w14:paraId="3D1A2994" w14:textId="77777777" w:rsidR="009E5261" w:rsidRPr="001A4F53" w:rsidRDefault="009E5261" w:rsidP="009E5261">
      <w:pPr>
        <w:pStyle w:val="NoSpacing"/>
        <w:rPr>
          <w:rFonts w:ascii="Arial" w:hAnsi="Arial" w:cs="Arial"/>
          <w:b/>
          <w:color w:val="595959" w:themeColor="text1" w:themeTint="A6"/>
          <w:sz w:val="24"/>
          <w:szCs w:val="20"/>
        </w:rPr>
      </w:pPr>
      <w:r w:rsidRPr="005E2F61">
        <w:rPr>
          <w:rFonts w:ascii="Arial" w:hAnsi="Arial" w:cs="Arial"/>
          <w:b/>
          <w:color w:val="595959" w:themeColor="text1" w:themeTint="A6"/>
          <w:sz w:val="24"/>
          <w:szCs w:val="20"/>
        </w:rPr>
        <w:t>Absolute Dollar Gains</w:t>
      </w:r>
    </w:p>
    <w:p w14:paraId="2FB9E9B9" w14:textId="1B54B39E" w:rsidR="009E5261" w:rsidRPr="00B35CE9" w:rsidRDefault="009E5261" w:rsidP="009E5261">
      <w:pPr>
        <w:pStyle w:val="NoSpacing"/>
        <w:rPr>
          <w:rFonts w:ascii="Arial" w:hAnsi="Arial" w:cs="Arial"/>
          <w:sz w:val="20"/>
          <w:szCs w:val="20"/>
        </w:rPr>
      </w:pPr>
      <w:r>
        <w:rPr>
          <w:rFonts w:ascii="Arial" w:hAnsi="Arial" w:cs="Arial"/>
          <w:sz w:val="20"/>
          <w:szCs w:val="20"/>
        </w:rPr>
        <w:t>“</w:t>
      </w:r>
      <w:r w:rsidR="00E4420B">
        <w:rPr>
          <w:rFonts w:ascii="Arial" w:hAnsi="Arial" w:cs="Arial"/>
          <w:sz w:val="20"/>
          <w:szCs w:val="20"/>
        </w:rPr>
        <w:t xml:space="preserve">The top 10 </w:t>
      </w:r>
      <w:r w:rsidR="00A225C7">
        <w:rPr>
          <w:rFonts w:ascii="Arial" w:hAnsi="Arial" w:cs="Arial"/>
          <w:sz w:val="20"/>
          <w:szCs w:val="20"/>
        </w:rPr>
        <w:t xml:space="preserve">in absolute dollar gains </w:t>
      </w:r>
      <w:r w:rsidR="00E4420B">
        <w:rPr>
          <w:rFonts w:ascii="Arial" w:hAnsi="Arial" w:cs="Arial"/>
          <w:sz w:val="20"/>
          <w:szCs w:val="20"/>
        </w:rPr>
        <w:t>show</w:t>
      </w:r>
      <w:r w:rsidR="00A225C7">
        <w:rPr>
          <w:rFonts w:ascii="Arial" w:hAnsi="Arial" w:cs="Arial"/>
          <w:sz w:val="20"/>
          <w:szCs w:val="20"/>
        </w:rPr>
        <w:t>ed</w:t>
      </w:r>
      <w:r w:rsidR="00E4420B">
        <w:rPr>
          <w:rFonts w:ascii="Arial" w:hAnsi="Arial" w:cs="Arial"/>
          <w:sz w:val="20"/>
          <w:szCs w:val="20"/>
        </w:rPr>
        <w:t xml:space="preserve"> </w:t>
      </w:r>
      <w:r w:rsidR="00084469">
        <w:rPr>
          <w:rFonts w:ascii="Arial" w:hAnsi="Arial" w:cs="Arial"/>
          <w:sz w:val="20"/>
          <w:szCs w:val="20"/>
        </w:rPr>
        <w:t xml:space="preserve">both </w:t>
      </w:r>
      <w:r w:rsidR="00E4420B">
        <w:rPr>
          <w:rFonts w:ascii="Arial" w:hAnsi="Arial" w:cs="Arial"/>
          <w:sz w:val="20"/>
          <w:szCs w:val="20"/>
        </w:rPr>
        <w:t xml:space="preserve">small and large categories </w:t>
      </w:r>
      <w:r w:rsidR="001D5C1A">
        <w:rPr>
          <w:rFonts w:ascii="Arial" w:hAnsi="Arial" w:cs="Arial"/>
          <w:sz w:val="20"/>
          <w:szCs w:val="20"/>
        </w:rPr>
        <w:t>are important for department growth</w:t>
      </w:r>
      <w:r w:rsidR="004D26B3">
        <w:rPr>
          <w:rFonts w:ascii="Arial" w:hAnsi="Arial" w:cs="Arial"/>
          <w:sz w:val="20"/>
          <w:szCs w:val="20"/>
        </w:rPr>
        <w:t>,</w:t>
      </w:r>
      <w:r>
        <w:rPr>
          <w:rFonts w:ascii="Arial" w:hAnsi="Arial" w:cs="Arial"/>
          <w:sz w:val="20"/>
          <w:szCs w:val="20"/>
        </w:rPr>
        <w:t>”</w:t>
      </w:r>
      <w:r w:rsidR="004D26B3">
        <w:rPr>
          <w:rFonts w:ascii="Arial" w:hAnsi="Arial" w:cs="Arial"/>
          <w:sz w:val="20"/>
          <w:szCs w:val="20"/>
        </w:rPr>
        <w:t xml:space="preserve"> said </w:t>
      </w:r>
      <w:r w:rsidR="000D5031">
        <w:rPr>
          <w:rFonts w:ascii="Arial" w:hAnsi="Arial" w:cs="Arial"/>
          <w:sz w:val="20"/>
          <w:szCs w:val="20"/>
        </w:rPr>
        <w:t>Parker</w:t>
      </w:r>
      <w:r w:rsidR="004D26B3">
        <w:rPr>
          <w:rFonts w:ascii="Arial" w:hAnsi="Arial" w:cs="Arial"/>
          <w:sz w:val="20"/>
          <w:szCs w:val="20"/>
        </w:rPr>
        <w:t>. “</w:t>
      </w:r>
      <w:r w:rsidR="0087772C">
        <w:rPr>
          <w:rFonts w:ascii="Arial" w:hAnsi="Arial" w:cs="Arial"/>
          <w:sz w:val="20"/>
          <w:szCs w:val="20"/>
        </w:rPr>
        <w:t>But more than anything, it shows the impact of inflation. While melons, mixed fruit and party trays had a tremendous December performance</w:t>
      </w:r>
      <w:r w:rsidR="00CC2438">
        <w:rPr>
          <w:rFonts w:ascii="Arial" w:hAnsi="Arial" w:cs="Arial"/>
          <w:sz w:val="20"/>
          <w:szCs w:val="20"/>
        </w:rPr>
        <w:t xml:space="preserve"> as people entertained at home</w:t>
      </w:r>
      <w:r w:rsidR="0087772C">
        <w:rPr>
          <w:rFonts w:ascii="Arial" w:hAnsi="Arial" w:cs="Arial"/>
          <w:sz w:val="20"/>
          <w:szCs w:val="20"/>
        </w:rPr>
        <w:t xml:space="preserve">, </w:t>
      </w:r>
      <w:r w:rsidR="00CC2438">
        <w:rPr>
          <w:rFonts w:ascii="Arial" w:hAnsi="Arial" w:cs="Arial"/>
          <w:sz w:val="20"/>
          <w:szCs w:val="20"/>
        </w:rPr>
        <w:t>the average price per pound for rose 20.0% for melons (highly affected by cut melons), 10.1% for mixed fruit and 22.6% for party trays</w:t>
      </w:r>
      <w:r w:rsidR="000166DA">
        <w:rPr>
          <w:rFonts w:ascii="Arial" w:hAnsi="Arial" w:cs="Arial"/>
          <w:sz w:val="20"/>
          <w:szCs w:val="20"/>
        </w:rPr>
        <w:t>.</w:t>
      </w:r>
      <w:r w:rsidR="00CC2438">
        <w:rPr>
          <w:rFonts w:ascii="Arial" w:hAnsi="Arial" w:cs="Arial"/>
          <w:sz w:val="20"/>
          <w:szCs w:val="20"/>
        </w:rPr>
        <w:t xml:space="preserve"> Impressively, berry prices only </w:t>
      </w:r>
      <w:r w:rsidR="00CC2438">
        <w:rPr>
          <w:rFonts w:ascii="Arial" w:hAnsi="Arial" w:cs="Arial"/>
          <w:sz w:val="20"/>
          <w:szCs w:val="20"/>
        </w:rPr>
        <w:lastRenderedPageBreak/>
        <w:t>increased 1.9% over December 2020, yet berries remain the leader in absolute dollar growth.</w:t>
      </w:r>
      <w:r w:rsidR="004D26B3">
        <w:rPr>
          <w:rFonts w:ascii="Arial" w:hAnsi="Arial" w:cs="Arial"/>
          <w:sz w:val="20"/>
          <w:szCs w:val="20"/>
        </w:rPr>
        <w:t>”</w:t>
      </w:r>
      <w:r w:rsidR="00CC2438">
        <w:rPr>
          <w:rFonts w:ascii="Arial" w:hAnsi="Arial" w:cs="Arial"/>
          <w:sz w:val="20"/>
          <w:szCs w:val="20"/>
        </w:rPr>
        <w:t xml:space="preserve"> The top 10 in absolute dollar growth was dominated by fruit, directly related to the high levels of inflation. </w:t>
      </w:r>
      <w:r w:rsidR="0039690E">
        <w:rPr>
          <w:rFonts w:ascii="Arial" w:hAnsi="Arial" w:cs="Arial"/>
          <w:sz w:val="20"/>
          <w:szCs w:val="20"/>
        </w:rPr>
        <w:t xml:space="preserve"> </w:t>
      </w:r>
      <w:r>
        <w:rPr>
          <w:rFonts w:ascii="Arial" w:hAnsi="Arial" w:cs="Arial"/>
          <w:sz w:val="20"/>
          <w:szCs w:val="20"/>
        </w:rPr>
        <w:t xml:space="preserve"> </w:t>
      </w:r>
    </w:p>
    <w:p w14:paraId="0A481D00" w14:textId="77777777" w:rsidR="00470A5F" w:rsidRDefault="00470A5F" w:rsidP="009E5261">
      <w:pPr>
        <w:pStyle w:val="NoSpacing"/>
        <w:rPr>
          <w:rFonts w:ascii="Arial" w:hAnsi="Arial" w:cs="Arial"/>
          <w:sz w:val="10"/>
          <w:szCs w:val="10"/>
        </w:rPr>
      </w:pPr>
    </w:p>
    <w:p w14:paraId="0B8D44B9" w14:textId="77777777" w:rsidR="00470A5F" w:rsidRPr="00E62AA9" w:rsidRDefault="00470A5F" w:rsidP="009E5261">
      <w:pPr>
        <w:pStyle w:val="NoSpacing"/>
        <w:rPr>
          <w:rFonts w:ascii="Arial" w:hAnsi="Arial" w:cs="Arial"/>
          <w:sz w:val="10"/>
          <w:szCs w:val="10"/>
        </w:rPr>
      </w:pPr>
    </w:p>
    <w:tbl>
      <w:tblPr>
        <w:tblStyle w:val="LightShading-Accent5"/>
        <w:tblW w:w="10458" w:type="dxa"/>
        <w:tblBorders>
          <w:top w:val="none" w:sz="0" w:space="0" w:color="auto"/>
          <w:bottom w:val="none" w:sz="0" w:space="0" w:color="auto"/>
        </w:tblBorders>
        <w:tblLook w:val="04A0" w:firstRow="1" w:lastRow="0" w:firstColumn="1" w:lastColumn="0" w:noHBand="0" w:noVBand="1"/>
      </w:tblPr>
      <w:tblGrid>
        <w:gridCol w:w="3008"/>
        <w:gridCol w:w="1862"/>
        <w:gridCol w:w="1863"/>
        <w:gridCol w:w="1862"/>
        <w:gridCol w:w="600"/>
        <w:gridCol w:w="1263"/>
      </w:tblGrid>
      <w:tr w:rsidR="0087772C" w:rsidRPr="00764049" w14:paraId="62873049" w14:textId="68F59A27" w:rsidTr="0087772C">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59217C4" w14:textId="77777777" w:rsidR="0087772C" w:rsidRPr="001A4F53" w:rsidRDefault="0087772C" w:rsidP="00F103B9">
            <w:pPr>
              <w:pStyle w:val="NoSpacing"/>
              <w:rPr>
                <w:rFonts w:ascii="Arial" w:hAnsi="Arial" w:cs="Arial"/>
                <w:color w:val="FFFFFF" w:themeColor="background1"/>
                <w:sz w:val="18"/>
                <w:szCs w:val="18"/>
              </w:rPr>
            </w:pPr>
            <w:r>
              <w:rPr>
                <w:rFonts w:ascii="Arial" w:hAnsi="Arial" w:cs="Arial"/>
                <w:color w:val="FFFFFF" w:themeColor="background1"/>
                <w:sz w:val="18"/>
                <w:szCs w:val="18"/>
              </w:rPr>
              <w:t>December 2021</w:t>
            </w:r>
          </w:p>
        </w:tc>
        <w:tc>
          <w:tcPr>
            <w:tcW w:w="6187" w:type="dxa"/>
            <w:gridSpan w:val="4"/>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0A69AA4" w14:textId="77777777" w:rsidR="0087772C" w:rsidRPr="001A4F53" w:rsidRDefault="0087772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Pr>
                <w:rFonts w:ascii="Arial" w:hAnsi="Arial" w:cs="Arial"/>
                <w:color w:val="FFFFFF" w:themeColor="background1"/>
                <w:sz w:val="18"/>
                <w:szCs w:val="18"/>
              </w:rPr>
              <w:t>Versus comparable period</w:t>
            </w:r>
            <w:r w:rsidRPr="001A4F53">
              <w:rPr>
                <w:rFonts w:ascii="Arial" w:hAnsi="Arial" w:cs="Arial"/>
                <w:color w:val="FFFFFF" w:themeColor="background1"/>
                <w:sz w:val="18"/>
                <w:szCs w:val="18"/>
              </w:rPr>
              <w:t xml:space="preserve"> in 20</w:t>
            </w:r>
            <w:r>
              <w:rPr>
                <w:rFonts w:ascii="Arial" w:hAnsi="Arial" w:cs="Arial"/>
                <w:color w:val="FFFFFF" w:themeColor="background1"/>
                <w:sz w:val="18"/>
                <w:szCs w:val="18"/>
              </w:rPr>
              <w:t>20</w:t>
            </w:r>
          </w:p>
        </w:tc>
        <w:tc>
          <w:tcPr>
            <w:tcW w:w="126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3127C3A1" w14:textId="77777777" w:rsidR="0087772C" w:rsidRDefault="0087772C" w:rsidP="00F103B9">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r>
      <w:tr w:rsidR="0087772C" w:rsidRPr="00764049" w14:paraId="213C5AC9" w14:textId="5D88BBD2"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shd w:val="clear" w:color="auto" w:fill="17365D" w:themeFill="text2" w:themeFillShade="BF"/>
            <w:vAlign w:val="center"/>
          </w:tcPr>
          <w:p w14:paraId="77544EE3" w14:textId="77777777" w:rsidR="0087772C" w:rsidRPr="001A4F53" w:rsidRDefault="0087772C" w:rsidP="00F103B9">
            <w:pPr>
              <w:pStyle w:val="NoSpacing"/>
              <w:rPr>
                <w:rFonts w:ascii="Arial" w:hAnsi="Arial" w:cs="Arial"/>
                <w:color w:val="FFFFFF" w:themeColor="background1"/>
                <w:sz w:val="18"/>
                <w:szCs w:val="18"/>
              </w:rPr>
            </w:pPr>
            <w:r w:rsidRPr="001A4F53">
              <w:rPr>
                <w:rFonts w:ascii="Arial" w:hAnsi="Arial" w:cs="Arial"/>
                <w:color w:val="FFFFFF" w:themeColor="background1"/>
                <w:sz w:val="18"/>
                <w:szCs w:val="18"/>
              </w:rPr>
              <w:t xml:space="preserve">Top 10 produce items in absolute dollar growth </w:t>
            </w:r>
          </w:p>
        </w:tc>
        <w:tc>
          <w:tcPr>
            <w:tcW w:w="1862" w:type="dxa"/>
            <w:tcBorders>
              <w:left w:val="none" w:sz="0" w:space="0" w:color="auto"/>
              <w:right w:val="none" w:sz="0" w:space="0" w:color="auto"/>
            </w:tcBorders>
            <w:shd w:val="clear" w:color="auto" w:fill="17365D" w:themeFill="text2" w:themeFillShade="BF"/>
            <w:vAlign w:val="center"/>
          </w:tcPr>
          <w:p w14:paraId="786349A8" w14:textId="77777777"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Absolute dollar gain </w:t>
            </w:r>
          </w:p>
        </w:tc>
        <w:tc>
          <w:tcPr>
            <w:tcW w:w="1863" w:type="dxa"/>
            <w:tcBorders>
              <w:left w:val="none" w:sz="0" w:space="0" w:color="auto"/>
              <w:right w:val="none" w:sz="0" w:space="0" w:color="auto"/>
            </w:tcBorders>
            <w:shd w:val="clear" w:color="auto" w:fill="17365D" w:themeFill="text2" w:themeFillShade="BF"/>
            <w:vAlign w:val="center"/>
          </w:tcPr>
          <w:p w14:paraId="140DA127" w14:textId="77777777"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 xml:space="preserve">Dollar % </w:t>
            </w:r>
            <w:r>
              <w:rPr>
                <w:rFonts w:ascii="Arial" w:hAnsi="Arial" w:cs="Arial"/>
                <w:b/>
                <w:color w:val="FFFFFF" w:themeColor="background1"/>
                <w:sz w:val="18"/>
                <w:szCs w:val="18"/>
              </w:rPr>
              <w:t>growth</w:t>
            </w:r>
          </w:p>
        </w:tc>
        <w:tc>
          <w:tcPr>
            <w:tcW w:w="1862" w:type="dxa"/>
            <w:tcBorders>
              <w:left w:val="none" w:sz="0" w:space="0" w:color="auto"/>
              <w:right w:val="none" w:sz="0" w:space="0" w:color="auto"/>
            </w:tcBorders>
            <w:shd w:val="clear" w:color="auto" w:fill="17365D" w:themeFill="text2" w:themeFillShade="BF"/>
            <w:vAlign w:val="center"/>
          </w:tcPr>
          <w:p w14:paraId="69EC1707" w14:textId="77777777"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1A4F53">
              <w:rPr>
                <w:rFonts w:ascii="Arial" w:hAnsi="Arial" w:cs="Arial"/>
                <w:b/>
                <w:color w:val="FFFFFF" w:themeColor="background1"/>
                <w:sz w:val="18"/>
                <w:szCs w:val="18"/>
              </w:rPr>
              <w:t>Total dollar sales</w:t>
            </w:r>
          </w:p>
        </w:tc>
        <w:tc>
          <w:tcPr>
            <w:tcW w:w="1863" w:type="dxa"/>
            <w:gridSpan w:val="2"/>
            <w:tcBorders>
              <w:left w:val="none" w:sz="0" w:space="0" w:color="auto"/>
              <w:right w:val="none" w:sz="0" w:space="0" w:color="auto"/>
            </w:tcBorders>
            <w:shd w:val="clear" w:color="auto" w:fill="17365D" w:themeFill="text2" w:themeFillShade="BF"/>
          </w:tcPr>
          <w:p w14:paraId="619A5A4D" w14:textId="23EB1C7A" w:rsidR="0087772C" w:rsidRPr="001A4F53" w:rsidRDefault="0087772C" w:rsidP="00F103B9">
            <w:pPr>
              <w:pStyle w:val="NoSpacing"/>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Increase in price per pound</w:t>
            </w:r>
          </w:p>
        </w:tc>
      </w:tr>
      <w:tr w:rsidR="0087772C" w:rsidRPr="0039690E" w14:paraId="142F0E05" w14:textId="79873534"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373926F" w14:textId="77777777" w:rsidR="0087772C" w:rsidRPr="0039690E" w:rsidRDefault="0087772C" w:rsidP="000166DA">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Berries</w:t>
            </w:r>
          </w:p>
        </w:tc>
        <w:tc>
          <w:tcPr>
            <w:tcW w:w="1862" w:type="dxa"/>
            <w:vAlign w:val="center"/>
          </w:tcPr>
          <w:p w14:paraId="23C575C2" w14:textId="5FFC3B82"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+$97</w:t>
            </w:r>
            <w:r w:rsidRPr="0039690E">
              <w:rPr>
                <w:rFonts w:ascii="Arial" w:hAnsi="Arial" w:cs="Arial"/>
                <w:color w:val="215868" w:themeColor="accent5" w:themeShade="80"/>
                <w:sz w:val="18"/>
                <w:szCs w:val="18"/>
              </w:rPr>
              <w:t>M</w:t>
            </w:r>
          </w:p>
        </w:tc>
        <w:tc>
          <w:tcPr>
            <w:tcW w:w="1863" w:type="dxa"/>
            <w:vAlign w:val="center"/>
          </w:tcPr>
          <w:p w14:paraId="69434740" w14:textId="0E8BE617"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19.5</w:t>
            </w:r>
            <w:r w:rsidRPr="0039690E">
              <w:rPr>
                <w:rFonts w:ascii="Arial" w:hAnsi="Arial" w:cs="Arial"/>
                <w:color w:val="215868" w:themeColor="accent5" w:themeShade="80"/>
                <w:sz w:val="18"/>
                <w:szCs w:val="18"/>
              </w:rPr>
              <w:t>%</w:t>
            </w:r>
          </w:p>
        </w:tc>
        <w:tc>
          <w:tcPr>
            <w:tcW w:w="1862" w:type="dxa"/>
            <w:vAlign w:val="center"/>
          </w:tcPr>
          <w:p w14:paraId="55114FCB" w14:textId="016EB846"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39690E">
              <w:rPr>
                <w:rFonts w:ascii="Arial" w:hAnsi="Arial" w:cs="Arial"/>
                <w:color w:val="215868" w:themeColor="accent5" w:themeShade="80"/>
                <w:sz w:val="18"/>
                <w:szCs w:val="18"/>
              </w:rPr>
              <w:t>$</w:t>
            </w:r>
            <w:r>
              <w:rPr>
                <w:rFonts w:ascii="Arial" w:hAnsi="Arial" w:cs="Arial"/>
                <w:color w:val="215868" w:themeColor="accent5" w:themeShade="80"/>
                <w:sz w:val="18"/>
                <w:szCs w:val="18"/>
              </w:rPr>
              <w:t>592</w:t>
            </w:r>
            <w:r w:rsidRPr="0039690E">
              <w:rPr>
                <w:rFonts w:ascii="Arial" w:hAnsi="Arial" w:cs="Arial"/>
                <w:color w:val="215868" w:themeColor="accent5" w:themeShade="80"/>
                <w:sz w:val="18"/>
                <w:szCs w:val="18"/>
              </w:rPr>
              <w:t>M</w:t>
            </w:r>
          </w:p>
        </w:tc>
        <w:tc>
          <w:tcPr>
            <w:tcW w:w="1863" w:type="dxa"/>
            <w:gridSpan w:val="2"/>
          </w:tcPr>
          <w:p w14:paraId="5311080C" w14:textId="7E871AA0" w:rsidR="0087772C" w:rsidRPr="0039690E" w:rsidRDefault="0087772C" w:rsidP="000166DA">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+1.9%</w:t>
            </w:r>
          </w:p>
        </w:tc>
      </w:tr>
      <w:tr w:rsidR="0087772C" w:rsidRPr="0039690E" w14:paraId="67E248E0" w14:textId="4F6E8D73"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6C397F2D" w14:textId="77777777" w:rsidR="0087772C" w:rsidRPr="0039690E" w:rsidRDefault="0087772C" w:rsidP="0087772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Grapes</w:t>
            </w:r>
          </w:p>
        </w:tc>
        <w:tc>
          <w:tcPr>
            <w:tcW w:w="1862" w:type="dxa"/>
            <w:tcBorders>
              <w:left w:val="none" w:sz="0" w:space="0" w:color="auto"/>
              <w:right w:val="none" w:sz="0" w:space="0" w:color="auto"/>
            </w:tcBorders>
          </w:tcPr>
          <w:p w14:paraId="74D0C560" w14:textId="5EFF4F93"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Pr>
                <w:rFonts w:ascii="Arial" w:hAnsi="Arial" w:cs="Arial"/>
                <w:color w:val="215868" w:themeColor="accent5" w:themeShade="80"/>
                <w:sz w:val="18"/>
                <w:szCs w:val="18"/>
              </w:rPr>
              <w:t>32</w:t>
            </w:r>
            <w:r w:rsidRPr="00147B08">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0830E09A" w14:textId="0D250DB7"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026A3D">
              <w:rPr>
                <w:rFonts w:ascii="Arial" w:hAnsi="Arial" w:cs="Arial"/>
                <w:color w:val="215868" w:themeColor="accent5" w:themeShade="80"/>
                <w:sz w:val="18"/>
                <w:szCs w:val="18"/>
              </w:rPr>
              <w:t>+</w:t>
            </w:r>
            <w:r>
              <w:rPr>
                <w:rFonts w:ascii="Arial" w:hAnsi="Arial" w:cs="Arial"/>
                <w:color w:val="215868" w:themeColor="accent5" w:themeShade="80"/>
                <w:sz w:val="18"/>
                <w:szCs w:val="18"/>
              </w:rPr>
              <w:t>13.9</w:t>
            </w:r>
            <w:r w:rsidRPr="00026A3D">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562516A3" w14:textId="0224B008"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787A07">
              <w:rPr>
                <w:rFonts w:ascii="Arial" w:hAnsi="Arial" w:cs="Arial"/>
                <w:color w:val="215868" w:themeColor="accent5" w:themeShade="80"/>
                <w:sz w:val="18"/>
                <w:szCs w:val="18"/>
              </w:rPr>
              <w:t>$</w:t>
            </w:r>
            <w:r>
              <w:rPr>
                <w:rFonts w:ascii="Arial" w:hAnsi="Arial" w:cs="Arial"/>
                <w:color w:val="215868" w:themeColor="accent5" w:themeShade="80"/>
                <w:sz w:val="18"/>
                <w:szCs w:val="18"/>
              </w:rPr>
              <w:t>262</w:t>
            </w:r>
            <w:r w:rsidRPr="00787A07">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5F354D7E" w14:textId="0CD78372" w:rsidR="0087772C" w:rsidRPr="00787A07" w:rsidRDefault="0087772C" w:rsidP="0087772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6E3D8E">
              <w:rPr>
                <w:rFonts w:ascii="Arial" w:hAnsi="Arial" w:cs="Arial"/>
                <w:color w:val="215868" w:themeColor="accent5" w:themeShade="80"/>
                <w:sz w:val="18"/>
                <w:szCs w:val="18"/>
              </w:rPr>
              <w:t>+</w:t>
            </w:r>
            <w:r>
              <w:rPr>
                <w:rFonts w:ascii="Arial" w:hAnsi="Arial" w:cs="Arial"/>
                <w:color w:val="215868" w:themeColor="accent5" w:themeShade="80"/>
                <w:sz w:val="18"/>
                <w:szCs w:val="18"/>
              </w:rPr>
              <w:t>16.3</w:t>
            </w:r>
            <w:r w:rsidRPr="006E3D8E">
              <w:rPr>
                <w:rFonts w:ascii="Arial" w:hAnsi="Arial" w:cs="Arial"/>
                <w:color w:val="215868" w:themeColor="accent5" w:themeShade="80"/>
                <w:sz w:val="18"/>
                <w:szCs w:val="18"/>
              </w:rPr>
              <w:t>%</w:t>
            </w:r>
          </w:p>
        </w:tc>
      </w:tr>
      <w:tr w:rsidR="0087772C" w:rsidRPr="0039690E" w14:paraId="5252E2D3" w14:textId="1AEAB703"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160BB927" w14:textId="77777777" w:rsidR="0087772C" w:rsidRPr="0039690E" w:rsidRDefault="0087772C" w:rsidP="0087772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Melons</w:t>
            </w:r>
          </w:p>
        </w:tc>
        <w:tc>
          <w:tcPr>
            <w:tcW w:w="1862" w:type="dxa"/>
          </w:tcPr>
          <w:p w14:paraId="5ACAD0E7" w14:textId="2BEF5DAB"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147B08">
              <w:rPr>
                <w:rFonts w:ascii="Arial" w:hAnsi="Arial" w:cs="Arial"/>
                <w:color w:val="215868" w:themeColor="accent5" w:themeShade="80"/>
                <w:sz w:val="18"/>
                <w:szCs w:val="18"/>
              </w:rPr>
              <w:t>+$</w:t>
            </w:r>
            <w:r>
              <w:rPr>
                <w:rFonts w:ascii="Arial" w:hAnsi="Arial" w:cs="Arial"/>
                <w:color w:val="215868" w:themeColor="accent5" w:themeShade="80"/>
                <w:sz w:val="18"/>
                <w:szCs w:val="18"/>
              </w:rPr>
              <w:t>28</w:t>
            </w:r>
            <w:r w:rsidRPr="00147B08">
              <w:rPr>
                <w:rFonts w:ascii="Arial" w:hAnsi="Arial" w:cs="Arial"/>
                <w:color w:val="215868" w:themeColor="accent5" w:themeShade="80"/>
                <w:sz w:val="18"/>
                <w:szCs w:val="18"/>
              </w:rPr>
              <w:t>M</w:t>
            </w:r>
          </w:p>
        </w:tc>
        <w:tc>
          <w:tcPr>
            <w:tcW w:w="1863" w:type="dxa"/>
          </w:tcPr>
          <w:p w14:paraId="31BD0F8D" w14:textId="3113B70A"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026A3D">
              <w:rPr>
                <w:rFonts w:ascii="Arial" w:hAnsi="Arial" w:cs="Arial"/>
                <w:color w:val="215868" w:themeColor="accent5" w:themeShade="80"/>
                <w:sz w:val="18"/>
                <w:szCs w:val="18"/>
              </w:rPr>
              <w:t>+</w:t>
            </w:r>
            <w:r>
              <w:rPr>
                <w:rFonts w:ascii="Arial" w:hAnsi="Arial" w:cs="Arial"/>
                <w:color w:val="215868" w:themeColor="accent5" w:themeShade="80"/>
                <w:sz w:val="18"/>
                <w:szCs w:val="18"/>
              </w:rPr>
              <w:t>31.9</w:t>
            </w:r>
            <w:r w:rsidRPr="00026A3D">
              <w:rPr>
                <w:rFonts w:ascii="Arial" w:hAnsi="Arial" w:cs="Arial"/>
                <w:color w:val="215868" w:themeColor="accent5" w:themeShade="80"/>
                <w:sz w:val="18"/>
                <w:szCs w:val="18"/>
              </w:rPr>
              <w:t>%</w:t>
            </w:r>
          </w:p>
        </w:tc>
        <w:tc>
          <w:tcPr>
            <w:tcW w:w="1862" w:type="dxa"/>
          </w:tcPr>
          <w:p w14:paraId="3D0A61B3" w14:textId="4B16F0D8"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787A07">
              <w:rPr>
                <w:rFonts w:ascii="Arial" w:hAnsi="Arial" w:cs="Arial"/>
                <w:color w:val="215868" w:themeColor="accent5" w:themeShade="80"/>
                <w:sz w:val="18"/>
                <w:szCs w:val="18"/>
              </w:rPr>
              <w:t>$</w:t>
            </w:r>
            <w:r>
              <w:rPr>
                <w:rFonts w:ascii="Arial" w:hAnsi="Arial" w:cs="Arial"/>
                <w:color w:val="215868" w:themeColor="accent5" w:themeShade="80"/>
                <w:sz w:val="18"/>
                <w:szCs w:val="18"/>
              </w:rPr>
              <w:t>115</w:t>
            </w:r>
            <w:r w:rsidRPr="00787A07">
              <w:rPr>
                <w:rFonts w:ascii="Arial" w:hAnsi="Arial" w:cs="Arial"/>
                <w:color w:val="215868" w:themeColor="accent5" w:themeShade="80"/>
                <w:sz w:val="18"/>
                <w:szCs w:val="18"/>
              </w:rPr>
              <w:t>M</w:t>
            </w:r>
          </w:p>
        </w:tc>
        <w:tc>
          <w:tcPr>
            <w:tcW w:w="1863" w:type="dxa"/>
            <w:gridSpan w:val="2"/>
          </w:tcPr>
          <w:p w14:paraId="397BB892" w14:textId="32646EE3" w:rsidR="0087772C" w:rsidRPr="00787A07" w:rsidRDefault="0087772C" w:rsidP="0087772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6E3D8E">
              <w:rPr>
                <w:rFonts w:ascii="Arial" w:hAnsi="Arial" w:cs="Arial"/>
                <w:color w:val="215868" w:themeColor="accent5" w:themeShade="80"/>
                <w:sz w:val="18"/>
                <w:szCs w:val="18"/>
              </w:rPr>
              <w:t>+</w:t>
            </w:r>
            <w:r>
              <w:rPr>
                <w:rFonts w:ascii="Arial" w:hAnsi="Arial" w:cs="Arial"/>
                <w:color w:val="215868" w:themeColor="accent5" w:themeShade="80"/>
                <w:sz w:val="18"/>
                <w:szCs w:val="18"/>
              </w:rPr>
              <w:t>20.0</w:t>
            </w:r>
            <w:r w:rsidRPr="006E3D8E">
              <w:rPr>
                <w:rFonts w:ascii="Arial" w:hAnsi="Arial" w:cs="Arial"/>
                <w:color w:val="215868" w:themeColor="accent5" w:themeShade="80"/>
                <w:sz w:val="18"/>
                <w:szCs w:val="18"/>
              </w:rPr>
              <w:t>%</w:t>
            </w:r>
          </w:p>
        </w:tc>
      </w:tr>
      <w:tr w:rsidR="0087772C" w:rsidRPr="0039690E" w14:paraId="3534EE53" w14:textId="5A6481A5"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50D4877A" w14:textId="77777777" w:rsidR="0087772C" w:rsidRPr="0039690E" w:rsidRDefault="0087772C" w:rsidP="0087772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Salad kits</w:t>
            </w:r>
          </w:p>
        </w:tc>
        <w:tc>
          <w:tcPr>
            <w:tcW w:w="1862" w:type="dxa"/>
            <w:tcBorders>
              <w:left w:val="none" w:sz="0" w:space="0" w:color="auto"/>
              <w:right w:val="none" w:sz="0" w:space="0" w:color="auto"/>
            </w:tcBorders>
          </w:tcPr>
          <w:p w14:paraId="045E3076" w14:textId="43BE36F3"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Pr>
                <w:rFonts w:ascii="Arial" w:hAnsi="Arial" w:cs="Arial"/>
                <w:color w:val="215868" w:themeColor="accent5" w:themeShade="80"/>
                <w:sz w:val="18"/>
                <w:szCs w:val="18"/>
              </w:rPr>
              <w:t>24</w:t>
            </w:r>
            <w:r w:rsidRPr="00147B08">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2C75C9E1" w14:textId="16817552"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026A3D">
              <w:rPr>
                <w:rFonts w:ascii="Arial" w:hAnsi="Arial" w:cs="Arial"/>
                <w:color w:val="215868" w:themeColor="accent5" w:themeShade="80"/>
                <w:sz w:val="18"/>
                <w:szCs w:val="18"/>
              </w:rPr>
              <w:t>+</w:t>
            </w:r>
            <w:r>
              <w:rPr>
                <w:rFonts w:ascii="Arial" w:hAnsi="Arial" w:cs="Arial"/>
                <w:color w:val="215868" w:themeColor="accent5" w:themeShade="80"/>
                <w:sz w:val="18"/>
                <w:szCs w:val="18"/>
              </w:rPr>
              <w:t>11.1</w:t>
            </w:r>
            <w:r w:rsidRPr="00026A3D">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3DCE7A41" w14:textId="3F9BBC89"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787A07">
              <w:rPr>
                <w:rFonts w:ascii="Arial" w:hAnsi="Arial" w:cs="Arial"/>
                <w:color w:val="215868" w:themeColor="accent5" w:themeShade="80"/>
                <w:sz w:val="18"/>
                <w:szCs w:val="18"/>
              </w:rPr>
              <w:t>$</w:t>
            </w:r>
            <w:r>
              <w:rPr>
                <w:rFonts w:ascii="Arial" w:hAnsi="Arial" w:cs="Arial"/>
                <w:color w:val="215868" w:themeColor="accent5" w:themeShade="80"/>
                <w:sz w:val="18"/>
                <w:szCs w:val="18"/>
              </w:rPr>
              <w:t>237</w:t>
            </w:r>
            <w:r w:rsidRPr="00787A07">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5CCE7127" w14:textId="49A69C3E" w:rsidR="0087772C" w:rsidRPr="00787A07" w:rsidRDefault="0087772C" w:rsidP="0087772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6E3D8E">
              <w:rPr>
                <w:rFonts w:ascii="Arial" w:hAnsi="Arial" w:cs="Arial"/>
                <w:color w:val="215868" w:themeColor="accent5" w:themeShade="80"/>
                <w:sz w:val="18"/>
                <w:szCs w:val="18"/>
              </w:rPr>
              <w:t>+</w:t>
            </w:r>
            <w:r>
              <w:rPr>
                <w:rFonts w:ascii="Arial" w:hAnsi="Arial" w:cs="Arial"/>
                <w:color w:val="215868" w:themeColor="accent5" w:themeShade="80"/>
                <w:sz w:val="18"/>
                <w:szCs w:val="18"/>
              </w:rPr>
              <w:t>7.2</w:t>
            </w:r>
            <w:r w:rsidRPr="006E3D8E">
              <w:rPr>
                <w:rFonts w:ascii="Arial" w:hAnsi="Arial" w:cs="Arial"/>
                <w:color w:val="215868" w:themeColor="accent5" w:themeShade="80"/>
                <w:sz w:val="18"/>
                <w:szCs w:val="18"/>
              </w:rPr>
              <w:t>%</w:t>
            </w:r>
          </w:p>
        </w:tc>
      </w:tr>
      <w:tr w:rsidR="0087772C" w:rsidRPr="0039690E" w14:paraId="1E6F7F32" w14:textId="76D7D9AE"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6F129529" w14:textId="77777777" w:rsidR="0087772C" w:rsidRPr="0039690E" w:rsidRDefault="0087772C" w:rsidP="0087772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Apples</w:t>
            </w:r>
          </w:p>
        </w:tc>
        <w:tc>
          <w:tcPr>
            <w:tcW w:w="1862" w:type="dxa"/>
          </w:tcPr>
          <w:p w14:paraId="36F1334A" w14:textId="34FA826C"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147B08">
              <w:rPr>
                <w:rFonts w:ascii="Arial" w:hAnsi="Arial" w:cs="Arial"/>
                <w:color w:val="215868" w:themeColor="accent5" w:themeShade="80"/>
                <w:sz w:val="18"/>
                <w:szCs w:val="18"/>
              </w:rPr>
              <w:t>+$</w:t>
            </w:r>
            <w:r>
              <w:rPr>
                <w:rFonts w:ascii="Arial" w:hAnsi="Arial" w:cs="Arial"/>
                <w:color w:val="215868" w:themeColor="accent5" w:themeShade="80"/>
                <w:sz w:val="18"/>
                <w:szCs w:val="18"/>
              </w:rPr>
              <w:t>23</w:t>
            </w:r>
            <w:r w:rsidRPr="00147B08">
              <w:rPr>
                <w:rFonts w:ascii="Arial" w:hAnsi="Arial" w:cs="Arial"/>
                <w:color w:val="215868" w:themeColor="accent5" w:themeShade="80"/>
                <w:sz w:val="18"/>
                <w:szCs w:val="18"/>
              </w:rPr>
              <w:t>M</w:t>
            </w:r>
          </w:p>
        </w:tc>
        <w:tc>
          <w:tcPr>
            <w:tcW w:w="1863" w:type="dxa"/>
          </w:tcPr>
          <w:p w14:paraId="5E497F37" w14:textId="696A20DC"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026A3D">
              <w:rPr>
                <w:rFonts w:ascii="Arial" w:hAnsi="Arial" w:cs="Arial"/>
                <w:color w:val="215868" w:themeColor="accent5" w:themeShade="80"/>
                <w:sz w:val="18"/>
                <w:szCs w:val="18"/>
              </w:rPr>
              <w:t>+</w:t>
            </w:r>
            <w:r>
              <w:rPr>
                <w:rFonts w:ascii="Arial" w:hAnsi="Arial" w:cs="Arial"/>
                <w:color w:val="215868" w:themeColor="accent5" w:themeShade="80"/>
                <w:sz w:val="18"/>
                <w:szCs w:val="18"/>
              </w:rPr>
              <w:t>7.5</w:t>
            </w:r>
            <w:r w:rsidRPr="00026A3D">
              <w:rPr>
                <w:rFonts w:ascii="Arial" w:hAnsi="Arial" w:cs="Arial"/>
                <w:color w:val="215868" w:themeColor="accent5" w:themeShade="80"/>
                <w:sz w:val="18"/>
                <w:szCs w:val="18"/>
              </w:rPr>
              <w:t>%</w:t>
            </w:r>
          </w:p>
        </w:tc>
        <w:tc>
          <w:tcPr>
            <w:tcW w:w="1862" w:type="dxa"/>
          </w:tcPr>
          <w:p w14:paraId="44A238F2" w14:textId="552F2C6F"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787A07">
              <w:rPr>
                <w:rFonts w:ascii="Arial" w:hAnsi="Arial" w:cs="Arial"/>
                <w:color w:val="215868" w:themeColor="accent5" w:themeShade="80"/>
                <w:sz w:val="18"/>
                <w:szCs w:val="18"/>
              </w:rPr>
              <w:t>$</w:t>
            </w:r>
            <w:r>
              <w:rPr>
                <w:rFonts w:ascii="Arial" w:hAnsi="Arial" w:cs="Arial"/>
                <w:color w:val="215868" w:themeColor="accent5" w:themeShade="80"/>
                <w:sz w:val="18"/>
                <w:szCs w:val="18"/>
              </w:rPr>
              <w:t>336</w:t>
            </w:r>
            <w:r w:rsidRPr="00787A07">
              <w:rPr>
                <w:rFonts w:ascii="Arial" w:hAnsi="Arial" w:cs="Arial"/>
                <w:color w:val="215868" w:themeColor="accent5" w:themeShade="80"/>
                <w:sz w:val="18"/>
                <w:szCs w:val="18"/>
              </w:rPr>
              <w:t>M</w:t>
            </w:r>
          </w:p>
        </w:tc>
        <w:tc>
          <w:tcPr>
            <w:tcW w:w="1863" w:type="dxa"/>
            <w:gridSpan w:val="2"/>
          </w:tcPr>
          <w:p w14:paraId="51C6D35C" w14:textId="4C912F22" w:rsidR="0087772C" w:rsidRPr="00787A07" w:rsidRDefault="0087772C" w:rsidP="0087772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6E3D8E">
              <w:rPr>
                <w:rFonts w:ascii="Arial" w:hAnsi="Arial" w:cs="Arial"/>
                <w:color w:val="215868" w:themeColor="accent5" w:themeShade="80"/>
                <w:sz w:val="18"/>
                <w:szCs w:val="18"/>
              </w:rPr>
              <w:t>+</w:t>
            </w:r>
            <w:r>
              <w:rPr>
                <w:rFonts w:ascii="Arial" w:hAnsi="Arial" w:cs="Arial"/>
                <w:color w:val="215868" w:themeColor="accent5" w:themeShade="80"/>
                <w:sz w:val="18"/>
                <w:szCs w:val="18"/>
              </w:rPr>
              <w:t>12.5</w:t>
            </w:r>
            <w:r w:rsidRPr="006E3D8E">
              <w:rPr>
                <w:rFonts w:ascii="Arial" w:hAnsi="Arial" w:cs="Arial"/>
                <w:color w:val="215868" w:themeColor="accent5" w:themeShade="80"/>
                <w:sz w:val="18"/>
                <w:szCs w:val="18"/>
              </w:rPr>
              <w:t>%</w:t>
            </w:r>
          </w:p>
        </w:tc>
      </w:tr>
      <w:tr w:rsidR="0087772C" w:rsidRPr="0039690E" w14:paraId="565D489D" w14:textId="53A740AB"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477EE23D" w14:textId="26921DF6" w:rsidR="0087772C" w:rsidRPr="0039690E" w:rsidRDefault="0087772C" w:rsidP="0087772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Mandarins</w:t>
            </w:r>
          </w:p>
        </w:tc>
        <w:tc>
          <w:tcPr>
            <w:tcW w:w="1862" w:type="dxa"/>
            <w:tcBorders>
              <w:left w:val="none" w:sz="0" w:space="0" w:color="auto"/>
              <w:right w:val="none" w:sz="0" w:space="0" w:color="auto"/>
            </w:tcBorders>
          </w:tcPr>
          <w:p w14:paraId="69BA081D" w14:textId="4DE3B2D5"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Pr>
                <w:rFonts w:ascii="Arial" w:hAnsi="Arial" w:cs="Arial"/>
                <w:color w:val="215868" w:themeColor="accent5" w:themeShade="80"/>
                <w:sz w:val="18"/>
                <w:szCs w:val="18"/>
              </w:rPr>
              <w:t>23</w:t>
            </w:r>
            <w:r w:rsidRPr="00147B08">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20D62517" w14:textId="64C7728C"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026A3D">
              <w:rPr>
                <w:rFonts w:ascii="Arial" w:hAnsi="Arial" w:cs="Arial"/>
                <w:color w:val="215868" w:themeColor="accent5" w:themeShade="80"/>
                <w:sz w:val="18"/>
                <w:szCs w:val="18"/>
              </w:rPr>
              <w:t>+</w:t>
            </w:r>
            <w:r>
              <w:rPr>
                <w:rFonts w:ascii="Arial" w:hAnsi="Arial" w:cs="Arial"/>
                <w:color w:val="215868" w:themeColor="accent5" w:themeShade="80"/>
                <w:sz w:val="18"/>
                <w:szCs w:val="18"/>
              </w:rPr>
              <w:t>14.5</w:t>
            </w:r>
            <w:r w:rsidRPr="00026A3D">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5259B40D" w14:textId="7E584733"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787A07">
              <w:rPr>
                <w:rFonts w:ascii="Arial" w:hAnsi="Arial" w:cs="Arial"/>
                <w:color w:val="215868" w:themeColor="accent5" w:themeShade="80"/>
                <w:sz w:val="18"/>
                <w:szCs w:val="18"/>
              </w:rPr>
              <w:t>$</w:t>
            </w:r>
            <w:r>
              <w:rPr>
                <w:rFonts w:ascii="Arial" w:hAnsi="Arial" w:cs="Arial"/>
                <w:color w:val="215868" w:themeColor="accent5" w:themeShade="80"/>
                <w:sz w:val="18"/>
                <w:szCs w:val="18"/>
              </w:rPr>
              <w:t>180</w:t>
            </w:r>
            <w:r w:rsidRPr="00787A07">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5268CE91" w14:textId="45B3FFF4" w:rsidR="0087772C" w:rsidRPr="00787A07" w:rsidRDefault="0087772C" w:rsidP="0087772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6E3D8E">
              <w:rPr>
                <w:rFonts w:ascii="Arial" w:hAnsi="Arial" w:cs="Arial"/>
                <w:color w:val="215868" w:themeColor="accent5" w:themeShade="80"/>
                <w:sz w:val="18"/>
                <w:szCs w:val="18"/>
              </w:rPr>
              <w:t>+</w:t>
            </w:r>
            <w:r>
              <w:rPr>
                <w:rFonts w:ascii="Arial" w:hAnsi="Arial" w:cs="Arial"/>
                <w:color w:val="215868" w:themeColor="accent5" w:themeShade="80"/>
                <w:sz w:val="18"/>
                <w:szCs w:val="18"/>
              </w:rPr>
              <w:t>16.0</w:t>
            </w:r>
            <w:r w:rsidRPr="006E3D8E">
              <w:rPr>
                <w:rFonts w:ascii="Arial" w:hAnsi="Arial" w:cs="Arial"/>
                <w:color w:val="215868" w:themeColor="accent5" w:themeShade="80"/>
                <w:sz w:val="18"/>
                <w:szCs w:val="18"/>
              </w:rPr>
              <w:t>%</w:t>
            </w:r>
          </w:p>
        </w:tc>
      </w:tr>
      <w:tr w:rsidR="0087772C" w:rsidRPr="0039690E" w14:paraId="1B658F4A" w14:textId="19C9607A"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53B78C78" w14:textId="3761D560" w:rsidR="0087772C" w:rsidRPr="0039690E" w:rsidRDefault="0087772C" w:rsidP="0087772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Avocados</w:t>
            </w:r>
          </w:p>
        </w:tc>
        <w:tc>
          <w:tcPr>
            <w:tcW w:w="1862" w:type="dxa"/>
          </w:tcPr>
          <w:p w14:paraId="4394C4D7" w14:textId="2E4C1A17"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147B08">
              <w:rPr>
                <w:rFonts w:ascii="Arial" w:hAnsi="Arial" w:cs="Arial"/>
                <w:color w:val="215868" w:themeColor="accent5" w:themeShade="80"/>
                <w:sz w:val="18"/>
                <w:szCs w:val="18"/>
              </w:rPr>
              <w:t>+$</w:t>
            </w:r>
            <w:r>
              <w:rPr>
                <w:rFonts w:ascii="Arial" w:hAnsi="Arial" w:cs="Arial"/>
                <w:color w:val="215868" w:themeColor="accent5" w:themeShade="80"/>
                <w:sz w:val="18"/>
                <w:szCs w:val="18"/>
              </w:rPr>
              <w:t>19</w:t>
            </w:r>
            <w:r w:rsidRPr="00147B08">
              <w:rPr>
                <w:rFonts w:ascii="Arial" w:hAnsi="Arial" w:cs="Arial"/>
                <w:color w:val="215868" w:themeColor="accent5" w:themeShade="80"/>
                <w:sz w:val="18"/>
                <w:szCs w:val="18"/>
              </w:rPr>
              <w:t>M</w:t>
            </w:r>
          </w:p>
        </w:tc>
        <w:tc>
          <w:tcPr>
            <w:tcW w:w="1863" w:type="dxa"/>
          </w:tcPr>
          <w:p w14:paraId="3D503F80" w14:textId="150509E0"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026A3D">
              <w:rPr>
                <w:rFonts w:ascii="Arial" w:hAnsi="Arial" w:cs="Arial"/>
                <w:color w:val="215868" w:themeColor="accent5" w:themeShade="80"/>
                <w:sz w:val="18"/>
                <w:szCs w:val="18"/>
              </w:rPr>
              <w:t>+</w:t>
            </w:r>
            <w:r>
              <w:rPr>
                <w:rFonts w:ascii="Arial" w:hAnsi="Arial" w:cs="Arial"/>
                <w:color w:val="215868" w:themeColor="accent5" w:themeShade="80"/>
                <w:sz w:val="18"/>
                <w:szCs w:val="18"/>
              </w:rPr>
              <w:t>12.8</w:t>
            </w:r>
            <w:r w:rsidRPr="00026A3D">
              <w:rPr>
                <w:rFonts w:ascii="Arial" w:hAnsi="Arial" w:cs="Arial"/>
                <w:color w:val="215868" w:themeColor="accent5" w:themeShade="80"/>
                <w:sz w:val="18"/>
                <w:szCs w:val="18"/>
              </w:rPr>
              <w:t>%</w:t>
            </w:r>
          </w:p>
        </w:tc>
        <w:tc>
          <w:tcPr>
            <w:tcW w:w="1862" w:type="dxa"/>
          </w:tcPr>
          <w:p w14:paraId="4AA0F1B5" w14:textId="476C451E"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787A07">
              <w:rPr>
                <w:rFonts w:ascii="Arial" w:hAnsi="Arial" w:cs="Arial"/>
                <w:color w:val="215868" w:themeColor="accent5" w:themeShade="80"/>
                <w:sz w:val="18"/>
                <w:szCs w:val="18"/>
              </w:rPr>
              <w:t>$</w:t>
            </w:r>
            <w:r>
              <w:rPr>
                <w:rFonts w:ascii="Arial" w:hAnsi="Arial" w:cs="Arial"/>
                <w:color w:val="215868" w:themeColor="accent5" w:themeShade="80"/>
                <w:sz w:val="18"/>
                <w:szCs w:val="18"/>
              </w:rPr>
              <w:t>170</w:t>
            </w:r>
            <w:r w:rsidRPr="00787A07">
              <w:rPr>
                <w:rFonts w:ascii="Arial" w:hAnsi="Arial" w:cs="Arial"/>
                <w:color w:val="215868" w:themeColor="accent5" w:themeShade="80"/>
                <w:sz w:val="18"/>
                <w:szCs w:val="18"/>
              </w:rPr>
              <w:t>M</w:t>
            </w:r>
          </w:p>
        </w:tc>
        <w:tc>
          <w:tcPr>
            <w:tcW w:w="1863" w:type="dxa"/>
            <w:gridSpan w:val="2"/>
          </w:tcPr>
          <w:p w14:paraId="5D86ECF4" w14:textId="09364BB5" w:rsidR="0087772C" w:rsidRPr="00787A07" w:rsidRDefault="0087772C" w:rsidP="0087772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6E3D8E">
              <w:rPr>
                <w:rFonts w:ascii="Arial" w:hAnsi="Arial" w:cs="Arial"/>
                <w:color w:val="215868" w:themeColor="accent5" w:themeShade="80"/>
                <w:sz w:val="18"/>
                <w:szCs w:val="18"/>
              </w:rPr>
              <w:t>+</w:t>
            </w:r>
            <w:r>
              <w:rPr>
                <w:rFonts w:ascii="Arial" w:hAnsi="Arial" w:cs="Arial"/>
                <w:color w:val="215868" w:themeColor="accent5" w:themeShade="80"/>
                <w:sz w:val="18"/>
                <w:szCs w:val="18"/>
              </w:rPr>
              <w:t>24.3</w:t>
            </w:r>
            <w:r w:rsidRPr="006E3D8E">
              <w:rPr>
                <w:rFonts w:ascii="Arial" w:hAnsi="Arial" w:cs="Arial"/>
                <w:color w:val="215868" w:themeColor="accent5" w:themeShade="80"/>
                <w:sz w:val="18"/>
                <w:szCs w:val="18"/>
              </w:rPr>
              <w:t>%</w:t>
            </w:r>
          </w:p>
        </w:tc>
      </w:tr>
      <w:tr w:rsidR="0087772C" w:rsidRPr="0039690E" w14:paraId="2AD780DF" w14:textId="1C3D352B"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2236B7E4" w14:textId="1AEF08E7" w:rsidR="0087772C" w:rsidRPr="0039690E" w:rsidRDefault="0087772C" w:rsidP="0087772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Mixed fruit</w:t>
            </w:r>
          </w:p>
        </w:tc>
        <w:tc>
          <w:tcPr>
            <w:tcW w:w="1862" w:type="dxa"/>
            <w:tcBorders>
              <w:left w:val="none" w:sz="0" w:space="0" w:color="auto"/>
              <w:right w:val="none" w:sz="0" w:space="0" w:color="auto"/>
            </w:tcBorders>
          </w:tcPr>
          <w:p w14:paraId="28396D89" w14:textId="4571CCEE"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Pr>
                <w:rFonts w:ascii="Arial" w:hAnsi="Arial" w:cs="Arial"/>
                <w:color w:val="215868" w:themeColor="accent5" w:themeShade="80"/>
                <w:sz w:val="18"/>
                <w:szCs w:val="18"/>
              </w:rPr>
              <w:t>18</w:t>
            </w:r>
            <w:r w:rsidRPr="00147B08">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3E2BF417" w14:textId="4D56FD1D"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026A3D">
              <w:rPr>
                <w:rFonts w:ascii="Arial" w:hAnsi="Arial" w:cs="Arial"/>
                <w:color w:val="215868" w:themeColor="accent5" w:themeShade="80"/>
                <w:sz w:val="18"/>
                <w:szCs w:val="18"/>
              </w:rPr>
              <w:t>+</w:t>
            </w:r>
            <w:r>
              <w:rPr>
                <w:rFonts w:ascii="Arial" w:hAnsi="Arial" w:cs="Arial"/>
                <w:color w:val="215868" w:themeColor="accent5" w:themeShade="80"/>
                <w:sz w:val="18"/>
                <w:szCs w:val="18"/>
              </w:rPr>
              <w:t>34.1</w:t>
            </w:r>
            <w:r w:rsidRPr="00026A3D">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373FEF99" w14:textId="001A991D"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787A07">
              <w:rPr>
                <w:rFonts w:ascii="Arial" w:hAnsi="Arial" w:cs="Arial"/>
                <w:color w:val="215868" w:themeColor="accent5" w:themeShade="80"/>
                <w:sz w:val="18"/>
                <w:szCs w:val="18"/>
              </w:rPr>
              <w:t>$</w:t>
            </w:r>
            <w:r>
              <w:rPr>
                <w:rFonts w:ascii="Arial" w:hAnsi="Arial" w:cs="Arial"/>
                <w:color w:val="215868" w:themeColor="accent5" w:themeShade="80"/>
                <w:sz w:val="18"/>
                <w:szCs w:val="18"/>
              </w:rPr>
              <w:t>72</w:t>
            </w:r>
            <w:r w:rsidRPr="00787A07">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732D7501" w14:textId="33CA9795" w:rsidR="0087772C" w:rsidRPr="00787A07" w:rsidRDefault="0087772C" w:rsidP="0087772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6E3D8E">
              <w:rPr>
                <w:rFonts w:ascii="Arial" w:hAnsi="Arial" w:cs="Arial"/>
                <w:color w:val="215868" w:themeColor="accent5" w:themeShade="80"/>
                <w:sz w:val="18"/>
                <w:szCs w:val="18"/>
              </w:rPr>
              <w:t>+</w:t>
            </w:r>
            <w:r>
              <w:rPr>
                <w:rFonts w:ascii="Arial" w:hAnsi="Arial" w:cs="Arial"/>
                <w:color w:val="215868" w:themeColor="accent5" w:themeShade="80"/>
                <w:sz w:val="18"/>
                <w:szCs w:val="18"/>
              </w:rPr>
              <w:t>10.1</w:t>
            </w:r>
            <w:r w:rsidRPr="006E3D8E">
              <w:rPr>
                <w:rFonts w:ascii="Arial" w:hAnsi="Arial" w:cs="Arial"/>
                <w:color w:val="215868" w:themeColor="accent5" w:themeShade="80"/>
                <w:sz w:val="18"/>
                <w:szCs w:val="18"/>
              </w:rPr>
              <w:t>%</w:t>
            </w:r>
          </w:p>
        </w:tc>
      </w:tr>
      <w:tr w:rsidR="0087772C" w:rsidRPr="0039690E" w14:paraId="4D8E1BE4" w14:textId="31EEA505" w:rsidTr="0087772C">
        <w:trPr>
          <w:trHeight w:val="232"/>
        </w:trPr>
        <w:tc>
          <w:tcPr>
            <w:cnfStyle w:val="001000000000" w:firstRow="0" w:lastRow="0" w:firstColumn="1" w:lastColumn="0" w:oddVBand="0" w:evenVBand="0" w:oddHBand="0" w:evenHBand="0" w:firstRowFirstColumn="0" w:firstRowLastColumn="0" w:lastRowFirstColumn="0" w:lastRowLastColumn="0"/>
            <w:tcW w:w="3008" w:type="dxa"/>
            <w:vAlign w:val="center"/>
          </w:tcPr>
          <w:p w14:paraId="2877BF02" w14:textId="1B78FEEC" w:rsidR="0087772C" w:rsidRPr="0039690E" w:rsidRDefault="0087772C" w:rsidP="0087772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Party trays</w:t>
            </w:r>
          </w:p>
        </w:tc>
        <w:tc>
          <w:tcPr>
            <w:tcW w:w="1862" w:type="dxa"/>
          </w:tcPr>
          <w:p w14:paraId="14E77AF5" w14:textId="6BD58C32"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147B08">
              <w:rPr>
                <w:rFonts w:ascii="Arial" w:hAnsi="Arial" w:cs="Arial"/>
                <w:color w:val="215868" w:themeColor="accent5" w:themeShade="80"/>
                <w:sz w:val="18"/>
                <w:szCs w:val="18"/>
              </w:rPr>
              <w:t>+$</w:t>
            </w:r>
            <w:r>
              <w:rPr>
                <w:rFonts w:ascii="Arial" w:hAnsi="Arial" w:cs="Arial"/>
                <w:color w:val="215868" w:themeColor="accent5" w:themeShade="80"/>
                <w:sz w:val="18"/>
                <w:szCs w:val="18"/>
              </w:rPr>
              <w:t>10</w:t>
            </w:r>
            <w:r w:rsidRPr="00147B08">
              <w:rPr>
                <w:rFonts w:ascii="Arial" w:hAnsi="Arial" w:cs="Arial"/>
                <w:color w:val="215868" w:themeColor="accent5" w:themeShade="80"/>
                <w:sz w:val="18"/>
                <w:szCs w:val="18"/>
              </w:rPr>
              <w:t>M</w:t>
            </w:r>
          </w:p>
        </w:tc>
        <w:tc>
          <w:tcPr>
            <w:tcW w:w="1863" w:type="dxa"/>
          </w:tcPr>
          <w:p w14:paraId="0F64CA92" w14:textId="006D021F"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026A3D">
              <w:rPr>
                <w:rFonts w:ascii="Arial" w:hAnsi="Arial" w:cs="Arial"/>
                <w:color w:val="215868" w:themeColor="accent5" w:themeShade="80"/>
                <w:sz w:val="18"/>
                <w:szCs w:val="18"/>
              </w:rPr>
              <w:t>+</w:t>
            </w:r>
            <w:r>
              <w:rPr>
                <w:rFonts w:ascii="Arial" w:hAnsi="Arial" w:cs="Arial"/>
                <w:color w:val="215868" w:themeColor="accent5" w:themeShade="80"/>
                <w:sz w:val="18"/>
                <w:szCs w:val="18"/>
              </w:rPr>
              <w:t>66.8</w:t>
            </w:r>
            <w:r w:rsidRPr="00026A3D">
              <w:rPr>
                <w:rFonts w:ascii="Arial" w:hAnsi="Arial" w:cs="Arial"/>
                <w:color w:val="215868" w:themeColor="accent5" w:themeShade="80"/>
                <w:sz w:val="18"/>
                <w:szCs w:val="18"/>
              </w:rPr>
              <w:t>%</w:t>
            </w:r>
          </w:p>
        </w:tc>
        <w:tc>
          <w:tcPr>
            <w:tcW w:w="1862" w:type="dxa"/>
          </w:tcPr>
          <w:p w14:paraId="28BBF40B" w14:textId="5767BB8E" w:rsidR="0087772C" w:rsidRDefault="0087772C" w:rsidP="0087772C">
            <w:pPr>
              <w:jc w:val="right"/>
              <w:cnfStyle w:val="000000000000" w:firstRow="0" w:lastRow="0" w:firstColumn="0" w:lastColumn="0" w:oddVBand="0" w:evenVBand="0" w:oddHBand="0" w:evenHBand="0" w:firstRowFirstColumn="0" w:firstRowLastColumn="0" w:lastRowFirstColumn="0" w:lastRowLastColumn="0"/>
            </w:pPr>
            <w:r w:rsidRPr="00787A07">
              <w:rPr>
                <w:rFonts w:ascii="Arial" w:hAnsi="Arial" w:cs="Arial"/>
                <w:color w:val="215868" w:themeColor="accent5" w:themeShade="80"/>
                <w:sz w:val="18"/>
                <w:szCs w:val="18"/>
              </w:rPr>
              <w:t>$</w:t>
            </w:r>
            <w:r>
              <w:rPr>
                <w:rFonts w:ascii="Arial" w:hAnsi="Arial" w:cs="Arial"/>
                <w:color w:val="215868" w:themeColor="accent5" w:themeShade="80"/>
                <w:sz w:val="18"/>
                <w:szCs w:val="18"/>
              </w:rPr>
              <w:t>26</w:t>
            </w:r>
            <w:r w:rsidRPr="00787A07">
              <w:rPr>
                <w:rFonts w:ascii="Arial" w:hAnsi="Arial" w:cs="Arial"/>
                <w:color w:val="215868" w:themeColor="accent5" w:themeShade="80"/>
                <w:sz w:val="18"/>
                <w:szCs w:val="18"/>
              </w:rPr>
              <w:t>M</w:t>
            </w:r>
          </w:p>
        </w:tc>
        <w:tc>
          <w:tcPr>
            <w:tcW w:w="1863" w:type="dxa"/>
            <w:gridSpan w:val="2"/>
          </w:tcPr>
          <w:p w14:paraId="2B3D7BD2" w14:textId="32C5FB94" w:rsidR="0087772C" w:rsidRPr="00787A07" w:rsidRDefault="0087772C" w:rsidP="0087772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sidRPr="006E3D8E">
              <w:rPr>
                <w:rFonts w:ascii="Arial" w:hAnsi="Arial" w:cs="Arial"/>
                <w:color w:val="215868" w:themeColor="accent5" w:themeShade="80"/>
                <w:sz w:val="18"/>
                <w:szCs w:val="18"/>
              </w:rPr>
              <w:t>+</w:t>
            </w:r>
            <w:r>
              <w:rPr>
                <w:rFonts w:ascii="Arial" w:hAnsi="Arial" w:cs="Arial"/>
                <w:color w:val="215868" w:themeColor="accent5" w:themeShade="80"/>
                <w:sz w:val="18"/>
                <w:szCs w:val="18"/>
              </w:rPr>
              <w:t>22.6</w:t>
            </w:r>
            <w:r w:rsidRPr="006E3D8E">
              <w:rPr>
                <w:rFonts w:ascii="Arial" w:hAnsi="Arial" w:cs="Arial"/>
                <w:color w:val="215868" w:themeColor="accent5" w:themeShade="80"/>
                <w:sz w:val="18"/>
                <w:szCs w:val="18"/>
              </w:rPr>
              <w:t>%</w:t>
            </w:r>
          </w:p>
        </w:tc>
      </w:tr>
      <w:tr w:rsidR="0087772C" w:rsidRPr="0039690E" w14:paraId="436655C8" w14:textId="70C3FA4F" w:rsidTr="0087772C">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008" w:type="dxa"/>
            <w:tcBorders>
              <w:left w:val="none" w:sz="0" w:space="0" w:color="auto"/>
              <w:right w:val="none" w:sz="0" w:space="0" w:color="auto"/>
            </w:tcBorders>
            <w:vAlign w:val="center"/>
          </w:tcPr>
          <w:p w14:paraId="5FD0E81F" w14:textId="40ACEE10" w:rsidR="0087772C" w:rsidRPr="0039690E" w:rsidRDefault="0087772C" w:rsidP="0087772C">
            <w:pPr>
              <w:jc w:val="right"/>
              <w:rPr>
                <w:rFonts w:ascii="Arial" w:hAnsi="Arial" w:cs="Arial"/>
                <w:b w:val="0"/>
                <w:color w:val="215868" w:themeColor="accent5" w:themeShade="80"/>
                <w:sz w:val="18"/>
                <w:szCs w:val="18"/>
              </w:rPr>
            </w:pPr>
            <w:r>
              <w:rPr>
                <w:rFonts w:ascii="Arial" w:hAnsi="Arial" w:cs="Arial"/>
                <w:b w:val="0"/>
                <w:color w:val="215868" w:themeColor="accent5" w:themeShade="80"/>
                <w:sz w:val="18"/>
                <w:szCs w:val="18"/>
              </w:rPr>
              <w:t>Lettuce</w:t>
            </w:r>
          </w:p>
        </w:tc>
        <w:tc>
          <w:tcPr>
            <w:tcW w:w="1862" w:type="dxa"/>
            <w:tcBorders>
              <w:left w:val="none" w:sz="0" w:space="0" w:color="auto"/>
              <w:right w:val="none" w:sz="0" w:space="0" w:color="auto"/>
            </w:tcBorders>
          </w:tcPr>
          <w:p w14:paraId="6C65D57C" w14:textId="7A705053"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147B08">
              <w:rPr>
                <w:rFonts w:ascii="Arial" w:hAnsi="Arial" w:cs="Arial"/>
                <w:color w:val="215868" w:themeColor="accent5" w:themeShade="80"/>
                <w:sz w:val="18"/>
                <w:szCs w:val="18"/>
              </w:rPr>
              <w:t>+$</w:t>
            </w:r>
            <w:r>
              <w:rPr>
                <w:rFonts w:ascii="Arial" w:hAnsi="Arial" w:cs="Arial"/>
                <w:color w:val="215868" w:themeColor="accent5" w:themeShade="80"/>
                <w:sz w:val="18"/>
                <w:szCs w:val="18"/>
              </w:rPr>
              <w:t>9</w:t>
            </w:r>
            <w:r w:rsidRPr="00147B08">
              <w:rPr>
                <w:rFonts w:ascii="Arial" w:hAnsi="Arial" w:cs="Arial"/>
                <w:color w:val="215868" w:themeColor="accent5" w:themeShade="80"/>
                <w:sz w:val="18"/>
                <w:szCs w:val="18"/>
              </w:rPr>
              <w:t>M</w:t>
            </w:r>
          </w:p>
        </w:tc>
        <w:tc>
          <w:tcPr>
            <w:tcW w:w="1863" w:type="dxa"/>
            <w:tcBorders>
              <w:left w:val="none" w:sz="0" w:space="0" w:color="auto"/>
              <w:right w:val="none" w:sz="0" w:space="0" w:color="auto"/>
            </w:tcBorders>
          </w:tcPr>
          <w:p w14:paraId="19BBE94A" w14:textId="671A9180"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026A3D">
              <w:rPr>
                <w:rFonts w:ascii="Arial" w:hAnsi="Arial" w:cs="Arial"/>
                <w:color w:val="215868" w:themeColor="accent5" w:themeShade="80"/>
                <w:sz w:val="18"/>
                <w:szCs w:val="18"/>
              </w:rPr>
              <w:t>+</w:t>
            </w:r>
            <w:r>
              <w:rPr>
                <w:rFonts w:ascii="Arial" w:hAnsi="Arial" w:cs="Arial"/>
                <w:color w:val="215868" w:themeColor="accent5" w:themeShade="80"/>
                <w:sz w:val="18"/>
                <w:szCs w:val="18"/>
              </w:rPr>
              <w:t>4.8</w:t>
            </w:r>
            <w:r w:rsidRPr="00026A3D">
              <w:rPr>
                <w:rFonts w:ascii="Arial" w:hAnsi="Arial" w:cs="Arial"/>
                <w:color w:val="215868" w:themeColor="accent5" w:themeShade="80"/>
                <w:sz w:val="18"/>
                <w:szCs w:val="18"/>
              </w:rPr>
              <w:t>%</w:t>
            </w:r>
          </w:p>
        </w:tc>
        <w:tc>
          <w:tcPr>
            <w:tcW w:w="1862" w:type="dxa"/>
            <w:tcBorders>
              <w:left w:val="none" w:sz="0" w:space="0" w:color="auto"/>
              <w:right w:val="none" w:sz="0" w:space="0" w:color="auto"/>
            </w:tcBorders>
          </w:tcPr>
          <w:p w14:paraId="58F17D72" w14:textId="5556E15C" w:rsidR="0087772C" w:rsidRDefault="0087772C" w:rsidP="0087772C">
            <w:pPr>
              <w:jc w:val="right"/>
              <w:cnfStyle w:val="000000100000" w:firstRow="0" w:lastRow="0" w:firstColumn="0" w:lastColumn="0" w:oddVBand="0" w:evenVBand="0" w:oddHBand="1" w:evenHBand="0" w:firstRowFirstColumn="0" w:firstRowLastColumn="0" w:lastRowFirstColumn="0" w:lastRowLastColumn="0"/>
            </w:pPr>
            <w:r w:rsidRPr="00787A07">
              <w:rPr>
                <w:rFonts w:ascii="Arial" w:hAnsi="Arial" w:cs="Arial"/>
                <w:color w:val="215868" w:themeColor="accent5" w:themeShade="80"/>
                <w:sz w:val="18"/>
                <w:szCs w:val="18"/>
              </w:rPr>
              <w:t>$</w:t>
            </w:r>
            <w:r>
              <w:rPr>
                <w:rFonts w:ascii="Arial" w:hAnsi="Arial" w:cs="Arial"/>
                <w:color w:val="215868" w:themeColor="accent5" w:themeShade="80"/>
                <w:sz w:val="18"/>
                <w:szCs w:val="18"/>
              </w:rPr>
              <w:t>206</w:t>
            </w:r>
            <w:r w:rsidRPr="00787A07">
              <w:rPr>
                <w:rFonts w:ascii="Arial" w:hAnsi="Arial" w:cs="Arial"/>
                <w:color w:val="215868" w:themeColor="accent5" w:themeShade="80"/>
                <w:sz w:val="18"/>
                <w:szCs w:val="18"/>
              </w:rPr>
              <w:t>M</w:t>
            </w:r>
          </w:p>
        </w:tc>
        <w:tc>
          <w:tcPr>
            <w:tcW w:w="1863" w:type="dxa"/>
            <w:gridSpan w:val="2"/>
            <w:tcBorders>
              <w:left w:val="none" w:sz="0" w:space="0" w:color="auto"/>
              <w:right w:val="none" w:sz="0" w:space="0" w:color="auto"/>
            </w:tcBorders>
          </w:tcPr>
          <w:p w14:paraId="29668C6E" w14:textId="33275C8E" w:rsidR="0087772C" w:rsidRPr="00787A07" w:rsidRDefault="0087772C" w:rsidP="0087772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sidRPr="006E3D8E">
              <w:rPr>
                <w:rFonts w:ascii="Arial" w:hAnsi="Arial" w:cs="Arial"/>
                <w:color w:val="215868" w:themeColor="accent5" w:themeShade="80"/>
                <w:sz w:val="18"/>
                <w:szCs w:val="18"/>
              </w:rPr>
              <w:t>+</w:t>
            </w:r>
            <w:r>
              <w:rPr>
                <w:rFonts w:ascii="Arial" w:hAnsi="Arial" w:cs="Arial"/>
                <w:color w:val="215868" w:themeColor="accent5" w:themeShade="80"/>
                <w:sz w:val="18"/>
                <w:szCs w:val="18"/>
              </w:rPr>
              <w:t>10.1</w:t>
            </w:r>
            <w:r w:rsidRPr="006E3D8E">
              <w:rPr>
                <w:rFonts w:ascii="Arial" w:hAnsi="Arial" w:cs="Arial"/>
                <w:color w:val="215868" w:themeColor="accent5" w:themeShade="80"/>
                <w:sz w:val="18"/>
                <w:szCs w:val="18"/>
              </w:rPr>
              <w:t>%</w:t>
            </w:r>
          </w:p>
        </w:tc>
      </w:tr>
    </w:tbl>
    <w:p w14:paraId="47F5AB8D" w14:textId="1F152F91" w:rsidR="009E5261" w:rsidRPr="00E62AA9" w:rsidRDefault="009E5261" w:rsidP="009E5261">
      <w:pPr>
        <w:pStyle w:val="NoSpacing"/>
        <w:rPr>
          <w:rFonts w:ascii="Arial" w:hAnsi="Arial" w:cs="Arial"/>
          <w:sz w:val="6"/>
          <w:szCs w:val="6"/>
        </w:rPr>
      </w:pPr>
    </w:p>
    <w:p w14:paraId="78DC662D" w14:textId="0ED9EBD4" w:rsidR="00D97697" w:rsidRDefault="009E5261" w:rsidP="001024F6">
      <w:pPr>
        <w:pStyle w:val="NoSpacing"/>
        <w:rPr>
          <w:rFonts w:ascii="Arial" w:hAnsi="Arial" w:cs="Arial"/>
          <w:b/>
          <w:color w:val="595959" w:themeColor="text1" w:themeTint="A6"/>
          <w:sz w:val="24"/>
          <w:szCs w:val="24"/>
        </w:rPr>
      </w:pPr>
      <w:r w:rsidRPr="00B35CE9">
        <w:rPr>
          <w:rFonts w:ascii="Arial" w:hAnsi="Arial" w:cs="Arial"/>
          <w:sz w:val="16"/>
          <w:szCs w:val="16"/>
        </w:rPr>
        <w:t>Source</w:t>
      </w:r>
      <w:r>
        <w:rPr>
          <w:rFonts w:ascii="Arial" w:hAnsi="Arial" w:cs="Arial"/>
          <w:sz w:val="16"/>
          <w:szCs w:val="16"/>
        </w:rPr>
        <w:t>: IRI Integrated Fresh, Total U.S., MULO</w:t>
      </w:r>
    </w:p>
    <w:p w14:paraId="3A48BF97" w14:textId="77777777" w:rsidR="00A225C7" w:rsidRPr="00D66F5A" w:rsidRDefault="00A225C7" w:rsidP="001024F6">
      <w:pPr>
        <w:pStyle w:val="NoSpacing"/>
        <w:rPr>
          <w:rFonts w:ascii="Arial" w:hAnsi="Arial" w:cs="Arial"/>
          <w:b/>
          <w:color w:val="595959" w:themeColor="text1" w:themeTint="A6"/>
          <w:sz w:val="32"/>
          <w:szCs w:val="32"/>
        </w:rPr>
      </w:pPr>
    </w:p>
    <w:p w14:paraId="13EAC56C" w14:textId="77777777" w:rsidR="001024F6" w:rsidRPr="009172A3" w:rsidRDefault="004D26B3" w:rsidP="001024F6">
      <w:pPr>
        <w:pStyle w:val="NoSpacing"/>
        <w:rPr>
          <w:rFonts w:ascii="Arial" w:hAnsi="Arial" w:cs="Arial"/>
          <w:b/>
          <w:color w:val="595959" w:themeColor="text1" w:themeTint="A6"/>
          <w:sz w:val="24"/>
          <w:szCs w:val="24"/>
        </w:rPr>
      </w:pPr>
      <w:r>
        <w:rPr>
          <w:rFonts w:ascii="Arial" w:hAnsi="Arial" w:cs="Arial"/>
          <w:b/>
          <w:color w:val="595959" w:themeColor="text1" w:themeTint="A6"/>
          <w:sz w:val="24"/>
          <w:szCs w:val="24"/>
        </w:rPr>
        <w:t xml:space="preserve">Perishables </w:t>
      </w:r>
      <w:r w:rsidR="001024F6">
        <w:rPr>
          <w:rFonts w:ascii="Arial" w:hAnsi="Arial" w:cs="Arial"/>
          <w:b/>
          <w:color w:val="595959" w:themeColor="text1" w:themeTint="A6"/>
          <w:sz w:val="24"/>
          <w:szCs w:val="24"/>
        </w:rPr>
        <w:t>P</w:t>
      </w:r>
      <w:r w:rsidR="001024F6" w:rsidRPr="009172A3">
        <w:rPr>
          <w:rFonts w:ascii="Arial" w:hAnsi="Arial" w:cs="Arial"/>
          <w:b/>
          <w:color w:val="595959" w:themeColor="text1" w:themeTint="A6"/>
          <w:sz w:val="24"/>
          <w:szCs w:val="24"/>
        </w:rPr>
        <w:t>erformance</w:t>
      </w:r>
    </w:p>
    <w:p w14:paraId="30A4713D" w14:textId="43B4D2F1" w:rsidR="001024F6" w:rsidRDefault="001024F6" w:rsidP="001024F6">
      <w:pPr>
        <w:pStyle w:val="NoSpacing"/>
        <w:rPr>
          <w:rFonts w:ascii="Arial" w:hAnsi="Arial" w:cs="Arial"/>
          <w:sz w:val="20"/>
          <w:szCs w:val="20"/>
        </w:rPr>
      </w:pPr>
      <w:r>
        <w:rPr>
          <w:rFonts w:ascii="Arial" w:hAnsi="Arial" w:cs="Arial"/>
          <w:sz w:val="20"/>
          <w:szCs w:val="20"/>
        </w:rPr>
        <w:t xml:space="preserve">A look across fresh foods departments for the </w:t>
      </w:r>
      <w:r w:rsidR="00393357">
        <w:rPr>
          <w:rFonts w:ascii="Arial" w:hAnsi="Arial" w:cs="Arial"/>
          <w:sz w:val="20"/>
          <w:szCs w:val="20"/>
        </w:rPr>
        <w:t xml:space="preserve">four </w:t>
      </w:r>
      <w:r w:rsidR="00615446">
        <w:rPr>
          <w:rFonts w:ascii="Arial" w:hAnsi="Arial" w:cs="Arial"/>
          <w:sz w:val="20"/>
          <w:szCs w:val="20"/>
        </w:rPr>
        <w:t xml:space="preserve">December </w:t>
      </w:r>
      <w:r w:rsidR="004D26B3">
        <w:rPr>
          <w:rFonts w:ascii="Arial" w:hAnsi="Arial" w:cs="Arial"/>
          <w:sz w:val="20"/>
          <w:szCs w:val="20"/>
        </w:rPr>
        <w:t>weeks</w:t>
      </w:r>
      <w:r>
        <w:rPr>
          <w:rFonts w:ascii="Arial" w:hAnsi="Arial" w:cs="Arial"/>
          <w:sz w:val="20"/>
          <w:szCs w:val="20"/>
        </w:rPr>
        <w:t xml:space="preserve"> shows </w:t>
      </w:r>
      <w:r w:rsidR="008B05F8">
        <w:rPr>
          <w:rFonts w:ascii="Arial" w:hAnsi="Arial" w:cs="Arial"/>
          <w:sz w:val="20"/>
          <w:szCs w:val="20"/>
        </w:rPr>
        <w:t>perimeter strength</w:t>
      </w:r>
      <w:r>
        <w:rPr>
          <w:rFonts w:ascii="Arial" w:hAnsi="Arial" w:cs="Arial"/>
          <w:sz w:val="20"/>
          <w:szCs w:val="20"/>
        </w:rPr>
        <w:t>.</w:t>
      </w:r>
      <w:r w:rsidR="008B05F8">
        <w:rPr>
          <w:rFonts w:ascii="Arial" w:hAnsi="Arial" w:cs="Arial"/>
          <w:sz w:val="20"/>
          <w:szCs w:val="20"/>
        </w:rPr>
        <w:t xml:space="preserve"> All</w:t>
      </w:r>
      <w:r w:rsidR="000166DA">
        <w:rPr>
          <w:rFonts w:ascii="Arial" w:hAnsi="Arial" w:cs="Arial"/>
          <w:sz w:val="20"/>
          <w:szCs w:val="20"/>
        </w:rPr>
        <w:t xml:space="preserve"> department</w:t>
      </w:r>
      <w:r w:rsidR="00C620F5">
        <w:rPr>
          <w:rFonts w:ascii="Arial" w:hAnsi="Arial" w:cs="Arial"/>
          <w:sz w:val="20"/>
          <w:szCs w:val="20"/>
        </w:rPr>
        <w:t>s, with the exception of seafood,</w:t>
      </w:r>
      <w:r w:rsidR="008B05F8">
        <w:rPr>
          <w:rFonts w:ascii="Arial" w:hAnsi="Arial" w:cs="Arial"/>
          <w:sz w:val="20"/>
          <w:szCs w:val="20"/>
        </w:rPr>
        <w:t xml:space="preserve"> gained year-over-year, with the highest increases going to deli. </w:t>
      </w:r>
      <w:r w:rsidR="000166DA">
        <w:rPr>
          <w:rFonts w:ascii="Arial" w:hAnsi="Arial" w:cs="Arial"/>
          <w:sz w:val="20"/>
          <w:szCs w:val="20"/>
        </w:rPr>
        <w:t>Seafood is significantly smaller than the other fresh departments</w:t>
      </w:r>
      <w:r w:rsidR="00C620F5">
        <w:rPr>
          <w:rFonts w:ascii="Arial" w:hAnsi="Arial" w:cs="Arial"/>
          <w:sz w:val="20"/>
          <w:szCs w:val="20"/>
        </w:rPr>
        <w:t xml:space="preserve"> and deli sales overtook bakery sales this month</w:t>
      </w:r>
      <w:r w:rsidR="000166DA">
        <w:rPr>
          <w:rFonts w:ascii="Arial" w:hAnsi="Arial" w:cs="Arial"/>
          <w:sz w:val="20"/>
          <w:szCs w:val="20"/>
        </w:rPr>
        <w:t xml:space="preserve">. </w:t>
      </w:r>
      <w:r>
        <w:rPr>
          <w:rFonts w:ascii="Arial" w:hAnsi="Arial" w:cs="Arial"/>
          <w:sz w:val="20"/>
          <w:szCs w:val="20"/>
        </w:rPr>
        <w:t xml:space="preserve"> </w:t>
      </w:r>
    </w:p>
    <w:p w14:paraId="2F99030F" w14:textId="77777777" w:rsidR="001024F6" w:rsidRDefault="001024F6" w:rsidP="001024F6">
      <w:pPr>
        <w:pStyle w:val="NoSpacing"/>
        <w:rPr>
          <w:rFonts w:ascii="Arial" w:hAnsi="Arial" w:cs="Arial"/>
          <w:sz w:val="20"/>
          <w:szCs w:val="20"/>
        </w:rPr>
      </w:pPr>
    </w:p>
    <w:tbl>
      <w:tblPr>
        <w:tblStyle w:val="LightShading-Accent5"/>
        <w:tblW w:w="10512" w:type="dxa"/>
        <w:tblInd w:w="108" w:type="dxa"/>
        <w:tblBorders>
          <w:top w:val="none" w:sz="0" w:space="0" w:color="auto"/>
          <w:bottom w:val="none" w:sz="0" w:space="0" w:color="auto"/>
        </w:tblBorders>
        <w:tblLook w:val="04A0" w:firstRow="1" w:lastRow="0" w:firstColumn="1" w:lastColumn="0" w:noHBand="0" w:noVBand="1"/>
      </w:tblPr>
      <w:tblGrid>
        <w:gridCol w:w="3150"/>
        <w:gridCol w:w="2052"/>
        <w:gridCol w:w="2655"/>
        <w:gridCol w:w="2655"/>
      </w:tblGrid>
      <w:tr w:rsidR="001024F6" w:rsidRPr="00B265F0" w14:paraId="51C76FEC" w14:textId="77777777" w:rsidTr="00D66F5A">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50"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1C171E62" w14:textId="77777777" w:rsidR="001024F6" w:rsidRPr="00B265F0" w:rsidRDefault="00E623A4" w:rsidP="00042FD2">
            <w:pPr>
              <w:pStyle w:val="NoSpacing"/>
              <w:rPr>
                <w:rFonts w:ascii="Arial" w:hAnsi="Arial" w:cs="Arial"/>
                <w:color w:val="FFFFFF" w:themeColor="background1"/>
                <w:sz w:val="18"/>
                <w:szCs w:val="20"/>
              </w:rPr>
            </w:pPr>
            <w:r>
              <w:rPr>
                <w:rFonts w:ascii="Arial" w:hAnsi="Arial" w:cs="Arial"/>
                <w:color w:val="FFFFFF" w:themeColor="background1"/>
                <w:sz w:val="18"/>
                <w:szCs w:val="20"/>
              </w:rPr>
              <w:t>Dece</w:t>
            </w:r>
            <w:r w:rsidR="00B51D47">
              <w:rPr>
                <w:rFonts w:ascii="Arial" w:hAnsi="Arial" w:cs="Arial"/>
                <w:color w:val="FFFFFF" w:themeColor="background1"/>
                <w:sz w:val="18"/>
                <w:szCs w:val="20"/>
              </w:rPr>
              <w:t>m</w:t>
            </w:r>
            <w:r w:rsidR="00CB06C1">
              <w:rPr>
                <w:rFonts w:ascii="Arial" w:hAnsi="Arial" w:cs="Arial"/>
                <w:color w:val="FFFFFF" w:themeColor="background1"/>
                <w:sz w:val="18"/>
                <w:szCs w:val="20"/>
              </w:rPr>
              <w:t>ber</w:t>
            </w:r>
            <w:r w:rsidR="00335BB3">
              <w:rPr>
                <w:rFonts w:ascii="Arial" w:hAnsi="Arial" w:cs="Arial"/>
                <w:color w:val="FFFFFF" w:themeColor="background1"/>
                <w:sz w:val="18"/>
                <w:szCs w:val="20"/>
              </w:rPr>
              <w:t xml:space="preserve"> 2021 </w:t>
            </w:r>
          </w:p>
        </w:tc>
        <w:tc>
          <w:tcPr>
            <w:tcW w:w="2052"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3DF55777" w14:textId="77777777" w:rsidR="001024F6" w:rsidRPr="00B265F0" w:rsidRDefault="001024F6"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Pr>
                <w:rFonts w:ascii="Arial" w:hAnsi="Arial" w:cs="Arial"/>
                <w:color w:val="FFFFFF" w:themeColor="background1"/>
                <w:sz w:val="18"/>
                <w:szCs w:val="20"/>
              </w:rPr>
              <w:t xml:space="preserve">$ </w:t>
            </w:r>
            <w:r>
              <w:rPr>
                <w:rFonts w:ascii="Arial" w:hAnsi="Arial" w:cs="Arial"/>
                <w:color w:val="FFFFFF" w:themeColor="background1"/>
                <w:sz w:val="18"/>
                <w:szCs w:val="20"/>
              </w:rPr>
              <w:br/>
              <w:t>sales</w:t>
            </w:r>
          </w:p>
        </w:tc>
        <w:tc>
          <w:tcPr>
            <w:tcW w:w="2655"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08293D1C" w14:textId="77777777" w:rsidR="001024F6" w:rsidRPr="00B265F0" w:rsidRDefault="001024F6"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 xml:space="preserve">Dollar sales gains </w:t>
            </w:r>
            <w:r w:rsidR="00CD176C">
              <w:rPr>
                <w:rFonts w:ascii="Arial" w:hAnsi="Arial" w:cs="Arial"/>
                <w:color w:val="FFFFFF" w:themeColor="background1"/>
                <w:sz w:val="18"/>
                <w:szCs w:val="20"/>
              </w:rPr>
              <w:br/>
            </w:r>
            <w:r w:rsidRPr="00B265F0">
              <w:rPr>
                <w:rFonts w:ascii="Arial" w:hAnsi="Arial" w:cs="Arial"/>
                <w:color w:val="FFFFFF" w:themeColor="background1"/>
                <w:sz w:val="18"/>
                <w:szCs w:val="20"/>
              </w:rPr>
              <w:t>v</w:t>
            </w:r>
            <w:r>
              <w:rPr>
                <w:rFonts w:ascii="Arial" w:hAnsi="Arial" w:cs="Arial"/>
                <w:color w:val="FFFFFF" w:themeColor="background1"/>
                <w:sz w:val="18"/>
                <w:szCs w:val="20"/>
              </w:rPr>
              <w:t>s. 20</w:t>
            </w:r>
            <w:r w:rsidR="004D26B3">
              <w:rPr>
                <w:rFonts w:ascii="Arial" w:hAnsi="Arial" w:cs="Arial"/>
                <w:color w:val="FFFFFF" w:themeColor="background1"/>
                <w:sz w:val="18"/>
                <w:szCs w:val="20"/>
              </w:rPr>
              <w:t>20</w:t>
            </w:r>
          </w:p>
        </w:tc>
        <w:tc>
          <w:tcPr>
            <w:tcW w:w="2655" w:type="dxa"/>
            <w:tcBorders>
              <w:top w:val="none" w:sz="0" w:space="0" w:color="auto"/>
              <w:left w:val="none" w:sz="0" w:space="0" w:color="auto"/>
              <w:bottom w:val="none" w:sz="0" w:space="0" w:color="auto"/>
              <w:right w:val="none" w:sz="0" w:space="0" w:color="auto"/>
            </w:tcBorders>
            <w:shd w:val="clear" w:color="auto" w:fill="17365D" w:themeFill="text2" w:themeFillShade="BF"/>
            <w:vAlign w:val="bottom"/>
          </w:tcPr>
          <w:p w14:paraId="311A1C96" w14:textId="77777777" w:rsidR="001024F6" w:rsidRPr="00B265F0" w:rsidRDefault="001024F6" w:rsidP="00042FD2">
            <w:pPr>
              <w:pStyle w:val="NoSpacing"/>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20"/>
              </w:rPr>
            </w:pPr>
            <w:r w:rsidRPr="00B265F0">
              <w:rPr>
                <w:rFonts w:ascii="Arial" w:hAnsi="Arial" w:cs="Arial"/>
                <w:color w:val="FFFFFF" w:themeColor="background1"/>
                <w:sz w:val="18"/>
                <w:szCs w:val="20"/>
              </w:rPr>
              <w:t xml:space="preserve">Dollar sales gains </w:t>
            </w:r>
            <w:r w:rsidR="00CD176C">
              <w:rPr>
                <w:rFonts w:ascii="Arial" w:hAnsi="Arial" w:cs="Arial"/>
                <w:color w:val="FFFFFF" w:themeColor="background1"/>
                <w:sz w:val="18"/>
                <w:szCs w:val="20"/>
              </w:rPr>
              <w:br/>
            </w:r>
            <w:r w:rsidRPr="00B265F0">
              <w:rPr>
                <w:rFonts w:ascii="Arial" w:hAnsi="Arial" w:cs="Arial"/>
                <w:color w:val="FFFFFF" w:themeColor="background1"/>
                <w:sz w:val="18"/>
                <w:szCs w:val="20"/>
              </w:rPr>
              <w:t>v</w:t>
            </w:r>
            <w:r>
              <w:rPr>
                <w:rFonts w:ascii="Arial" w:hAnsi="Arial" w:cs="Arial"/>
                <w:color w:val="FFFFFF" w:themeColor="background1"/>
                <w:sz w:val="18"/>
                <w:szCs w:val="20"/>
              </w:rPr>
              <w:t>s. 20</w:t>
            </w:r>
            <w:r w:rsidR="004D26B3">
              <w:rPr>
                <w:rFonts w:ascii="Arial" w:hAnsi="Arial" w:cs="Arial"/>
                <w:color w:val="FFFFFF" w:themeColor="background1"/>
                <w:sz w:val="18"/>
                <w:szCs w:val="20"/>
              </w:rPr>
              <w:t>19</w:t>
            </w:r>
          </w:p>
        </w:tc>
      </w:tr>
      <w:tr w:rsidR="00C620F5" w:rsidRPr="00E43E81" w14:paraId="5123C6F7" w14:textId="77777777" w:rsidTr="00D66F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50" w:type="dxa"/>
          </w:tcPr>
          <w:p w14:paraId="6B1D8ADF" w14:textId="77777777" w:rsidR="00C620F5" w:rsidRDefault="00C620F5" w:rsidP="00C620F5">
            <w:pPr>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Total perishables</w:t>
            </w:r>
          </w:p>
        </w:tc>
        <w:tc>
          <w:tcPr>
            <w:tcW w:w="2052" w:type="dxa"/>
          </w:tcPr>
          <w:p w14:paraId="67657A8E" w14:textId="0D59FC6B" w:rsidR="00C620F5" w:rsidRDefault="00C620F5" w:rsidP="00C620F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25.3</w:t>
            </w:r>
            <w:r w:rsidRPr="002F5F30">
              <w:rPr>
                <w:rFonts w:ascii="Arial" w:eastAsia="Times New Roman" w:hAnsi="Arial" w:cs="Arial"/>
                <w:color w:val="215868" w:themeColor="accent5" w:themeShade="80"/>
                <w:sz w:val="18"/>
                <w:szCs w:val="18"/>
              </w:rPr>
              <w:t>B</w:t>
            </w:r>
          </w:p>
        </w:tc>
        <w:tc>
          <w:tcPr>
            <w:tcW w:w="2655" w:type="dxa"/>
          </w:tcPr>
          <w:p w14:paraId="3B1B8901" w14:textId="4F8F41C5" w:rsidR="00C620F5" w:rsidRPr="00E43E81" w:rsidRDefault="00B51D47" w:rsidP="00C620F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6.6</w:t>
            </w:r>
            <w:r w:rsidR="00C620F5" w:rsidRPr="002F5F30">
              <w:rPr>
                <w:rFonts w:ascii="Arial" w:eastAsia="Times New Roman" w:hAnsi="Arial" w:cs="Arial"/>
                <w:color w:val="215868" w:themeColor="accent5" w:themeShade="80"/>
                <w:sz w:val="18"/>
                <w:szCs w:val="18"/>
              </w:rPr>
              <w:t>%</w:t>
            </w:r>
          </w:p>
        </w:tc>
        <w:tc>
          <w:tcPr>
            <w:tcW w:w="2655" w:type="dxa"/>
          </w:tcPr>
          <w:p w14:paraId="2A63C906" w14:textId="66F73449" w:rsidR="00C620F5" w:rsidRDefault="00C620F5" w:rsidP="00C620F5">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sidRPr="002F5F30">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17.5</w:t>
            </w:r>
            <w:r w:rsidRPr="002F5F30">
              <w:rPr>
                <w:rFonts w:ascii="Arial" w:eastAsia="Times New Roman" w:hAnsi="Arial" w:cs="Arial"/>
                <w:color w:val="215868" w:themeColor="accent5" w:themeShade="80"/>
                <w:sz w:val="18"/>
                <w:szCs w:val="18"/>
              </w:rPr>
              <w:t>%</w:t>
            </w:r>
          </w:p>
        </w:tc>
      </w:tr>
      <w:tr w:rsidR="00C620F5" w:rsidRPr="00E43E81" w14:paraId="48F1D233" w14:textId="77777777" w:rsidTr="00D66F5A">
        <w:trPr>
          <w:trHeight w:val="227"/>
        </w:trPr>
        <w:tc>
          <w:tcPr>
            <w:cnfStyle w:val="001000000000" w:firstRow="0" w:lastRow="0" w:firstColumn="1" w:lastColumn="0" w:oddVBand="0" w:evenVBand="0" w:oddHBand="0" w:evenHBand="0" w:firstRowFirstColumn="0" w:firstRowLastColumn="0" w:lastRowFirstColumn="0" w:lastRowLastColumn="0"/>
            <w:tcW w:w="3150" w:type="dxa"/>
          </w:tcPr>
          <w:p w14:paraId="6494DF20" w14:textId="77777777" w:rsidR="00C620F5" w:rsidRPr="00E43E81" w:rsidRDefault="00C620F5" w:rsidP="00E623A4">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Meat</w:t>
            </w:r>
          </w:p>
        </w:tc>
        <w:tc>
          <w:tcPr>
            <w:tcW w:w="2052" w:type="dxa"/>
          </w:tcPr>
          <w:p w14:paraId="3E40AFF5" w14:textId="2583ED40" w:rsidR="00C620F5" w:rsidRDefault="00C620F5" w:rsidP="00E623A4">
            <w:pPr>
              <w:jc w:val="right"/>
              <w:cnfStyle w:val="000000000000" w:firstRow="0" w:lastRow="0" w:firstColumn="0" w:lastColumn="0" w:oddVBand="0" w:evenVBand="0" w:oddHBand="0"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6.9</w:t>
            </w:r>
            <w:r w:rsidRPr="00EE08B3">
              <w:rPr>
                <w:rFonts w:ascii="Arial" w:eastAsia="Times New Roman" w:hAnsi="Arial" w:cs="Arial"/>
                <w:color w:val="215868" w:themeColor="accent5" w:themeShade="80"/>
                <w:sz w:val="18"/>
                <w:szCs w:val="18"/>
              </w:rPr>
              <w:t>B</w:t>
            </w:r>
          </w:p>
        </w:tc>
        <w:tc>
          <w:tcPr>
            <w:tcW w:w="2655" w:type="dxa"/>
          </w:tcPr>
          <w:p w14:paraId="52AB21F8" w14:textId="178BB8A9" w:rsidR="00C620F5" w:rsidRDefault="00B51D47" w:rsidP="00E623A4">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6.7</w:t>
            </w:r>
            <w:r w:rsidR="00C620F5" w:rsidRPr="00507359">
              <w:rPr>
                <w:rFonts w:ascii="Arial" w:eastAsia="Times New Roman" w:hAnsi="Arial" w:cs="Arial"/>
                <w:color w:val="215868" w:themeColor="accent5" w:themeShade="80"/>
                <w:sz w:val="18"/>
                <w:szCs w:val="18"/>
              </w:rPr>
              <w:t>%</w:t>
            </w:r>
          </w:p>
        </w:tc>
        <w:tc>
          <w:tcPr>
            <w:tcW w:w="2655" w:type="dxa"/>
          </w:tcPr>
          <w:p w14:paraId="0A430A61" w14:textId="52084917" w:rsidR="00C620F5" w:rsidRPr="00E43E81" w:rsidRDefault="00B51D47" w:rsidP="00E623A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22.4</w:t>
            </w:r>
            <w:r w:rsidR="00C620F5" w:rsidRPr="00E43E81">
              <w:rPr>
                <w:rFonts w:ascii="Arial" w:eastAsia="Times New Roman" w:hAnsi="Arial" w:cs="Arial"/>
                <w:color w:val="215868" w:themeColor="accent5" w:themeShade="80"/>
                <w:sz w:val="18"/>
                <w:szCs w:val="18"/>
              </w:rPr>
              <w:t>%</w:t>
            </w:r>
          </w:p>
        </w:tc>
      </w:tr>
      <w:tr w:rsidR="00C620F5" w:rsidRPr="00E43E81" w14:paraId="238FEB62" w14:textId="77777777" w:rsidTr="00D66F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50" w:type="dxa"/>
          </w:tcPr>
          <w:p w14:paraId="0019D9C1" w14:textId="77777777" w:rsidR="00C620F5" w:rsidRDefault="00C620F5" w:rsidP="00E623A4">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Refrigerated (including dairy)</w:t>
            </w:r>
          </w:p>
        </w:tc>
        <w:tc>
          <w:tcPr>
            <w:tcW w:w="2052" w:type="dxa"/>
          </w:tcPr>
          <w:p w14:paraId="7AC371D0" w14:textId="0045F852" w:rsidR="00C620F5" w:rsidRDefault="00C620F5" w:rsidP="00E623A4">
            <w:pPr>
              <w:jc w:val="right"/>
              <w:cnfStyle w:val="000000100000" w:firstRow="0" w:lastRow="0" w:firstColumn="0" w:lastColumn="0" w:oddVBand="0" w:evenVBand="0" w:oddHBand="1"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6.3</w:t>
            </w:r>
            <w:r w:rsidRPr="00EE08B3">
              <w:rPr>
                <w:rFonts w:ascii="Arial" w:eastAsia="Times New Roman" w:hAnsi="Arial" w:cs="Arial"/>
                <w:color w:val="215868" w:themeColor="accent5" w:themeShade="80"/>
                <w:sz w:val="18"/>
                <w:szCs w:val="18"/>
              </w:rPr>
              <w:t>B</w:t>
            </w:r>
          </w:p>
        </w:tc>
        <w:tc>
          <w:tcPr>
            <w:tcW w:w="2655" w:type="dxa"/>
          </w:tcPr>
          <w:p w14:paraId="36F23B51" w14:textId="48F47285" w:rsidR="00C620F5" w:rsidRDefault="00B51D47" w:rsidP="00E623A4">
            <w:pPr>
              <w:jc w:val="right"/>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2.7</w:t>
            </w:r>
            <w:r w:rsidR="00C620F5" w:rsidRPr="00507359">
              <w:rPr>
                <w:rFonts w:ascii="Arial" w:eastAsia="Times New Roman" w:hAnsi="Arial" w:cs="Arial"/>
                <w:color w:val="215868" w:themeColor="accent5" w:themeShade="80"/>
                <w:sz w:val="18"/>
                <w:szCs w:val="18"/>
              </w:rPr>
              <w:t>%</w:t>
            </w:r>
          </w:p>
        </w:tc>
        <w:tc>
          <w:tcPr>
            <w:tcW w:w="2655" w:type="dxa"/>
          </w:tcPr>
          <w:p w14:paraId="05DA5232" w14:textId="0913FDA3" w:rsidR="00C620F5" w:rsidRDefault="00B51D47" w:rsidP="00E623A4">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215868" w:themeColor="accent5" w:themeShade="80"/>
                <w:sz w:val="18"/>
                <w:szCs w:val="18"/>
              </w:rPr>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13.2</w:t>
            </w:r>
            <w:r w:rsidR="00C620F5">
              <w:rPr>
                <w:rFonts w:ascii="Arial" w:eastAsia="Times New Roman" w:hAnsi="Arial" w:cs="Arial"/>
                <w:color w:val="215868" w:themeColor="accent5" w:themeShade="80"/>
                <w:sz w:val="18"/>
                <w:szCs w:val="18"/>
              </w:rPr>
              <w:t>%</w:t>
            </w:r>
          </w:p>
        </w:tc>
      </w:tr>
      <w:tr w:rsidR="00C620F5" w:rsidRPr="00E43E81" w14:paraId="553DA522" w14:textId="77777777" w:rsidTr="00D66F5A">
        <w:trPr>
          <w:trHeight w:val="227"/>
        </w:trPr>
        <w:tc>
          <w:tcPr>
            <w:cnfStyle w:val="001000000000" w:firstRow="0" w:lastRow="0" w:firstColumn="1" w:lastColumn="0" w:oddVBand="0" w:evenVBand="0" w:oddHBand="0" w:evenHBand="0" w:firstRowFirstColumn="0" w:firstRowLastColumn="0" w:lastRowFirstColumn="0" w:lastRowLastColumn="0"/>
            <w:tcW w:w="3150" w:type="dxa"/>
          </w:tcPr>
          <w:p w14:paraId="6345D050" w14:textId="77777777" w:rsidR="00C620F5" w:rsidRPr="00E43E81" w:rsidRDefault="00C620F5" w:rsidP="00E623A4">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Produce</w:t>
            </w:r>
          </w:p>
        </w:tc>
        <w:tc>
          <w:tcPr>
            <w:tcW w:w="2052" w:type="dxa"/>
          </w:tcPr>
          <w:p w14:paraId="0855725F" w14:textId="57B91BA9" w:rsidR="00C620F5" w:rsidRDefault="00C620F5" w:rsidP="00E623A4">
            <w:pPr>
              <w:jc w:val="right"/>
              <w:cnfStyle w:val="000000000000" w:firstRow="0" w:lastRow="0" w:firstColumn="0" w:lastColumn="0" w:oddVBand="0" w:evenVBand="0" w:oddHBand="0"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5.2</w:t>
            </w:r>
            <w:r w:rsidRPr="00EE08B3">
              <w:rPr>
                <w:rFonts w:ascii="Arial" w:eastAsia="Times New Roman" w:hAnsi="Arial" w:cs="Arial"/>
                <w:color w:val="215868" w:themeColor="accent5" w:themeShade="80"/>
                <w:sz w:val="18"/>
                <w:szCs w:val="18"/>
              </w:rPr>
              <w:t>B</w:t>
            </w:r>
          </w:p>
        </w:tc>
        <w:tc>
          <w:tcPr>
            <w:tcW w:w="2655" w:type="dxa"/>
          </w:tcPr>
          <w:p w14:paraId="511149CD" w14:textId="258C2413" w:rsidR="00C620F5" w:rsidRDefault="00B51D47" w:rsidP="00E623A4">
            <w:pPr>
              <w:jc w:val="right"/>
              <w:cnfStyle w:val="000000000000" w:firstRow="0" w:lastRow="0" w:firstColumn="0" w:lastColumn="0" w:oddVBand="0" w:evenVBand="0" w:oddHBand="0" w:evenHBand="0" w:firstRowFirstColumn="0" w:firstRowLastColumn="0" w:lastRowFirstColumn="0" w:lastRowLastColumn="0"/>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6.5</w:t>
            </w:r>
            <w:r w:rsidR="00C620F5" w:rsidRPr="00507359">
              <w:rPr>
                <w:rFonts w:ascii="Arial" w:eastAsia="Times New Roman" w:hAnsi="Arial" w:cs="Arial"/>
                <w:color w:val="215868" w:themeColor="accent5" w:themeShade="80"/>
                <w:sz w:val="18"/>
                <w:szCs w:val="18"/>
              </w:rPr>
              <w:t>%</w:t>
            </w:r>
          </w:p>
        </w:tc>
        <w:tc>
          <w:tcPr>
            <w:tcW w:w="2655" w:type="dxa"/>
          </w:tcPr>
          <w:p w14:paraId="1F492C85" w14:textId="0E29F8FB" w:rsidR="00C620F5" w:rsidRPr="00E43E81" w:rsidRDefault="00B51D47" w:rsidP="00E623A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19.4</w:t>
            </w:r>
            <w:r w:rsidR="00C620F5" w:rsidRPr="00E43E81">
              <w:rPr>
                <w:rFonts w:ascii="Arial" w:eastAsia="Times New Roman" w:hAnsi="Arial" w:cs="Arial"/>
                <w:color w:val="215868" w:themeColor="accent5" w:themeShade="80"/>
                <w:sz w:val="18"/>
                <w:szCs w:val="18"/>
              </w:rPr>
              <w:t>%</w:t>
            </w:r>
          </w:p>
        </w:tc>
      </w:tr>
      <w:tr w:rsidR="00C620F5" w:rsidRPr="00E43E81" w14:paraId="0967BAD9" w14:textId="77777777" w:rsidTr="00D66F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50" w:type="dxa"/>
          </w:tcPr>
          <w:p w14:paraId="38F4F9BF" w14:textId="77777777" w:rsidR="00C620F5" w:rsidRPr="00E43E81" w:rsidRDefault="00C620F5" w:rsidP="00E623A4">
            <w:pPr>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Deli (meat, cheese and deli prepared)</w:t>
            </w:r>
          </w:p>
        </w:tc>
        <w:tc>
          <w:tcPr>
            <w:tcW w:w="2052" w:type="dxa"/>
          </w:tcPr>
          <w:p w14:paraId="291DD98C" w14:textId="11DC46CB" w:rsidR="00C620F5" w:rsidRDefault="00C620F5" w:rsidP="00E623A4">
            <w:pPr>
              <w:jc w:val="right"/>
              <w:cnfStyle w:val="000000100000" w:firstRow="0" w:lastRow="0" w:firstColumn="0" w:lastColumn="0" w:oddVBand="0" w:evenVBand="0" w:oddHBand="1"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3.4</w:t>
            </w:r>
            <w:r w:rsidRPr="00EE08B3">
              <w:rPr>
                <w:rFonts w:ascii="Arial" w:eastAsia="Times New Roman" w:hAnsi="Arial" w:cs="Arial"/>
                <w:color w:val="215868" w:themeColor="accent5" w:themeShade="80"/>
                <w:sz w:val="18"/>
                <w:szCs w:val="18"/>
              </w:rPr>
              <w:t>B</w:t>
            </w:r>
          </w:p>
        </w:tc>
        <w:tc>
          <w:tcPr>
            <w:tcW w:w="2655" w:type="dxa"/>
          </w:tcPr>
          <w:p w14:paraId="792F9C6F" w14:textId="56F96C96" w:rsidR="00C620F5" w:rsidRDefault="00C620F5" w:rsidP="00E623A4">
            <w:pPr>
              <w:jc w:val="right"/>
              <w:cnfStyle w:val="000000100000" w:firstRow="0" w:lastRow="0" w:firstColumn="0" w:lastColumn="0" w:oddVBand="0" w:evenVBand="0" w:oddHBand="1" w:evenHBand="0" w:firstRowFirstColumn="0" w:firstRowLastColumn="0" w:lastRowFirstColumn="0" w:lastRowLastColumn="0"/>
            </w:pPr>
            <w:r w:rsidRPr="00507359">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14.5</w:t>
            </w:r>
            <w:r w:rsidRPr="00507359">
              <w:rPr>
                <w:rFonts w:ascii="Arial" w:eastAsia="Times New Roman" w:hAnsi="Arial" w:cs="Arial"/>
                <w:color w:val="215868" w:themeColor="accent5" w:themeShade="80"/>
                <w:sz w:val="18"/>
                <w:szCs w:val="18"/>
              </w:rPr>
              <w:t>%</w:t>
            </w:r>
          </w:p>
        </w:tc>
        <w:tc>
          <w:tcPr>
            <w:tcW w:w="2655" w:type="dxa"/>
          </w:tcPr>
          <w:p w14:paraId="32914097" w14:textId="5B72F48A" w:rsidR="00C620F5" w:rsidRPr="00E43E81" w:rsidRDefault="00B51D47" w:rsidP="00E623A4">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16.7</w:t>
            </w:r>
            <w:r w:rsidR="00C620F5" w:rsidRPr="00E43E81">
              <w:rPr>
                <w:rFonts w:ascii="Arial" w:eastAsia="Times New Roman" w:hAnsi="Arial" w:cs="Arial"/>
                <w:color w:val="215868" w:themeColor="accent5" w:themeShade="80"/>
                <w:sz w:val="18"/>
                <w:szCs w:val="18"/>
              </w:rPr>
              <w:t>%</w:t>
            </w:r>
          </w:p>
        </w:tc>
      </w:tr>
      <w:tr w:rsidR="00C620F5" w:rsidRPr="00E43E81" w14:paraId="5590535E" w14:textId="77777777" w:rsidTr="00D66F5A">
        <w:trPr>
          <w:trHeight w:val="227"/>
        </w:trPr>
        <w:tc>
          <w:tcPr>
            <w:cnfStyle w:val="001000000000" w:firstRow="0" w:lastRow="0" w:firstColumn="1" w:lastColumn="0" w:oddVBand="0" w:evenVBand="0" w:oddHBand="0" w:evenHBand="0" w:firstRowFirstColumn="0" w:firstRowLastColumn="0" w:lastRowFirstColumn="0" w:lastRowLastColumn="0"/>
            <w:tcW w:w="3150" w:type="dxa"/>
          </w:tcPr>
          <w:p w14:paraId="6B77D013" w14:textId="77777777" w:rsidR="00C620F5" w:rsidRPr="00E43E81" w:rsidRDefault="00C620F5" w:rsidP="00E623A4">
            <w:pPr>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Bakery</w:t>
            </w:r>
          </w:p>
        </w:tc>
        <w:tc>
          <w:tcPr>
            <w:tcW w:w="2052" w:type="dxa"/>
          </w:tcPr>
          <w:p w14:paraId="6E766069" w14:textId="2A6FACF1" w:rsidR="00C620F5" w:rsidRDefault="00C620F5" w:rsidP="00E623A4">
            <w:pPr>
              <w:jc w:val="right"/>
              <w:cnfStyle w:val="000000000000" w:firstRow="0" w:lastRow="0" w:firstColumn="0" w:lastColumn="0" w:oddVBand="0" w:evenVBand="0" w:oddHBand="0"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3.0</w:t>
            </w:r>
            <w:r w:rsidRPr="00EE08B3">
              <w:rPr>
                <w:rFonts w:ascii="Arial" w:eastAsia="Times New Roman" w:hAnsi="Arial" w:cs="Arial"/>
                <w:color w:val="215868" w:themeColor="accent5" w:themeShade="80"/>
                <w:sz w:val="18"/>
                <w:szCs w:val="18"/>
              </w:rPr>
              <w:t>B</w:t>
            </w:r>
          </w:p>
        </w:tc>
        <w:tc>
          <w:tcPr>
            <w:tcW w:w="2655" w:type="dxa"/>
          </w:tcPr>
          <w:p w14:paraId="4E5D918E" w14:textId="075E9412" w:rsidR="00C620F5" w:rsidRDefault="00C620F5" w:rsidP="00E623A4">
            <w:pPr>
              <w:jc w:val="right"/>
              <w:cnfStyle w:val="000000000000" w:firstRow="0" w:lastRow="0" w:firstColumn="0" w:lastColumn="0" w:oddVBand="0" w:evenVBand="0" w:oddHBand="0" w:evenHBand="0" w:firstRowFirstColumn="0" w:firstRowLastColumn="0" w:lastRowFirstColumn="0" w:lastRowLastColumn="0"/>
            </w:pPr>
            <w:r w:rsidRPr="00507359">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9.3</w:t>
            </w:r>
            <w:r w:rsidRPr="00507359">
              <w:rPr>
                <w:rFonts w:ascii="Arial" w:eastAsia="Times New Roman" w:hAnsi="Arial" w:cs="Arial"/>
                <w:color w:val="215868" w:themeColor="accent5" w:themeShade="80"/>
                <w:sz w:val="18"/>
                <w:szCs w:val="18"/>
              </w:rPr>
              <w:t>%</w:t>
            </w:r>
          </w:p>
        </w:tc>
        <w:tc>
          <w:tcPr>
            <w:tcW w:w="2655" w:type="dxa"/>
          </w:tcPr>
          <w:p w14:paraId="76A5E6B3" w14:textId="2FD65D71" w:rsidR="00C620F5" w:rsidRPr="00E43E81" w:rsidRDefault="00B51D47" w:rsidP="00E623A4">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13.9</w:t>
            </w:r>
            <w:r w:rsidR="00C620F5" w:rsidRPr="00E43E81">
              <w:rPr>
                <w:rFonts w:ascii="Arial" w:eastAsia="Times New Roman" w:hAnsi="Arial" w:cs="Arial"/>
                <w:color w:val="215868" w:themeColor="accent5" w:themeShade="80"/>
                <w:sz w:val="18"/>
                <w:szCs w:val="18"/>
              </w:rPr>
              <w:t>%</w:t>
            </w:r>
          </w:p>
        </w:tc>
      </w:tr>
      <w:tr w:rsidR="00C620F5" w:rsidRPr="00E43E81" w14:paraId="67E2A1AC" w14:textId="77777777" w:rsidTr="00D66F5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50" w:type="dxa"/>
          </w:tcPr>
          <w:p w14:paraId="1CDB1E2F" w14:textId="77777777" w:rsidR="00335BB3" w:rsidRPr="00E43E81" w:rsidRDefault="00335BB3" w:rsidP="00042FD2">
            <w:pPr>
              <w:pStyle w:val="NoSpacing"/>
              <w:rPr>
                <w:rFonts w:ascii="Arial" w:hAnsi="Arial" w:cs="Arial"/>
                <w:b w:val="0"/>
                <w:color w:val="215868" w:themeColor="accent5" w:themeShade="80"/>
                <w:sz w:val="18"/>
                <w:szCs w:val="20"/>
              </w:rPr>
            </w:pPr>
            <w:r>
              <w:rPr>
                <w:rFonts w:ascii="Arial" w:hAnsi="Arial" w:cs="Arial"/>
                <w:b w:val="0"/>
                <w:color w:val="215868" w:themeColor="accent5" w:themeShade="80"/>
                <w:sz w:val="18"/>
                <w:szCs w:val="20"/>
              </w:rPr>
              <w:t>Seafood</w:t>
            </w:r>
          </w:p>
        </w:tc>
        <w:tc>
          <w:tcPr>
            <w:tcW w:w="2052" w:type="dxa"/>
          </w:tcPr>
          <w:p w14:paraId="1D21AD2B" w14:textId="5BD60A13" w:rsidR="00335BB3" w:rsidRDefault="00335BB3" w:rsidP="00335BB3">
            <w:pPr>
              <w:jc w:val="right"/>
              <w:cnfStyle w:val="000000100000" w:firstRow="0" w:lastRow="0" w:firstColumn="0" w:lastColumn="0" w:oddVBand="0" w:evenVBand="0" w:oddHBand="1" w:evenHBand="0" w:firstRowFirstColumn="0" w:firstRowLastColumn="0" w:lastRowFirstColumn="0" w:lastRowLastColumn="0"/>
            </w:pPr>
            <w:r w:rsidRPr="00EE08B3">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546</w:t>
            </w:r>
            <w:r w:rsidR="004D26B3">
              <w:rPr>
                <w:rFonts w:ascii="Arial" w:eastAsia="Times New Roman" w:hAnsi="Arial" w:cs="Arial"/>
                <w:color w:val="215868" w:themeColor="accent5" w:themeShade="80"/>
                <w:sz w:val="18"/>
                <w:szCs w:val="18"/>
              </w:rPr>
              <w:t>M</w:t>
            </w:r>
          </w:p>
        </w:tc>
        <w:tc>
          <w:tcPr>
            <w:tcW w:w="2655" w:type="dxa"/>
          </w:tcPr>
          <w:p w14:paraId="2FFD1806" w14:textId="3924390A" w:rsidR="00335BB3" w:rsidRDefault="00B51D47" w:rsidP="00335BB3">
            <w:pPr>
              <w:jc w:val="right"/>
              <w:cnfStyle w:val="000000100000" w:firstRow="0" w:lastRow="0" w:firstColumn="0" w:lastColumn="0" w:oddVBand="0" w:evenVBand="0" w:oddHBand="1" w:evenHBand="0" w:firstRowFirstColumn="0" w:firstRowLastColumn="0" w:lastRowFirstColumn="0" w:lastRowLastColumn="0"/>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5.7</w:t>
            </w:r>
            <w:r w:rsidR="00335BB3" w:rsidRPr="00507359">
              <w:rPr>
                <w:rFonts w:ascii="Arial" w:eastAsia="Times New Roman" w:hAnsi="Arial" w:cs="Arial"/>
                <w:color w:val="215868" w:themeColor="accent5" w:themeShade="80"/>
                <w:sz w:val="18"/>
                <w:szCs w:val="18"/>
              </w:rPr>
              <w:t>%</w:t>
            </w:r>
          </w:p>
        </w:tc>
        <w:tc>
          <w:tcPr>
            <w:tcW w:w="2655" w:type="dxa"/>
          </w:tcPr>
          <w:p w14:paraId="1B8F6A02" w14:textId="28CB7138" w:rsidR="00335BB3" w:rsidRPr="00E43E81" w:rsidRDefault="004D26B3" w:rsidP="00042FD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20"/>
              </w:rPr>
            </w:pPr>
            <w:r>
              <w:rPr>
                <w:rFonts w:ascii="Arial" w:eastAsia="Times New Roman" w:hAnsi="Arial" w:cs="Arial"/>
                <w:color w:val="215868" w:themeColor="accent5" w:themeShade="80"/>
                <w:sz w:val="18"/>
                <w:szCs w:val="18"/>
              </w:rPr>
              <w:t>+</w:t>
            </w:r>
            <w:r w:rsidR="00615446">
              <w:rPr>
                <w:rFonts w:ascii="Arial" w:eastAsia="Times New Roman" w:hAnsi="Arial" w:cs="Arial"/>
                <w:color w:val="215868" w:themeColor="accent5" w:themeShade="80"/>
                <w:sz w:val="18"/>
                <w:szCs w:val="18"/>
              </w:rPr>
              <w:t>17.9</w:t>
            </w:r>
            <w:r w:rsidR="00335BB3" w:rsidRPr="00E43E81">
              <w:rPr>
                <w:rFonts w:ascii="Arial" w:eastAsia="Times New Roman" w:hAnsi="Arial" w:cs="Arial"/>
                <w:color w:val="215868" w:themeColor="accent5" w:themeShade="80"/>
                <w:sz w:val="18"/>
                <w:szCs w:val="18"/>
              </w:rPr>
              <w:t>%</w:t>
            </w:r>
          </w:p>
        </w:tc>
      </w:tr>
    </w:tbl>
    <w:p w14:paraId="614D9EB4" w14:textId="77777777" w:rsidR="00D66F5A" w:rsidRPr="00D66F5A" w:rsidRDefault="001024F6" w:rsidP="001024F6">
      <w:pPr>
        <w:pStyle w:val="NoSpacing"/>
        <w:rPr>
          <w:noProof/>
          <w:sz w:val="10"/>
          <w:szCs w:val="10"/>
        </w:rPr>
      </w:pPr>
      <w:r w:rsidRPr="00D66F5A">
        <w:rPr>
          <w:noProof/>
          <w:sz w:val="10"/>
          <w:szCs w:val="10"/>
        </w:rPr>
        <w:t xml:space="preserve"> </w:t>
      </w:r>
    </w:p>
    <w:p w14:paraId="351EE5C8" w14:textId="730771D0" w:rsidR="001024F6" w:rsidRPr="00764049" w:rsidRDefault="001024F6" w:rsidP="001024F6">
      <w:pPr>
        <w:pStyle w:val="NoSpacing"/>
        <w:rPr>
          <w:rFonts w:ascii="Arial" w:hAnsi="Arial" w:cs="Arial"/>
          <w:sz w:val="16"/>
          <w:szCs w:val="16"/>
        </w:rPr>
      </w:pPr>
      <w:r w:rsidRPr="00764049">
        <w:rPr>
          <w:rFonts w:ascii="Arial" w:hAnsi="Arial" w:cs="Arial"/>
          <w:sz w:val="16"/>
          <w:szCs w:val="16"/>
        </w:rPr>
        <w:t>Source: IRI</w:t>
      </w:r>
      <w:r>
        <w:rPr>
          <w:rFonts w:ascii="Arial" w:hAnsi="Arial" w:cs="Arial"/>
          <w:sz w:val="16"/>
          <w:szCs w:val="16"/>
        </w:rPr>
        <w:t xml:space="preserve"> Integrated Fresh,</w:t>
      </w:r>
      <w:r w:rsidRPr="00764049">
        <w:rPr>
          <w:rFonts w:ascii="Arial" w:hAnsi="Arial" w:cs="Arial"/>
          <w:sz w:val="16"/>
          <w:szCs w:val="16"/>
        </w:rPr>
        <w:t xml:space="preserve"> Total U.S., MULO, </w:t>
      </w:r>
      <w:r>
        <w:rPr>
          <w:rFonts w:ascii="Arial" w:hAnsi="Arial" w:cs="Arial"/>
          <w:sz w:val="16"/>
          <w:szCs w:val="16"/>
        </w:rPr>
        <w:t>fixed and random weight items combined into department views</w:t>
      </w:r>
    </w:p>
    <w:p w14:paraId="3307BE00" w14:textId="77777777" w:rsidR="00357E26" w:rsidRPr="00D66F5A" w:rsidRDefault="00357E26" w:rsidP="00563A06">
      <w:pPr>
        <w:pStyle w:val="NoSpacing"/>
        <w:rPr>
          <w:rFonts w:ascii="Arial" w:hAnsi="Arial" w:cs="Arial"/>
          <w:b/>
          <w:color w:val="595959" w:themeColor="text1" w:themeTint="A6"/>
          <w:sz w:val="28"/>
          <w:szCs w:val="28"/>
        </w:rPr>
      </w:pPr>
      <w:bookmarkStart w:id="1" w:name="_Hlk76989410"/>
    </w:p>
    <w:p w14:paraId="4B10DDBE" w14:textId="77777777" w:rsidR="00563A06" w:rsidRPr="00575026" w:rsidRDefault="00563A06" w:rsidP="00563A06">
      <w:pPr>
        <w:pStyle w:val="NoSpacing"/>
        <w:rPr>
          <w:rFonts w:ascii="Arial" w:hAnsi="Arial" w:cs="Arial"/>
          <w:b/>
          <w:color w:val="595959" w:themeColor="text1" w:themeTint="A6"/>
          <w:sz w:val="24"/>
          <w:szCs w:val="24"/>
        </w:rPr>
      </w:pPr>
      <w:r w:rsidRPr="00575026">
        <w:rPr>
          <w:rFonts w:ascii="Arial" w:hAnsi="Arial" w:cs="Arial"/>
          <w:b/>
          <w:color w:val="595959" w:themeColor="text1" w:themeTint="A6"/>
          <w:sz w:val="24"/>
          <w:szCs w:val="24"/>
        </w:rPr>
        <w:t>Floral</w:t>
      </w:r>
    </w:p>
    <w:p w14:paraId="1AA710FE" w14:textId="5C3836AE" w:rsidR="00854902" w:rsidRDefault="001729EA" w:rsidP="000C1222">
      <w:pPr>
        <w:pStyle w:val="NoSpacing"/>
        <w:rPr>
          <w:rFonts w:ascii="Arial" w:hAnsi="Arial" w:cs="Arial"/>
          <w:sz w:val="20"/>
          <w:szCs w:val="24"/>
        </w:rPr>
      </w:pPr>
      <w:r>
        <w:rPr>
          <w:rFonts w:ascii="Arial" w:hAnsi="Arial" w:cs="Arial"/>
          <w:sz w:val="20"/>
          <w:szCs w:val="24"/>
        </w:rPr>
        <w:t xml:space="preserve">The floral department had a tremendous year, reaching $7.2 billion in sales, reflecting an increase of 24.0% over 2020 levels and 29.2% over 2019 levels. Dollar gains came hand-in-hand with unit and volume growth. Indoor made up the bulk of sale and had the higher growth rate. </w:t>
      </w:r>
    </w:p>
    <w:p w14:paraId="38C1A759" w14:textId="77777777" w:rsidR="00854902" w:rsidRDefault="00854902" w:rsidP="000C1222">
      <w:pPr>
        <w:pStyle w:val="NoSpacing"/>
        <w:rPr>
          <w:rFonts w:ascii="Arial" w:hAnsi="Arial" w:cs="Arial"/>
          <w:sz w:val="20"/>
          <w:szCs w:val="24"/>
        </w:rPr>
      </w:pPr>
    </w:p>
    <w:tbl>
      <w:tblPr>
        <w:tblStyle w:val="LightShading-Accent5"/>
        <w:tblW w:w="10368" w:type="dxa"/>
        <w:tblBorders>
          <w:top w:val="none" w:sz="0" w:space="0" w:color="auto"/>
          <w:bottom w:val="none" w:sz="0" w:space="0" w:color="auto"/>
        </w:tblBorders>
        <w:tblLayout w:type="fixed"/>
        <w:tblLook w:val="04A0" w:firstRow="1" w:lastRow="0" w:firstColumn="1" w:lastColumn="0" w:noHBand="0" w:noVBand="1"/>
      </w:tblPr>
      <w:tblGrid>
        <w:gridCol w:w="1002"/>
        <w:gridCol w:w="1383"/>
        <w:gridCol w:w="1225"/>
        <w:gridCol w:w="1171"/>
        <w:gridCol w:w="1349"/>
        <w:gridCol w:w="1286"/>
        <w:gridCol w:w="1418"/>
        <w:gridCol w:w="1534"/>
      </w:tblGrid>
      <w:tr w:rsidR="001729EA" w:rsidRPr="001729EA" w14:paraId="45F3B3B4" w14:textId="77777777" w:rsidTr="001729EA">
        <w:trPr>
          <w:cnfStyle w:val="100000000000" w:firstRow="1" w:lastRow="0" w:firstColumn="0" w:lastColumn="0" w:oddVBand="0" w:evenVBand="0" w:oddHBand="0"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1002" w:type="dxa"/>
            <w:tcBorders>
              <w:top w:val="none" w:sz="0" w:space="0" w:color="auto"/>
              <w:left w:val="none" w:sz="0" w:space="0" w:color="auto"/>
              <w:bottom w:val="none" w:sz="0" w:space="0" w:color="auto"/>
              <w:right w:val="none" w:sz="0" w:space="0" w:color="auto"/>
            </w:tcBorders>
            <w:shd w:val="clear" w:color="auto" w:fill="17365D" w:themeFill="text2" w:themeFillShade="BF"/>
            <w:hideMark/>
          </w:tcPr>
          <w:p w14:paraId="65187294" w14:textId="42F44C9F" w:rsidR="001729EA" w:rsidRPr="001729EA" w:rsidRDefault="001729EA" w:rsidP="001F29DC">
            <w:pPr>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2021</w:t>
            </w:r>
          </w:p>
        </w:tc>
        <w:tc>
          <w:tcPr>
            <w:tcW w:w="1383"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5F096B1" w14:textId="77777777" w:rsidR="001729EA" w:rsidRPr="001729EA" w:rsidRDefault="001729EA" w:rsidP="001F29D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size</w:t>
            </w:r>
          </w:p>
        </w:tc>
        <w:tc>
          <w:tcPr>
            <w:tcW w:w="1225"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29D1F8F7" w14:textId="77777777" w:rsidR="001729EA" w:rsidRPr="001729EA" w:rsidRDefault="001729EA" w:rsidP="001F29D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‘20</w:t>
            </w:r>
          </w:p>
        </w:tc>
        <w:tc>
          <w:tcPr>
            <w:tcW w:w="1171"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7748EE86" w14:textId="77777777" w:rsidR="001729EA" w:rsidRPr="001729EA" w:rsidRDefault="001729EA" w:rsidP="001F29D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 growth vs. ‘19</w:t>
            </w:r>
          </w:p>
        </w:tc>
        <w:tc>
          <w:tcPr>
            <w:tcW w:w="1349"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43F37FDE" w14:textId="77777777" w:rsidR="001729EA" w:rsidRPr="001729EA" w:rsidRDefault="001729EA" w:rsidP="001F29D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‘20</w:t>
            </w:r>
          </w:p>
        </w:tc>
        <w:tc>
          <w:tcPr>
            <w:tcW w:w="1286"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6F7D44C8" w14:textId="77777777" w:rsidR="001729EA" w:rsidRPr="001729EA" w:rsidRDefault="001729EA" w:rsidP="001F29D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Unit growth vs. ‘19</w:t>
            </w:r>
          </w:p>
        </w:tc>
        <w:tc>
          <w:tcPr>
            <w:tcW w:w="1418"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33C4A465" w14:textId="01AD7083" w:rsidR="001729EA" w:rsidRPr="001729EA" w:rsidRDefault="001729EA" w:rsidP="001F29D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‘20</w:t>
            </w:r>
          </w:p>
        </w:tc>
        <w:tc>
          <w:tcPr>
            <w:tcW w:w="1534" w:type="dxa"/>
            <w:tcBorders>
              <w:top w:val="none" w:sz="0" w:space="0" w:color="auto"/>
              <w:left w:val="none" w:sz="0" w:space="0" w:color="auto"/>
              <w:bottom w:val="none" w:sz="0" w:space="0" w:color="auto"/>
              <w:right w:val="none" w:sz="0" w:space="0" w:color="auto"/>
            </w:tcBorders>
            <w:shd w:val="clear" w:color="auto" w:fill="17365D" w:themeFill="text2" w:themeFillShade="BF"/>
            <w:vAlign w:val="center"/>
          </w:tcPr>
          <w:p w14:paraId="19E3745C" w14:textId="77777777" w:rsidR="001729EA" w:rsidRPr="001729EA" w:rsidRDefault="001729EA" w:rsidP="001F29DC">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themeColor="background1"/>
                <w:sz w:val="18"/>
                <w:szCs w:val="20"/>
              </w:rPr>
            </w:pPr>
            <w:r w:rsidRPr="001729EA">
              <w:rPr>
                <w:rFonts w:ascii="Arial" w:eastAsia="Times New Roman" w:hAnsi="Arial" w:cs="Arial"/>
                <w:color w:val="FFFFFF" w:themeColor="background1"/>
                <w:sz w:val="18"/>
                <w:szCs w:val="20"/>
              </w:rPr>
              <w:t>Volume growth vs. ‘19</w:t>
            </w:r>
          </w:p>
        </w:tc>
      </w:tr>
      <w:tr w:rsidR="001729EA" w:rsidRPr="000A733E" w14:paraId="727FFEB1"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02" w:type="dxa"/>
            <w:tcBorders>
              <w:left w:val="none" w:sz="0" w:space="0" w:color="auto"/>
              <w:right w:val="none" w:sz="0" w:space="0" w:color="auto"/>
            </w:tcBorders>
            <w:noWrap/>
            <w:vAlign w:val="center"/>
          </w:tcPr>
          <w:p w14:paraId="3141E8C4" w14:textId="097886EB" w:rsidR="001729EA" w:rsidRPr="000A733E" w:rsidRDefault="001729EA" w:rsidP="00854902">
            <w:pPr>
              <w:rPr>
                <w:rFonts w:ascii="Arial" w:eastAsia="Times New Roman" w:hAnsi="Arial" w:cs="Arial"/>
                <w:b w:val="0"/>
                <w:color w:val="17365D" w:themeColor="text2" w:themeShade="BF"/>
                <w:sz w:val="18"/>
                <w:szCs w:val="18"/>
              </w:rPr>
            </w:pPr>
            <w:r w:rsidRPr="00FF7558">
              <w:rPr>
                <w:rFonts w:ascii="Arial" w:hAnsi="Arial" w:cs="Arial"/>
                <w:color w:val="215868" w:themeColor="accent5" w:themeShade="80"/>
                <w:sz w:val="18"/>
                <w:szCs w:val="18"/>
              </w:rPr>
              <w:t>Floral</w:t>
            </w:r>
          </w:p>
        </w:tc>
        <w:tc>
          <w:tcPr>
            <w:tcW w:w="1383" w:type="dxa"/>
            <w:tcBorders>
              <w:left w:val="none" w:sz="0" w:space="0" w:color="auto"/>
              <w:right w:val="none" w:sz="0" w:space="0" w:color="auto"/>
            </w:tcBorders>
            <w:vAlign w:val="center"/>
          </w:tcPr>
          <w:p w14:paraId="488B8204" w14:textId="320AEA9F"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E97D52">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7.2</w:t>
            </w:r>
            <w:r w:rsidRPr="00E97D52">
              <w:rPr>
                <w:rFonts w:ascii="Arial" w:eastAsia="Times New Roman" w:hAnsi="Arial" w:cs="Arial"/>
                <w:color w:val="17365D" w:themeColor="text2" w:themeShade="BF"/>
                <w:sz w:val="18"/>
                <w:szCs w:val="18"/>
              </w:rPr>
              <w:t>B</w:t>
            </w:r>
          </w:p>
        </w:tc>
        <w:tc>
          <w:tcPr>
            <w:tcW w:w="1225" w:type="dxa"/>
            <w:tcBorders>
              <w:left w:val="none" w:sz="0" w:space="0" w:color="auto"/>
              <w:right w:val="none" w:sz="0" w:space="0" w:color="auto"/>
            </w:tcBorders>
          </w:tcPr>
          <w:p w14:paraId="2B07B2FD" w14:textId="09BB8F0E"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24.0</w:t>
            </w:r>
            <w:r w:rsidRPr="00591300">
              <w:rPr>
                <w:rFonts w:ascii="Arial" w:eastAsia="Times New Roman" w:hAnsi="Arial" w:cs="Arial"/>
                <w:color w:val="17365D" w:themeColor="text2" w:themeShade="BF"/>
                <w:sz w:val="18"/>
                <w:szCs w:val="18"/>
              </w:rPr>
              <w:t>%</w:t>
            </w:r>
          </w:p>
        </w:tc>
        <w:tc>
          <w:tcPr>
            <w:tcW w:w="1171" w:type="dxa"/>
            <w:tcBorders>
              <w:left w:val="none" w:sz="0" w:space="0" w:color="auto"/>
              <w:right w:val="none" w:sz="0" w:space="0" w:color="auto"/>
            </w:tcBorders>
          </w:tcPr>
          <w:p w14:paraId="616A5E16" w14:textId="184690BA"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29.2</w:t>
            </w:r>
            <w:r w:rsidRPr="00591300">
              <w:rPr>
                <w:rFonts w:ascii="Arial" w:eastAsia="Times New Roman" w:hAnsi="Arial" w:cs="Arial"/>
                <w:color w:val="17365D" w:themeColor="text2" w:themeShade="BF"/>
                <w:sz w:val="18"/>
                <w:szCs w:val="18"/>
              </w:rPr>
              <w:t>%</w:t>
            </w:r>
          </w:p>
        </w:tc>
        <w:tc>
          <w:tcPr>
            <w:tcW w:w="1349" w:type="dxa"/>
            <w:tcBorders>
              <w:left w:val="none" w:sz="0" w:space="0" w:color="auto"/>
              <w:right w:val="none" w:sz="0" w:space="0" w:color="auto"/>
            </w:tcBorders>
          </w:tcPr>
          <w:p w14:paraId="48A86B73" w14:textId="19FB42FF"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+12.6</w:t>
            </w:r>
            <w:r w:rsidRPr="000A0500">
              <w:rPr>
                <w:rFonts w:ascii="Arial" w:eastAsia="Times New Roman" w:hAnsi="Arial" w:cs="Arial"/>
                <w:color w:val="17365D" w:themeColor="text2" w:themeShade="BF"/>
                <w:sz w:val="18"/>
                <w:szCs w:val="18"/>
              </w:rPr>
              <w:t>%</w:t>
            </w:r>
          </w:p>
        </w:tc>
        <w:tc>
          <w:tcPr>
            <w:tcW w:w="1286" w:type="dxa"/>
            <w:tcBorders>
              <w:left w:val="none" w:sz="0" w:space="0" w:color="auto"/>
              <w:right w:val="none" w:sz="0" w:space="0" w:color="auto"/>
            </w:tcBorders>
          </w:tcPr>
          <w:p w14:paraId="002F057B" w14:textId="58D7E5D1"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7650CC">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14.4</w:t>
            </w:r>
            <w:r w:rsidRPr="007650CC">
              <w:rPr>
                <w:rFonts w:ascii="Arial" w:eastAsia="Times New Roman" w:hAnsi="Arial" w:cs="Arial"/>
                <w:color w:val="17365D" w:themeColor="text2" w:themeShade="BF"/>
                <w:sz w:val="18"/>
                <w:szCs w:val="18"/>
              </w:rPr>
              <w:t>%</w:t>
            </w:r>
          </w:p>
        </w:tc>
        <w:tc>
          <w:tcPr>
            <w:tcW w:w="1418" w:type="dxa"/>
            <w:tcBorders>
              <w:left w:val="none" w:sz="0" w:space="0" w:color="auto"/>
              <w:right w:val="none" w:sz="0" w:space="0" w:color="auto"/>
            </w:tcBorders>
          </w:tcPr>
          <w:p w14:paraId="26F1E5F9" w14:textId="29A8E6D0"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+14.9</w:t>
            </w:r>
            <w:r w:rsidRPr="00E87888">
              <w:rPr>
                <w:rFonts w:ascii="Arial" w:eastAsia="Times New Roman" w:hAnsi="Arial" w:cs="Arial"/>
                <w:color w:val="17365D" w:themeColor="text2" w:themeShade="BF"/>
                <w:sz w:val="18"/>
                <w:szCs w:val="18"/>
              </w:rPr>
              <w:t>%</w:t>
            </w:r>
          </w:p>
        </w:tc>
        <w:tc>
          <w:tcPr>
            <w:tcW w:w="1534" w:type="dxa"/>
            <w:tcBorders>
              <w:left w:val="none" w:sz="0" w:space="0" w:color="auto"/>
              <w:right w:val="none" w:sz="0" w:space="0" w:color="auto"/>
            </w:tcBorders>
          </w:tcPr>
          <w:p w14:paraId="29105455" w14:textId="59ABD4E8"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60673">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19.9</w:t>
            </w:r>
            <w:r w:rsidRPr="00560673">
              <w:rPr>
                <w:rFonts w:ascii="Arial" w:eastAsia="Times New Roman" w:hAnsi="Arial" w:cs="Arial"/>
                <w:color w:val="17365D" w:themeColor="text2" w:themeShade="BF"/>
                <w:sz w:val="18"/>
                <w:szCs w:val="18"/>
              </w:rPr>
              <w:t>%</w:t>
            </w:r>
          </w:p>
        </w:tc>
      </w:tr>
      <w:tr w:rsidR="001729EA" w:rsidRPr="000A733E" w14:paraId="71F4BE15" w14:textId="77777777" w:rsidTr="001729EA">
        <w:trPr>
          <w:trHeight w:val="113"/>
        </w:trPr>
        <w:tc>
          <w:tcPr>
            <w:cnfStyle w:val="001000000000" w:firstRow="0" w:lastRow="0" w:firstColumn="1" w:lastColumn="0" w:oddVBand="0" w:evenVBand="0" w:oddHBand="0" w:evenHBand="0" w:firstRowFirstColumn="0" w:firstRowLastColumn="0" w:lastRowFirstColumn="0" w:lastRowLastColumn="0"/>
            <w:tcW w:w="1002" w:type="dxa"/>
            <w:noWrap/>
            <w:vAlign w:val="center"/>
          </w:tcPr>
          <w:p w14:paraId="335AC6E2" w14:textId="7B42A120" w:rsidR="001729EA" w:rsidRPr="000A733E" w:rsidRDefault="001729EA" w:rsidP="00854902">
            <w:pPr>
              <w:rPr>
                <w:rFonts w:ascii="Arial" w:eastAsia="Times New Roman" w:hAnsi="Arial" w:cs="Arial"/>
                <w:b w:val="0"/>
                <w:color w:val="17365D" w:themeColor="text2" w:themeShade="BF"/>
                <w:sz w:val="18"/>
                <w:szCs w:val="18"/>
              </w:rPr>
            </w:pPr>
            <w:r w:rsidRPr="00606E2B">
              <w:rPr>
                <w:rFonts w:ascii="Arial" w:hAnsi="Arial" w:cs="Arial"/>
                <w:b w:val="0"/>
                <w:bCs w:val="0"/>
                <w:color w:val="215868" w:themeColor="accent5" w:themeShade="80"/>
                <w:sz w:val="18"/>
                <w:szCs w:val="18"/>
              </w:rPr>
              <w:t>Indoor</w:t>
            </w:r>
          </w:p>
        </w:tc>
        <w:tc>
          <w:tcPr>
            <w:tcW w:w="1383" w:type="dxa"/>
            <w:vAlign w:val="center"/>
          </w:tcPr>
          <w:p w14:paraId="3C8CAC3C" w14:textId="11A01B63" w:rsidR="001729EA" w:rsidRPr="00E97D52" w:rsidRDefault="001729EA" w:rsidP="008549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5.9</w:t>
            </w:r>
            <w:r w:rsidRPr="00E97D52">
              <w:rPr>
                <w:rFonts w:ascii="Arial" w:eastAsia="Times New Roman" w:hAnsi="Arial" w:cs="Arial"/>
                <w:color w:val="17365D" w:themeColor="text2" w:themeShade="BF"/>
                <w:sz w:val="18"/>
                <w:szCs w:val="18"/>
              </w:rPr>
              <w:t>B</w:t>
            </w:r>
          </w:p>
        </w:tc>
        <w:tc>
          <w:tcPr>
            <w:tcW w:w="1225" w:type="dxa"/>
          </w:tcPr>
          <w:p w14:paraId="7BB8555B" w14:textId="4CA134EA" w:rsidR="001729EA" w:rsidRPr="00E97D52" w:rsidRDefault="001729EA" w:rsidP="008549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27.1</w:t>
            </w:r>
            <w:r w:rsidRPr="00591300">
              <w:rPr>
                <w:rFonts w:ascii="Arial" w:eastAsia="Times New Roman" w:hAnsi="Arial" w:cs="Arial"/>
                <w:color w:val="17365D" w:themeColor="text2" w:themeShade="BF"/>
                <w:sz w:val="18"/>
                <w:szCs w:val="18"/>
              </w:rPr>
              <w:t>%</w:t>
            </w:r>
          </w:p>
        </w:tc>
        <w:tc>
          <w:tcPr>
            <w:tcW w:w="1171" w:type="dxa"/>
          </w:tcPr>
          <w:p w14:paraId="69AF82E9" w14:textId="6D7AE0BB" w:rsidR="001729EA" w:rsidRPr="00E97D52" w:rsidRDefault="001729EA" w:rsidP="0085490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32.2</w:t>
            </w:r>
            <w:r w:rsidRPr="00591300">
              <w:rPr>
                <w:rFonts w:ascii="Arial" w:eastAsia="Times New Roman" w:hAnsi="Arial" w:cs="Arial"/>
                <w:color w:val="17365D" w:themeColor="text2" w:themeShade="BF"/>
                <w:sz w:val="18"/>
                <w:szCs w:val="18"/>
              </w:rPr>
              <w:t>%</w:t>
            </w:r>
          </w:p>
        </w:tc>
        <w:tc>
          <w:tcPr>
            <w:tcW w:w="1349" w:type="dxa"/>
          </w:tcPr>
          <w:p w14:paraId="0D3E126B" w14:textId="2F886ACE" w:rsidR="001729EA" w:rsidRPr="00E97D52" w:rsidRDefault="001729EA" w:rsidP="008549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+16.1</w:t>
            </w:r>
            <w:r w:rsidRPr="000A0500">
              <w:rPr>
                <w:rFonts w:ascii="Arial" w:eastAsia="Times New Roman" w:hAnsi="Arial" w:cs="Arial"/>
                <w:color w:val="17365D" w:themeColor="text2" w:themeShade="BF"/>
                <w:sz w:val="18"/>
                <w:szCs w:val="18"/>
              </w:rPr>
              <w:t>%</w:t>
            </w:r>
          </w:p>
        </w:tc>
        <w:tc>
          <w:tcPr>
            <w:tcW w:w="1286" w:type="dxa"/>
          </w:tcPr>
          <w:p w14:paraId="21554A52" w14:textId="1ACFB1F5" w:rsidR="001729EA" w:rsidRPr="00E97D52" w:rsidRDefault="001729EA" w:rsidP="008549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7650CC">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17.8</w:t>
            </w:r>
            <w:r w:rsidRPr="007650CC">
              <w:rPr>
                <w:rFonts w:ascii="Arial" w:eastAsia="Times New Roman" w:hAnsi="Arial" w:cs="Arial"/>
                <w:color w:val="17365D" w:themeColor="text2" w:themeShade="BF"/>
                <w:sz w:val="18"/>
                <w:szCs w:val="18"/>
              </w:rPr>
              <w:t>%</w:t>
            </w:r>
          </w:p>
        </w:tc>
        <w:tc>
          <w:tcPr>
            <w:tcW w:w="1418" w:type="dxa"/>
          </w:tcPr>
          <w:p w14:paraId="6010EF26" w14:textId="13936A71" w:rsidR="001729EA" w:rsidRPr="00E97D52" w:rsidRDefault="001729EA" w:rsidP="008549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+17.2</w:t>
            </w:r>
            <w:r w:rsidRPr="00E87888">
              <w:rPr>
                <w:rFonts w:ascii="Arial" w:eastAsia="Times New Roman" w:hAnsi="Arial" w:cs="Arial"/>
                <w:color w:val="17365D" w:themeColor="text2" w:themeShade="BF"/>
                <w:sz w:val="18"/>
                <w:szCs w:val="18"/>
              </w:rPr>
              <w:t>%</w:t>
            </w:r>
          </w:p>
        </w:tc>
        <w:tc>
          <w:tcPr>
            <w:tcW w:w="1534" w:type="dxa"/>
          </w:tcPr>
          <w:p w14:paraId="04B369F6" w14:textId="12F80F37" w:rsidR="001729EA" w:rsidRPr="00E97D52" w:rsidRDefault="001729EA" w:rsidP="00854902">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17365D" w:themeColor="text2" w:themeShade="BF"/>
                <w:sz w:val="18"/>
                <w:szCs w:val="18"/>
              </w:rPr>
            </w:pPr>
            <w:r w:rsidRPr="00560673">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23.2</w:t>
            </w:r>
            <w:r w:rsidRPr="00560673">
              <w:rPr>
                <w:rFonts w:ascii="Arial" w:eastAsia="Times New Roman" w:hAnsi="Arial" w:cs="Arial"/>
                <w:color w:val="17365D" w:themeColor="text2" w:themeShade="BF"/>
                <w:sz w:val="18"/>
                <w:szCs w:val="18"/>
              </w:rPr>
              <w:t>%</w:t>
            </w:r>
          </w:p>
        </w:tc>
      </w:tr>
      <w:tr w:rsidR="001729EA" w:rsidRPr="000A733E" w14:paraId="1AF106FB" w14:textId="77777777" w:rsidTr="001729EA">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002" w:type="dxa"/>
            <w:noWrap/>
            <w:vAlign w:val="center"/>
          </w:tcPr>
          <w:p w14:paraId="552D22EA" w14:textId="28D96275" w:rsidR="001729EA" w:rsidRPr="000A733E" w:rsidRDefault="001729EA" w:rsidP="00854902">
            <w:pPr>
              <w:rPr>
                <w:rFonts w:ascii="Arial" w:eastAsia="Times New Roman" w:hAnsi="Arial" w:cs="Arial"/>
                <w:b w:val="0"/>
                <w:color w:val="17365D" w:themeColor="text2" w:themeShade="BF"/>
                <w:sz w:val="18"/>
                <w:szCs w:val="18"/>
              </w:rPr>
            </w:pPr>
            <w:r w:rsidRPr="00606E2B">
              <w:rPr>
                <w:rFonts w:ascii="Arial" w:hAnsi="Arial" w:cs="Arial"/>
                <w:b w:val="0"/>
                <w:bCs w:val="0"/>
                <w:color w:val="215868" w:themeColor="accent5" w:themeShade="80"/>
                <w:sz w:val="18"/>
                <w:szCs w:val="18"/>
              </w:rPr>
              <w:t>Outdoor</w:t>
            </w:r>
          </w:p>
        </w:tc>
        <w:tc>
          <w:tcPr>
            <w:tcW w:w="1383" w:type="dxa"/>
            <w:vAlign w:val="center"/>
          </w:tcPr>
          <w:p w14:paraId="3FA14B71" w14:textId="04A85C9B"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E97D52">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1.3</w:t>
            </w:r>
            <w:r w:rsidRPr="00E97D52">
              <w:rPr>
                <w:rFonts w:ascii="Arial" w:eastAsia="Times New Roman" w:hAnsi="Arial" w:cs="Arial"/>
                <w:color w:val="17365D" w:themeColor="text2" w:themeShade="BF"/>
                <w:sz w:val="18"/>
                <w:szCs w:val="18"/>
              </w:rPr>
              <w:t>B</w:t>
            </w:r>
          </w:p>
        </w:tc>
        <w:tc>
          <w:tcPr>
            <w:tcW w:w="1225" w:type="dxa"/>
          </w:tcPr>
          <w:p w14:paraId="29D7FF20" w14:textId="1768EF1D"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11.5</w:t>
            </w:r>
            <w:r w:rsidRPr="00591300">
              <w:rPr>
                <w:rFonts w:ascii="Arial" w:eastAsia="Times New Roman" w:hAnsi="Arial" w:cs="Arial"/>
                <w:color w:val="17365D" w:themeColor="text2" w:themeShade="BF"/>
                <w:sz w:val="18"/>
                <w:szCs w:val="18"/>
              </w:rPr>
              <w:t>%</w:t>
            </w:r>
          </w:p>
        </w:tc>
        <w:tc>
          <w:tcPr>
            <w:tcW w:w="1171" w:type="dxa"/>
          </w:tcPr>
          <w:p w14:paraId="5E6336A1" w14:textId="0268DEFB"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rPr>
            </w:pPr>
            <w:r w:rsidRPr="00591300">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17.1</w:t>
            </w:r>
            <w:r w:rsidRPr="00591300">
              <w:rPr>
                <w:rFonts w:ascii="Arial" w:eastAsia="Times New Roman" w:hAnsi="Arial" w:cs="Arial"/>
                <w:color w:val="17365D" w:themeColor="text2" w:themeShade="BF"/>
                <w:sz w:val="18"/>
                <w:szCs w:val="18"/>
              </w:rPr>
              <w:t>%</w:t>
            </w:r>
          </w:p>
        </w:tc>
        <w:tc>
          <w:tcPr>
            <w:tcW w:w="1349" w:type="dxa"/>
          </w:tcPr>
          <w:p w14:paraId="1F33ADAF" w14:textId="5A1CA116"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+5.1</w:t>
            </w:r>
            <w:r w:rsidRPr="000A0500">
              <w:rPr>
                <w:rFonts w:ascii="Arial" w:eastAsia="Times New Roman" w:hAnsi="Arial" w:cs="Arial"/>
                <w:color w:val="17365D" w:themeColor="text2" w:themeShade="BF"/>
                <w:sz w:val="18"/>
                <w:szCs w:val="18"/>
              </w:rPr>
              <w:t>%</w:t>
            </w:r>
          </w:p>
        </w:tc>
        <w:tc>
          <w:tcPr>
            <w:tcW w:w="1286" w:type="dxa"/>
          </w:tcPr>
          <w:p w14:paraId="1C9ADB55" w14:textId="664DF4BB"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7650CC">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6.7</w:t>
            </w:r>
            <w:r w:rsidRPr="007650CC">
              <w:rPr>
                <w:rFonts w:ascii="Arial" w:eastAsia="Times New Roman" w:hAnsi="Arial" w:cs="Arial"/>
                <w:color w:val="17365D" w:themeColor="text2" w:themeShade="BF"/>
                <w:sz w:val="18"/>
                <w:szCs w:val="18"/>
              </w:rPr>
              <w:t>%</w:t>
            </w:r>
          </w:p>
        </w:tc>
        <w:tc>
          <w:tcPr>
            <w:tcW w:w="1418" w:type="dxa"/>
          </w:tcPr>
          <w:p w14:paraId="7BDD0DAA" w14:textId="2FB66381"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Pr>
                <w:rFonts w:ascii="Arial" w:eastAsia="Times New Roman" w:hAnsi="Arial" w:cs="Arial"/>
                <w:color w:val="17365D" w:themeColor="text2" w:themeShade="BF"/>
                <w:sz w:val="18"/>
                <w:szCs w:val="18"/>
              </w:rPr>
              <w:t>+5.0</w:t>
            </w:r>
            <w:r w:rsidRPr="00E87888">
              <w:rPr>
                <w:rFonts w:ascii="Arial" w:eastAsia="Times New Roman" w:hAnsi="Arial" w:cs="Arial"/>
                <w:color w:val="17365D" w:themeColor="text2" w:themeShade="BF"/>
                <w:sz w:val="18"/>
                <w:szCs w:val="18"/>
              </w:rPr>
              <w:t>%</w:t>
            </w:r>
          </w:p>
        </w:tc>
        <w:tc>
          <w:tcPr>
            <w:tcW w:w="1534" w:type="dxa"/>
          </w:tcPr>
          <w:p w14:paraId="6A621F07" w14:textId="5B17D70C" w:rsidR="001729EA" w:rsidRPr="00E97D52" w:rsidRDefault="001729EA" w:rsidP="00854902">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17365D" w:themeColor="text2" w:themeShade="BF"/>
                <w:sz w:val="18"/>
                <w:szCs w:val="18"/>
              </w:rPr>
            </w:pPr>
            <w:r w:rsidRPr="00560673">
              <w:rPr>
                <w:rFonts w:ascii="Arial" w:eastAsia="Times New Roman" w:hAnsi="Arial" w:cs="Arial"/>
                <w:color w:val="17365D" w:themeColor="text2" w:themeShade="BF"/>
                <w:sz w:val="18"/>
                <w:szCs w:val="18"/>
              </w:rPr>
              <w:t>+</w:t>
            </w:r>
            <w:r>
              <w:rPr>
                <w:rFonts w:ascii="Arial" w:eastAsia="Times New Roman" w:hAnsi="Arial" w:cs="Arial"/>
                <w:color w:val="17365D" w:themeColor="text2" w:themeShade="BF"/>
                <w:sz w:val="18"/>
                <w:szCs w:val="18"/>
              </w:rPr>
              <w:t>6.6</w:t>
            </w:r>
            <w:r w:rsidRPr="00560673">
              <w:rPr>
                <w:rFonts w:ascii="Arial" w:eastAsia="Times New Roman" w:hAnsi="Arial" w:cs="Arial"/>
                <w:color w:val="17365D" w:themeColor="text2" w:themeShade="BF"/>
                <w:sz w:val="18"/>
                <w:szCs w:val="18"/>
              </w:rPr>
              <w:t>%</w:t>
            </w:r>
          </w:p>
        </w:tc>
      </w:tr>
    </w:tbl>
    <w:p w14:paraId="78D7EE32" w14:textId="77777777" w:rsidR="00D66F5A" w:rsidRPr="00D66F5A" w:rsidRDefault="00D66F5A" w:rsidP="00854902">
      <w:pPr>
        <w:pStyle w:val="NoSpacing"/>
        <w:rPr>
          <w:rFonts w:ascii="Arial" w:hAnsi="Arial" w:cs="Arial"/>
          <w:sz w:val="10"/>
          <w:szCs w:val="10"/>
        </w:rPr>
      </w:pPr>
    </w:p>
    <w:p w14:paraId="06ED6B96" w14:textId="79CE4271" w:rsidR="00854902" w:rsidRPr="005C6A11" w:rsidRDefault="00854902" w:rsidP="00854902">
      <w:pPr>
        <w:pStyle w:val="NoSpacing"/>
        <w:rPr>
          <w:rFonts w:ascii="Arial" w:hAnsi="Arial" w:cs="Arial"/>
          <w:sz w:val="16"/>
          <w:szCs w:val="16"/>
        </w:rPr>
      </w:pPr>
      <w:r w:rsidRPr="005C6A11">
        <w:rPr>
          <w:rFonts w:ascii="Arial" w:hAnsi="Arial" w:cs="Arial"/>
          <w:sz w:val="16"/>
          <w:szCs w:val="16"/>
        </w:rPr>
        <w:t xml:space="preserve">Source: IRI, </w:t>
      </w:r>
      <w:r>
        <w:rPr>
          <w:rFonts w:ascii="Arial" w:hAnsi="Arial" w:cs="Arial"/>
          <w:sz w:val="16"/>
          <w:szCs w:val="16"/>
        </w:rPr>
        <w:t xml:space="preserve">Integrated Fresh, Total </w:t>
      </w:r>
      <w:r w:rsidRPr="005C6A11">
        <w:rPr>
          <w:rFonts w:ascii="Arial" w:hAnsi="Arial" w:cs="Arial"/>
          <w:sz w:val="16"/>
          <w:szCs w:val="16"/>
        </w:rPr>
        <w:t>US, MULO, % change vs. year ago.</w:t>
      </w:r>
    </w:p>
    <w:p w14:paraId="749B805B" w14:textId="77777777" w:rsidR="00854902" w:rsidRDefault="00854902" w:rsidP="000C1222">
      <w:pPr>
        <w:pStyle w:val="NoSpacing"/>
        <w:rPr>
          <w:rFonts w:ascii="Arial" w:hAnsi="Arial" w:cs="Arial"/>
          <w:sz w:val="20"/>
          <w:szCs w:val="24"/>
        </w:rPr>
      </w:pPr>
    </w:p>
    <w:p w14:paraId="61179066" w14:textId="7D228AAA" w:rsidR="00606E2B" w:rsidRPr="00FF7558" w:rsidRDefault="00D66F5A" w:rsidP="000C1222">
      <w:pPr>
        <w:pStyle w:val="NoSpacing"/>
        <w:rPr>
          <w:rFonts w:ascii="Arial" w:hAnsi="Arial" w:cs="Arial"/>
          <w:sz w:val="20"/>
          <w:szCs w:val="24"/>
        </w:rPr>
      </w:pPr>
      <w:r>
        <w:rPr>
          <w:rFonts w:ascii="Arial" w:hAnsi="Arial" w:cs="Arial"/>
          <w:sz w:val="20"/>
          <w:szCs w:val="24"/>
        </w:rPr>
        <w:t xml:space="preserve">December was a big month for floral, with sales reaching $458 million, up 13.1% over the 2020 records. Both indoor and outdoor floral sales increased, but indoor made up the bulk of sales, at $419 million.  </w:t>
      </w:r>
      <w:r w:rsidR="00465D0F">
        <w:rPr>
          <w:rFonts w:ascii="Arial" w:hAnsi="Arial" w:cs="Arial"/>
          <w:sz w:val="20"/>
          <w:szCs w:val="24"/>
        </w:rPr>
        <w:t xml:space="preserve"> </w:t>
      </w:r>
    </w:p>
    <w:p w14:paraId="104FC1AC" w14:textId="77777777" w:rsidR="00E623A4" w:rsidRPr="00FF7558" w:rsidRDefault="00E623A4" w:rsidP="000C1222">
      <w:pPr>
        <w:pStyle w:val="NoSpacing"/>
        <w:rPr>
          <w:rFonts w:ascii="Arial" w:hAnsi="Arial" w:cs="Arial"/>
          <w:sz w:val="20"/>
          <w:szCs w:val="24"/>
        </w:rPr>
      </w:pPr>
    </w:p>
    <w:tbl>
      <w:tblPr>
        <w:tblStyle w:val="LightShading-Accent5"/>
        <w:tblW w:w="10847" w:type="dxa"/>
        <w:tblBorders>
          <w:top w:val="none" w:sz="0" w:space="0" w:color="auto"/>
          <w:bottom w:val="none" w:sz="0" w:space="0" w:color="auto"/>
        </w:tblBorders>
        <w:tblLayout w:type="fixed"/>
        <w:tblLook w:val="04A0" w:firstRow="1" w:lastRow="0" w:firstColumn="1" w:lastColumn="0" w:noHBand="0" w:noVBand="1"/>
      </w:tblPr>
      <w:tblGrid>
        <w:gridCol w:w="983"/>
        <w:gridCol w:w="985"/>
        <w:gridCol w:w="987"/>
        <w:gridCol w:w="986"/>
        <w:gridCol w:w="987"/>
        <w:gridCol w:w="987"/>
        <w:gridCol w:w="986"/>
        <w:gridCol w:w="987"/>
        <w:gridCol w:w="950"/>
        <w:gridCol w:w="1022"/>
        <w:gridCol w:w="987"/>
      </w:tblGrid>
      <w:tr w:rsidR="00706F41" w:rsidRPr="00FF7558" w14:paraId="4CB5EB58" w14:textId="77777777" w:rsidTr="00615446">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83"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EC58FEA" w14:textId="77777777" w:rsidR="00706F41" w:rsidRPr="00FF7558" w:rsidRDefault="00706F41" w:rsidP="00F103B9">
            <w:pPr>
              <w:pStyle w:val="NoSpacing"/>
              <w:jc w:val="center"/>
              <w:rPr>
                <w:rFonts w:ascii="Arial" w:hAnsi="Arial" w:cs="Arial"/>
                <w:color w:val="FFFFFF" w:themeColor="background1"/>
                <w:sz w:val="18"/>
                <w:szCs w:val="18"/>
              </w:rPr>
            </w:pPr>
          </w:p>
        </w:tc>
        <w:tc>
          <w:tcPr>
            <w:tcW w:w="985" w:type="dxa"/>
            <w:tcBorders>
              <w:top w:val="none" w:sz="0" w:space="0" w:color="auto"/>
              <w:left w:val="none" w:sz="0" w:space="0" w:color="auto"/>
              <w:bottom w:val="none" w:sz="0" w:space="0" w:color="auto"/>
              <w:right w:val="none" w:sz="0" w:space="0" w:color="auto"/>
            </w:tcBorders>
            <w:shd w:val="clear" w:color="auto" w:fill="17365D" w:themeFill="text2" w:themeFillShade="BF"/>
          </w:tcPr>
          <w:p w14:paraId="5C2EF932" w14:textId="77777777" w:rsidR="00706F41" w:rsidRPr="00FF7558" w:rsidRDefault="00706F41" w:rsidP="00CD25A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p>
        </w:tc>
        <w:tc>
          <w:tcPr>
            <w:tcW w:w="8879" w:type="dxa"/>
            <w:gridSpan w:val="9"/>
            <w:tcBorders>
              <w:top w:val="none" w:sz="0" w:space="0" w:color="auto"/>
              <w:left w:val="none" w:sz="0" w:space="0" w:color="auto"/>
              <w:bottom w:val="none" w:sz="0" w:space="0" w:color="auto"/>
              <w:right w:val="none" w:sz="0" w:space="0" w:color="auto"/>
            </w:tcBorders>
            <w:shd w:val="clear" w:color="auto" w:fill="17365D" w:themeFill="text2" w:themeFillShade="BF"/>
          </w:tcPr>
          <w:p w14:paraId="111AD04E" w14:textId="77777777" w:rsidR="00706F41" w:rsidRPr="00FF7558" w:rsidRDefault="00706F41" w:rsidP="00CD25A6">
            <w:pPr>
              <w:pStyle w:val="NoSpacing"/>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FF7558">
              <w:rPr>
                <w:rFonts w:ascii="Arial" w:hAnsi="Arial" w:cs="Arial"/>
                <w:color w:val="FFFFFF" w:themeColor="background1"/>
                <w:sz w:val="18"/>
                <w:szCs w:val="18"/>
              </w:rPr>
              <w:t>Dollar sales increase over comparable period in 2019/2020</w:t>
            </w:r>
          </w:p>
        </w:tc>
      </w:tr>
      <w:tr w:rsidR="00706F41" w:rsidRPr="00FF7558" w14:paraId="4C5B4267" w14:textId="77777777" w:rsidTr="00336C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83" w:type="dxa"/>
            <w:tcBorders>
              <w:left w:val="none" w:sz="0" w:space="0" w:color="auto"/>
              <w:right w:val="none" w:sz="0" w:space="0" w:color="auto"/>
            </w:tcBorders>
            <w:shd w:val="clear" w:color="auto" w:fill="17365D" w:themeFill="text2" w:themeFillShade="BF"/>
          </w:tcPr>
          <w:p w14:paraId="7A1272D8" w14:textId="77777777" w:rsidR="00706F41" w:rsidRPr="00FF7558" w:rsidRDefault="00706F41" w:rsidP="00F103B9">
            <w:pPr>
              <w:pStyle w:val="NoSpacing"/>
              <w:rPr>
                <w:rFonts w:ascii="Arial" w:hAnsi="Arial" w:cs="Arial"/>
                <w:color w:val="FFFFFF" w:themeColor="background1"/>
                <w:sz w:val="18"/>
                <w:szCs w:val="18"/>
              </w:rPr>
            </w:pPr>
          </w:p>
        </w:tc>
        <w:tc>
          <w:tcPr>
            <w:tcW w:w="985" w:type="dxa"/>
            <w:tcBorders>
              <w:left w:val="none" w:sz="0" w:space="0" w:color="auto"/>
              <w:right w:val="none" w:sz="0" w:space="0" w:color="auto"/>
            </w:tcBorders>
            <w:shd w:val="clear" w:color="auto" w:fill="17365D" w:themeFill="text2" w:themeFillShade="BF"/>
            <w:vAlign w:val="bottom"/>
          </w:tcPr>
          <w:p w14:paraId="30CCCD8B" w14:textId="77777777" w:rsidR="00706F41" w:rsidRPr="00FF7558" w:rsidRDefault="00706F41" w:rsidP="00706F41">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FF7558">
              <w:rPr>
                <w:rFonts w:ascii="Arial" w:hAnsi="Arial" w:cs="Arial"/>
                <w:b/>
                <w:color w:val="FFFFFF" w:themeColor="background1"/>
                <w:sz w:val="18"/>
                <w:szCs w:val="18"/>
              </w:rPr>
              <w:t>Q1 ‘20</w:t>
            </w:r>
          </w:p>
        </w:tc>
        <w:tc>
          <w:tcPr>
            <w:tcW w:w="987" w:type="dxa"/>
            <w:tcBorders>
              <w:left w:val="none" w:sz="0" w:space="0" w:color="auto"/>
              <w:right w:val="none" w:sz="0" w:space="0" w:color="auto"/>
            </w:tcBorders>
            <w:shd w:val="clear" w:color="auto" w:fill="17365D" w:themeFill="text2" w:themeFillShade="BF"/>
            <w:vAlign w:val="bottom"/>
          </w:tcPr>
          <w:p w14:paraId="3BF617C0" w14:textId="77777777" w:rsidR="00706F41" w:rsidRPr="00FF7558" w:rsidRDefault="00706F41" w:rsidP="00706F4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Q2 ‘20</w:t>
            </w:r>
          </w:p>
        </w:tc>
        <w:tc>
          <w:tcPr>
            <w:tcW w:w="986" w:type="dxa"/>
            <w:tcBorders>
              <w:left w:val="none" w:sz="0" w:space="0" w:color="auto"/>
              <w:right w:val="none" w:sz="0" w:space="0" w:color="auto"/>
            </w:tcBorders>
            <w:shd w:val="clear" w:color="auto" w:fill="17365D" w:themeFill="text2" w:themeFillShade="BF"/>
            <w:vAlign w:val="bottom"/>
          </w:tcPr>
          <w:p w14:paraId="6AF9FAD0" w14:textId="77777777" w:rsidR="00706F41" w:rsidRPr="00FF7558" w:rsidRDefault="00706F41" w:rsidP="00706F4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Q3 ‘20</w:t>
            </w:r>
          </w:p>
        </w:tc>
        <w:tc>
          <w:tcPr>
            <w:tcW w:w="987" w:type="dxa"/>
            <w:tcBorders>
              <w:left w:val="none" w:sz="0" w:space="0" w:color="auto"/>
              <w:right w:val="none" w:sz="0" w:space="0" w:color="auto"/>
            </w:tcBorders>
            <w:shd w:val="clear" w:color="auto" w:fill="17365D" w:themeFill="text2" w:themeFillShade="BF"/>
            <w:vAlign w:val="bottom"/>
          </w:tcPr>
          <w:p w14:paraId="1317E424" w14:textId="77777777" w:rsidR="00706F41" w:rsidRPr="00FF7558" w:rsidRDefault="00706F41" w:rsidP="00706F41">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Q4 ‘20</w:t>
            </w:r>
          </w:p>
        </w:tc>
        <w:tc>
          <w:tcPr>
            <w:tcW w:w="987" w:type="dxa"/>
            <w:tcBorders>
              <w:left w:val="none" w:sz="0" w:space="0" w:color="auto"/>
              <w:right w:val="none" w:sz="0" w:space="0" w:color="auto"/>
            </w:tcBorders>
            <w:shd w:val="clear" w:color="auto" w:fill="17365D" w:themeFill="text2" w:themeFillShade="BF"/>
            <w:vAlign w:val="bottom"/>
          </w:tcPr>
          <w:p w14:paraId="1698062F" w14:textId="77777777" w:rsidR="00706F41" w:rsidRPr="00FF7558" w:rsidRDefault="00706F41" w:rsidP="00706F4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Q1 ‘21</w:t>
            </w:r>
          </w:p>
        </w:tc>
        <w:tc>
          <w:tcPr>
            <w:tcW w:w="986" w:type="dxa"/>
            <w:tcBorders>
              <w:left w:val="none" w:sz="0" w:space="0" w:color="auto"/>
              <w:right w:val="none" w:sz="0" w:space="0" w:color="auto"/>
            </w:tcBorders>
            <w:shd w:val="clear" w:color="auto" w:fill="17365D" w:themeFill="text2" w:themeFillShade="BF"/>
            <w:vAlign w:val="bottom"/>
          </w:tcPr>
          <w:p w14:paraId="6131E907" w14:textId="77777777" w:rsidR="00706F41" w:rsidRPr="00FF7558" w:rsidRDefault="00706F41" w:rsidP="00706F4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Q2 ‘21</w:t>
            </w:r>
          </w:p>
        </w:tc>
        <w:tc>
          <w:tcPr>
            <w:tcW w:w="987" w:type="dxa"/>
            <w:tcBorders>
              <w:left w:val="none" w:sz="0" w:space="0" w:color="auto"/>
              <w:right w:val="none" w:sz="0" w:space="0" w:color="auto"/>
            </w:tcBorders>
            <w:shd w:val="clear" w:color="auto" w:fill="17365D" w:themeFill="text2" w:themeFillShade="BF"/>
            <w:vAlign w:val="bottom"/>
          </w:tcPr>
          <w:p w14:paraId="52C594F9" w14:textId="77777777" w:rsidR="00706F41" w:rsidRPr="00FF7558" w:rsidRDefault="00706F41" w:rsidP="00706F4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sidRPr="00FF7558">
              <w:rPr>
                <w:rFonts w:ascii="Arial" w:hAnsi="Arial" w:cs="Arial"/>
                <w:b/>
                <w:color w:val="FFFFFF" w:themeColor="background1"/>
                <w:sz w:val="18"/>
                <w:szCs w:val="18"/>
              </w:rPr>
              <w:t>Q3 ‘21</w:t>
            </w:r>
          </w:p>
        </w:tc>
        <w:tc>
          <w:tcPr>
            <w:tcW w:w="950" w:type="dxa"/>
            <w:tcBorders>
              <w:left w:val="none" w:sz="0" w:space="0" w:color="auto"/>
              <w:right w:val="none" w:sz="0" w:space="0" w:color="auto"/>
            </w:tcBorders>
            <w:shd w:val="clear" w:color="auto" w:fill="17365D" w:themeFill="text2" w:themeFillShade="BF"/>
            <w:vAlign w:val="bottom"/>
          </w:tcPr>
          <w:p w14:paraId="00F0EFB9" w14:textId="77777777" w:rsidR="00706F41" w:rsidRDefault="00706F41" w:rsidP="00706F4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Q4 ‘21</w:t>
            </w:r>
          </w:p>
        </w:tc>
        <w:tc>
          <w:tcPr>
            <w:tcW w:w="1022" w:type="dxa"/>
            <w:tcBorders>
              <w:left w:val="none" w:sz="0" w:space="0" w:color="auto"/>
              <w:right w:val="none" w:sz="0" w:space="0" w:color="auto"/>
            </w:tcBorders>
            <w:shd w:val="clear" w:color="auto" w:fill="17365D" w:themeFill="text2" w:themeFillShade="BF"/>
            <w:vAlign w:val="bottom"/>
          </w:tcPr>
          <w:p w14:paraId="362948D3" w14:textId="77777777" w:rsidR="00706F41" w:rsidRPr="00FF7558" w:rsidRDefault="00706F41" w:rsidP="00706F4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Dec 2021</w:t>
            </w:r>
          </w:p>
        </w:tc>
        <w:tc>
          <w:tcPr>
            <w:tcW w:w="987" w:type="dxa"/>
            <w:tcBorders>
              <w:left w:val="none" w:sz="0" w:space="0" w:color="auto"/>
              <w:right w:val="none" w:sz="0" w:space="0" w:color="auto"/>
            </w:tcBorders>
            <w:shd w:val="clear" w:color="auto" w:fill="17365D" w:themeFill="text2" w:themeFillShade="BF"/>
            <w:vAlign w:val="bottom"/>
          </w:tcPr>
          <w:p w14:paraId="68DB9E78" w14:textId="77777777" w:rsidR="00706F41" w:rsidRPr="00FF7558" w:rsidRDefault="00706F41" w:rsidP="00706F41">
            <w:pPr>
              <w:pStyle w:val="NoSpacing"/>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 vs. YA</w:t>
            </w:r>
          </w:p>
        </w:tc>
      </w:tr>
      <w:tr w:rsidR="00706F41" w:rsidRPr="00FF7558" w14:paraId="4638BFAC" w14:textId="77777777" w:rsidTr="00336C30">
        <w:trPr>
          <w:trHeight w:val="144"/>
        </w:trPr>
        <w:tc>
          <w:tcPr>
            <w:cnfStyle w:val="001000000000" w:firstRow="0" w:lastRow="0" w:firstColumn="1" w:lastColumn="0" w:oddVBand="0" w:evenVBand="0" w:oddHBand="0" w:evenHBand="0" w:firstRowFirstColumn="0" w:firstRowLastColumn="0" w:lastRowFirstColumn="0" w:lastRowLastColumn="0"/>
            <w:tcW w:w="983" w:type="dxa"/>
            <w:vAlign w:val="center"/>
          </w:tcPr>
          <w:p w14:paraId="640F36F8" w14:textId="77777777" w:rsidR="00706F41" w:rsidRPr="00FF7558" w:rsidRDefault="00706F41" w:rsidP="00606E2B">
            <w:pPr>
              <w:pStyle w:val="NoSpacing"/>
              <w:jc w:val="right"/>
              <w:rPr>
                <w:rFonts w:ascii="Arial" w:hAnsi="Arial" w:cs="Arial"/>
                <w:color w:val="215868" w:themeColor="accent5" w:themeShade="80"/>
                <w:sz w:val="18"/>
                <w:szCs w:val="18"/>
              </w:rPr>
            </w:pPr>
            <w:r w:rsidRPr="00FF7558">
              <w:rPr>
                <w:rFonts w:ascii="Arial" w:hAnsi="Arial" w:cs="Arial"/>
                <w:color w:val="215868" w:themeColor="accent5" w:themeShade="80"/>
                <w:sz w:val="18"/>
                <w:szCs w:val="18"/>
              </w:rPr>
              <w:t>Floral</w:t>
            </w:r>
          </w:p>
        </w:tc>
        <w:tc>
          <w:tcPr>
            <w:tcW w:w="985" w:type="dxa"/>
            <w:vAlign w:val="center"/>
          </w:tcPr>
          <w:p w14:paraId="36BCA1DC" w14:textId="77777777" w:rsidR="00706F41" w:rsidRDefault="00706F41"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0%</w:t>
            </w:r>
          </w:p>
        </w:tc>
        <w:tc>
          <w:tcPr>
            <w:tcW w:w="987" w:type="dxa"/>
            <w:vAlign w:val="center"/>
          </w:tcPr>
          <w:p w14:paraId="7D9A3F9F" w14:textId="77777777" w:rsidR="00706F41" w:rsidRDefault="00706F41"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-3%</w:t>
            </w:r>
          </w:p>
        </w:tc>
        <w:tc>
          <w:tcPr>
            <w:tcW w:w="986" w:type="dxa"/>
            <w:vAlign w:val="center"/>
          </w:tcPr>
          <w:p w14:paraId="2187BAA3" w14:textId="6A6328BA"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w:t>
            </w:r>
            <w:r w:rsidR="00706F41">
              <w:rPr>
                <w:rFonts w:ascii="Arial" w:hAnsi="Arial" w:cs="Arial"/>
                <w:b/>
                <w:bCs/>
                <w:color w:val="215868"/>
                <w:sz w:val="18"/>
                <w:szCs w:val="18"/>
              </w:rPr>
              <w:t>16%</w:t>
            </w:r>
          </w:p>
        </w:tc>
        <w:tc>
          <w:tcPr>
            <w:tcW w:w="987" w:type="dxa"/>
            <w:vAlign w:val="center"/>
          </w:tcPr>
          <w:p w14:paraId="6F0FCD10" w14:textId="4BEED3CA"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w:t>
            </w:r>
            <w:r w:rsidR="00706F41">
              <w:rPr>
                <w:rFonts w:ascii="Arial" w:hAnsi="Arial" w:cs="Arial"/>
                <w:b/>
                <w:bCs/>
                <w:color w:val="215868"/>
                <w:sz w:val="18"/>
                <w:szCs w:val="18"/>
              </w:rPr>
              <w:t>14%</w:t>
            </w:r>
          </w:p>
        </w:tc>
        <w:tc>
          <w:tcPr>
            <w:tcW w:w="987" w:type="dxa"/>
            <w:vAlign w:val="center"/>
          </w:tcPr>
          <w:p w14:paraId="4C3AD473" w14:textId="7666BECC"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w:t>
            </w:r>
            <w:r w:rsidR="00706F41">
              <w:rPr>
                <w:rFonts w:ascii="Arial" w:hAnsi="Arial" w:cs="Arial"/>
                <w:b/>
                <w:bCs/>
                <w:color w:val="215868"/>
                <w:sz w:val="18"/>
                <w:szCs w:val="18"/>
              </w:rPr>
              <w:t>27%</w:t>
            </w:r>
          </w:p>
        </w:tc>
        <w:tc>
          <w:tcPr>
            <w:tcW w:w="986" w:type="dxa"/>
            <w:vAlign w:val="center"/>
          </w:tcPr>
          <w:p w14:paraId="07F52083" w14:textId="5BB4595E"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w:t>
            </w:r>
            <w:r w:rsidR="00706F41">
              <w:rPr>
                <w:rFonts w:ascii="Arial" w:hAnsi="Arial" w:cs="Arial"/>
                <w:b/>
                <w:bCs/>
                <w:color w:val="215868"/>
                <w:sz w:val="18"/>
                <w:szCs w:val="18"/>
              </w:rPr>
              <w:t>28%</w:t>
            </w:r>
          </w:p>
        </w:tc>
        <w:tc>
          <w:tcPr>
            <w:tcW w:w="987" w:type="dxa"/>
            <w:vAlign w:val="center"/>
          </w:tcPr>
          <w:p w14:paraId="61ED082C" w14:textId="358BC891"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w:t>
            </w:r>
            <w:r w:rsidR="00706F41">
              <w:rPr>
                <w:rFonts w:ascii="Arial" w:hAnsi="Arial" w:cs="Arial"/>
                <w:b/>
                <w:bCs/>
                <w:color w:val="215868"/>
                <w:sz w:val="18"/>
                <w:szCs w:val="18"/>
              </w:rPr>
              <w:t>19%</w:t>
            </w:r>
          </w:p>
        </w:tc>
        <w:tc>
          <w:tcPr>
            <w:tcW w:w="950" w:type="dxa"/>
            <w:vAlign w:val="center"/>
          </w:tcPr>
          <w:p w14:paraId="5D5F5DDE" w14:textId="3E355600" w:rsidR="00706F41" w:rsidRPr="00FF7558"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+18.3%</w:t>
            </w:r>
          </w:p>
        </w:tc>
        <w:tc>
          <w:tcPr>
            <w:tcW w:w="1022" w:type="dxa"/>
            <w:vAlign w:val="center"/>
          </w:tcPr>
          <w:p w14:paraId="2EA0FE58" w14:textId="6354BB03" w:rsidR="00706F41" w:rsidRPr="00FF7558" w:rsidRDefault="00706F41"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sidRPr="00FF7558">
              <w:rPr>
                <w:rFonts w:ascii="Arial" w:hAnsi="Arial" w:cs="Arial"/>
                <w:bCs/>
                <w:color w:val="215868" w:themeColor="accent5" w:themeShade="80"/>
                <w:sz w:val="18"/>
                <w:szCs w:val="18"/>
              </w:rPr>
              <w:t>$</w:t>
            </w:r>
            <w:r w:rsidR="00336C30">
              <w:rPr>
                <w:rFonts w:ascii="Arial" w:hAnsi="Arial" w:cs="Arial"/>
                <w:bCs/>
                <w:color w:val="215868" w:themeColor="accent5" w:themeShade="80"/>
                <w:sz w:val="18"/>
                <w:szCs w:val="18"/>
              </w:rPr>
              <w:t>458</w:t>
            </w:r>
            <w:r>
              <w:rPr>
                <w:rFonts w:ascii="Arial" w:hAnsi="Arial" w:cs="Arial"/>
                <w:bCs/>
                <w:color w:val="215868" w:themeColor="accent5" w:themeShade="80"/>
                <w:sz w:val="18"/>
                <w:szCs w:val="18"/>
              </w:rPr>
              <w:t>M</w:t>
            </w:r>
          </w:p>
        </w:tc>
        <w:tc>
          <w:tcPr>
            <w:tcW w:w="987" w:type="dxa"/>
            <w:vAlign w:val="center"/>
          </w:tcPr>
          <w:p w14:paraId="714A30A3" w14:textId="1252DAE8" w:rsidR="00706F41" w:rsidRPr="00FF7558" w:rsidRDefault="00706F41"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Cs/>
                <w:color w:val="215868" w:themeColor="accent5" w:themeShade="80"/>
                <w:sz w:val="18"/>
                <w:szCs w:val="18"/>
              </w:rPr>
            </w:pPr>
            <w:r>
              <w:rPr>
                <w:rFonts w:ascii="Arial" w:hAnsi="Arial" w:cs="Arial"/>
                <w:bCs/>
                <w:color w:val="215868" w:themeColor="accent5" w:themeShade="80"/>
                <w:sz w:val="18"/>
                <w:szCs w:val="18"/>
              </w:rPr>
              <w:t>+</w:t>
            </w:r>
            <w:r w:rsidR="00336C30">
              <w:rPr>
                <w:rFonts w:ascii="Arial" w:hAnsi="Arial" w:cs="Arial"/>
                <w:bCs/>
                <w:color w:val="215868" w:themeColor="accent5" w:themeShade="80"/>
                <w:sz w:val="18"/>
                <w:szCs w:val="18"/>
              </w:rPr>
              <w:t>13.1</w:t>
            </w:r>
            <w:r w:rsidRPr="00FF7558">
              <w:rPr>
                <w:rFonts w:ascii="Arial" w:hAnsi="Arial" w:cs="Arial"/>
                <w:bCs/>
                <w:color w:val="215868" w:themeColor="accent5" w:themeShade="80"/>
                <w:sz w:val="18"/>
                <w:szCs w:val="18"/>
              </w:rPr>
              <w:t>%</w:t>
            </w:r>
          </w:p>
        </w:tc>
      </w:tr>
      <w:tr w:rsidR="00706F41" w:rsidRPr="00606E2B" w14:paraId="2EB4EF78" w14:textId="77777777" w:rsidTr="00336C30">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983" w:type="dxa"/>
            <w:tcBorders>
              <w:left w:val="none" w:sz="0" w:space="0" w:color="auto"/>
              <w:right w:val="none" w:sz="0" w:space="0" w:color="auto"/>
            </w:tcBorders>
            <w:vAlign w:val="center"/>
          </w:tcPr>
          <w:p w14:paraId="0A1DF70A" w14:textId="77777777" w:rsidR="00706F41" w:rsidRPr="00606E2B" w:rsidRDefault="00706F41" w:rsidP="00606E2B">
            <w:pPr>
              <w:pStyle w:val="NoSpacing"/>
              <w:jc w:val="right"/>
              <w:rPr>
                <w:rFonts w:ascii="Arial" w:hAnsi="Arial" w:cs="Arial"/>
                <w:b w:val="0"/>
                <w:bCs w:val="0"/>
                <w:color w:val="215868" w:themeColor="accent5" w:themeShade="80"/>
                <w:sz w:val="18"/>
                <w:szCs w:val="18"/>
              </w:rPr>
            </w:pPr>
            <w:r w:rsidRPr="00606E2B">
              <w:rPr>
                <w:rFonts w:ascii="Arial" w:hAnsi="Arial" w:cs="Arial"/>
                <w:b w:val="0"/>
                <w:bCs w:val="0"/>
                <w:color w:val="215868" w:themeColor="accent5" w:themeShade="80"/>
                <w:sz w:val="18"/>
                <w:szCs w:val="18"/>
              </w:rPr>
              <w:t>Indoor</w:t>
            </w:r>
          </w:p>
        </w:tc>
        <w:tc>
          <w:tcPr>
            <w:tcW w:w="985" w:type="dxa"/>
            <w:tcBorders>
              <w:left w:val="none" w:sz="0" w:space="0" w:color="auto"/>
              <w:right w:val="none" w:sz="0" w:space="0" w:color="auto"/>
            </w:tcBorders>
            <w:vAlign w:val="center"/>
          </w:tcPr>
          <w:p w14:paraId="3A9AEE09" w14:textId="77777777" w:rsidR="00706F41" w:rsidRDefault="00706F41"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0%</w:t>
            </w:r>
          </w:p>
        </w:tc>
        <w:tc>
          <w:tcPr>
            <w:tcW w:w="987" w:type="dxa"/>
            <w:tcBorders>
              <w:left w:val="none" w:sz="0" w:space="0" w:color="auto"/>
              <w:right w:val="none" w:sz="0" w:space="0" w:color="auto"/>
            </w:tcBorders>
            <w:vAlign w:val="center"/>
          </w:tcPr>
          <w:p w14:paraId="64AA99F9" w14:textId="77777777" w:rsidR="00706F41" w:rsidRDefault="00706F41"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-8%</w:t>
            </w:r>
          </w:p>
        </w:tc>
        <w:tc>
          <w:tcPr>
            <w:tcW w:w="986" w:type="dxa"/>
            <w:tcBorders>
              <w:left w:val="none" w:sz="0" w:space="0" w:color="auto"/>
              <w:right w:val="none" w:sz="0" w:space="0" w:color="auto"/>
            </w:tcBorders>
            <w:vAlign w:val="center"/>
          </w:tcPr>
          <w:p w14:paraId="7FE1C2F7" w14:textId="791E587C" w:rsidR="00706F41" w:rsidRDefault="00336C30"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19%</w:t>
            </w:r>
          </w:p>
        </w:tc>
        <w:tc>
          <w:tcPr>
            <w:tcW w:w="987" w:type="dxa"/>
            <w:tcBorders>
              <w:left w:val="none" w:sz="0" w:space="0" w:color="auto"/>
              <w:right w:val="none" w:sz="0" w:space="0" w:color="auto"/>
            </w:tcBorders>
            <w:vAlign w:val="center"/>
          </w:tcPr>
          <w:p w14:paraId="130171F3" w14:textId="243FC8D9" w:rsidR="00706F41" w:rsidRDefault="00336C30"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16%</w:t>
            </w:r>
          </w:p>
        </w:tc>
        <w:tc>
          <w:tcPr>
            <w:tcW w:w="987" w:type="dxa"/>
            <w:tcBorders>
              <w:left w:val="none" w:sz="0" w:space="0" w:color="auto"/>
              <w:right w:val="none" w:sz="0" w:space="0" w:color="auto"/>
            </w:tcBorders>
            <w:vAlign w:val="center"/>
          </w:tcPr>
          <w:p w14:paraId="397D2044" w14:textId="5EB299CF" w:rsidR="00706F41" w:rsidRDefault="00336C30"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26%</w:t>
            </w:r>
          </w:p>
        </w:tc>
        <w:tc>
          <w:tcPr>
            <w:tcW w:w="986" w:type="dxa"/>
            <w:tcBorders>
              <w:left w:val="none" w:sz="0" w:space="0" w:color="auto"/>
              <w:right w:val="none" w:sz="0" w:space="0" w:color="auto"/>
            </w:tcBorders>
            <w:vAlign w:val="center"/>
          </w:tcPr>
          <w:p w14:paraId="104B91E5" w14:textId="30D5631C" w:rsidR="00706F41" w:rsidRDefault="00336C30"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40%</w:t>
            </w:r>
          </w:p>
        </w:tc>
        <w:tc>
          <w:tcPr>
            <w:tcW w:w="987" w:type="dxa"/>
            <w:tcBorders>
              <w:left w:val="none" w:sz="0" w:space="0" w:color="auto"/>
              <w:right w:val="none" w:sz="0" w:space="0" w:color="auto"/>
            </w:tcBorders>
            <w:vAlign w:val="center"/>
          </w:tcPr>
          <w:p w14:paraId="3E28B2B7" w14:textId="4E9A2E0E" w:rsidR="00706F41" w:rsidRDefault="00336C30"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20%</w:t>
            </w:r>
          </w:p>
        </w:tc>
        <w:tc>
          <w:tcPr>
            <w:tcW w:w="950" w:type="dxa"/>
            <w:tcBorders>
              <w:left w:val="none" w:sz="0" w:space="0" w:color="auto"/>
              <w:right w:val="none" w:sz="0" w:space="0" w:color="auto"/>
            </w:tcBorders>
            <w:vAlign w:val="center"/>
          </w:tcPr>
          <w:p w14:paraId="3A5CFCFC" w14:textId="46073666" w:rsidR="00706F41" w:rsidRDefault="00336C30"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+18.5%</w:t>
            </w:r>
          </w:p>
        </w:tc>
        <w:tc>
          <w:tcPr>
            <w:tcW w:w="1022" w:type="dxa"/>
            <w:tcBorders>
              <w:left w:val="none" w:sz="0" w:space="0" w:color="auto"/>
              <w:right w:val="none" w:sz="0" w:space="0" w:color="auto"/>
            </w:tcBorders>
            <w:vAlign w:val="center"/>
          </w:tcPr>
          <w:p w14:paraId="1C62159B" w14:textId="78E650AF" w:rsidR="00706F41" w:rsidRPr="00606E2B" w:rsidRDefault="00706F41"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336C30">
              <w:rPr>
                <w:rFonts w:ascii="Arial" w:hAnsi="Arial" w:cs="Arial"/>
                <w:color w:val="215868" w:themeColor="accent5" w:themeShade="80"/>
                <w:sz w:val="18"/>
                <w:szCs w:val="18"/>
              </w:rPr>
              <w:t>419</w:t>
            </w:r>
            <w:r>
              <w:rPr>
                <w:rFonts w:ascii="Arial" w:hAnsi="Arial" w:cs="Arial"/>
                <w:color w:val="215868" w:themeColor="accent5" w:themeShade="80"/>
                <w:sz w:val="18"/>
                <w:szCs w:val="18"/>
              </w:rPr>
              <w:t>M</w:t>
            </w:r>
          </w:p>
        </w:tc>
        <w:tc>
          <w:tcPr>
            <w:tcW w:w="987" w:type="dxa"/>
            <w:tcBorders>
              <w:left w:val="none" w:sz="0" w:space="0" w:color="auto"/>
              <w:right w:val="none" w:sz="0" w:space="0" w:color="auto"/>
            </w:tcBorders>
            <w:vAlign w:val="center"/>
          </w:tcPr>
          <w:p w14:paraId="79E3AEC7" w14:textId="3A2C1B8F" w:rsidR="00706F41" w:rsidRPr="00606E2B" w:rsidRDefault="00706F41" w:rsidP="00706F41">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336C30">
              <w:rPr>
                <w:rFonts w:ascii="Arial" w:hAnsi="Arial" w:cs="Arial"/>
                <w:color w:val="215868" w:themeColor="accent5" w:themeShade="80"/>
                <w:sz w:val="18"/>
                <w:szCs w:val="18"/>
              </w:rPr>
              <w:t>13.0</w:t>
            </w:r>
            <w:r>
              <w:rPr>
                <w:rFonts w:ascii="Arial" w:hAnsi="Arial" w:cs="Arial"/>
                <w:color w:val="215868" w:themeColor="accent5" w:themeShade="80"/>
                <w:sz w:val="18"/>
                <w:szCs w:val="18"/>
              </w:rPr>
              <w:t>%</w:t>
            </w:r>
          </w:p>
        </w:tc>
      </w:tr>
      <w:tr w:rsidR="00706F41" w:rsidRPr="00606E2B" w14:paraId="4162AA11" w14:textId="77777777" w:rsidTr="00336C30">
        <w:trPr>
          <w:trHeight w:val="144"/>
        </w:trPr>
        <w:tc>
          <w:tcPr>
            <w:cnfStyle w:val="001000000000" w:firstRow="0" w:lastRow="0" w:firstColumn="1" w:lastColumn="0" w:oddVBand="0" w:evenVBand="0" w:oddHBand="0" w:evenHBand="0" w:firstRowFirstColumn="0" w:firstRowLastColumn="0" w:lastRowFirstColumn="0" w:lastRowLastColumn="0"/>
            <w:tcW w:w="983" w:type="dxa"/>
            <w:vAlign w:val="center"/>
          </w:tcPr>
          <w:p w14:paraId="6E53AD13" w14:textId="77777777" w:rsidR="00706F41" w:rsidRPr="00606E2B" w:rsidRDefault="00706F41" w:rsidP="00606E2B">
            <w:pPr>
              <w:pStyle w:val="NoSpacing"/>
              <w:jc w:val="right"/>
              <w:rPr>
                <w:rFonts w:ascii="Arial" w:hAnsi="Arial" w:cs="Arial"/>
                <w:b w:val="0"/>
                <w:bCs w:val="0"/>
                <w:color w:val="215868" w:themeColor="accent5" w:themeShade="80"/>
                <w:sz w:val="18"/>
                <w:szCs w:val="18"/>
              </w:rPr>
            </w:pPr>
            <w:r w:rsidRPr="00606E2B">
              <w:rPr>
                <w:rFonts w:ascii="Arial" w:hAnsi="Arial" w:cs="Arial"/>
                <w:b w:val="0"/>
                <w:bCs w:val="0"/>
                <w:color w:val="215868" w:themeColor="accent5" w:themeShade="80"/>
                <w:sz w:val="18"/>
                <w:szCs w:val="18"/>
              </w:rPr>
              <w:t>Outdoor</w:t>
            </w:r>
          </w:p>
        </w:tc>
        <w:tc>
          <w:tcPr>
            <w:tcW w:w="985" w:type="dxa"/>
            <w:vAlign w:val="center"/>
          </w:tcPr>
          <w:p w14:paraId="1B23B3FB" w14:textId="77777777" w:rsidR="00706F41" w:rsidRDefault="00706F41"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b/>
                <w:bCs/>
                <w:color w:val="215868"/>
                <w:sz w:val="18"/>
                <w:szCs w:val="18"/>
              </w:rPr>
            </w:pPr>
            <w:r>
              <w:rPr>
                <w:rFonts w:ascii="Arial" w:hAnsi="Arial" w:cs="Arial"/>
                <w:b/>
                <w:bCs/>
                <w:color w:val="215868"/>
                <w:sz w:val="18"/>
                <w:szCs w:val="18"/>
              </w:rPr>
              <w:t>-3%</w:t>
            </w:r>
          </w:p>
        </w:tc>
        <w:tc>
          <w:tcPr>
            <w:tcW w:w="987" w:type="dxa"/>
            <w:vAlign w:val="center"/>
          </w:tcPr>
          <w:p w14:paraId="43BC643F" w14:textId="2587EB86"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7%</w:t>
            </w:r>
          </w:p>
        </w:tc>
        <w:tc>
          <w:tcPr>
            <w:tcW w:w="986" w:type="dxa"/>
            <w:vAlign w:val="center"/>
          </w:tcPr>
          <w:p w14:paraId="2D5EAA57" w14:textId="1C3582FD"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1%</w:t>
            </w:r>
          </w:p>
        </w:tc>
        <w:tc>
          <w:tcPr>
            <w:tcW w:w="987" w:type="dxa"/>
            <w:vAlign w:val="center"/>
          </w:tcPr>
          <w:p w14:paraId="23B9A333" w14:textId="3E08E5DA"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2%</w:t>
            </w:r>
          </w:p>
        </w:tc>
        <w:tc>
          <w:tcPr>
            <w:tcW w:w="987" w:type="dxa"/>
            <w:vAlign w:val="center"/>
          </w:tcPr>
          <w:p w14:paraId="23B69BF8" w14:textId="04C3843A"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35%</w:t>
            </w:r>
          </w:p>
        </w:tc>
        <w:tc>
          <w:tcPr>
            <w:tcW w:w="986" w:type="dxa"/>
            <w:vAlign w:val="center"/>
          </w:tcPr>
          <w:p w14:paraId="2F8A34AA" w14:textId="0547FB99"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7%</w:t>
            </w:r>
          </w:p>
        </w:tc>
        <w:tc>
          <w:tcPr>
            <w:tcW w:w="987" w:type="dxa"/>
            <w:vAlign w:val="center"/>
          </w:tcPr>
          <w:p w14:paraId="641320BE" w14:textId="0BE59E97"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sz w:val="18"/>
                <w:szCs w:val="18"/>
              </w:rPr>
            </w:pPr>
            <w:r>
              <w:rPr>
                <w:rFonts w:ascii="Arial" w:hAnsi="Arial" w:cs="Arial"/>
                <w:color w:val="215868"/>
                <w:sz w:val="18"/>
                <w:szCs w:val="18"/>
              </w:rPr>
              <w:t>+</w:t>
            </w:r>
            <w:r w:rsidR="00706F41">
              <w:rPr>
                <w:rFonts w:ascii="Arial" w:hAnsi="Arial" w:cs="Arial"/>
                <w:color w:val="215868"/>
                <w:sz w:val="18"/>
                <w:szCs w:val="18"/>
              </w:rPr>
              <w:t>16%</w:t>
            </w:r>
          </w:p>
        </w:tc>
        <w:tc>
          <w:tcPr>
            <w:tcW w:w="950" w:type="dxa"/>
            <w:vAlign w:val="center"/>
          </w:tcPr>
          <w:p w14:paraId="4CDC01B3" w14:textId="15457AE2" w:rsidR="00706F41"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+16.8%</w:t>
            </w:r>
          </w:p>
        </w:tc>
        <w:tc>
          <w:tcPr>
            <w:tcW w:w="1022" w:type="dxa"/>
            <w:vAlign w:val="center"/>
          </w:tcPr>
          <w:p w14:paraId="2F3A005A" w14:textId="6FE4F320" w:rsidR="00706F41" w:rsidRPr="00606E2B" w:rsidRDefault="00706F41"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w:t>
            </w:r>
            <w:r w:rsidR="00336C30">
              <w:rPr>
                <w:rFonts w:ascii="Arial" w:hAnsi="Arial" w:cs="Arial"/>
                <w:color w:val="215868" w:themeColor="accent5" w:themeShade="80"/>
                <w:sz w:val="18"/>
                <w:szCs w:val="18"/>
              </w:rPr>
              <w:t>38</w:t>
            </w:r>
            <w:r>
              <w:rPr>
                <w:rFonts w:ascii="Arial" w:hAnsi="Arial" w:cs="Arial"/>
                <w:color w:val="215868" w:themeColor="accent5" w:themeShade="80"/>
                <w:sz w:val="18"/>
                <w:szCs w:val="18"/>
              </w:rPr>
              <w:t>M</w:t>
            </w:r>
          </w:p>
        </w:tc>
        <w:tc>
          <w:tcPr>
            <w:tcW w:w="987" w:type="dxa"/>
            <w:vAlign w:val="center"/>
          </w:tcPr>
          <w:p w14:paraId="5F2C4BBE" w14:textId="216FF0BA" w:rsidR="00706F41" w:rsidRPr="00606E2B" w:rsidRDefault="00336C30" w:rsidP="00706F41">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215868" w:themeColor="accent5" w:themeShade="80"/>
                <w:sz w:val="18"/>
                <w:szCs w:val="18"/>
              </w:rPr>
            </w:pPr>
            <w:r>
              <w:rPr>
                <w:rFonts w:ascii="Arial" w:hAnsi="Arial" w:cs="Arial"/>
                <w:color w:val="215868" w:themeColor="accent5" w:themeShade="80"/>
                <w:sz w:val="18"/>
                <w:szCs w:val="18"/>
              </w:rPr>
              <w:t>+14.0</w:t>
            </w:r>
            <w:r w:rsidR="00706F41">
              <w:rPr>
                <w:rFonts w:ascii="Arial" w:hAnsi="Arial" w:cs="Arial"/>
                <w:color w:val="215868" w:themeColor="accent5" w:themeShade="80"/>
                <w:sz w:val="18"/>
                <w:szCs w:val="18"/>
              </w:rPr>
              <w:t>%</w:t>
            </w:r>
          </w:p>
        </w:tc>
      </w:tr>
    </w:tbl>
    <w:p w14:paraId="75288903" w14:textId="77777777" w:rsidR="00D66F5A" w:rsidRPr="00D66F5A" w:rsidRDefault="00D66F5A" w:rsidP="00207525">
      <w:pPr>
        <w:pStyle w:val="NoSpacing"/>
        <w:rPr>
          <w:rFonts w:ascii="Arial" w:hAnsi="Arial" w:cs="Arial"/>
          <w:sz w:val="10"/>
          <w:szCs w:val="10"/>
        </w:rPr>
      </w:pPr>
    </w:p>
    <w:p w14:paraId="39A3D714" w14:textId="088B3212" w:rsidR="00563A06" w:rsidRDefault="000C1222" w:rsidP="00207525">
      <w:pPr>
        <w:pStyle w:val="NoSpacing"/>
        <w:rPr>
          <w:rFonts w:ascii="Arial" w:hAnsi="Arial" w:cs="Arial"/>
          <w:b/>
          <w:color w:val="595959" w:themeColor="text1" w:themeTint="A6"/>
          <w:sz w:val="24"/>
          <w:szCs w:val="24"/>
        </w:rPr>
      </w:pPr>
      <w:r w:rsidRPr="00FF7558">
        <w:rPr>
          <w:rFonts w:ascii="Arial" w:hAnsi="Arial" w:cs="Arial"/>
          <w:sz w:val="16"/>
          <w:szCs w:val="16"/>
        </w:rPr>
        <w:t>Source: IRI Integrated Fresh, Total U.S., MULO</w:t>
      </w:r>
      <w:r w:rsidR="00AE2AA0" w:rsidRPr="00FF7558">
        <w:rPr>
          <w:rFonts w:ascii="Arial" w:hAnsi="Arial" w:cs="Arial"/>
          <w:sz w:val="16"/>
          <w:szCs w:val="16"/>
        </w:rPr>
        <w:t xml:space="preserve"> </w:t>
      </w:r>
      <w:bookmarkEnd w:id="1"/>
      <w:r w:rsidR="00207525">
        <w:rPr>
          <w:rFonts w:ascii="Arial" w:hAnsi="Arial" w:cs="Arial"/>
          <w:sz w:val="16"/>
          <w:szCs w:val="16"/>
        </w:rPr>
        <w:br/>
      </w:r>
    </w:p>
    <w:p w14:paraId="5D7EEE69" w14:textId="38AB303E" w:rsidR="00465D0F" w:rsidRPr="00D66F5A" w:rsidRDefault="00465D0F" w:rsidP="00465D0F">
      <w:pPr>
        <w:pStyle w:val="NoSpacing"/>
        <w:rPr>
          <w:rFonts w:ascii="Arial" w:hAnsi="Arial" w:cs="Arial"/>
          <w:sz w:val="20"/>
          <w:szCs w:val="20"/>
        </w:rPr>
      </w:pPr>
      <w:r w:rsidRPr="00D66F5A">
        <w:rPr>
          <w:rFonts w:ascii="Arial" w:hAnsi="Arial" w:cs="Arial"/>
          <w:sz w:val="20"/>
          <w:szCs w:val="20"/>
        </w:rPr>
        <w:lastRenderedPageBreak/>
        <w:t xml:space="preserve">The top </w:t>
      </w:r>
      <w:r w:rsidR="00581E1C" w:rsidRPr="00D66F5A">
        <w:rPr>
          <w:rFonts w:ascii="Arial" w:hAnsi="Arial" w:cs="Arial"/>
          <w:sz w:val="20"/>
          <w:szCs w:val="20"/>
        </w:rPr>
        <w:t xml:space="preserve">three </w:t>
      </w:r>
      <w:r w:rsidRPr="00D66F5A">
        <w:rPr>
          <w:rFonts w:ascii="Arial" w:hAnsi="Arial" w:cs="Arial"/>
          <w:sz w:val="20"/>
          <w:szCs w:val="20"/>
        </w:rPr>
        <w:t>biggest</w:t>
      </w:r>
      <w:r w:rsidR="00581E1C" w:rsidRPr="00D66F5A">
        <w:rPr>
          <w:rFonts w:ascii="Arial" w:hAnsi="Arial" w:cs="Arial"/>
          <w:sz w:val="20"/>
          <w:szCs w:val="20"/>
        </w:rPr>
        <w:t xml:space="preserve"> sellers this month were potted plants, roses</w:t>
      </w:r>
      <w:r w:rsidR="00D66F5A" w:rsidRPr="00D66F5A">
        <w:rPr>
          <w:rFonts w:ascii="Arial" w:hAnsi="Arial" w:cs="Arial"/>
          <w:sz w:val="20"/>
          <w:szCs w:val="20"/>
        </w:rPr>
        <w:t xml:space="preserve"> and bouquets</w:t>
      </w:r>
      <w:r w:rsidR="00581E1C" w:rsidRPr="00D66F5A">
        <w:rPr>
          <w:rFonts w:ascii="Arial" w:hAnsi="Arial" w:cs="Arial"/>
          <w:sz w:val="20"/>
          <w:szCs w:val="20"/>
        </w:rPr>
        <w:t xml:space="preserve">. </w:t>
      </w:r>
      <w:r w:rsidR="00F27029" w:rsidRPr="00D66F5A">
        <w:rPr>
          <w:rFonts w:ascii="Arial" w:hAnsi="Arial" w:cs="Arial"/>
          <w:sz w:val="20"/>
          <w:szCs w:val="20"/>
        </w:rPr>
        <w:t xml:space="preserve">Growth for roses </w:t>
      </w:r>
      <w:r w:rsidR="003D37B7">
        <w:rPr>
          <w:rFonts w:ascii="Arial" w:hAnsi="Arial" w:cs="Arial"/>
          <w:sz w:val="20"/>
          <w:szCs w:val="20"/>
        </w:rPr>
        <w:t>wa</w:t>
      </w:r>
      <w:r w:rsidR="00F27029" w:rsidRPr="00D66F5A">
        <w:rPr>
          <w:rFonts w:ascii="Arial" w:hAnsi="Arial" w:cs="Arial"/>
          <w:sz w:val="20"/>
          <w:szCs w:val="20"/>
        </w:rPr>
        <w:t xml:space="preserve">s still upwards of </w:t>
      </w:r>
      <w:r w:rsidR="00F153CA" w:rsidRPr="00D66F5A">
        <w:rPr>
          <w:rFonts w:ascii="Arial" w:hAnsi="Arial" w:cs="Arial"/>
          <w:sz w:val="20"/>
          <w:szCs w:val="20"/>
        </w:rPr>
        <w:t xml:space="preserve">24% versus year ago and sales </w:t>
      </w:r>
      <w:r w:rsidR="003D37B7">
        <w:rPr>
          <w:rFonts w:ascii="Arial" w:hAnsi="Arial" w:cs="Arial"/>
          <w:sz w:val="20"/>
          <w:szCs w:val="20"/>
        </w:rPr>
        <w:t>we</w:t>
      </w:r>
      <w:r w:rsidR="00F153CA" w:rsidRPr="00D66F5A">
        <w:rPr>
          <w:rFonts w:ascii="Arial" w:hAnsi="Arial" w:cs="Arial"/>
          <w:sz w:val="20"/>
          <w:szCs w:val="20"/>
        </w:rPr>
        <w:t xml:space="preserve">re up an astounding </w:t>
      </w:r>
      <w:r w:rsidR="003D37B7">
        <w:rPr>
          <w:rFonts w:ascii="Arial" w:hAnsi="Arial" w:cs="Arial"/>
          <w:sz w:val="20"/>
          <w:szCs w:val="20"/>
        </w:rPr>
        <w:t>43</w:t>
      </w:r>
      <w:r w:rsidR="00F153CA" w:rsidRPr="00D66F5A">
        <w:rPr>
          <w:rFonts w:ascii="Arial" w:hAnsi="Arial" w:cs="Arial"/>
          <w:sz w:val="20"/>
          <w:szCs w:val="20"/>
        </w:rPr>
        <w:t xml:space="preserve">% versus 2019. Unit sales for roses </w:t>
      </w:r>
      <w:r w:rsidR="003D37B7">
        <w:rPr>
          <w:rFonts w:ascii="Arial" w:hAnsi="Arial" w:cs="Arial"/>
          <w:sz w:val="20"/>
          <w:szCs w:val="20"/>
        </w:rPr>
        <w:t xml:space="preserve">were </w:t>
      </w:r>
      <w:r w:rsidR="00F153CA" w:rsidRPr="00D66F5A">
        <w:rPr>
          <w:rFonts w:ascii="Arial" w:hAnsi="Arial" w:cs="Arial"/>
          <w:sz w:val="20"/>
          <w:szCs w:val="20"/>
        </w:rPr>
        <w:t>up 1</w:t>
      </w:r>
      <w:r w:rsidR="003D37B7">
        <w:rPr>
          <w:rFonts w:ascii="Arial" w:hAnsi="Arial" w:cs="Arial"/>
          <w:sz w:val="20"/>
          <w:szCs w:val="20"/>
        </w:rPr>
        <w:t>0.7</w:t>
      </w:r>
      <w:r w:rsidR="00F153CA" w:rsidRPr="00D66F5A">
        <w:rPr>
          <w:rFonts w:ascii="Arial" w:hAnsi="Arial" w:cs="Arial"/>
          <w:sz w:val="20"/>
          <w:szCs w:val="20"/>
        </w:rPr>
        <w:t xml:space="preserve">%. </w:t>
      </w:r>
    </w:p>
    <w:p w14:paraId="698D16C5" w14:textId="77777777" w:rsidR="006A4A53" w:rsidRPr="00D66F5A" w:rsidRDefault="006A4A53" w:rsidP="00465D0F">
      <w:pPr>
        <w:pStyle w:val="NoSpacing"/>
        <w:rPr>
          <w:rFonts w:ascii="Arial" w:hAnsi="Arial" w:cs="Arial"/>
          <w:sz w:val="20"/>
          <w:szCs w:val="20"/>
        </w:rPr>
      </w:pPr>
    </w:p>
    <w:tbl>
      <w:tblPr>
        <w:tblStyle w:val="ListTable4-Accent51"/>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60"/>
        <w:gridCol w:w="1098"/>
        <w:gridCol w:w="1530"/>
        <w:gridCol w:w="1530"/>
        <w:gridCol w:w="1602"/>
        <w:gridCol w:w="1350"/>
      </w:tblGrid>
      <w:tr w:rsidR="00581E1C" w:rsidRPr="00581E1C" w14:paraId="1C063202" w14:textId="77777777" w:rsidTr="00D66F5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0" w:type="dxa"/>
            <w:tcBorders>
              <w:top w:val="none" w:sz="0" w:space="0" w:color="auto"/>
              <w:left w:val="none" w:sz="0" w:space="0" w:color="auto"/>
              <w:bottom w:val="none" w:sz="0" w:space="0" w:color="auto"/>
            </w:tcBorders>
            <w:shd w:val="clear" w:color="auto" w:fill="17365D" w:themeFill="text2" w:themeFillShade="BF"/>
            <w:noWrap/>
            <w:hideMark/>
          </w:tcPr>
          <w:p w14:paraId="64AF8198" w14:textId="48BC4975" w:rsidR="00581E1C" w:rsidRPr="00465D0F" w:rsidRDefault="00D66F5A" w:rsidP="00D66F5A">
            <w:pPr>
              <w:rPr>
                <w:rFonts w:ascii="Calibri" w:eastAsia="Times New Roman" w:hAnsi="Calibri" w:cs="Calibri"/>
                <w:sz w:val="20"/>
                <w:szCs w:val="20"/>
              </w:rPr>
            </w:pPr>
            <w:r>
              <w:rPr>
                <w:rFonts w:ascii="Calibri" w:eastAsia="Times New Roman" w:hAnsi="Calibri" w:cs="Calibri"/>
                <w:sz w:val="20"/>
                <w:szCs w:val="20"/>
              </w:rPr>
              <w:t>December</w:t>
            </w:r>
          </w:p>
        </w:tc>
        <w:tc>
          <w:tcPr>
            <w:tcW w:w="1098" w:type="dxa"/>
            <w:tcBorders>
              <w:top w:val="none" w:sz="0" w:space="0" w:color="auto"/>
              <w:bottom w:val="none" w:sz="0" w:space="0" w:color="auto"/>
            </w:tcBorders>
            <w:shd w:val="clear" w:color="auto" w:fill="17365D" w:themeFill="text2" w:themeFillShade="BF"/>
            <w:noWrap/>
            <w:hideMark/>
          </w:tcPr>
          <w:p w14:paraId="3C0B91FD" w14:textId="77777777" w:rsidR="00581E1C" w:rsidRPr="00465D0F" w:rsidRDefault="00581E1C" w:rsidP="00D66F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6A4A53">
              <w:rPr>
                <w:rFonts w:ascii="Calibri" w:eastAsia="Times New Roman" w:hAnsi="Calibri" w:cs="Calibri"/>
                <w:sz w:val="20"/>
                <w:szCs w:val="20"/>
              </w:rPr>
              <w:t>$ sales</w:t>
            </w:r>
          </w:p>
        </w:tc>
        <w:tc>
          <w:tcPr>
            <w:tcW w:w="1530" w:type="dxa"/>
            <w:tcBorders>
              <w:top w:val="none" w:sz="0" w:space="0" w:color="auto"/>
              <w:bottom w:val="none" w:sz="0" w:space="0" w:color="auto"/>
            </w:tcBorders>
            <w:shd w:val="clear" w:color="auto" w:fill="17365D" w:themeFill="text2" w:themeFillShade="BF"/>
            <w:noWrap/>
            <w:hideMark/>
          </w:tcPr>
          <w:p w14:paraId="22EC74B9" w14:textId="77777777" w:rsidR="00581E1C" w:rsidRPr="00465D0F" w:rsidRDefault="00581E1C" w:rsidP="00D66F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65D0F">
              <w:rPr>
                <w:rFonts w:ascii="Calibri" w:eastAsia="Times New Roman" w:hAnsi="Calibri" w:cs="Calibri"/>
                <w:sz w:val="20"/>
                <w:szCs w:val="20"/>
              </w:rPr>
              <w:t>% vs. 2020</w:t>
            </w:r>
          </w:p>
        </w:tc>
        <w:tc>
          <w:tcPr>
            <w:tcW w:w="1530" w:type="dxa"/>
            <w:tcBorders>
              <w:top w:val="none" w:sz="0" w:space="0" w:color="auto"/>
              <w:bottom w:val="none" w:sz="0" w:space="0" w:color="auto"/>
            </w:tcBorders>
            <w:shd w:val="clear" w:color="auto" w:fill="17365D" w:themeFill="text2" w:themeFillShade="BF"/>
            <w:noWrap/>
            <w:hideMark/>
          </w:tcPr>
          <w:p w14:paraId="6446A091" w14:textId="77777777" w:rsidR="00581E1C" w:rsidRPr="00465D0F" w:rsidRDefault="00581E1C" w:rsidP="00D66F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65D0F">
              <w:rPr>
                <w:rFonts w:ascii="Calibri" w:eastAsia="Times New Roman" w:hAnsi="Calibri" w:cs="Calibri"/>
                <w:sz w:val="20"/>
                <w:szCs w:val="20"/>
              </w:rPr>
              <w:t>% vs. 2019</w:t>
            </w:r>
          </w:p>
        </w:tc>
        <w:tc>
          <w:tcPr>
            <w:tcW w:w="1602" w:type="dxa"/>
            <w:tcBorders>
              <w:top w:val="none" w:sz="0" w:space="0" w:color="auto"/>
              <w:bottom w:val="none" w:sz="0" w:space="0" w:color="auto"/>
            </w:tcBorders>
            <w:shd w:val="clear" w:color="auto" w:fill="17365D" w:themeFill="text2" w:themeFillShade="BF"/>
            <w:noWrap/>
            <w:hideMark/>
          </w:tcPr>
          <w:p w14:paraId="048ABFD5" w14:textId="77777777" w:rsidR="00581E1C" w:rsidRPr="00465D0F" w:rsidRDefault="00581E1C" w:rsidP="00D66F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65D0F">
              <w:rPr>
                <w:rFonts w:ascii="Calibri" w:eastAsia="Times New Roman" w:hAnsi="Calibri" w:cs="Calibri"/>
                <w:sz w:val="20"/>
                <w:szCs w:val="20"/>
              </w:rPr>
              <w:t>Unit Sales</w:t>
            </w:r>
          </w:p>
        </w:tc>
        <w:tc>
          <w:tcPr>
            <w:tcW w:w="1350" w:type="dxa"/>
            <w:tcBorders>
              <w:top w:val="none" w:sz="0" w:space="0" w:color="auto"/>
              <w:bottom w:val="none" w:sz="0" w:space="0" w:color="auto"/>
              <w:right w:val="none" w:sz="0" w:space="0" w:color="auto"/>
            </w:tcBorders>
            <w:shd w:val="clear" w:color="auto" w:fill="17365D" w:themeFill="text2" w:themeFillShade="BF"/>
            <w:noWrap/>
            <w:hideMark/>
          </w:tcPr>
          <w:p w14:paraId="59EE0A18" w14:textId="77777777" w:rsidR="00581E1C" w:rsidRPr="00465D0F" w:rsidRDefault="00581E1C" w:rsidP="00D66F5A">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20"/>
                <w:szCs w:val="20"/>
              </w:rPr>
            </w:pPr>
            <w:r w:rsidRPr="00465D0F">
              <w:rPr>
                <w:rFonts w:ascii="Calibri" w:eastAsia="Times New Roman" w:hAnsi="Calibri" w:cs="Calibri"/>
                <w:sz w:val="20"/>
                <w:szCs w:val="20"/>
              </w:rPr>
              <w:t>% vs. 2020</w:t>
            </w:r>
          </w:p>
        </w:tc>
      </w:tr>
      <w:tr w:rsidR="00E86580" w:rsidRPr="00E86580" w14:paraId="705874EA" w14:textId="77777777" w:rsidTr="00D66F5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34B930CC" w14:textId="77777777" w:rsidR="00581E1C" w:rsidRPr="00E86580" w:rsidRDefault="00581E1C" w:rsidP="00D66F5A">
            <w:pPr>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Department floral</w:t>
            </w:r>
          </w:p>
        </w:tc>
        <w:tc>
          <w:tcPr>
            <w:tcW w:w="1098" w:type="dxa"/>
            <w:noWrap/>
            <w:hideMark/>
          </w:tcPr>
          <w:p w14:paraId="3F91D32F" w14:textId="772D853A" w:rsidR="00581E1C" w:rsidRPr="00E86580" w:rsidRDefault="00706F41" w:rsidP="00D66F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15868" w:themeColor="accent5" w:themeShade="80"/>
                <w:sz w:val="20"/>
                <w:szCs w:val="20"/>
              </w:rPr>
            </w:pPr>
            <w:r w:rsidRPr="00E86580">
              <w:rPr>
                <w:rFonts w:ascii="Calibri" w:eastAsia="Times New Roman" w:hAnsi="Calibri" w:cs="Calibri"/>
                <w:b/>
                <w:bCs/>
                <w:color w:val="215868" w:themeColor="accent5" w:themeShade="80"/>
                <w:sz w:val="20"/>
                <w:szCs w:val="20"/>
              </w:rPr>
              <w:t>$</w:t>
            </w:r>
            <w:r w:rsidR="00D66F5A" w:rsidRPr="00E86580">
              <w:rPr>
                <w:rFonts w:ascii="Calibri" w:eastAsia="Times New Roman" w:hAnsi="Calibri" w:cs="Calibri"/>
                <w:b/>
                <w:bCs/>
                <w:color w:val="215868" w:themeColor="accent5" w:themeShade="80"/>
                <w:sz w:val="20"/>
                <w:szCs w:val="20"/>
              </w:rPr>
              <w:t>458</w:t>
            </w:r>
            <w:r w:rsidR="00581E1C" w:rsidRPr="00E86580">
              <w:rPr>
                <w:rFonts w:ascii="Calibri" w:eastAsia="Times New Roman" w:hAnsi="Calibri" w:cs="Calibri"/>
                <w:b/>
                <w:bCs/>
                <w:color w:val="215868" w:themeColor="accent5" w:themeShade="80"/>
                <w:sz w:val="20"/>
                <w:szCs w:val="20"/>
              </w:rPr>
              <w:t>M</w:t>
            </w:r>
          </w:p>
        </w:tc>
        <w:tc>
          <w:tcPr>
            <w:tcW w:w="1530" w:type="dxa"/>
            <w:noWrap/>
            <w:hideMark/>
          </w:tcPr>
          <w:p w14:paraId="585F7A14" w14:textId="04CBD8F1" w:rsidR="00581E1C" w:rsidRPr="00E86580" w:rsidRDefault="00581E1C" w:rsidP="00D66F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15868" w:themeColor="accent5" w:themeShade="80"/>
                <w:sz w:val="20"/>
                <w:szCs w:val="20"/>
              </w:rPr>
            </w:pPr>
            <w:r w:rsidRPr="00E86580">
              <w:rPr>
                <w:rFonts w:ascii="Calibri" w:eastAsia="Times New Roman" w:hAnsi="Calibri" w:cs="Calibri"/>
                <w:b/>
                <w:bCs/>
                <w:color w:val="215868" w:themeColor="accent5" w:themeShade="80"/>
                <w:sz w:val="20"/>
                <w:szCs w:val="20"/>
              </w:rPr>
              <w:t>+</w:t>
            </w:r>
            <w:r w:rsidR="00D66F5A" w:rsidRPr="00E86580">
              <w:rPr>
                <w:rFonts w:ascii="Calibri" w:eastAsia="Times New Roman" w:hAnsi="Calibri" w:cs="Calibri"/>
                <w:b/>
                <w:bCs/>
                <w:color w:val="215868" w:themeColor="accent5" w:themeShade="80"/>
                <w:sz w:val="20"/>
                <w:szCs w:val="20"/>
              </w:rPr>
              <w:t>13.1</w:t>
            </w:r>
            <w:r w:rsidRPr="00E86580">
              <w:rPr>
                <w:rFonts w:ascii="Calibri" w:eastAsia="Times New Roman" w:hAnsi="Calibri" w:cs="Calibri"/>
                <w:b/>
                <w:bCs/>
                <w:color w:val="215868" w:themeColor="accent5" w:themeShade="80"/>
                <w:sz w:val="20"/>
                <w:szCs w:val="20"/>
              </w:rPr>
              <w:t>%</w:t>
            </w:r>
          </w:p>
        </w:tc>
        <w:tc>
          <w:tcPr>
            <w:tcW w:w="1530" w:type="dxa"/>
            <w:noWrap/>
            <w:hideMark/>
          </w:tcPr>
          <w:p w14:paraId="61DB4075" w14:textId="2AAAF1CF" w:rsidR="00581E1C" w:rsidRPr="00E86580" w:rsidRDefault="00581E1C" w:rsidP="00D66F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15868" w:themeColor="accent5" w:themeShade="80"/>
                <w:sz w:val="20"/>
                <w:szCs w:val="20"/>
              </w:rPr>
            </w:pPr>
            <w:r w:rsidRPr="00E86580">
              <w:rPr>
                <w:rFonts w:ascii="Calibri" w:eastAsia="Times New Roman" w:hAnsi="Calibri" w:cs="Calibri"/>
                <w:b/>
                <w:bCs/>
                <w:color w:val="215868" w:themeColor="accent5" w:themeShade="80"/>
                <w:sz w:val="20"/>
                <w:szCs w:val="20"/>
              </w:rPr>
              <w:t>+</w:t>
            </w:r>
            <w:r w:rsidR="00D66F5A" w:rsidRPr="00E86580">
              <w:rPr>
                <w:rFonts w:ascii="Calibri" w:eastAsia="Times New Roman" w:hAnsi="Calibri" w:cs="Calibri"/>
                <w:b/>
                <w:bCs/>
                <w:color w:val="215868" w:themeColor="accent5" w:themeShade="80"/>
                <w:sz w:val="20"/>
                <w:szCs w:val="20"/>
              </w:rPr>
              <w:t>27.4</w:t>
            </w:r>
            <w:r w:rsidRPr="00E86580">
              <w:rPr>
                <w:rFonts w:ascii="Calibri" w:eastAsia="Times New Roman" w:hAnsi="Calibri" w:cs="Calibri"/>
                <w:b/>
                <w:bCs/>
                <w:color w:val="215868" w:themeColor="accent5" w:themeShade="80"/>
                <w:sz w:val="20"/>
                <w:szCs w:val="20"/>
              </w:rPr>
              <w:t>%</w:t>
            </w:r>
          </w:p>
        </w:tc>
        <w:tc>
          <w:tcPr>
            <w:tcW w:w="1602" w:type="dxa"/>
            <w:noWrap/>
            <w:hideMark/>
          </w:tcPr>
          <w:p w14:paraId="3344B7A0" w14:textId="5DD52B97" w:rsidR="00581E1C" w:rsidRPr="00E86580" w:rsidRDefault="00D66F5A" w:rsidP="00D66F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15868" w:themeColor="accent5" w:themeShade="80"/>
                <w:sz w:val="20"/>
                <w:szCs w:val="20"/>
              </w:rPr>
            </w:pPr>
            <w:r w:rsidRPr="00E86580">
              <w:rPr>
                <w:rFonts w:ascii="Calibri" w:eastAsia="Times New Roman" w:hAnsi="Calibri" w:cs="Calibri"/>
                <w:b/>
                <w:bCs/>
                <w:color w:val="215868" w:themeColor="accent5" w:themeShade="80"/>
                <w:sz w:val="20"/>
                <w:szCs w:val="20"/>
              </w:rPr>
              <w:t>45.0</w:t>
            </w:r>
            <w:r w:rsidR="00581E1C" w:rsidRPr="00E86580">
              <w:rPr>
                <w:rFonts w:ascii="Calibri" w:eastAsia="Times New Roman" w:hAnsi="Calibri" w:cs="Calibri"/>
                <w:b/>
                <w:bCs/>
                <w:color w:val="215868" w:themeColor="accent5" w:themeShade="80"/>
                <w:sz w:val="20"/>
                <w:szCs w:val="20"/>
              </w:rPr>
              <w:t>M</w:t>
            </w:r>
          </w:p>
        </w:tc>
        <w:tc>
          <w:tcPr>
            <w:tcW w:w="1350" w:type="dxa"/>
            <w:noWrap/>
            <w:hideMark/>
          </w:tcPr>
          <w:p w14:paraId="6E4536E9" w14:textId="517A8671" w:rsidR="00581E1C" w:rsidRPr="00E86580" w:rsidRDefault="00581E1C" w:rsidP="00D66F5A">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215868" w:themeColor="accent5" w:themeShade="80"/>
                <w:sz w:val="20"/>
                <w:szCs w:val="20"/>
              </w:rPr>
            </w:pPr>
            <w:r w:rsidRPr="00E86580">
              <w:rPr>
                <w:rFonts w:ascii="Calibri" w:eastAsia="Times New Roman" w:hAnsi="Calibri" w:cs="Calibri"/>
                <w:b/>
                <w:bCs/>
                <w:color w:val="215868" w:themeColor="accent5" w:themeShade="80"/>
                <w:sz w:val="20"/>
                <w:szCs w:val="20"/>
              </w:rPr>
              <w:t>+</w:t>
            </w:r>
            <w:r w:rsidR="00D66F5A" w:rsidRPr="00E86580">
              <w:rPr>
                <w:rFonts w:ascii="Calibri" w:eastAsia="Times New Roman" w:hAnsi="Calibri" w:cs="Calibri"/>
                <w:b/>
                <w:bCs/>
                <w:color w:val="215868" w:themeColor="accent5" w:themeShade="80"/>
                <w:sz w:val="20"/>
                <w:szCs w:val="20"/>
              </w:rPr>
              <w:t>1.6</w:t>
            </w:r>
            <w:r w:rsidRPr="00E86580">
              <w:rPr>
                <w:rFonts w:ascii="Calibri" w:eastAsia="Times New Roman" w:hAnsi="Calibri" w:cs="Calibri"/>
                <w:b/>
                <w:bCs/>
                <w:color w:val="215868" w:themeColor="accent5" w:themeShade="80"/>
                <w:sz w:val="20"/>
                <w:szCs w:val="20"/>
              </w:rPr>
              <w:t>%</w:t>
            </w:r>
          </w:p>
        </w:tc>
      </w:tr>
      <w:tr w:rsidR="00E86580" w:rsidRPr="00E86580" w14:paraId="561FB3B9" w14:textId="77777777" w:rsidTr="00D66F5A">
        <w:trPr>
          <w:trHeight w:val="2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0C8A20FC" w14:textId="77777777" w:rsidR="00581E1C" w:rsidRPr="00E86580" w:rsidRDefault="00581E1C" w:rsidP="00D66F5A">
            <w:pPr>
              <w:rPr>
                <w:rFonts w:ascii="Calibri" w:eastAsia="Times New Roman" w:hAnsi="Calibri" w:cs="Calibri"/>
                <w:b w:val="0"/>
                <w:bCs w:val="0"/>
                <w:color w:val="215868" w:themeColor="accent5" w:themeShade="80"/>
                <w:sz w:val="20"/>
                <w:szCs w:val="20"/>
              </w:rPr>
            </w:pPr>
            <w:r w:rsidRPr="00E86580">
              <w:rPr>
                <w:rFonts w:ascii="Calibri" w:eastAsia="Times New Roman" w:hAnsi="Calibri" w:cs="Calibri"/>
                <w:b w:val="0"/>
                <w:bCs w:val="0"/>
                <w:color w:val="215868" w:themeColor="accent5" w:themeShade="80"/>
                <w:sz w:val="20"/>
                <w:szCs w:val="20"/>
              </w:rPr>
              <w:t>Potted plants</w:t>
            </w:r>
          </w:p>
        </w:tc>
        <w:tc>
          <w:tcPr>
            <w:tcW w:w="1098" w:type="dxa"/>
            <w:noWrap/>
            <w:hideMark/>
          </w:tcPr>
          <w:p w14:paraId="2A200D49" w14:textId="61FCD866" w:rsidR="00581E1C" w:rsidRPr="00E86580" w:rsidRDefault="00706F41" w:rsidP="00D66F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w:t>
            </w:r>
            <w:r w:rsidR="003D37B7" w:rsidRPr="00E86580">
              <w:rPr>
                <w:rFonts w:ascii="Calibri" w:eastAsia="Times New Roman" w:hAnsi="Calibri" w:cs="Calibri"/>
                <w:color w:val="215868" w:themeColor="accent5" w:themeShade="80"/>
                <w:sz w:val="20"/>
                <w:szCs w:val="20"/>
              </w:rPr>
              <w:t>134</w:t>
            </w:r>
            <w:r w:rsidR="00581E1C" w:rsidRPr="00E86580">
              <w:rPr>
                <w:rFonts w:ascii="Calibri" w:eastAsia="Times New Roman" w:hAnsi="Calibri" w:cs="Calibri"/>
                <w:color w:val="215868" w:themeColor="accent5" w:themeShade="80"/>
                <w:sz w:val="20"/>
                <w:szCs w:val="20"/>
              </w:rPr>
              <w:t>M</w:t>
            </w:r>
          </w:p>
        </w:tc>
        <w:tc>
          <w:tcPr>
            <w:tcW w:w="1530" w:type="dxa"/>
            <w:noWrap/>
            <w:hideMark/>
          </w:tcPr>
          <w:p w14:paraId="2AAA63AA" w14:textId="1C59E469" w:rsidR="00581E1C" w:rsidRPr="00E86580" w:rsidRDefault="00581E1C" w:rsidP="00D66F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w:t>
            </w:r>
            <w:r w:rsidR="003D37B7" w:rsidRPr="00E86580">
              <w:rPr>
                <w:rFonts w:ascii="Calibri" w:eastAsia="Times New Roman" w:hAnsi="Calibri" w:cs="Calibri"/>
                <w:color w:val="215868" w:themeColor="accent5" w:themeShade="80"/>
                <w:sz w:val="20"/>
                <w:szCs w:val="20"/>
              </w:rPr>
              <w:t>5.2</w:t>
            </w:r>
            <w:r w:rsidRPr="00E86580">
              <w:rPr>
                <w:rFonts w:ascii="Calibri" w:eastAsia="Times New Roman" w:hAnsi="Calibri" w:cs="Calibri"/>
                <w:color w:val="215868" w:themeColor="accent5" w:themeShade="80"/>
                <w:sz w:val="20"/>
                <w:szCs w:val="20"/>
              </w:rPr>
              <w:t>%</w:t>
            </w:r>
          </w:p>
        </w:tc>
        <w:tc>
          <w:tcPr>
            <w:tcW w:w="1530" w:type="dxa"/>
            <w:noWrap/>
            <w:hideMark/>
          </w:tcPr>
          <w:p w14:paraId="65BE48CC" w14:textId="564474D2" w:rsidR="00581E1C" w:rsidRPr="00E86580" w:rsidRDefault="00581E1C" w:rsidP="00D66F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w:t>
            </w:r>
            <w:r w:rsidR="003D37B7" w:rsidRPr="00E86580">
              <w:rPr>
                <w:rFonts w:ascii="Calibri" w:eastAsia="Times New Roman" w:hAnsi="Calibri" w:cs="Calibri"/>
                <w:color w:val="215868" w:themeColor="accent5" w:themeShade="80"/>
                <w:sz w:val="20"/>
                <w:szCs w:val="20"/>
              </w:rPr>
              <w:t>18.7</w:t>
            </w:r>
            <w:r w:rsidRPr="00E86580">
              <w:rPr>
                <w:rFonts w:ascii="Calibri" w:eastAsia="Times New Roman" w:hAnsi="Calibri" w:cs="Calibri"/>
                <w:color w:val="215868" w:themeColor="accent5" w:themeShade="80"/>
                <w:sz w:val="20"/>
                <w:szCs w:val="20"/>
              </w:rPr>
              <w:t>%</w:t>
            </w:r>
          </w:p>
        </w:tc>
        <w:tc>
          <w:tcPr>
            <w:tcW w:w="1602" w:type="dxa"/>
            <w:noWrap/>
            <w:hideMark/>
          </w:tcPr>
          <w:p w14:paraId="4FFBA45B" w14:textId="1DF557FB" w:rsidR="00581E1C" w:rsidRPr="00E86580" w:rsidRDefault="003D37B7" w:rsidP="00D66F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15.6</w:t>
            </w:r>
            <w:r w:rsidR="00581E1C" w:rsidRPr="00E86580">
              <w:rPr>
                <w:rFonts w:ascii="Calibri" w:eastAsia="Times New Roman" w:hAnsi="Calibri" w:cs="Calibri"/>
                <w:color w:val="215868" w:themeColor="accent5" w:themeShade="80"/>
                <w:sz w:val="20"/>
                <w:szCs w:val="20"/>
              </w:rPr>
              <w:t>M</w:t>
            </w:r>
          </w:p>
        </w:tc>
        <w:tc>
          <w:tcPr>
            <w:tcW w:w="1350" w:type="dxa"/>
            <w:noWrap/>
            <w:hideMark/>
          </w:tcPr>
          <w:p w14:paraId="03DD26A1" w14:textId="6F25C79A" w:rsidR="00581E1C" w:rsidRPr="00E86580" w:rsidRDefault="003D37B7" w:rsidP="00D66F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-3.3</w:t>
            </w:r>
            <w:r w:rsidR="00581E1C" w:rsidRPr="00E86580">
              <w:rPr>
                <w:rFonts w:ascii="Calibri" w:eastAsia="Times New Roman" w:hAnsi="Calibri" w:cs="Calibri"/>
                <w:color w:val="215868" w:themeColor="accent5" w:themeShade="80"/>
                <w:sz w:val="20"/>
                <w:szCs w:val="20"/>
              </w:rPr>
              <w:t>%</w:t>
            </w:r>
          </w:p>
        </w:tc>
      </w:tr>
      <w:tr w:rsidR="00E86580" w:rsidRPr="00E86580" w14:paraId="49F56CF8" w14:textId="77777777" w:rsidTr="001F29D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27905F7C" w14:textId="77777777" w:rsidR="003D37B7" w:rsidRPr="00E86580" w:rsidRDefault="003D37B7" w:rsidP="001F29DC">
            <w:pPr>
              <w:rPr>
                <w:rFonts w:ascii="Calibri" w:eastAsia="Times New Roman" w:hAnsi="Calibri" w:cs="Calibri"/>
                <w:b w:val="0"/>
                <w:bCs w:val="0"/>
                <w:color w:val="215868" w:themeColor="accent5" w:themeShade="80"/>
                <w:sz w:val="20"/>
                <w:szCs w:val="20"/>
              </w:rPr>
            </w:pPr>
            <w:r w:rsidRPr="00E86580">
              <w:rPr>
                <w:rFonts w:ascii="Calibri" w:eastAsia="Times New Roman" w:hAnsi="Calibri" w:cs="Calibri"/>
                <w:b w:val="0"/>
                <w:bCs w:val="0"/>
                <w:color w:val="215868" w:themeColor="accent5" w:themeShade="80"/>
                <w:sz w:val="20"/>
                <w:szCs w:val="20"/>
              </w:rPr>
              <w:t>Roses</w:t>
            </w:r>
          </w:p>
        </w:tc>
        <w:tc>
          <w:tcPr>
            <w:tcW w:w="1098" w:type="dxa"/>
            <w:noWrap/>
            <w:hideMark/>
          </w:tcPr>
          <w:p w14:paraId="68ABE539" w14:textId="0F993C2D" w:rsidR="003D37B7" w:rsidRPr="00E86580" w:rsidRDefault="003D37B7" w:rsidP="001F29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$76M</w:t>
            </w:r>
          </w:p>
        </w:tc>
        <w:tc>
          <w:tcPr>
            <w:tcW w:w="1530" w:type="dxa"/>
            <w:noWrap/>
            <w:hideMark/>
          </w:tcPr>
          <w:p w14:paraId="258598FF" w14:textId="221588DB" w:rsidR="003D37B7" w:rsidRPr="00E86580" w:rsidRDefault="003D37B7" w:rsidP="001F29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+24.4%</w:t>
            </w:r>
          </w:p>
        </w:tc>
        <w:tc>
          <w:tcPr>
            <w:tcW w:w="1530" w:type="dxa"/>
            <w:noWrap/>
            <w:hideMark/>
          </w:tcPr>
          <w:p w14:paraId="114B2796" w14:textId="23DEFEBB" w:rsidR="003D37B7" w:rsidRPr="00E86580" w:rsidRDefault="003D37B7" w:rsidP="001F29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+43.3%</w:t>
            </w:r>
          </w:p>
        </w:tc>
        <w:tc>
          <w:tcPr>
            <w:tcW w:w="1602" w:type="dxa"/>
            <w:noWrap/>
            <w:hideMark/>
          </w:tcPr>
          <w:p w14:paraId="0B3A5AC5" w14:textId="142591E6" w:rsidR="003D37B7" w:rsidRPr="00E86580" w:rsidRDefault="003D37B7" w:rsidP="001F29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6.3M</w:t>
            </w:r>
          </w:p>
        </w:tc>
        <w:tc>
          <w:tcPr>
            <w:tcW w:w="1350" w:type="dxa"/>
            <w:noWrap/>
            <w:hideMark/>
          </w:tcPr>
          <w:p w14:paraId="58B8F0A9" w14:textId="7B4F9DB2" w:rsidR="003D37B7" w:rsidRPr="00E86580" w:rsidRDefault="003D37B7" w:rsidP="001F29DC">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+10.7%</w:t>
            </w:r>
          </w:p>
        </w:tc>
      </w:tr>
      <w:tr w:rsidR="00E86580" w:rsidRPr="00E86580" w14:paraId="3586C672" w14:textId="77777777" w:rsidTr="00D66F5A">
        <w:trPr>
          <w:trHeight w:val="20"/>
        </w:trPr>
        <w:tc>
          <w:tcPr>
            <w:cnfStyle w:val="001000000000" w:firstRow="0" w:lastRow="0" w:firstColumn="1" w:lastColumn="0" w:oddVBand="0" w:evenVBand="0" w:oddHBand="0" w:evenHBand="0" w:firstRowFirstColumn="0" w:firstRowLastColumn="0" w:lastRowFirstColumn="0" w:lastRowLastColumn="0"/>
            <w:tcW w:w="2160" w:type="dxa"/>
            <w:noWrap/>
            <w:hideMark/>
          </w:tcPr>
          <w:p w14:paraId="193E93C1" w14:textId="77777777" w:rsidR="00581E1C" w:rsidRPr="00E86580" w:rsidRDefault="00581E1C" w:rsidP="00D66F5A">
            <w:pPr>
              <w:rPr>
                <w:rFonts w:ascii="Calibri" w:eastAsia="Times New Roman" w:hAnsi="Calibri" w:cs="Calibri"/>
                <w:b w:val="0"/>
                <w:bCs w:val="0"/>
                <w:color w:val="215868" w:themeColor="accent5" w:themeShade="80"/>
                <w:sz w:val="20"/>
                <w:szCs w:val="20"/>
              </w:rPr>
            </w:pPr>
            <w:r w:rsidRPr="00E86580">
              <w:rPr>
                <w:rFonts w:ascii="Calibri" w:eastAsia="Times New Roman" w:hAnsi="Calibri" w:cs="Calibri"/>
                <w:b w:val="0"/>
                <w:bCs w:val="0"/>
                <w:color w:val="215868" w:themeColor="accent5" w:themeShade="80"/>
                <w:sz w:val="20"/>
                <w:szCs w:val="20"/>
              </w:rPr>
              <w:t>Bouquets</w:t>
            </w:r>
          </w:p>
        </w:tc>
        <w:tc>
          <w:tcPr>
            <w:tcW w:w="1098" w:type="dxa"/>
            <w:noWrap/>
            <w:hideMark/>
          </w:tcPr>
          <w:p w14:paraId="10B71AE6" w14:textId="150A4891" w:rsidR="00581E1C" w:rsidRPr="00E86580" w:rsidRDefault="003D37B7" w:rsidP="003D37B7">
            <w:pPr>
              <w:tabs>
                <w:tab w:val="center" w:pos="441"/>
                <w:tab w:val="right" w:pos="882"/>
              </w:tabs>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ab/>
            </w:r>
            <w:r w:rsidRPr="00E86580">
              <w:rPr>
                <w:rFonts w:ascii="Calibri" w:eastAsia="Times New Roman" w:hAnsi="Calibri" w:cs="Calibri"/>
                <w:color w:val="215868" w:themeColor="accent5" w:themeShade="80"/>
                <w:sz w:val="20"/>
                <w:szCs w:val="20"/>
              </w:rPr>
              <w:tab/>
            </w:r>
            <w:r w:rsidR="00706F41" w:rsidRPr="00E86580">
              <w:rPr>
                <w:rFonts w:ascii="Calibri" w:eastAsia="Times New Roman" w:hAnsi="Calibri" w:cs="Calibri"/>
                <w:color w:val="215868" w:themeColor="accent5" w:themeShade="80"/>
                <w:sz w:val="20"/>
                <w:szCs w:val="20"/>
              </w:rPr>
              <w:t>$</w:t>
            </w:r>
            <w:r w:rsidRPr="00E86580">
              <w:rPr>
                <w:rFonts w:ascii="Calibri" w:eastAsia="Times New Roman" w:hAnsi="Calibri" w:cs="Calibri"/>
                <w:color w:val="215868" w:themeColor="accent5" w:themeShade="80"/>
                <w:sz w:val="20"/>
                <w:szCs w:val="20"/>
              </w:rPr>
              <w:t>70</w:t>
            </w:r>
            <w:r w:rsidR="00581E1C" w:rsidRPr="00E86580">
              <w:rPr>
                <w:rFonts w:ascii="Calibri" w:eastAsia="Times New Roman" w:hAnsi="Calibri" w:cs="Calibri"/>
                <w:color w:val="215868" w:themeColor="accent5" w:themeShade="80"/>
                <w:sz w:val="20"/>
                <w:szCs w:val="20"/>
              </w:rPr>
              <w:t>M</w:t>
            </w:r>
          </w:p>
        </w:tc>
        <w:tc>
          <w:tcPr>
            <w:tcW w:w="1530" w:type="dxa"/>
            <w:noWrap/>
            <w:hideMark/>
          </w:tcPr>
          <w:p w14:paraId="5B8F9D7B" w14:textId="34D786F0" w:rsidR="00581E1C" w:rsidRPr="00E86580" w:rsidRDefault="00581E1C" w:rsidP="00D66F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w:t>
            </w:r>
            <w:r w:rsidR="003D37B7" w:rsidRPr="00E86580">
              <w:rPr>
                <w:rFonts w:ascii="Calibri" w:eastAsia="Times New Roman" w:hAnsi="Calibri" w:cs="Calibri"/>
                <w:color w:val="215868" w:themeColor="accent5" w:themeShade="80"/>
                <w:sz w:val="20"/>
                <w:szCs w:val="20"/>
              </w:rPr>
              <w:t>4.2</w:t>
            </w:r>
            <w:r w:rsidRPr="00E86580">
              <w:rPr>
                <w:rFonts w:ascii="Calibri" w:eastAsia="Times New Roman" w:hAnsi="Calibri" w:cs="Calibri"/>
                <w:color w:val="215868" w:themeColor="accent5" w:themeShade="80"/>
                <w:sz w:val="20"/>
                <w:szCs w:val="20"/>
              </w:rPr>
              <w:t>%</w:t>
            </w:r>
          </w:p>
        </w:tc>
        <w:tc>
          <w:tcPr>
            <w:tcW w:w="1530" w:type="dxa"/>
            <w:noWrap/>
            <w:hideMark/>
          </w:tcPr>
          <w:p w14:paraId="2F994CCE" w14:textId="44413BA8" w:rsidR="00581E1C" w:rsidRPr="00E86580" w:rsidRDefault="00581E1C" w:rsidP="00D66F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w:t>
            </w:r>
            <w:r w:rsidR="003D37B7" w:rsidRPr="00E86580">
              <w:rPr>
                <w:rFonts w:ascii="Calibri" w:eastAsia="Times New Roman" w:hAnsi="Calibri" w:cs="Calibri"/>
                <w:color w:val="215868" w:themeColor="accent5" w:themeShade="80"/>
                <w:sz w:val="20"/>
                <w:szCs w:val="20"/>
              </w:rPr>
              <w:t>24.0</w:t>
            </w:r>
            <w:r w:rsidRPr="00E86580">
              <w:rPr>
                <w:rFonts w:ascii="Calibri" w:eastAsia="Times New Roman" w:hAnsi="Calibri" w:cs="Calibri"/>
                <w:color w:val="215868" w:themeColor="accent5" w:themeShade="80"/>
                <w:sz w:val="20"/>
                <w:szCs w:val="20"/>
              </w:rPr>
              <w:t>%</w:t>
            </w:r>
          </w:p>
        </w:tc>
        <w:tc>
          <w:tcPr>
            <w:tcW w:w="1602" w:type="dxa"/>
            <w:noWrap/>
            <w:hideMark/>
          </w:tcPr>
          <w:p w14:paraId="27243B80" w14:textId="2D6788C7" w:rsidR="00581E1C" w:rsidRPr="00E86580" w:rsidRDefault="003D37B7" w:rsidP="00D66F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5.6</w:t>
            </w:r>
            <w:r w:rsidR="00581E1C" w:rsidRPr="00E86580">
              <w:rPr>
                <w:rFonts w:ascii="Calibri" w:eastAsia="Times New Roman" w:hAnsi="Calibri" w:cs="Calibri"/>
                <w:color w:val="215868" w:themeColor="accent5" w:themeShade="80"/>
                <w:sz w:val="20"/>
                <w:szCs w:val="20"/>
              </w:rPr>
              <w:t>M</w:t>
            </w:r>
          </w:p>
        </w:tc>
        <w:tc>
          <w:tcPr>
            <w:tcW w:w="1350" w:type="dxa"/>
            <w:noWrap/>
            <w:hideMark/>
          </w:tcPr>
          <w:p w14:paraId="340B6DF9" w14:textId="78105AF8" w:rsidR="00581E1C" w:rsidRPr="00E86580" w:rsidRDefault="003D37B7" w:rsidP="00D66F5A">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215868" w:themeColor="accent5" w:themeShade="80"/>
                <w:sz w:val="20"/>
                <w:szCs w:val="20"/>
              </w:rPr>
            </w:pPr>
            <w:r w:rsidRPr="00E86580">
              <w:rPr>
                <w:rFonts w:ascii="Calibri" w:eastAsia="Times New Roman" w:hAnsi="Calibri" w:cs="Calibri"/>
                <w:color w:val="215868" w:themeColor="accent5" w:themeShade="80"/>
                <w:sz w:val="20"/>
                <w:szCs w:val="20"/>
              </w:rPr>
              <w:t>-6.4</w:t>
            </w:r>
            <w:r w:rsidR="00581E1C" w:rsidRPr="00E86580">
              <w:rPr>
                <w:rFonts w:ascii="Calibri" w:eastAsia="Times New Roman" w:hAnsi="Calibri" w:cs="Calibri"/>
                <w:color w:val="215868" w:themeColor="accent5" w:themeShade="80"/>
                <w:sz w:val="20"/>
                <w:szCs w:val="20"/>
              </w:rPr>
              <w:t>%</w:t>
            </w:r>
          </w:p>
        </w:tc>
      </w:tr>
    </w:tbl>
    <w:p w14:paraId="653D6ABA" w14:textId="77777777" w:rsidR="007D3DBE" w:rsidRPr="00D66F5A" w:rsidRDefault="007D3DBE" w:rsidP="007D3DBE">
      <w:pPr>
        <w:pStyle w:val="NoSpacing"/>
        <w:rPr>
          <w:rFonts w:ascii="Arial" w:hAnsi="Arial" w:cs="Arial"/>
          <w:sz w:val="10"/>
          <w:szCs w:val="10"/>
        </w:rPr>
      </w:pPr>
    </w:p>
    <w:p w14:paraId="00345CD5" w14:textId="7C3CFF95" w:rsidR="00B920A9" w:rsidRPr="007D3DBE" w:rsidRDefault="007D3DBE" w:rsidP="00CF651D">
      <w:pPr>
        <w:pStyle w:val="NoSpacing"/>
        <w:rPr>
          <w:rFonts w:ascii="Arial" w:hAnsi="Arial" w:cs="Arial"/>
          <w:b/>
          <w:color w:val="7F7F7F" w:themeColor="text1" w:themeTint="80"/>
          <w:sz w:val="24"/>
          <w:szCs w:val="24"/>
        </w:rPr>
      </w:pPr>
      <w:r w:rsidRPr="00FF7558">
        <w:rPr>
          <w:rFonts w:ascii="Arial" w:hAnsi="Arial" w:cs="Arial"/>
          <w:sz w:val="16"/>
          <w:szCs w:val="16"/>
        </w:rPr>
        <w:t xml:space="preserve">Source: IRI Integrated Fresh, Total U.S., MULO </w:t>
      </w:r>
      <w:r>
        <w:rPr>
          <w:rFonts w:ascii="Arial" w:hAnsi="Arial" w:cs="Arial"/>
          <w:sz w:val="16"/>
          <w:szCs w:val="16"/>
        </w:rPr>
        <w:br/>
      </w:r>
    </w:p>
    <w:p w14:paraId="73DA0322" w14:textId="77777777" w:rsidR="006A4A53" w:rsidRPr="007D3DBE" w:rsidRDefault="006A4A53" w:rsidP="00CF651D">
      <w:pPr>
        <w:pStyle w:val="NoSpacing"/>
        <w:rPr>
          <w:rFonts w:ascii="Arial" w:hAnsi="Arial" w:cs="Arial"/>
          <w:b/>
          <w:color w:val="7F7F7F" w:themeColor="text1" w:themeTint="80"/>
          <w:sz w:val="24"/>
          <w:szCs w:val="24"/>
        </w:rPr>
      </w:pPr>
    </w:p>
    <w:p w14:paraId="0DB7328E" w14:textId="77777777" w:rsidR="00CF651D" w:rsidRPr="006879B2" w:rsidRDefault="00CF651D" w:rsidP="00CF651D">
      <w:pPr>
        <w:pStyle w:val="NoSpacing"/>
        <w:rPr>
          <w:rFonts w:ascii="Arial" w:hAnsi="Arial" w:cs="Arial"/>
          <w:b/>
          <w:color w:val="595959" w:themeColor="text1" w:themeTint="A6"/>
          <w:sz w:val="24"/>
          <w:szCs w:val="24"/>
        </w:rPr>
      </w:pPr>
      <w:r w:rsidRPr="006879B2">
        <w:rPr>
          <w:rFonts w:ascii="Arial" w:hAnsi="Arial" w:cs="Arial"/>
          <w:b/>
          <w:color w:val="595959" w:themeColor="text1" w:themeTint="A6"/>
          <w:sz w:val="24"/>
          <w:szCs w:val="24"/>
        </w:rPr>
        <w:t xml:space="preserve">What’s </w:t>
      </w:r>
      <w:r>
        <w:rPr>
          <w:rFonts w:ascii="Arial" w:hAnsi="Arial" w:cs="Arial"/>
          <w:b/>
          <w:color w:val="595959" w:themeColor="text1" w:themeTint="A6"/>
          <w:sz w:val="24"/>
          <w:szCs w:val="24"/>
        </w:rPr>
        <w:t>N</w:t>
      </w:r>
      <w:r w:rsidRPr="006879B2">
        <w:rPr>
          <w:rFonts w:ascii="Arial" w:hAnsi="Arial" w:cs="Arial"/>
          <w:b/>
          <w:color w:val="595959" w:themeColor="text1" w:themeTint="A6"/>
          <w:sz w:val="24"/>
          <w:szCs w:val="24"/>
        </w:rPr>
        <w:t xml:space="preserve">ext? </w:t>
      </w:r>
    </w:p>
    <w:p w14:paraId="489C8B65" w14:textId="23180A47" w:rsidR="003D37B7" w:rsidRDefault="003D37B7" w:rsidP="003D37B7">
      <w:pPr>
        <w:pStyle w:val="NoSpacing"/>
        <w:rPr>
          <w:rFonts w:ascii="Arial" w:hAnsi="Arial" w:cs="Arial"/>
          <w:color w:val="000000" w:themeColor="text1"/>
          <w:sz w:val="20"/>
          <w:szCs w:val="20"/>
        </w:rPr>
      </w:pPr>
      <w:bookmarkStart w:id="2" w:name="_Hlk79236872"/>
      <w:r>
        <w:rPr>
          <w:rFonts w:ascii="Arial" w:hAnsi="Arial" w:cs="Arial"/>
          <w:color w:val="000000" w:themeColor="text1"/>
          <w:sz w:val="20"/>
          <w:szCs w:val="20"/>
        </w:rPr>
        <w:t>Marketplace disruption is likely to continue</w:t>
      </w:r>
      <w:r w:rsidR="006453BA">
        <w:rPr>
          <w:rFonts w:ascii="Arial" w:hAnsi="Arial" w:cs="Arial"/>
          <w:color w:val="000000" w:themeColor="text1"/>
          <w:sz w:val="20"/>
          <w:szCs w:val="20"/>
        </w:rPr>
        <w:t xml:space="preserve"> through</w:t>
      </w:r>
      <w:r>
        <w:rPr>
          <w:rFonts w:ascii="Arial" w:hAnsi="Arial" w:cs="Arial"/>
          <w:color w:val="000000" w:themeColor="text1"/>
          <w:sz w:val="20"/>
          <w:szCs w:val="20"/>
        </w:rPr>
        <w:t xml:space="preserve"> the first quarter of 2022 at a minimum. </w:t>
      </w:r>
    </w:p>
    <w:p w14:paraId="389C6F78" w14:textId="77777777" w:rsidR="003D37B7" w:rsidRDefault="003D37B7" w:rsidP="003D37B7">
      <w:pPr>
        <w:pStyle w:val="NoSpacing"/>
        <w:numPr>
          <w:ilvl w:val="0"/>
          <w:numId w:val="13"/>
        </w:numPr>
        <w:rPr>
          <w:rFonts w:ascii="Arial" w:hAnsi="Arial" w:cs="Arial"/>
          <w:color w:val="000000" w:themeColor="text1"/>
          <w:sz w:val="20"/>
          <w:szCs w:val="20"/>
        </w:rPr>
      </w:pPr>
      <w:r>
        <w:rPr>
          <w:rFonts w:ascii="Arial" w:hAnsi="Arial" w:cs="Arial"/>
          <w:color w:val="000000" w:themeColor="text1"/>
          <w:sz w:val="20"/>
          <w:szCs w:val="20"/>
        </w:rPr>
        <w:t xml:space="preserve">In December 2021, 38% of shoppers encountered issues with availability of items they had planned to purchase. The highest out-of-stocks were reported for toilet paper, canned goods and milk. </w:t>
      </w:r>
    </w:p>
    <w:p w14:paraId="646D16E6" w14:textId="77777777" w:rsidR="003D37B7" w:rsidRDefault="003D37B7" w:rsidP="003D37B7">
      <w:pPr>
        <w:pStyle w:val="NoSpacing"/>
        <w:numPr>
          <w:ilvl w:val="0"/>
          <w:numId w:val="13"/>
        </w:numPr>
        <w:rPr>
          <w:rFonts w:ascii="Arial" w:hAnsi="Arial" w:cs="Arial"/>
          <w:color w:val="000000" w:themeColor="text1"/>
          <w:sz w:val="20"/>
          <w:szCs w:val="20"/>
        </w:rPr>
      </w:pPr>
      <w:r w:rsidRPr="00D927D0">
        <w:rPr>
          <w:rFonts w:ascii="Arial" w:hAnsi="Arial" w:cs="Arial"/>
          <w:color w:val="000000" w:themeColor="text1"/>
          <w:sz w:val="20"/>
          <w:szCs w:val="20"/>
        </w:rPr>
        <w:t>In response to not being able to buy what they came</w:t>
      </w:r>
      <w:r>
        <w:rPr>
          <w:rFonts w:ascii="Arial" w:hAnsi="Arial" w:cs="Arial"/>
          <w:color w:val="000000" w:themeColor="text1"/>
          <w:sz w:val="20"/>
          <w:szCs w:val="20"/>
        </w:rPr>
        <w:t xml:space="preserve"> for, 34% of shoppers spent their money elsewhere and 26% ended up not purchasing the planned item at all — underscoring the significant impact of out-of-stocks on sales. </w:t>
      </w:r>
      <w:r w:rsidRPr="00D927D0">
        <w:rPr>
          <w:rFonts w:ascii="Arial" w:hAnsi="Arial" w:cs="Arial"/>
          <w:color w:val="000000" w:themeColor="text1"/>
          <w:sz w:val="20"/>
          <w:szCs w:val="20"/>
        </w:rPr>
        <w:br/>
        <w:t xml:space="preserve">- </w:t>
      </w:r>
      <w:r>
        <w:rPr>
          <w:rFonts w:ascii="Arial" w:hAnsi="Arial" w:cs="Arial"/>
          <w:color w:val="000000" w:themeColor="text1"/>
          <w:sz w:val="20"/>
          <w:szCs w:val="20"/>
        </w:rPr>
        <w:t>34</w:t>
      </w:r>
      <w:r w:rsidRPr="00D927D0">
        <w:rPr>
          <w:rFonts w:ascii="Arial" w:hAnsi="Arial" w:cs="Arial"/>
          <w:color w:val="000000" w:themeColor="text1"/>
          <w:sz w:val="20"/>
          <w:szCs w:val="20"/>
        </w:rPr>
        <w:t xml:space="preserve">% went to a different store and another </w:t>
      </w:r>
      <w:r>
        <w:rPr>
          <w:rFonts w:ascii="Arial" w:hAnsi="Arial" w:cs="Arial"/>
          <w:color w:val="000000" w:themeColor="text1"/>
          <w:sz w:val="20"/>
          <w:szCs w:val="20"/>
        </w:rPr>
        <w:t>7%</w:t>
      </w:r>
      <w:r w:rsidRPr="00D927D0">
        <w:rPr>
          <w:rFonts w:ascii="Arial" w:hAnsi="Arial" w:cs="Arial"/>
          <w:color w:val="000000" w:themeColor="text1"/>
          <w:sz w:val="20"/>
          <w:szCs w:val="20"/>
        </w:rPr>
        <w:t xml:space="preserve"> went online and bought it from another store</w:t>
      </w:r>
      <w:r>
        <w:rPr>
          <w:rFonts w:ascii="Arial" w:hAnsi="Arial" w:cs="Arial"/>
          <w:color w:val="000000" w:themeColor="text1"/>
          <w:sz w:val="20"/>
          <w:szCs w:val="20"/>
        </w:rPr>
        <w:t>.</w:t>
      </w:r>
      <w:r w:rsidRPr="00D927D0">
        <w:rPr>
          <w:rFonts w:ascii="Arial" w:hAnsi="Arial" w:cs="Arial"/>
          <w:color w:val="000000" w:themeColor="text1"/>
          <w:sz w:val="20"/>
          <w:szCs w:val="20"/>
        </w:rPr>
        <w:br/>
      </w:r>
      <w:r>
        <w:rPr>
          <w:rFonts w:ascii="Arial" w:hAnsi="Arial" w:cs="Arial"/>
          <w:color w:val="000000" w:themeColor="text1"/>
          <w:sz w:val="20"/>
          <w:szCs w:val="20"/>
        </w:rPr>
        <w:t>- 26% forewent the purchase.</w:t>
      </w:r>
      <w:r w:rsidRPr="00D927D0">
        <w:rPr>
          <w:rFonts w:ascii="Arial" w:hAnsi="Arial" w:cs="Arial"/>
          <w:color w:val="000000" w:themeColor="text1"/>
          <w:sz w:val="20"/>
          <w:szCs w:val="20"/>
        </w:rPr>
        <w:br/>
        <w:t>- 2</w:t>
      </w:r>
      <w:r>
        <w:rPr>
          <w:rFonts w:ascii="Arial" w:hAnsi="Arial" w:cs="Arial"/>
          <w:color w:val="000000" w:themeColor="text1"/>
          <w:sz w:val="20"/>
          <w:szCs w:val="20"/>
        </w:rPr>
        <w:t>4</w:t>
      </w:r>
      <w:r w:rsidRPr="00D927D0">
        <w:rPr>
          <w:rFonts w:ascii="Arial" w:hAnsi="Arial" w:cs="Arial"/>
          <w:color w:val="000000" w:themeColor="text1"/>
          <w:sz w:val="20"/>
          <w:szCs w:val="20"/>
        </w:rPr>
        <w:t>% bought a different brand or variety</w:t>
      </w:r>
      <w:r>
        <w:rPr>
          <w:rFonts w:ascii="Arial" w:hAnsi="Arial" w:cs="Arial"/>
          <w:color w:val="000000" w:themeColor="text1"/>
          <w:sz w:val="20"/>
          <w:szCs w:val="20"/>
        </w:rPr>
        <w:t>.</w:t>
      </w:r>
      <w:r w:rsidRPr="00D927D0">
        <w:rPr>
          <w:rFonts w:ascii="Arial" w:hAnsi="Arial" w:cs="Arial"/>
          <w:color w:val="000000" w:themeColor="text1"/>
          <w:sz w:val="20"/>
          <w:szCs w:val="20"/>
        </w:rPr>
        <w:br/>
        <w:t xml:space="preserve">- </w:t>
      </w:r>
      <w:r>
        <w:rPr>
          <w:rFonts w:ascii="Arial" w:hAnsi="Arial" w:cs="Arial"/>
          <w:color w:val="000000" w:themeColor="text1"/>
          <w:sz w:val="20"/>
          <w:szCs w:val="20"/>
        </w:rPr>
        <w:t>19</w:t>
      </w:r>
      <w:r w:rsidRPr="00D927D0">
        <w:rPr>
          <w:rFonts w:ascii="Arial" w:hAnsi="Arial" w:cs="Arial"/>
          <w:color w:val="000000" w:themeColor="text1"/>
          <w:sz w:val="20"/>
          <w:szCs w:val="20"/>
        </w:rPr>
        <w:t>% returned to the store later</w:t>
      </w:r>
      <w:r>
        <w:rPr>
          <w:rFonts w:ascii="Arial" w:hAnsi="Arial" w:cs="Arial"/>
          <w:color w:val="000000" w:themeColor="text1"/>
          <w:sz w:val="20"/>
          <w:szCs w:val="20"/>
        </w:rPr>
        <w:t>.</w:t>
      </w:r>
    </w:p>
    <w:p w14:paraId="48145A42" w14:textId="77777777" w:rsidR="003D37B7" w:rsidRDefault="003D37B7" w:rsidP="003D37B7">
      <w:pPr>
        <w:pStyle w:val="NoSpacing"/>
        <w:numPr>
          <w:ilvl w:val="0"/>
          <w:numId w:val="13"/>
        </w:numPr>
        <w:rPr>
          <w:rFonts w:ascii="Arial" w:hAnsi="Arial" w:cs="Arial"/>
          <w:color w:val="000000" w:themeColor="text1"/>
          <w:sz w:val="20"/>
          <w:szCs w:val="20"/>
        </w:rPr>
      </w:pPr>
      <w:r>
        <w:rPr>
          <w:rFonts w:ascii="Arial" w:hAnsi="Arial" w:cs="Arial"/>
          <w:color w:val="000000" w:themeColor="text1"/>
          <w:sz w:val="20"/>
          <w:szCs w:val="20"/>
        </w:rPr>
        <w:t>22% of shoppers stocked up on certain items out of concern that they may not be available next time they shop.</w:t>
      </w:r>
    </w:p>
    <w:p w14:paraId="4FD7749C" w14:textId="3A75D668" w:rsidR="003D37B7" w:rsidRPr="00B43C5B" w:rsidRDefault="003D37B7" w:rsidP="003D37B7">
      <w:pPr>
        <w:pStyle w:val="NoSpacing"/>
        <w:numPr>
          <w:ilvl w:val="0"/>
          <w:numId w:val="13"/>
        </w:numPr>
        <w:rPr>
          <w:rFonts w:ascii="Arial" w:hAnsi="Arial" w:cs="Arial"/>
          <w:color w:val="000000" w:themeColor="text1"/>
          <w:sz w:val="20"/>
          <w:szCs w:val="20"/>
        </w:rPr>
      </w:pPr>
      <w:r>
        <w:rPr>
          <w:rFonts w:ascii="Arial" w:hAnsi="Arial" w:cs="Arial"/>
          <w:color w:val="000000" w:themeColor="text1"/>
          <w:sz w:val="20"/>
          <w:szCs w:val="20"/>
        </w:rPr>
        <w:t xml:space="preserve">18% stocked up on certain items for other reasons, including rapidly rising inflation. This could affect fresh produce sales with dollars shifting to canned and frozen. </w:t>
      </w:r>
      <w:r w:rsidRPr="00B43C5B">
        <w:rPr>
          <w:rFonts w:ascii="Arial" w:hAnsi="Arial" w:cs="Arial"/>
          <w:color w:val="000000" w:themeColor="text1"/>
          <w:sz w:val="20"/>
          <w:szCs w:val="20"/>
        </w:rPr>
        <w:br/>
      </w:r>
    </w:p>
    <w:p w14:paraId="17A16E53" w14:textId="77777777" w:rsidR="003D37B7" w:rsidRDefault="003D37B7" w:rsidP="003D37B7">
      <w:pPr>
        <w:pStyle w:val="NoSpacing"/>
        <w:rPr>
          <w:rFonts w:ascii="Arial" w:hAnsi="Arial" w:cs="Arial"/>
          <w:color w:val="000000" w:themeColor="text1"/>
          <w:sz w:val="20"/>
          <w:szCs w:val="20"/>
        </w:rPr>
      </w:pPr>
      <w:r>
        <w:rPr>
          <w:rFonts w:ascii="Arial" w:hAnsi="Arial" w:cs="Arial"/>
          <w:color w:val="000000" w:themeColor="text1"/>
          <w:sz w:val="20"/>
          <w:szCs w:val="20"/>
        </w:rPr>
        <w:t xml:space="preserve">The latest COVID-19 wave has not resulted in the same levels of concern as those early in the pandemic. </w:t>
      </w:r>
    </w:p>
    <w:p w14:paraId="27121DFA" w14:textId="77777777" w:rsidR="003D37B7" w:rsidRDefault="003D37B7" w:rsidP="003D37B7">
      <w:pPr>
        <w:pStyle w:val="NoSpacing"/>
        <w:numPr>
          <w:ilvl w:val="0"/>
          <w:numId w:val="19"/>
        </w:numPr>
        <w:rPr>
          <w:rFonts w:ascii="Arial" w:hAnsi="Arial" w:cs="Arial"/>
          <w:color w:val="000000" w:themeColor="text1"/>
          <w:sz w:val="20"/>
          <w:szCs w:val="20"/>
        </w:rPr>
      </w:pPr>
      <w:r>
        <w:rPr>
          <w:rFonts w:ascii="Arial" w:hAnsi="Arial" w:cs="Arial"/>
          <w:color w:val="000000" w:themeColor="text1"/>
          <w:sz w:val="20"/>
          <w:szCs w:val="20"/>
        </w:rPr>
        <w:t>33% is extremely concerned — a ratio that was double as high during the early months.</w:t>
      </w:r>
    </w:p>
    <w:p w14:paraId="7D14BFA8" w14:textId="77777777" w:rsidR="003D37B7" w:rsidRDefault="003D37B7" w:rsidP="003D37B7">
      <w:pPr>
        <w:pStyle w:val="NoSpacing"/>
        <w:numPr>
          <w:ilvl w:val="0"/>
          <w:numId w:val="14"/>
        </w:numPr>
        <w:rPr>
          <w:rFonts w:ascii="Arial" w:hAnsi="Arial" w:cs="Arial"/>
          <w:color w:val="000000" w:themeColor="text1"/>
          <w:sz w:val="20"/>
          <w:szCs w:val="20"/>
        </w:rPr>
      </w:pPr>
      <w:r>
        <w:rPr>
          <w:rFonts w:ascii="Arial" w:hAnsi="Arial" w:cs="Arial"/>
          <w:color w:val="000000" w:themeColor="text1"/>
          <w:sz w:val="20"/>
          <w:szCs w:val="20"/>
        </w:rPr>
        <w:t>Despite the arrival of the Omicron variant, 73% are not any more or less worried; 27% are more worried and 7% are less worried.</w:t>
      </w:r>
    </w:p>
    <w:p w14:paraId="200986F2" w14:textId="77777777" w:rsidR="003D37B7" w:rsidRDefault="003D37B7" w:rsidP="003D37B7">
      <w:pPr>
        <w:pStyle w:val="NoSpacing"/>
        <w:rPr>
          <w:rFonts w:ascii="Arial" w:hAnsi="Arial" w:cs="Arial"/>
          <w:color w:val="000000" w:themeColor="text1"/>
          <w:sz w:val="20"/>
          <w:szCs w:val="20"/>
        </w:rPr>
      </w:pPr>
    </w:p>
    <w:p w14:paraId="288AAF95" w14:textId="77777777" w:rsidR="003D37B7" w:rsidRDefault="003D37B7" w:rsidP="003D37B7">
      <w:pPr>
        <w:pStyle w:val="NoSpacing"/>
        <w:rPr>
          <w:rFonts w:ascii="Arial" w:hAnsi="Arial" w:cs="Arial"/>
          <w:color w:val="000000" w:themeColor="text1"/>
          <w:sz w:val="20"/>
          <w:szCs w:val="20"/>
        </w:rPr>
      </w:pPr>
      <w:bookmarkStart w:id="3" w:name="_Hlk92540925"/>
      <w:r>
        <w:rPr>
          <w:rFonts w:ascii="Arial" w:hAnsi="Arial" w:cs="Arial"/>
          <w:color w:val="000000" w:themeColor="text1"/>
          <w:sz w:val="20"/>
          <w:szCs w:val="20"/>
        </w:rPr>
        <w:t>Eighty percent of consumers bought from restaurants in December 2021 — a few points down from prior months. Engagement is driven by takeout and delivery:</w:t>
      </w:r>
    </w:p>
    <w:p w14:paraId="6B7EAD69" w14:textId="77777777" w:rsidR="003D37B7" w:rsidRDefault="003D37B7" w:rsidP="003D37B7">
      <w:pPr>
        <w:pStyle w:val="NoSpacing"/>
        <w:numPr>
          <w:ilvl w:val="0"/>
          <w:numId w:val="16"/>
        </w:numPr>
        <w:rPr>
          <w:rFonts w:ascii="Arial" w:hAnsi="Arial" w:cs="Arial"/>
          <w:color w:val="000000" w:themeColor="text1"/>
          <w:sz w:val="20"/>
          <w:szCs w:val="20"/>
        </w:rPr>
      </w:pPr>
      <w:r>
        <w:rPr>
          <w:rFonts w:ascii="Arial" w:hAnsi="Arial" w:cs="Arial"/>
          <w:color w:val="000000" w:themeColor="text1"/>
          <w:sz w:val="20"/>
          <w:szCs w:val="20"/>
        </w:rPr>
        <w:t>54% of primary shoppers have gotten takeout and 20% have ordered home delivery.</w:t>
      </w:r>
    </w:p>
    <w:p w14:paraId="75CF7D84" w14:textId="77777777" w:rsidR="003D37B7" w:rsidRDefault="003D37B7" w:rsidP="003D37B7">
      <w:pPr>
        <w:pStyle w:val="NoSpacing"/>
        <w:numPr>
          <w:ilvl w:val="0"/>
          <w:numId w:val="16"/>
        </w:numPr>
        <w:rPr>
          <w:rFonts w:ascii="Arial" w:hAnsi="Arial" w:cs="Arial"/>
          <w:color w:val="000000" w:themeColor="text1"/>
          <w:sz w:val="20"/>
          <w:szCs w:val="20"/>
        </w:rPr>
      </w:pPr>
      <w:r>
        <w:rPr>
          <w:rFonts w:ascii="Arial" w:hAnsi="Arial" w:cs="Arial"/>
          <w:color w:val="000000" w:themeColor="text1"/>
          <w:sz w:val="20"/>
          <w:szCs w:val="20"/>
        </w:rPr>
        <w:t>49% have dined inside at a restaurant and 10% have eaten outdoors at a restaurant.</w:t>
      </w:r>
    </w:p>
    <w:bookmarkEnd w:id="3"/>
    <w:p w14:paraId="340F3235" w14:textId="77777777" w:rsidR="003D37B7" w:rsidRDefault="003D37B7" w:rsidP="003D37B7">
      <w:pPr>
        <w:pStyle w:val="NoSpacing"/>
        <w:rPr>
          <w:rFonts w:ascii="Arial" w:hAnsi="Arial" w:cs="Arial"/>
          <w:color w:val="000000" w:themeColor="text1"/>
          <w:sz w:val="20"/>
          <w:szCs w:val="20"/>
        </w:rPr>
      </w:pPr>
    </w:p>
    <w:p w14:paraId="0147D3C6" w14:textId="4278FD53" w:rsidR="001E19ED" w:rsidRDefault="001E19ED" w:rsidP="001E19ED">
      <w:pPr>
        <w:pStyle w:val="NoSpacing"/>
        <w:rPr>
          <w:rFonts w:ascii="Arial" w:hAnsi="Arial" w:cs="Arial"/>
          <w:sz w:val="20"/>
          <w:szCs w:val="20"/>
        </w:rPr>
      </w:pPr>
      <w:r>
        <w:rPr>
          <w:rFonts w:ascii="Arial" w:hAnsi="Arial" w:cs="Arial"/>
          <w:sz w:val="20"/>
          <w:szCs w:val="20"/>
        </w:rPr>
        <w:t>The next report, covering</w:t>
      </w:r>
      <w:r w:rsidR="003D37B7">
        <w:rPr>
          <w:rFonts w:ascii="Arial" w:hAnsi="Arial" w:cs="Arial"/>
          <w:sz w:val="20"/>
          <w:szCs w:val="20"/>
        </w:rPr>
        <w:t xml:space="preserve"> January</w:t>
      </w:r>
      <w:r>
        <w:rPr>
          <w:rFonts w:ascii="Arial" w:hAnsi="Arial" w:cs="Arial"/>
          <w:sz w:val="20"/>
          <w:szCs w:val="20"/>
        </w:rPr>
        <w:t>, will be released in mid-</w:t>
      </w:r>
      <w:r w:rsidR="003D37B7">
        <w:rPr>
          <w:rFonts w:ascii="Arial" w:hAnsi="Arial" w:cs="Arial"/>
          <w:sz w:val="20"/>
          <w:szCs w:val="20"/>
        </w:rPr>
        <w:t>February</w:t>
      </w:r>
      <w:r>
        <w:rPr>
          <w:rFonts w:ascii="Arial" w:hAnsi="Arial" w:cs="Arial"/>
          <w:sz w:val="20"/>
          <w:szCs w:val="20"/>
        </w:rPr>
        <w:t xml:space="preserve">. </w:t>
      </w:r>
      <w:r w:rsidRPr="008A6A7C">
        <w:rPr>
          <w:rFonts w:ascii="Arial" w:hAnsi="Arial" w:cs="Arial"/>
          <w:sz w:val="20"/>
          <w:szCs w:val="20"/>
        </w:rPr>
        <w:t xml:space="preserve">We encourage you to contact Joe Watson, </w:t>
      </w:r>
      <w:r w:rsidR="003D37B7">
        <w:rPr>
          <w:rFonts w:ascii="Arial" w:hAnsi="Arial" w:cs="Arial"/>
          <w:sz w:val="20"/>
          <w:szCs w:val="20"/>
        </w:rPr>
        <w:t>IFPA</w:t>
      </w:r>
      <w:r w:rsidRPr="008A6A7C">
        <w:rPr>
          <w:rFonts w:ascii="Arial" w:hAnsi="Arial" w:cs="Arial"/>
          <w:sz w:val="20"/>
          <w:szCs w:val="20"/>
        </w:rPr>
        <w:t xml:space="preserve">’s </w:t>
      </w:r>
      <w:r w:rsidR="0045675D">
        <w:rPr>
          <w:rFonts w:ascii="Arial" w:hAnsi="Arial" w:cs="Arial"/>
          <w:sz w:val="20"/>
          <w:szCs w:val="20"/>
        </w:rPr>
        <w:t>V</w:t>
      </w:r>
      <w:r w:rsidR="00086061">
        <w:rPr>
          <w:rFonts w:ascii="Arial" w:hAnsi="Arial" w:cs="Arial"/>
          <w:sz w:val="20"/>
          <w:szCs w:val="20"/>
        </w:rPr>
        <w:t>P,</w:t>
      </w:r>
      <w:r w:rsidR="0045675D">
        <w:rPr>
          <w:rFonts w:ascii="Arial" w:hAnsi="Arial" w:cs="Arial"/>
          <w:sz w:val="20"/>
          <w:szCs w:val="20"/>
        </w:rPr>
        <w:t xml:space="preserve"> Retail, Foodservice and Wholesale</w:t>
      </w:r>
      <w:r w:rsidRPr="008A6A7C">
        <w:rPr>
          <w:rFonts w:ascii="Arial" w:hAnsi="Arial" w:cs="Arial"/>
          <w:sz w:val="20"/>
          <w:szCs w:val="20"/>
        </w:rPr>
        <w:t xml:space="preserve">, at </w:t>
      </w:r>
      <w:hyperlink r:id="rId17" w:history="1">
        <w:r w:rsidR="0045675D" w:rsidRPr="0045675D">
          <w:rPr>
            <w:rStyle w:val="Hyperlink"/>
            <w:rFonts w:ascii="Arial" w:hAnsi="Arial" w:cs="Arial"/>
            <w:sz w:val="20"/>
            <w:szCs w:val="20"/>
          </w:rPr>
          <w:t>jwatson@freshproduce.com</w:t>
        </w:r>
      </w:hyperlink>
      <w:r w:rsidRPr="008A6A7C">
        <w:rPr>
          <w:rFonts w:ascii="Arial" w:hAnsi="Arial" w:cs="Arial"/>
          <w:sz w:val="20"/>
          <w:szCs w:val="20"/>
        </w:rPr>
        <w:t xml:space="preserve"> with any questions or concerns.</w:t>
      </w:r>
      <w:r>
        <w:rPr>
          <w:rFonts w:ascii="Arial" w:hAnsi="Arial" w:cs="Arial"/>
          <w:sz w:val="20"/>
          <w:szCs w:val="20"/>
        </w:rPr>
        <w:t xml:space="preserve"> </w:t>
      </w:r>
      <w:r w:rsidRPr="008A6A7C">
        <w:rPr>
          <w:rFonts w:ascii="Arial" w:hAnsi="Arial" w:cs="Arial"/>
          <w:sz w:val="20"/>
          <w:szCs w:val="20"/>
        </w:rPr>
        <w:t>Please recognize the continued dedication of the entire grocery and produce suppl</w:t>
      </w:r>
      <w:r>
        <w:rPr>
          <w:rFonts w:ascii="Arial" w:hAnsi="Arial" w:cs="Arial"/>
          <w:sz w:val="20"/>
          <w:szCs w:val="20"/>
        </w:rPr>
        <w:t>y chains, from farm to retailer</w:t>
      </w:r>
      <w:r w:rsidRPr="008A6A7C">
        <w:rPr>
          <w:rFonts w:ascii="Arial" w:hAnsi="Arial" w:cs="Arial"/>
          <w:sz w:val="20"/>
          <w:szCs w:val="20"/>
        </w:rPr>
        <w:t>. #produce #joyoffresh #SupermarketSuperHeroes.</w:t>
      </w:r>
    </w:p>
    <w:p w14:paraId="3B93F2C6" w14:textId="77777777" w:rsidR="001E19ED" w:rsidRDefault="001E19ED" w:rsidP="001E19ED">
      <w:pPr>
        <w:pStyle w:val="NoSpacing"/>
        <w:rPr>
          <w:rFonts w:ascii="Arial" w:hAnsi="Arial" w:cs="Arial"/>
          <w:sz w:val="20"/>
          <w:szCs w:val="20"/>
        </w:rPr>
      </w:pPr>
    </w:p>
    <w:p w14:paraId="35D57757" w14:textId="77777777" w:rsidR="006A4A53" w:rsidRDefault="006A4A53" w:rsidP="006A4A53">
      <w:pPr>
        <w:pStyle w:val="NoSpacing"/>
        <w:rPr>
          <w:rFonts w:ascii="Arial" w:hAnsi="Arial" w:cs="Arial"/>
          <w:sz w:val="20"/>
          <w:szCs w:val="20"/>
        </w:rPr>
      </w:pPr>
    </w:p>
    <w:bookmarkEnd w:id="2"/>
    <w:p w14:paraId="595008A4" w14:textId="77777777" w:rsidR="00B60EDD" w:rsidRDefault="00B60EDD" w:rsidP="00B60EDD">
      <w:pPr>
        <w:pStyle w:val="NoSpacing"/>
        <w:rPr>
          <w:rFonts w:ascii="Arial" w:hAnsi="Arial" w:cs="Arial"/>
          <w:b/>
          <w:sz w:val="20"/>
          <w:szCs w:val="20"/>
        </w:rPr>
      </w:pPr>
      <w:r>
        <w:rPr>
          <w:rFonts w:ascii="Arial" w:hAnsi="Arial" w:cs="Arial"/>
          <w:b/>
          <w:sz w:val="20"/>
          <w:szCs w:val="20"/>
        </w:rPr>
        <w:t xml:space="preserve">Date ranges: </w:t>
      </w:r>
    </w:p>
    <w:p w14:paraId="6E6852B8" w14:textId="77777777" w:rsidR="00B60EDD" w:rsidRDefault="00B60EDD" w:rsidP="00B60EDD">
      <w:pPr>
        <w:pStyle w:val="NoSpacing"/>
        <w:rPr>
          <w:rFonts w:ascii="Arial" w:hAnsi="Arial" w:cs="Arial"/>
          <w:sz w:val="20"/>
          <w:szCs w:val="20"/>
        </w:rPr>
      </w:pPr>
      <w:r>
        <w:rPr>
          <w:rFonts w:ascii="Arial" w:hAnsi="Arial" w:cs="Arial"/>
          <w:sz w:val="20"/>
          <w:szCs w:val="20"/>
        </w:rPr>
        <w:t>2019: 52 weeks ending 12/28/2019</w:t>
      </w:r>
    </w:p>
    <w:p w14:paraId="333A4033" w14:textId="77777777" w:rsidR="00B60EDD" w:rsidRDefault="00B60EDD" w:rsidP="00B60EDD">
      <w:pPr>
        <w:pStyle w:val="NoSpacing"/>
        <w:rPr>
          <w:rFonts w:ascii="Arial" w:hAnsi="Arial" w:cs="Arial"/>
          <w:sz w:val="20"/>
          <w:szCs w:val="20"/>
        </w:rPr>
      </w:pPr>
      <w:r>
        <w:rPr>
          <w:rFonts w:ascii="Arial" w:hAnsi="Arial" w:cs="Arial"/>
          <w:sz w:val="20"/>
          <w:szCs w:val="20"/>
        </w:rPr>
        <w:t>Q1 2020: 13 weeks ending 3/29/2020</w:t>
      </w:r>
    </w:p>
    <w:p w14:paraId="5CBDB8F8" w14:textId="77777777" w:rsidR="00B60EDD" w:rsidRDefault="00B60EDD" w:rsidP="00B60EDD">
      <w:pPr>
        <w:pStyle w:val="NoSpacing"/>
        <w:rPr>
          <w:rFonts w:ascii="Arial" w:hAnsi="Arial" w:cs="Arial"/>
          <w:sz w:val="20"/>
          <w:szCs w:val="20"/>
        </w:rPr>
      </w:pPr>
      <w:r>
        <w:rPr>
          <w:rFonts w:ascii="Arial" w:hAnsi="Arial" w:cs="Arial"/>
          <w:sz w:val="20"/>
          <w:szCs w:val="20"/>
        </w:rPr>
        <w:t>Q2 2020: 13 weeks ending 6/28/2020</w:t>
      </w:r>
    </w:p>
    <w:p w14:paraId="756DF721" w14:textId="77777777" w:rsidR="00B60EDD" w:rsidRDefault="00B60EDD" w:rsidP="00B60EDD">
      <w:pPr>
        <w:pStyle w:val="NoSpacing"/>
        <w:rPr>
          <w:rFonts w:ascii="Arial" w:hAnsi="Arial" w:cs="Arial"/>
          <w:sz w:val="20"/>
          <w:szCs w:val="20"/>
        </w:rPr>
      </w:pPr>
      <w:r>
        <w:rPr>
          <w:rFonts w:ascii="Arial" w:hAnsi="Arial" w:cs="Arial"/>
          <w:sz w:val="20"/>
          <w:szCs w:val="20"/>
        </w:rPr>
        <w:t>Q3 2020: 13 weeks ending 9/27/2020</w:t>
      </w:r>
    </w:p>
    <w:p w14:paraId="16AEA28E" w14:textId="77777777" w:rsidR="00B60EDD" w:rsidRDefault="00B60EDD" w:rsidP="00B60EDD">
      <w:pPr>
        <w:pStyle w:val="NoSpacing"/>
        <w:rPr>
          <w:rFonts w:ascii="Arial" w:hAnsi="Arial" w:cs="Arial"/>
          <w:sz w:val="20"/>
          <w:szCs w:val="20"/>
        </w:rPr>
      </w:pPr>
      <w:r>
        <w:rPr>
          <w:rFonts w:ascii="Arial" w:hAnsi="Arial" w:cs="Arial"/>
          <w:sz w:val="20"/>
          <w:szCs w:val="20"/>
        </w:rPr>
        <w:t>Q4 2020: 13 weeks ending 12/27/2020</w:t>
      </w:r>
    </w:p>
    <w:p w14:paraId="449ED4E9" w14:textId="77777777" w:rsidR="00B60EDD" w:rsidRDefault="00B60EDD" w:rsidP="00B60EDD">
      <w:pPr>
        <w:pStyle w:val="NoSpacing"/>
        <w:rPr>
          <w:rFonts w:ascii="Arial" w:hAnsi="Arial" w:cs="Arial"/>
          <w:sz w:val="20"/>
          <w:szCs w:val="20"/>
        </w:rPr>
      </w:pPr>
      <w:r>
        <w:rPr>
          <w:rFonts w:ascii="Arial" w:hAnsi="Arial" w:cs="Arial"/>
          <w:sz w:val="20"/>
          <w:szCs w:val="20"/>
        </w:rPr>
        <w:t>Q1 2021: 13 weeks ending 3/28/2021</w:t>
      </w:r>
    </w:p>
    <w:p w14:paraId="1C5AD8BF" w14:textId="77777777" w:rsidR="00B60EDD" w:rsidRDefault="00B60EDD" w:rsidP="00B60EDD">
      <w:pPr>
        <w:pStyle w:val="NoSpacing"/>
        <w:rPr>
          <w:rFonts w:ascii="Arial" w:hAnsi="Arial" w:cs="Arial"/>
          <w:sz w:val="20"/>
          <w:szCs w:val="20"/>
        </w:rPr>
      </w:pPr>
      <w:r>
        <w:rPr>
          <w:rFonts w:ascii="Arial" w:hAnsi="Arial" w:cs="Arial"/>
          <w:sz w:val="20"/>
          <w:szCs w:val="20"/>
        </w:rPr>
        <w:t>Q2 2021: 13 weeks ending 6/27/2021</w:t>
      </w:r>
    </w:p>
    <w:p w14:paraId="6439D2A7" w14:textId="77777777" w:rsidR="00B60EDD" w:rsidRDefault="00B60EDD" w:rsidP="00B60EDD">
      <w:pPr>
        <w:pStyle w:val="NoSpacing"/>
        <w:rPr>
          <w:rFonts w:ascii="Arial" w:hAnsi="Arial" w:cs="Arial"/>
          <w:sz w:val="20"/>
          <w:szCs w:val="20"/>
        </w:rPr>
      </w:pPr>
      <w:r>
        <w:rPr>
          <w:rFonts w:ascii="Arial" w:hAnsi="Arial" w:cs="Arial"/>
          <w:sz w:val="20"/>
          <w:szCs w:val="20"/>
        </w:rPr>
        <w:t>Q3 2021: 13 weeks ending 9/26/2021</w:t>
      </w:r>
    </w:p>
    <w:p w14:paraId="19534483" w14:textId="77777777" w:rsidR="00B60EDD" w:rsidRDefault="00B60EDD" w:rsidP="00B60EDD">
      <w:pPr>
        <w:pStyle w:val="NoSpacing"/>
        <w:rPr>
          <w:rFonts w:ascii="Arial" w:hAnsi="Arial" w:cs="Arial"/>
          <w:sz w:val="20"/>
          <w:szCs w:val="20"/>
        </w:rPr>
      </w:pPr>
      <w:r>
        <w:rPr>
          <w:rFonts w:ascii="Arial" w:hAnsi="Arial" w:cs="Arial"/>
          <w:sz w:val="20"/>
          <w:szCs w:val="20"/>
        </w:rPr>
        <w:t>Q4 2021: 13 weeks ending 12/26/2021</w:t>
      </w:r>
    </w:p>
    <w:p w14:paraId="2A780206" w14:textId="77777777" w:rsidR="00B60EDD" w:rsidRDefault="00B60EDD" w:rsidP="00B60EDD">
      <w:pPr>
        <w:pStyle w:val="NoSpacing"/>
        <w:rPr>
          <w:rFonts w:ascii="Arial" w:hAnsi="Arial" w:cs="Arial"/>
          <w:sz w:val="20"/>
          <w:szCs w:val="20"/>
        </w:rPr>
      </w:pPr>
      <w:r>
        <w:rPr>
          <w:rFonts w:ascii="Arial" w:hAnsi="Arial" w:cs="Arial"/>
          <w:sz w:val="20"/>
          <w:szCs w:val="20"/>
        </w:rPr>
        <w:t>December 2021: 4 weeks ending 12/26/2021</w:t>
      </w:r>
    </w:p>
    <w:p w14:paraId="58F26F01" w14:textId="77777777" w:rsidR="00B60EDD" w:rsidRDefault="00B60EDD" w:rsidP="00B60EDD">
      <w:pPr>
        <w:pStyle w:val="NoSpacing"/>
        <w:rPr>
          <w:rFonts w:ascii="Arial" w:hAnsi="Arial" w:cs="Arial"/>
          <w:sz w:val="20"/>
          <w:szCs w:val="20"/>
        </w:rPr>
      </w:pPr>
    </w:p>
    <w:p w14:paraId="6799567F" w14:textId="77777777" w:rsidR="00C826C2" w:rsidRPr="008A6A7C" w:rsidRDefault="00C826C2" w:rsidP="00B60EDD">
      <w:pPr>
        <w:pStyle w:val="NoSpacing"/>
        <w:rPr>
          <w:rFonts w:ascii="Arial" w:hAnsi="Arial" w:cs="Arial"/>
          <w:sz w:val="20"/>
          <w:szCs w:val="20"/>
        </w:rPr>
      </w:pPr>
    </w:p>
    <w:sectPr w:rsidR="00C826C2" w:rsidRPr="008A6A7C" w:rsidSect="009172A3">
      <w:headerReference w:type="default" r:id="rId18"/>
      <w:footerReference w:type="default" r:id="rId19"/>
      <w:pgSz w:w="12240" w:h="15840"/>
      <w:pgMar w:top="1276" w:right="758"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0950B" w14:textId="77777777" w:rsidR="00CE6E5A" w:rsidRDefault="00CE6E5A" w:rsidP="007E1D2E">
      <w:pPr>
        <w:spacing w:after="0" w:line="240" w:lineRule="auto"/>
      </w:pPr>
      <w:r>
        <w:separator/>
      </w:r>
    </w:p>
  </w:endnote>
  <w:endnote w:type="continuationSeparator" w:id="0">
    <w:p w14:paraId="0AE5181C" w14:textId="77777777" w:rsidR="00CE6E5A" w:rsidRDefault="00CE6E5A" w:rsidP="007E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7325" w14:textId="553A307F" w:rsidR="001F29DC" w:rsidRPr="001C4C48" w:rsidRDefault="006050A3" w:rsidP="009172A3">
    <w:pPr>
      <w:spacing w:before="68" w:after="71" w:line="210" w:lineRule="atLeast"/>
      <w:rPr>
        <w:rFonts w:ascii="Verdana" w:hAnsi="Verdana" w:cs="Times New Roman"/>
        <w:color w:val="000000" w:themeColor="text1"/>
        <w:sz w:val="14"/>
        <w:szCs w:val="14"/>
      </w:rPr>
    </w:pPr>
    <w:r>
      <w:rPr>
        <w:rFonts w:ascii="Verdana" w:hAnsi="Verdana" w:cs="Times New Roman"/>
        <w:b/>
        <w:bCs/>
        <w:noProof/>
        <w:color w:val="000000" w:themeColor="text1"/>
        <w:sz w:val="14"/>
        <w:szCs w:val="14"/>
      </w:rPr>
      <mc:AlternateContent>
        <mc:Choice Requires="wps">
          <w:drawing>
            <wp:anchor distT="0" distB="0" distL="114300" distR="114300" simplePos="0" relativeHeight="251658240" behindDoc="0" locked="0" layoutInCell="1" allowOverlap="1" wp14:anchorId="4A1B8A99" wp14:editId="1CB48AB6">
              <wp:simplePos x="0" y="0"/>
              <wp:positionH relativeFrom="page">
                <wp:posOffset>457200</wp:posOffset>
              </wp:positionH>
              <wp:positionV relativeFrom="paragraph">
                <wp:posOffset>148590</wp:posOffset>
              </wp:positionV>
              <wp:extent cx="6858000" cy="20320"/>
              <wp:effectExtent l="0" t="0" r="0" b="1778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2032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9A391" id="Straight Connector 4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6pt,11.7pt" to="8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ZvwwEAAPgDAAAOAAAAZHJzL2Uyb0RvYy54bWysU8Fu2zAMvQ/oPwi6L3YyrAiMOD206C7F&#10;VqzbB6gyFQuTREFSY+fvR8mxV7Qdhg27EKbE98j3RO+uRmvYEULU6Fq+XtWcgZPYaXdo+fdvt++3&#10;nMUkXCcMOmj5CSK/2l+82w2+gQ32aDoIjEhcbAbf8j4l31RVlD1YEVfowdGlwmBFojQcqi6Igdit&#10;qTZ1fVkNGDofUEKMdHozXfJ94VcKZPqiVITETMtptlRiKPExx2q/E80hCN9reR5D/MMUVmhHTReq&#10;G5EEewr6FZXVMmBElVYSbYVKaQlFA6lZ1y/UPPTCQ9FC5kS/2BT/H638fLx29yGPLkf34O9Q/ohk&#10;SjX42CyXOYl+KhtVsLmcZmdjMfK0GAljYpIOL7cft3VNfku629QfNsXoSjQz2IeYPgFalj9abrTL&#10;OkUjjncx5faimUvysXE5RjS6u9XGlCRvCFybwI6C3lZICS6t83sS9lklZRld9EwSiph0MjAxfwXF&#10;dEdDr8sEZfN+x2scVWeYoikWYP1n4Lk+Q6Fs5d+AF0TpjC4tYKsdhre6p3G2Qk31swOT7mzBI3an&#10;+zA/Na1Xce78K+T9fZ4X+K8fdv8TAAD//wMAUEsDBBQABgAIAAAAIQD6G2BD3QAAAAkBAAAPAAAA&#10;ZHJzL2Rvd25yZXYueG1sTI/NTsMwEITvSLyDtZW4UadpMSjEqaJKCHEk5dCjY29+1HgdYrcNb49z&#10;guPOjGa/yfezHdgVJ987krBZJ8CQtDM9tRK+jm+PL8B8UGTU4Agl/KCHfXF/l6vMuBt94rUKLYsl&#10;5DMloQthzDj3ukOr/NqNSNFr3GRViOfUcjOpWyy3A0+TRHCreoofOjXioUN9ri5WQqNbEbpK70Rd&#10;v5fNx/ep3B5OUj6s5vIVWMA5/IVhwY/oUESm2l3IeDZIeE7jlCAh3e6ALf7maVHqqAgBvMj5/wXF&#10;LwAAAP//AwBQSwECLQAUAAYACAAAACEAtoM4kv4AAADhAQAAEwAAAAAAAAAAAAAAAAAAAAAAW0Nv&#10;bnRlbnRfVHlwZXNdLnhtbFBLAQItABQABgAIAAAAIQA4/SH/1gAAAJQBAAALAAAAAAAAAAAAAAAA&#10;AC8BAABfcmVscy8ucmVsc1BLAQItABQABgAIAAAAIQAzraZvwwEAAPgDAAAOAAAAAAAAAAAAAAAA&#10;AC4CAABkcnMvZTJvRG9jLnhtbFBLAQItABQABgAIAAAAIQD6G2BD3QAAAAkBAAAPAAAAAAAAAAAA&#10;AAAAAB0EAABkcnMvZG93bnJldi54bWxQSwUGAAAAAAQABADzAAAAJwUAAAAA&#10;" strokecolor="#4f81bd [3204]">
              <o:lock v:ext="edit" shapetype="f"/>
              <w10:wrap anchorx="page"/>
            </v:line>
          </w:pict>
        </mc:Fallback>
      </mc:AlternateContent>
    </w:r>
  </w:p>
  <w:p w14:paraId="1762375F" w14:textId="7D2F2F06" w:rsidR="001F29DC" w:rsidRPr="00030F05" w:rsidRDefault="006050A3" w:rsidP="009172A3">
    <w:pPr>
      <w:pStyle w:val="NoSpacing"/>
      <w:rPr>
        <w:sz w:val="16"/>
      </w:rPr>
    </w:pPr>
    <w:r>
      <w:rPr>
        <w:noProof/>
        <w:sz w:val="16"/>
      </w:rPr>
      <mc:AlternateContent>
        <mc:Choice Requires="wps">
          <w:drawing>
            <wp:anchor distT="0" distB="0" distL="114300" distR="114300" simplePos="0" relativeHeight="251659264" behindDoc="0" locked="0" layoutInCell="1" allowOverlap="1" wp14:anchorId="1DA0F004" wp14:editId="6F4D2271">
              <wp:simplePos x="0" y="0"/>
              <wp:positionH relativeFrom="page">
                <wp:posOffset>5035550</wp:posOffset>
              </wp:positionH>
              <wp:positionV relativeFrom="page">
                <wp:posOffset>9556750</wp:posOffset>
              </wp:positionV>
              <wp:extent cx="2359025" cy="34734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3473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675C57" w14:textId="77777777" w:rsidR="001F29DC" w:rsidRPr="002E71F7" w:rsidRDefault="001F29DC"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0F004" id="_x0000_t202" coordsize="21600,21600" o:spt="202" path="m,l,21600r21600,l21600,xe">
              <v:stroke joinstyle="miter"/>
              <v:path gradientshapeok="t" o:connecttype="rect"/>
            </v:shapetype>
            <v:shape id="Text Box 41" o:spid="_x0000_s1027" type="#_x0000_t202" style="position:absolute;margin-left:396.5pt;margin-top:752.5pt;width:185.75pt;height:2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Yo/bgIAAE0FAAAOAAAAZHJzL2Uyb0RvYy54bWysVEtv2zAMvg/YfxB0X53nuhp1iixFhwFB&#10;WywdelZkqTEqi5rExM5+/SjZSbpulw67SBT58U3q8qqtDdspHyqwBR+eDThTVkJZ2aeCf3+4+fCJ&#10;s4DClsKAVQXfq8CvZu/fXTYuVyPYgCmVZ2TEhrxxBd8gujzLgtyoWoQzcMqSUIOvBdLTP2WlFw1Z&#10;r002Ggw+Zg340nmQKgTiXndCPkv2tVYS77QOCpkpOMWG6fTpXMczm12K/MkLt6lkH4b4hyhqUVly&#10;ejR1LVCwra/+MFVX0kMAjWcS6gy0rqRKOVA2w8GrbFYb4VTKhYoT3LFM4f+Zlbe7lbv3DNvP0FID&#10;UxLBLUE+B6pN1riQ95hY05AHQsdEW+3reFMKjBSptvtjPVWLTBJzNJ5eDEZTziTJxpPz8WQaC56d&#10;tJ0P+EVBzSJRcE/9ShGI3TJgBz1AojMLN5UxqWfG/sYgmx1Hpab32qeAE4V7o6KWsd+UZlWZ4o6M&#10;NG5qYTzbCRoUIaWyOOxjTeiI0uT7LYo9Pqp2Ub1F+aiRPIPFo3JdWfBdn+KWnMIunw8h6w7f9y90&#10;eccSYLtuqXyRXEO5p8Z76HYiOHlTUROWIuC98LQE1FJabLyjQxtoCg49xdkG/M+/8SOeZpOknDW0&#10;VAUPP7bCK87MV0tTezGcTOIWpsdkej6ih38pWb+U2G29AGrHkL4QJxMZ8WgOpPZQP9L+z6NXEgkr&#10;yXfB8UAusFt1+j+kms8TiPbOCVzalZOHeY8j9tA+Cu/6OUSa4Fs4rJ/IX41jh42NsTDfIugqzeqp&#10;qn3haWfTtPf/S/wUXr4T6vQLzn4BAAD//wMAUEsDBBQABgAIAAAAIQD/8Yn04AAAAA4BAAAPAAAA&#10;ZHJzL2Rvd25yZXYueG1sTI/NTsMwEITvSLyDtUjcqF2oWxLiVAjEFUT5kbi58TaJiNdR7Dbh7dmc&#10;4La7M5r9pthOvhMnHGIbyMByoUAgVcG1VBt4f3u6ugURkyVnu0Bo4AcjbMvzs8LmLoz0iqddqgWH&#10;UMytgSalPpcyVg16GxehR2LtEAZvE69DLd1gRw73nbxWai29bYk/NLbHhwar793RG/h4Pnx9rtRL&#10;/eh1P4ZJSfKZNObyYrq/A5FwSn9mmPEZHUpm2ocjuSg6A5vshrskFrTSPM2W5XqlQeznm842IMtC&#10;/q9R/gIAAP//AwBQSwECLQAUAAYACAAAACEAtoM4kv4AAADhAQAAEwAAAAAAAAAAAAAAAAAAAAAA&#10;W0NvbnRlbnRfVHlwZXNdLnhtbFBLAQItABQABgAIAAAAIQA4/SH/1gAAAJQBAAALAAAAAAAAAAAA&#10;AAAAAC8BAABfcmVscy8ucmVsc1BLAQItABQABgAIAAAAIQA8RYo/bgIAAE0FAAAOAAAAAAAAAAAA&#10;AAAAAC4CAABkcnMvZTJvRG9jLnhtbFBLAQItABQABgAIAAAAIQD/8Yn04AAAAA4BAAAPAAAAAAAA&#10;AAAAAAAAAMgEAABkcnMvZG93bnJldi54bWxQSwUGAAAAAAQABADzAAAA1QUAAAAA&#10;" filled="f" stroked="f">
              <v:textbox>
                <w:txbxContent>
                  <w:p w14:paraId="59675C57" w14:textId="77777777" w:rsidR="001F29DC" w:rsidRPr="002E71F7" w:rsidRDefault="001F29DC" w:rsidP="009172A3">
                    <w:pPr>
                      <w:jc w:val="right"/>
                      <w:rPr>
                        <w:rFonts w:ascii="Arial" w:hAnsi="Arial" w:cs="Arial"/>
                        <w:color w:val="000000" w:themeColor="text1"/>
                        <w:sz w:val="14"/>
                        <w:szCs w:val="14"/>
                      </w:rPr>
                    </w:pPr>
                    <w:r w:rsidRPr="002E71F7">
                      <w:rPr>
                        <w:rFonts w:ascii="Arial" w:hAnsi="Arial" w:cs="Arial"/>
                        <w:color w:val="000000" w:themeColor="text1"/>
                        <w:sz w:val="14"/>
                        <w:szCs w:val="14"/>
                      </w:rPr>
                      <w:t xml:space="preserve">Copyright © </w:t>
                    </w:r>
                    <w:r>
                      <w:rPr>
                        <w:rFonts w:ascii="Arial" w:hAnsi="Arial" w:cs="Arial"/>
                        <w:color w:val="000000" w:themeColor="text1"/>
                        <w:sz w:val="14"/>
                        <w:szCs w:val="14"/>
                      </w:rPr>
                      <w:t xml:space="preserve">210 Analytics and </w:t>
                    </w:r>
                    <w:r>
                      <w:rPr>
                        <w:rFonts w:ascii="Arial" w:hAnsi="Arial" w:cs="Arial"/>
                        <w:color w:val="000000" w:themeColor="text1"/>
                        <w:sz w:val="14"/>
                        <w:szCs w:val="14"/>
                      </w:rPr>
                      <w:br/>
                    </w:r>
                    <w:r w:rsidRPr="002E71F7">
                      <w:rPr>
                        <w:rFonts w:ascii="Arial" w:hAnsi="Arial" w:cs="Arial"/>
                        <w:color w:val="000000" w:themeColor="text1"/>
                        <w:sz w:val="14"/>
                        <w:szCs w:val="14"/>
                      </w:rPr>
                      <w:t>Information Resources, Inc. (IRI)</w:t>
                    </w:r>
                  </w:p>
                </w:txbxContent>
              </v:textbox>
              <w10:wrap anchorx="page" anchory="page"/>
            </v:shape>
          </w:pict>
        </mc:Fallback>
      </mc:AlternateContent>
    </w:r>
    <w:r w:rsidR="001F29DC" w:rsidRPr="00030F05">
      <w:rPr>
        <w:sz w:val="16"/>
      </w:rPr>
      <w:t>Need more information?</w:t>
    </w:r>
    <w:r w:rsidR="001F29DC" w:rsidRPr="00030F05">
      <w:rPr>
        <w:sz w:val="16"/>
      </w:rPr>
      <w:br/>
      <w:t>www.IRIworldwide.com</w:t>
    </w:r>
    <w:r w:rsidR="001F29DC">
      <w:rPr>
        <w:sz w:val="16"/>
      </w:rPr>
      <w:tab/>
    </w:r>
    <w:r w:rsidR="001F29DC">
      <w:rPr>
        <w:sz w:val="16"/>
      </w:rPr>
      <w:tab/>
    </w:r>
    <w:r w:rsidR="001F29DC">
      <w:rPr>
        <w:sz w:val="16"/>
      </w:rPr>
      <w:tab/>
      <w:t>210 Analytics</w:t>
    </w:r>
  </w:p>
  <w:p w14:paraId="2DF304B0" w14:textId="77777777" w:rsidR="001F29DC" w:rsidRPr="00030F05" w:rsidRDefault="001F29DC" w:rsidP="009172A3">
    <w:pPr>
      <w:pStyle w:val="NoSpacing"/>
      <w:rPr>
        <w:sz w:val="16"/>
      </w:rPr>
    </w:pPr>
    <w:r w:rsidRPr="00030F05">
      <w:rPr>
        <w:sz w:val="16"/>
      </w:rPr>
      <w:t>Headquarters:   +1.312.726.1221</w:t>
    </w:r>
    <w:r>
      <w:rPr>
        <w:sz w:val="16"/>
      </w:rPr>
      <w:tab/>
    </w:r>
    <w:r>
      <w:rPr>
        <w:sz w:val="16"/>
      </w:rPr>
      <w:tab/>
    </w:r>
    <w:r>
      <w:rPr>
        <w:sz w:val="16"/>
      </w:rPr>
      <w:tab/>
      <w:t>aroerink@210analytics.com</w:t>
    </w:r>
  </w:p>
  <w:p w14:paraId="5F07B139" w14:textId="77777777" w:rsidR="001F29DC" w:rsidRDefault="001F2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F84F" w14:textId="77777777" w:rsidR="00CE6E5A" w:rsidRDefault="00CE6E5A" w:rsidP="007E1D2E">
      <w:pPr>
        <w:spacing w:after="0" w:line="240" w:lineRule="auto"/>
      </w:pPr>
      <w:r>
        <w:separator/>
      </w:r>
    </w:p>
  </w:footnote>
  <w:footnote w:type="continuationSeparator" w:id="0">
    <w:p w14:paraId="07B3BD05" w14:textId="77777777" w:rsidR="00CE6E5A" w:rsidRDefault="00CE6E5A" w:rsidP="007E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BAF4F" w14:textId="77777777" w:rsidR="001F29DC" w:rsidRDefault="001F29DC">
    <w:pPr>
      <w:pStyle w:val="Header"/>
    </w:pPr>
    <w:r w:rsidRPr="00030F05">
      <w:rPr>
        <w:noProof/>
      </w:rPr>
      <w:drawing>
        <wp:anchor distT="0" distB="0" distL="114300" distR="114300" simplePos="0" relativeHeight="251657216" behindDoc="1" locked="1" layoutInCell="1" allowOverlap="1" wp14:anchorId="57D281D0" wp14:editId="41CAF249">
          <wp:simplePos x="0" y="0"/>
          <wp:positionH relativeFrom="page">
            <wp:posOffset>1521847</wp:posOffset>
          </wp:positionH>
          <wp:positionV relativeFrom="page">
            <wp:posOffset>0</wp:posOffset>
          </wp:positionV>
          <wp:extent cx="6270431" cy="787179"/>
          <wp:effectExtent l="19050" t="0" r="0" b="0"/>
          <wp:wrapNone/>
          <wp:docPr id="1" name="Picture 1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rcRect b="28448"/>
                  <a:stretch>
                    <a:fillRect/>
                  </a:stretch>
                </pic:blipFill>
                <pic:spPr>
                  <a:xfrm>
                    <a:off x="0" y="0"/>
                    <a:ext cx="6267450" cy="790575"/>
                  </a:xfrm>
                  <a:prstGeom prst="rect">
                    <a:avLst/>
                  </a:prstGeom>
                </pic:spPr>
              </pic:pic>
            </a:graphicData>
          </a:graphic>
        </wp:anchor>
      </w:drawing>
    </w:r>
    <w:r w:rsidRPr="00030F05">
      <w:rPr>
        <w:noProof/>
      </w:rPr>
      <w:drawing>
        <wp:anchor distT="0" distB="0" distL="114300" distR="114300" simplePos="0" relativeHeight="251656192" behindDoc="0" locked="1" layoutInCell="1" allowOverlap="1" wp14:anchorId="21BDBFAD" wp14:editId="076F0B92">
          <wp:simplePos x="0" y="0"/>
          <wp:positionH relativeFrom="page">
            <wp:posOffset>-55659</wp:posOffset>
          </wp:positionH>
          <wp:positionV relativeFrom="page">
            <wp:posOffset>0</wp:posOffset>
          </wp:positionV>
          <wp:extent cx="7903596" cy="289450"/>
          <wp:effectExtent l="0" t="0" r="0" b="1270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ader.jpg"/>
                  <pic:cNvPicPr/>
                </pic:nvPicPr>
                <pic:blipFill rotWithShape="1">
                  <a:blip r:embed="rId2">
                    <a:extLst>
                      <a:ext uri="{28A0092B-C50C-407E-A947-70E740481C1C}">
                        <a14:useLocalDpi xmlns:a14="http://schemas.microsoft.com/office/drawing/2010/main"/>
                      </a:ext>
                    </a:extLst>
                  </a:blip>
                  <a:srcRect/>
                  <a:stretch/>
                </pic:blipFill>
                <pic:spPr bwMode="auto">
                  <a:xfrm>
                    <a:off x="0" y="0"/>
                    <a:ext cx="7909560" cy="2921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C90"/>
    <w:multiLevelType w:val="hybridMultilevel"/>
    <w:tmpl w:val="752ED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8040D6"/>
    <w:multiLevelType w:val="hybridMultilevel"/>
    <w:tmpl w:val="11A0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C302F0"/>
    <w:multiLevelType w:val="hybridMultilevel"/>
    <w:tmpl w:val="E138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0879"/>
    <w:multiLevelType w:val="hybridMultilevel"/>
    <w:tmpl w:val="69AC7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50D42"/>
    <w:multiLevelType w:val="hybridMultilevel"/>
    <w:tmpl w:val="8F8C6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4D3521"/>
    <w:multiLevelType w:val="hybridMultilevel"/>
    <w:tmpl w:val="4676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82225"/>
    <w:multiLevelType w:val="hybridMultilevel"/>
    <w:tmpl w:val="52A604A8"/>
    <w:lvl w:ilvl="0" w:tplc="AAAC1FB8">
      <w:start w:val="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A15C7"/>
    <w:multiLevelType w:val="hybridMultilevel"/>
    <w:tmpl w:val="38A47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924DE6"/>
    <w:multiLevelType w:val="hybridMultilevel"/>
    <w:tmpl w:val="649E6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5042CF"/>
    <w:multiLevelType w:val="hybridMultilevel"/>
    <w:tmpl w:val="A328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FF24BB"/>
    <w:multiLevelType w:val="hybridMultilevel"/>
    <w:tmpl w:val="A492F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FB31247"/>
    <w:multiLevelType w:val="hybridMultilevel"/>
    <w:tmpl w:val="A3E05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47A61B6"/>
    <w:multiLevelType w:val="hybridMultilevel"/>
    <w:tmpl w:val="85081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E87EF7"/>
    <w:multiLevelType w:val="hybridMultilevel"/>
    <w:tmpl w:val="3FBA4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5D18DB"/>
    <w:multiLevelType w:val="hybridMultilevel"/>
    <w:tmpl w:val="C2640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5034E9D"/>
    <w:multiLevelType w:val="hybridMultilevel"/>
    <w:tmpl w:val="B81EDA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464BB5"/>
    <w:multiLevelType w:val="hybridMultilevel"/>
    <w:tmpl w:val="53684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CED5576"/>
    <w:multiLevelType w:val="hybridMultilevel"/>
    <w:tmpl w:val="64E2B4B6"/>
    <w:lvl w:ilvl="0" w:tplc="D1F2BFBE">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D75C21"/>
    <w:multiLevelType w:val="hybridMultilevel"/>
    <w:tmpl w:val="39305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14"/>
  </w:num>
  <w:num w:numId="4">
    <w:abstractNumId w:val="15"/>
  </w:num>
  <w:num w:numId="5">
    <w:abstractNumId w:val="17"/>
  </w:num>
  <w:num w:numId="6">
    <w:abstractNumId w:val="2"/>
  </w:num>
  <w:num w:numId="7">
    <w:abstractNumId w:val="7"/>
  </w:num>
  <w:num w:numId="8">
    <w:abstractNumId w:val="8"/>
  </w:num>
  <w:num w:numId="9">
    <w:abstractNumId w:val="13"/>
  </w:num>
  <w:num w:numId="10">
    <w:abstractNumId w:val="11"/>
  </w:num>
  <w:num w:numId="11">
    <w:abstractNumId w:val="9"/>
  </w:num>
  <w:num w:numId="12">
    <w:abstractNumId w:val="3"/>
  </w:num>
  <w:num w:numId="13">
    <w:abstractNumId w:val="1"/>
  </w:num>
  <w:num w:numId="14">
    <w:abstractNumId w:val="0"/>
  </w:num>
  <w:num w:numId="15">
    <w:abstractNumId w:val="10"/>
  </w:num>
  <w:num w:numId="16">
    <w:abstractNumId w:val="12"/>
  </w:num>
  <w:num w:numId="17">
    <w:abstractNumId w:val="6"/>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2D"/>
    <w:rsid w:val="00000581"/>
    <w:rsid w:val="00007A72"/>
    <w:rsid w:val="00010D51"/>
    <w:rsid w:val="0001120A"/>
    <w:rsid w:val="000117EF"/>
    <w:rsid w:val="00012355"/>
    <w:rsid w:val="000166DA"/>
    <w:rsid w:val="00017F7D"/>
    <w:rsid w:val="00020882"/>
    <w:rsid w:val="00022AE5"/>
    <w:rsid w:val="00022DA3"/>
    <w:rsid w:val="00023C8F"/>
    <w:rsid w:val="000263ED"/>
    <w:rsid w:val="0003459A"/>
    <w:rsid w:val="00036105"/>
    <w:rsid w:val="000369B9"/>
    <w:rsid w:val="00036B2C"/>
    <w:rsid w:val="000375AF"/>
    <w:rsid w:val="00042FD2"/>
    <w:rsid w:val="000439A5"/>
    <w:rsid w:val="00043B43"/>
    <w:rsid w:val="0005157F"/>
    <w:rsid w:val="00051887"/>
    <w:rsid w:val="000526EA"/>
    <w:rsid w:val="00052CF6"/>
    <w:rsid w:val="000538C0"/>
    <w:rsid w:val="00053F8C"/>
    <w:rsid w:val="000544E1"/>
    <w:rsid w:val="000545C1"/>
    <w:rsid w:val="000554A9"/>
    <w:rsid w:val="00055F57"/>
    <w:rsid w:val="00057ED6"/>
    <w:rsid w:val="000607BB"/>
    <w:rsid w:val="00060A46"/>
    <w:rsid w:val="00061736"/>
    <w:rsid w:val="00062D68"/>
    <w:rsid w:val="00064FBD"/>
    <w:rsid w:val="000658F7"/>
    <w:rsid w:val="0006645D"/>
    <w:rsid w:val="000670BC"/>
    <w:rsid w:val="00070D2B"/>
    <w:rsid w:val="00070E17"/>
    <w:rsid w:val="00071A3E"/>
    <w:rsid w:val="00073676"/>
    <w:rsid w:val="00083DB0"/>
    <w:rsid w:val="00083EF7"/>
    <w:rsid w:val="00084469"/>
    <w:rsid w:val="00086061"/>
    <w:rsid w:val="00091E61"/>
    <w:rsid w:val="0009337A"/>
    <w:rsid w:val="000A1FB2"/>
    <w:rsid w:val="000A3E66"/>
    <w:rsid w:val="000A543A"/>
    <w:rsid w:val="000A7CDC"/>
    <w:rsid w:val="000B035F"/>
    <w:rsid w:val="000B0AF5"/>
    <w:rsid w:val="000B0C6D"/>
    <w:rsid w:val="000B16D5"/>
    <w:rsid w:val="000B44E8"/>
    <w:rsid w:val="000B4FD7"/>
    <w:rsid w:val="000B5FE1"/>
    <w:rsid w:val="000B705A"/>
    <w:rsid w:val="000B73DB"/>
    <w:rsid w:val="000C0984"/>
    <w:rsid w:val="000C1222"/>
    <w:rsid w:val="000C2C93"/>
    <w:rsid w:val="000C757A"/>
    <w:rsid w:val="000D036B"/>
    <w:rsid w:val="000D0664"/>
    <w:rsid w:val="000D5031"/>
    <w:rsid w:val="000D5DA3"/>
    <w:rsid w:val="000D5E13"/>
    <w:rsid w:val="000D6CF5"/>
    <w:rsid w:val="000D6E48"/>
    <w:rsid w:val="000E02DD"/>
    <w:rsid w:val="000E109F"/>
    <w:rsid w:val="000E2CB5"/>
    <w:rsid w:val="000F1852"/>
    <w:rsid w:val="000F1BEC"/>
    <w:rsid w:val="000F3291"/>
    <w:rsid w:val="000F5310"/>
    <w:rsid w:val="000F55C0"/>
    <w:rsid w:val="000F7521"/>
    <w:rsid w:val="000F7549"/>
    <w:rsid w:val="000F7932"/>
    <w:rsid w:val="000F7F92"/>
    <w:rsid w:val="001008BD"/>
    <w:rsid w:val="0010093C"/>
    <w:rsid w:val="00100F44"/>
    <w:rsid w:val="00101C4E"/>
    <w:rsid w:val="001024F6"/>
    <w:rsid w:val="0010503A"/>
    <w:rsid w:val="00105352"/>
    <w:rsid w:val="0010695F"/>
    <w:rsid w:val="00106F0B"/>
    <w:rsid w:val="00112A5A"/>
    <w:rsid w:val="001141CA"/>
    <w:rsid w:val="0011420E"/>
    <w:rsid w:val="00114591"/>
    <w:rsid w:val="0011663F"/>
    <w:rsid w:val="00116FC7"/>
    <w:rsid w:val="0011773C"/>
    <w:rsid w:val="001210D2"/>
    <w:rsid w:val="001213B4"/>
    <w:rsid w:val="00121989"/>
    <w:rsid w:val="00121E18"/>
    <w:rsid w:val="00125FAE"/>
    <w:rsid w:val="00130D41"/>
    <w:rsid w:val="00131954"/>
    <w:rsid w:val="00131B9A"/>
    <w:rsid w:val="00133959"/>
    <w:rsid w:val="001344E1"/>
    <w:rsid w:val="00140A5F"/>
    <w:rsid w:val="00141DBA"/>
    <w:rsid w:val="001420B1"/>
    <w:rsid w:val="00143527"/>
    <w:rsid w:val="001452A1"/>
    <w:rsid w:val="00150F33"/>
    <w:rsid w:val="00151C32"/>
    <w:rsid w:val="00151CCC"/>
    <w:rsid w:val="00152095"/>
    <w:rsid w:val="00155142"/>
    <w:rsid w:val="00155ACB"/>
    <w:rsid w:val="00157669"/>
    <w:rsid w:val="00157776"/>
    <w:rsid w:val="0016082C"/>
    <w:rsid w:val="00160D1A"/>
    <w:rsid w:val="00162C95"/>
    <w:rsid w:val="00163CF9"/>
    <w:rsid w:val="00163F0B"/>
    <w:rsid w:val="0016509F"/>
    <w:rsid w:val="001676D0"/>
    <w:rsid w:val="0017206C"/>
    <w:rsid w:val="001729EA"/>
    <w:rsid w:val="001823F0"/>
    <w:rsid w:val="0018439F"/>
    <w:rsid w:val="001904BA"/>
    <w:rsid w:val="00190A58"/>
    <w:rsid w:val="00191B23"/>
    <w:rsid w:val="00192C41"/>
    <w:rsid w:val="00192E8C"/>
    <w:rsid w:val="001937D1"/>
    <w:rsid w:val="001946FE"/>
    <w:rsid w:val="00194FCF"/>
    <w:rsid w:val="0019681B"/>
    <w:rsid w:val="0019735A"/>
    <w:rsid w:val="0019737A"/>
    <w:rsid w:val="001A1830"/>
    <w:rsid w:val="001A2844"/>
    <w:rsid w:val="001A2FCB"/>
    <w:rsid w:val="001A4317"/>
    <w:rsid w:val="001A4F53"/>
    <w:rsid w:val="001B04C2"/>
    <w:rsid w:val="001B27BC"/>
    <w:rsid w:val="001B2A5E"/>
    <w:rsid w:val="001B361F"/>
    <w:rsid w:val="001B5D83"/>
    <w:rsid w:val="001B6F56"/>
    <w:rsid w:val="001C0658"/>
    <w:rsid w:val="001C0962"/>
    <w:rsid w:val="001C454A"/>
    <w:rsid w:val="001C5358"/>
    <w:rsid w:val="001C56E4"/>
    <w:rsid w:val="001C6281"/>
    <w:rsid w:val="001C641C"/>
    <w:rsid w:val="001C6B93"/>
    <w:rsid w:val="001D0A38"/>
    <w:rsid w:val="001D0C47"/>
    <w:rsid w:val="001D0D13"/>
    <w:rsid w:val="001D13E3"/>
    <w:rsid w:val="001D1C94"/>
    <w:rsid w:val="001D1FD7"/>
    <w:rsid w:val="001D2163"/>
    <w:rsid w:val="001D5464"/>
    <w:rsid w:val="001D5C1A"/>
    <w:rsid w:val="001E19ED"/>
    <w:rsid w:val="001E1AD8"/>
    <w:rsid w:val="001E2207"/>
    <w:rsid w:val="001E26EB"/>
    <w:rsid w:val="001E28F9"/>
    <w:rsid w:val="001E3E8E"/>
    <w:rsid w:val="001E4381"/>
    <w:rsid w:val="001E4CD3"/>
    <w:rsid w:val="001E4D03"/>
    <w:rsid w:val="001E5E9F"/>
    <w:rsid w:val="001E726D"/>
    <w:rsid w:val="001F04FA"/>
    <w:rsid w:val="001F292B"/>
    <w:rsid w:val="001F29DC"/>
    <w:rsid w:val="001F512A"/>
    <w:rsid w:val="001F53D3"/>
    <w:rsid w:val="001F7395"/>
    <w:rsid w:val="00200C0F"/>
    <w:rsid w:val="00200D19"/>
    <w:rsid w:val="00203B6C"/>
    <w:rsid w:val="00206FA1"/>
    <w:rsid w:val="00207525"/>
    <w:rsid w:val="0021074E"/>
    <w:rsid w:val="002137F5"/>
    <w:rsid w:val="00213F99"/>
    <w:rsid w:val="0021462C"/>
    <w:rsid w:val="00214C85"/>
    <w:rsid w:val="0021673D"/>
    <w:rsid w:val="00216752"/>
    <w:rsid w:val="0021684E"/>
    <w:rsid w:val="00217E85"/>
    <w:rsid w:val="0022022C"/>
    <w:rsid w:val="00220B71"/>
    <w:rsid w:val="0022252A"/>
    <w:rsid w:val="00226322"/>
    <w:rsid w:val="00227ED7"/>
    <w:rsid w:val="00230809"/>
    <w:rsid w:val="00230E25"/>
    <w:rsid w:val="00231015"/>
    <w:rsid w:val="002314B8"/>
    <w:rsid w:val="00231A49"/>
    <w:rsid w:val="00231B9B"/>
    <w:rsid w:val="00231DF3"/>
    <w:rsid w:val="00232B19"/>
    <w:rsid w:val="002358BA"/>
    <w:rsid w:val="00235FBD"/>
    <w:rsid w:val="002450E6"/>
    <w:rsid w:val="0024650C"/>
    <w:rsid w:val="00247235"/>
    <w:rsid w:val="00247561"/>
    <w:rsid w:val="00250FB7"/>
    <w:rsid w:val="00251476"/>
    <w:rsid w:val="00252AC4"/>
    <w:rsid w:val="00254063"/>
    <w:rsid w:val="00254795"/>
    <w:rsid w:val="00254FD3"/>
    <w:rsid w:val="002559AC"/>
    <w:rsid w:val="002577CE"/>
    <w:rsid w:val="0026038C"/>
    <w:rsid w:val="00260E1C"/>
    <w:rsid w:val="00262B7A"/>
    <w:rsid w:val="00263C9F"/>
    <w:rsid w:val="00265A50"/>
    <w:rsid w:val="00267E57"/>
    <w:rsid w:val="00271EF8"/>
    <w:rsid w:val="00272C41"/>
    <w:rsid w:val="00273813"/>
    <w:rsid w:val="00274C89"/>
    <w:rsid w:val="00281DD0"/>
    <w:rsid w:val="002829C4"/>
    <w:rsid w:val="00283FD8"/>
    <w:rsid w:val="00284D1B"/>
    <w:rsid w:val="002855FE"/>
    <w:rsid w:val="00285C02"/>
    <w:rsid w:val="00286F2E"/>
    <w:rsid w:val="002909D7"/>
    <w:rsid w:val="00290E49"/>
    <w:rsid w:val="00292CDE"/>
    <w:rsid w:val="00292EC7"/>
    <w:rsid w:val="002938C6"/>
    <w:rsid w:val="00296016"/>
    <w:rsid w:val="002968B4"/>
    <w:rsid w:val="002979E1"/>
    <w:rsid w:val="00297D11"/>
    <w:rsid w:val="002A4D9A"/>
    <w:rsid w:val="002B1115"/>
    <w:rsid w:val="002B46DD"/>
    <w:rsid w:val="002B647B"/>
    <w:rsid w:val="002C0E44"/>
    <w:rsid w:val="002C22DF"/>
    <w:rsid w:val="002C2F4F"/>
    <w:rsid w:val="002C64EC"/>
    <w:rsid w:val="002C6B59"/>
    <w:rsid w:val="002C7619"/>
    <w:rsid w:val="002D28F4"/>
    <w:rsid w:val="002D3293"/>
    <w:rsid w:val="002D3EC8"/>
    <w:rsid w:val="002D5486"/>
    <w:rsid w:val="002D7676"/>
    <w:rsid w:val="002D7D39"/>
    <w:rsid w:val="002D7F8D"/>
    <w:rsid w:val="002E0575"/>
    <w:rsid w:val="002E09F5"/>
    <w:rsid w:val="002E3448"/>
    <w:rsid w:val="002E3E0D"/>
    <w:rsid w:val="002E4BE8"/>
    <w:rsid w:val="002E5503"/>
    <w:rsid w:val="002E5A54"/>
    <w:rsid w:val="002E6833"/>
    <w:rsid w:val="002E76F7"/>
    <w:rsid w:val="002E78E1"/>
    <w:rsid w:val="002E7CDB"/>
    <w:rsid w:val="002F3E80"/>
    <w:rsid w:val="002F74F6"/>
    <w:rsid w:val="002F7B5D"/>
    <w:rsid w:val="00300012"/>
    <w:rsid w:val="00301A27"/>
    <w:rsid w:val="00302080"/>
    <w:rsid w:val="003025A7"/>
    <w:rsid w:val="00305692"/>
    <w:rsid w:val="003057CD"/>
    <w:rsid w:val="00307723"/>
    <w:rsid w:val="00310171"/>
    <w:rsid w:val="0031035E"/>
    <w:rsid w:val="00310885"/>
    <w:rsid w:val="00311B6D"/>
    <w:rsid w:val="00313FC0"/>
    <w:rsid w:val="003150F5"/>
    <w:rsid w:val="00315642"/>
    <w:rsid w:val="00315C59"/>
    <w:rsid w:val="00317658"/>
    <w:rsid w:val="00321D95"/>
    <w:rsid w:val="00323CA3"/>
    <w:rsid w:val="00324012"/>
    <w:rsid w:val="00324348"/>
    <w:rsid w:val="00324547"/>
    <w:rsid w:val="003269C9"/>
    <w:rsid w:val="003304F8"/>
    <w:rsid w:val="00330FD7"/>
    <w:rsid w:val="0033194E"/>
    <w:rsid w:val="00331E0B"/>
    <w:rsid w:val="00332630"/>
    <w:rsid w:val="00332866"/>
    <w:rsid w:val="00334213"/>
    <w:rsid w:val="00334F5C"/>
    <w:rsid w:val="0033541D"/>
    <w:rsid w:val="00335BB3"/>
    <w:rsid w:val="00335E8D"/>
    <w:rsid w:val="00336C30"/>
    <w:rsid w:val="003400E7"/>
    <w:rsid w:val="00340AA9"/>
    <w:rsid w:val="00342B2D"/>
    <w:rsid w:val="003441BB"/>
    <w:rsid w:val="00345BA2"/>
    <w:rsid w:val="00345E41"/>
    <w:rsid w:val="003507F8"/>
    <w:rsid w:val="003538DC"/>
    <w:rsid w:val="003555F0"/>
    <w:rsid w:val="0035616A"/>
    <w:rsid w:val="00357E26"/>
    <w:rsid w:val="00361BCC"/>
    <w:rsid w:val="003627EF"/>
    <w:rsid w:val="003671FD"/>
    <w:rsid w:val="00367C42"/>
    <w:rsid w:val="00373662"/>
    <w:rsid w:val="00375DB1"/>
    <w:rsid w:val="00380CBC"/>
    <w:rsid w:val="0038311D"/>
    <w:rsid w:val="00384446"/>
    <w:rsid w:val="00384746"/>
    <w:rsid w:val="0038533A"/>
    <w:rsid w:val="00386440"/>
    <w:rsid w:val="00392773"/>
    <w:rsid w:val="00392F8D"/>
    <w:rsid w:val="00393115"/>
    <w:rsid w:val="00393357"/>
    <w:rsid w:val="003935EB"/>
    <w:rsid w:val="00393E83"/>
    <w:rsid w:val="00394F89"/>
    <w:rsid w:val="00395431"/>
    <w:rsid w:val="0039690E"/>
    <w:rsid w:val="003A0E9C"/>
    <w:rsid w:val="003A1E76"/>
    <w:rsid w:val="003A20BE"/>
    <w:rsid w:val="003A7E92"/>
    <w:rsid w:val="003B041E"/>
    <w:rsid w:val="003B0512"/>
    <w:rsid w:val="003B22D4"/>
    <w:rsid w:val="003B318C"/>
    <w:rsid w:val="003B6387"/>
    <w:rsid w:val="003C39A1"/>
    <w:rsid w:val="003C455D"/>
    <w:rsid w:val="003C4C33"/>
    <w:rsid w:val="003C6387"/>
    <w:rsid w:val="003C63CD"/>
    <w:rsid w:val="003C7643"/>
    <w:rsid w:val="003C782B"/>
    <w:rsid w:val="003C7846"/>
    <w:rsid w:val="003C7D7A"/>
    <w:rsid w:val="003D0AE6"/>
    <w:rsid w:val="003D0C38"/>
    <w:rsid w:val="003D2003"/>
    <w:rsid w:val="003D2D37"/>
    <w:rsid w:val="003D31A0"/>
    <w:rsid w:val="003D37B7"/>
    <w:rsid w:val="003D46CC"/>
    <w:rsid w:val="003E0C1E"/>
    <w:rsid w:val="003E0E97"/>
    <w:rsid w:val="003E1146"/>
    <w:rsid w:val="003E1B5F"/>
    <w:rsid w:val="003E2198"/>
    <w:rsid w:val="003E330D"/>
    <w:rsid w:val="003E4829"/>
    <w:rsid w:val="003E55E0"/>
    <w:rsid w:val="003E5674"/>
    <w:rsid w:val="003F1982"/>
    <w:rsid w:val="003F22C7"/>
    <w:rsid w:val="003F230B"/>
    <w:rsid w:val="003F3DAA"/>
    <w:rsid w:val="003F513E"/>
    <w:rsid w:val="003F5D02"/>
    <w:rsid w:val="003F676E"/>
    <w:rsid w:val="00401D64"/>
    <w:rsid w:val="00402E47"/>
    <w:rsid w:val="00403382"/>
    <w:rsid w:val="00403929"/>
    <w:rsid w:val="00403A49"/>
    <w:rsid w:val="004045F4"/>
    <w:rsid w:val="00405174"/>
    <w:rsid w:val="00405372"/>
    <w:rsid w:val="00406AA9"/>
    <w:rsid w:val="00412BCF"/>
    <w:rsid w:val="00413E9F"/>
    <w:rsid w:val="004146EF"/>
    <w:rsid w:val="00414983"/>
    <w:rsid w:val="004164A0"/>
    <w:rsid w:val="00421894"/>
    <w:rsid w:val="00422C9B"/>
    <w:rsid w:val="00422CBC"/>
    <w:rsid w:val="00423839"/>
    <w:rsid w:val="00423AA6"/>
    <w:rsid w:val="0042476D"/>
    <w:rsid w:val="00424B0A"/>
    <w:rsid w:val="004262CE"/>
    <w:rsid w:val="00427A55"/>
    <w:rsid w:val="004304A7"/>
    <w:rsid w:val="004324AC"/>
    <w:rsid w:val="004349A0"/>
    <w:rsid w:val="00434A67"/>
    <w:rsid w:val="00434B5E"/>
    <w:rsid w:val="00435088"/>
    <w:rsid w:val="00437E02"/>
    <w:rsid w:val="00440E23"/>
    <w:rsid w:val="00441424"/>
    <w:rsid w:val="00441E8F"/>
    <w:rsid w:val="00443A78"/>
    <w:rsid w:val="00444E82"/>
    <w:rsid w:val="00444F30"/>
    <w:rsid w:val="00445232"/>
    <w:rsid w:val="00445503"/>
    <w:rsid w:val="004460B5"/>
    <w:rsid w:val="00447877"/>
    <w:rsid w:val="00453713"/>
    <w:rsid w:val="004563F4"/>
    <w:rsid w:val="0045675D"/>
    <w:rsid w:val="00460FB7"/>
    <w:rsid w:val="0046208B"/>
    <w:rsid w:val="004634E6"/>
    <w:rsid w:val="004647C0"/>
    <w:rsid w:val="004649F1"/>
    <w:rsid w:val="00465D0F"/>
    <w:rsid w:val="00466863"/>
    <w:rsid w:val="00466C35"/>
    <w:rsid w:val="00466D79"/>
    <w:rsid w:val="00470A5F"/>
    <w:rsid w:val="00472A5B"/>
    <w:rsid w:val="00474357"/>
    <w:rsid w:val="00476037"/>
    <w:rsid w:val="0047723D"/>
    <w:rsid w:val="004773E0"/>
    <w:rsid w:val="0047795F"/>
    <w:rsid w:val="00480D74"/>
    <w:rsid w:val="004816C6"/>
    <w:rsid w:val="00482A2D"/>
    <w:rsid w:val="004850A1"/>
    <w:rsid w:val="00486117"/>
    <w:rsid w:val="00486A68"/>
    <w:rsid w:val="00487253"/>
    <w:rsid w:val="00490DEA"/>
    <w:rsid w:val="00491167"/>
    <w:rsid w:val="00493F7F"/>
    <w:rsid w:val="004940C4"/>
    <w:rsid w:val="00495014"/>
    <w:rsid w:val="00495F2C"/>
    <w:rsid w:val="004A11C3"/>
    <w:rsid w:val="004A4DF1"/>
    <w:rsid w:val="004A4F04"/>
    <w:rsid w:val="004B1860"/>
    <w:rsid w:val="004B21FF"/>
    <w:rsid w:val="004B2C15"/>
    <w:rsid w:val="004B4107"/>
    <w:rsid w:val="004B5E72"/>
    <w:rsid w:val="004B7B04"/>
    <w:rsid w:val="004C079D"/>
    <w:rsid w:val="004C2A38"/>
    <w:rsid w:val="004C2B65"/>
    <w:rsid w:val="004C48C8"/>
    <w:rsid w:val="004C5A19"/>
    <w:rsid w:val="004C6EF6"/>
    <w:rsid w:val="004C74E9"/>
    <w:rsid w:val="004D185B"/>
    <w:rsid w:val="004D26B3"/>
    <w:rsid w:val="004D2786"/>
    <w:rsid w:val="004D2E26"/>
    <w:rsid w:val="004D3159"/>
    <w:rsid w:val="004D582E"/>
    <w:rsid w:val="004D611F"/>
    <w:rsid w:val="004D6484"/>
    <w:rsid w:val="004D72F0"/>
    <w:rsid w:val="004E17F7"/>
    <w:rsid w:val="004E1D60"/>
    <w:rsid w:val="004E1FBB"/>
    <w:rsid w:val="004F346A"/>
    <w:rsid w:val="004F61B9"/>
    <w:rsid w:val="004F66AC"/>
    <w:rsid w:val="004F7335"/>
    <w:rsid w:val="005041EB"/>
    <w:rsid w:val="00504AF6"/>
    <w:rsid w:val="00504E6B"/>
    <w:rsid w:val="00504EC1"/>
    <w:rsid w:val="00504F5F"/>
    <w:rsid w:val="005070E3"/>
    <w:rsid w:val="00507D74"/>
    <w:rsid w:val="0051320B"/>
    <w:rsid w:val="00514512"/>
    <w:rsid w:val="00516F4B"/>
    <w:rsid w:val="00517A63"/>
    <w:rsid w:val="00517D7F"/>
    <w:rsid w:val="00520731"/>
    <w:rsid w:val="00521574"/>
    <w:rsid w:val="00524358"/>
    <w:rsid w:val="00525BFD"/>
    <w:rsid w:val="0053257C"/>
    <w:rsid w:val="00533970"/>
    <w:rsid w:val="00534F05"/>
    <w:rsid w:val="00540B8A"/>
    <w:rsid w:val="00541668"/>
    <w:rsid w:val="00542741"/>
    <w:rsid w:val="00542BDA"/>
    <w:rsid w:val="00543085"/>
    <w:rsid w:val="00546508"/>
    <w:rsid w:val="00547E8F"/>
    <w:rsid w:val="00550F90"/>
    <w:rsid w:val="005512D4"/>
    <w:rsid w:val="0055305F"/>
    <w:rsid w:val="005561B1"/>
    <w:rsid w:val="005565BE"/>
    <w:rsid w:val="005575E8"/>
    <w:rsid w:val="005627D0"/>
    <w:rsid w:val="00563A06"/>
    <w:rsid w:val="00565FD2"/>
    <w:rsid w:val="00566B14"/>
    <w:rsid w:val="00570B51"/>
    <w:rsid w:val="00571158"/>
    <w:rsid w:val="005729FD"/>
    <w:rsid w:val="00574B6E"/>
    <w:rsid w:val="00574C00"/>
    <w:rsid w:val="00575026"/>
    <w:rsid w:val="00576016"/>
    <w:rsid w:val="005761CC"/>
    <w:rsid w:val="00576207"/>
    <w:rsid w:val="00581E1C"/>
    <w:rsid w:val="00582663"/>
    <w:rsid w:val="00592B01"/>
    <w:rsid w:val="00592DB1"/>
    <w:rsid w:val="005935E4"/>
    <w:rsid w:val="00593BC6"/>
    <w:rsid w:val="00594573"/>
    <w:rsid w:val="00595F74"/>
    <w:rsid w:val="00596B93"/>
    <w:rsid w:val="005A0868"/>
    <w:rsid w:val="005A0A2F"/>
    <w:rsid w:val="005A5440"/>
    <w:rsid w:val="005A5F29"/>
    <w:rsid w:val="005B75A0"/>
    <w:rsid w:val="005C201D"/>
    <w:rsid w:val="005C3E8E"/>
    <w:rsid w:val="005C6FBA"/>
    <w:rsid w:val="005C7FDD"/>
    <w:rsid w:val="005D2937"/>
    <w:rsid w:val="005D30ED"/>
    <w:rsid w:val="005D3C9F"/>
    <w:rsid w:val="005D5770"/>
    <w:rsid w:val="005D5EFC"/>
    <w:rsid w:val="005E2F61"/>
    <w:rsid w:val="005E370A"/>
    <w:rsid w:val="005E5225"/>
    <w:rsid w:val="005F15CB"/>
    <w:rsid w:val="005F485C"/>
    <w:rsid w:val="005F4FE9"/>
    <w:rsid w:val="005F5578"/>
    <w:rsid w:val="00601D6D"/>
    <w:rsid w:val="00601E38"/>
    <w:rsid w:val="006024AB"/>
    <w:rsid w:val="006050A3"/>
    <w:rsid w:val="006054BA"/>
    <w:rsid w:val="006069A6"/>
    <w:rsid w:val="00606E2B"/>
    <w:rsid w:val="00611143"/>
    <w:rsid w:val="0061115A"/>
    <w:rsid w:val="00614D8A"/>
    <w:rsid w:val="00615446"/>
    <w:rsid w:val="00622C36"/>
    <w:rsid w:val="00622DC0"/>
    <w:rsid w:val="00623FE0"/>
    <w:rsid w:val="00624AD9"/>
    <w:rsid w:val="006266CC"/>
    <w:rsid w:val="006273E4"/>
    <w:rsid w:val="006324AE"/>
    <w:rsid w:val="00632BEE"/>
    <w:rsid w:val="00633BA9"/>
    <w:rsid w:val="00633BC2"/>
    <w:rsid w:val="00634631"/>
    <w:rsid w:val="00634B86"/>
    <w:rsid w:val="0063542C"/>
    <w:rsid w:val="006356F8"/>
    <w:rsid w:val="0064024D"/>
    <w:rsid w:val="0064120A"/>
    <w:rsid w:val="0064192B"/>
    <w:rsid w:val="006424E6"/>
    <w:rsid w:val="00643B46"/>
    <w:rsid w:val="00644477"/>
    <w:rsid w:val="006451B9"/>
    <w:rsid w:val="006453BA"/>
    <w:rsid w:val="0064743B"/>
    <w:rsid w:val="006502E8"/>
    <w:rsid w:val="00655108"/>
    <w:rsid w:val="00656757"/>
    <w:rsid w:val="00656B34"/>
    <w:rsid w:val="006601AF"/>
    <w:rsid w:val="006637F6"/>
    <w:rsid w:val="00664D47"/>
    <w:rsid w:val="00665E7E"/>
    <w:rsid w:val="00666497"/>
    <w:rsid w:val="00667BC4"/>
    <w:rsid w:val="00670599"/>
    <w:rsid w:val="00671962"/>
    <w:rsid w:val="00672D72"/>
    <w:rsid w:val="00673BDC"/>
    <w:rsid w:val="00681E68"/>
    <w:rsid w:val="00682EC3"/>
    <w:rsid w:val="0068309E"/>
    <w:rsid w:val="00683168"/>
    <w:rsid w:val="00683227"/>
    <w:rsid w:val="00683F16"/>
    <w:rsid w:val="00685838"/>
    <w:rsid w:val="0068714A"/>
    <w:rsid w:val="00687A24"/>
    <w:rsid w:val="00690B89"/>
    <w:rsid w:val="0069149A"/>
    <w:rsid w:val="006965D0"/>
    <w:rsid w:val="006A4A53"/>
    <w:rsid w:val="006A57AF"/>
    <w:rsid w:val="006A67F6"/>
    <w:rsid w:val="006A75A2"/>
    <w:rsid w:val="006B0746"/>
    <w:rsid w:val="006B3E16"/>
    <w:rsid w:val="006C078E"/>
    <w:rsid w:val="006C230E"/>
    <w:rsid w:val="006C2468"/>
    <w:rsid w:val="006C2F8A"/>
    <w:rsid w:val="006C3FCE"/>
    <w:rsid w:val="006C5680"/>
    <w:rsid w:val="006C5F8E"/>
    <w:rsid w:val="006D13E5"/>
    <w:rsid w:val="006D3BA1"/>
    <w:rsid w:val="006D6B85"/>
    <w:rsid w:val="006E07FB"/>
    <w:rsid w:val="006E1337"/>
    <w:rsid w:val="006E29DB"/>
    <w:rsid w:val="006E44AE"/>
    <w:rsid w:val="006E5601"/>
    <w:rsid w:val="006E61B3"/>
    <w:rsid w:val="006E7826"/>
    <w:rsid w:val="006F463B"/>
    <w:rsid w:val="006F4845"/>
    <w:rsid w:val="006F4B6C"/>
    <w:rsid w:val="00701867"/>
    <w:rsid w:val="00702075"/>
    <w:rsid w:val="007020B3"/>
    <w:rsid w:val="0070210F"/>
    <w:rsid w:val="007038C4"/>
    <w:rsid w:val="00704131"/>
    <w:rsid w:val="0070639F"/>
    <w:rsid w:val="00706F41"/>
    <w:rsid w:val="007072D7"/>
    <w:rsid w:val="00710652"/>
    <w:rsid w:val="00711016"/>
    <w:rsid w:val="00712AD0"/>
    <w:rsid w:val="00712D94"/>
    <w:rsid w:val="007145CB"/>
    <w:rsid w:val="0071505A"/>
    <w:rsid w:val="00715C16"/>
    <w:rsid w:val="0071719D"/>
    <w:rsid w:val="00720CF5"/>
    <w:rsid w:val="0072249B"/>
    <w:rsid w:val="0072268E"/>
    <w:rsid w:val="0072292E"/>
    <w:rsid w:val="007248D9"/>
    <w:rsid w:val="00725919"/>
    <w:rsid w:val="007260F5"/>
    <w:rsid w:val="00726326"/>
    <w:rsid w:val="007273B2"/>
    <w:rsid w:val="007328E0"/>
    <w:rsid w:val="00732C43"/>
    <w:rsid w:val="00732CE6"/>
    <w:rsid w:val="00733C3B"/>
    <w:rsid w:val="00733D34"/>
    <w:rsid w:val="007354E2"/>
    <w:rsid w:val="00736F10"/>
    <w:rsid w:val="00737428"/>
    <w:rsid w:val="00737D50"/>
    <w:rsid w:val="0074069D"/>
    <w:rsid w:val="00740BDC"/>
    <w:rsid w:val="007437B7"/>
    <w:rsid w:val="00744F45"/>
    <w:rsid w:val="00745FC2"/>
    <w:rsid w:val="0074727A"/>
    <w:rsid w:val="00747EEE"/>
    <w:rsid w:val="00750132"/>
    <w:rsid w:val="0075209A"/>
    <w:rsid w:val="00752D23"/>
    <w:rsid w:val="00753E6A"/>
    <w:rsid w:val="00754B67"/>
    <w:rsid w:val="007566E4"/>
    <w:rsid w:val="00756B1E"/>
    <w:rsid w:val="00762631"/>
    <w:rsid w:val="00762929"/>
    <w:rsid w:val="007631ED"/>
    <w:rsid w:val="00764049"/>
    <w:rsid w:val="00764CD2"/>
    <w:rsid w:val="00764F1B"/>
    <w:rsid w:val="0076584E"/>
    <w:rsid w:val="00765C13"/>
    <w:rsid w:val="00765D68"/>
    <w:rsid w:val="00766709"/>
    <w:rsid w:val="00770809"/>
    <w:rsid w:val="00772557"/>
    <w:rsid w:val="00773CA3"/>
    <w:rsid w:val="00775BB4"/>
    <w:rsid w:val="00780FBE"/>
    <w:rsid w:val="0078177E"/>
    <w:rsid w:val="0078184A"/>
    <w:rsid w:val="00782E51"/>
    <w:rsid w:val="007874C4"/>
    <w:rsid w:val="00792E7B"/>
    <w:rsid w:val="007942A7"/>
    <w:rsid w:val="007947E9"/>
    <w:rsid w:val="007A1C17"/>
    <w:rsid w:val="007A211F"/>
    <w:rsid w:val="007A379A"/>
    <w:rsid w:val="007A3C43"/>
    <w:rsid w:val="007A68CD"/>
    <w:rsid w:val="007A7087"/>
    <w:rsid w:val="007B0257"/>
    <w:rsid w:val="007B056D"/>
    <w:rsid w:val="007B2389"/>
    <w:rsid w:val="007B27CB"/>
    <w:rsid w:val="007B30EE"/>
    <w:rsid w:val="007B6172"/>
    <w:rsid w:val="007B70C7"/>
    <w:rsid w:val="007B7B59"/>
    <w:rsid w:val="007C037B"/>
    <w:rsid w:val="007C0523"/>
    <w:rsid w:val="007C430F"/>
    <w:rsid w:val="007C64D5"/>
    <w:rsid w:val="007C6F86"/>
    <w:rsid w:val="007D0BDF"/>
    <w:rsid w:val="007D1F9F"/>
    <w:rsid w:val="007D25D5"/>
    <w:rsid w:val="007D3DBE"/>
    <w:rsid w:val="007D3E81"/>
    <w:rsid w:val="007D41CC"/>
    <w:rsid w:val="007D4DC6"/>
    <w:rsid w:val="007D58E6"/>
    <w:rsid w:val="007D6561"/>
    <w:rsid w:val="007D6C58"/>
    <w:rsid w:val="007D6F08"/>
    <w:rsid w:val="007E05E4"/>
    <w:rsid w:val="007E1D2E"/>
    <w:rsid w:val="007E4B08"/>
    <w:rsid w:val="007E5948"/>
    <w:rsid w:val="007E6C97"/>
    <w:rsid w:val="007E7F27"/>
    <w:rsid w:val="007F06A9"/>
    <w:rsid w:val="007F3002"/>
    <w:rsid w:val="007F5D0A"/>
    <w:rsid w:val="008000D5"/>
    <w:rsid w:val="00802488"/>
    <w:rsid w:val="00802FF9"/>
    <w:rsid w:val="00805821"/>
    <w:rsid w:val="008064A5"/>
    <w:rsid w:val="00810A59"/>
    <w:rsid w:val="008111C0"/>
    <w:rsid w:val="00812AF9"/>
    <w:rsid w:val="00815B38"/>
    <w:rsid w:val="008166ED"/>
    <w:rsid w:val="00821F4E"/>
    <w:rsid w:val="0082522D"/>
    <w:rsid w:val="00825C5D"/>
    <w:rsid w:val="00825EEA"/>
    <w:rsid w:val="008269D0"/>
    <w:rsid w:val="008276A2"/>
    <w:rsid w:val="00832644"/>
    <w:rsid w:val="008340B5"/>
    <w:rsid w:val="00835D0B"/>
    <w:rsid w:val="008361EF"/>
    <w:rsid w:val="008369BD"/>
    <w:rsid w:val="00836A3F"/>
    <w:rsid w:val="00836D73"/>
    <w:rsid w:val="008370F1"/>
    <w:rsid w:val="0083795B"/>
    <w:rsid w:val="0084072F"/>
    <w:rsid w:val="008436E5"/>
    <w:rsid w:val="00843DBE"/>
    <w:rsid w:val="008449E0"/>
    <w:rsid w:val="00844CCD"/>
    <w:rsid w:val="00850F54"/>
    <w:rsid w:val="008536E5"/>
    <w:rsid w:val="00853775"/>
    <w:rsid w:val="008542A6"/>
    <w:rsid w:val="00854902"/>
    <w:rsid w:val="00854BA0"/>
    <w:rsid w:val="008550DF"/>
    <w:rsid w:val="0085632A"/>
    <w:rsid w:val="00856BFE"/>
    <w:rsid w:val="00857840"/>
    <w:rsid w:val="00860188"/>
    <w:rsid w:val="00861CC3"/>
    <w:rsid w:val="00861EB4"/>
    <w:rsid w:val="00862FC2"/>
    <w:rsid w:val="008631AD"/>
    <w:rsid w:val="00863383"/>
    <w:rsid w:val="008634AA"/>
    <w:rsid w:val="00865365"/>
    <w:rsid w:val="00866232"/>
    <w:rsid w:val="008674EE"/>
    <w:rsid w:val="00867AC1"/>
    <w:rsid w:val="00867D02"/>
    <w:rsid w:val="00871D48"/>
    <w:rsid w:val="00874251"/>
    <w:rsid w:val="00874C4A"/>
    <w:rsid w:val="0087772C"/>
    <w:rsid w:val="0087790F"/>
    <w:rsid w:val="0088076E"/>
    <w:rsid w:val="00880C1C"/>
    <w:rsid w:val="00880EA2"/>
    <w:rsid w:val="00880F21"/>
    <w:rsid w:val="008827C6"/>
    <w:rsid w:val="008851B3"/>
    <w:rsid w:val="00887E3D"/>
    <w:rsid w:val="0089379E"/>
    <w:rsid w:val="008967D3"/>
    <w:rsid w:val="00897F1B"/>
    <w:rsid w:val="008A16B8"/>
    <w:rsid w:val="008A194F"/>
    <w:rsid w:val="008A20BE"/>
    <w:rsid w:val="008A2C58"/>
    <w:rsid w:val="008A349E"/>
    <w:rsid w:val="008A538A"/>
    <w:rsid w:val="008A577D"/>
    <w:rsid w:val="008A6A7C"/>
    <w:rsid w:val="008B05F8"/>
    <w:rsid w:val="008B5438"/>
    <w:rsid w:val="008C32D4"/>
    <w:rsid w:val="008C3726"/>
    <w:rsid w:val="008C52F0"/>
    <w:rsid w:val="008C5947"/>
    <w:rsid w:val="008C5A40"/>
    <w:rsid w:val="008C5E14"/>
    <w:rsid w:val="008C6259"/>
    <w:rsid w:val="008C760B"/>
    <w:rsid w:val="008D0296"/>
    <w:rsid w:val="008D0413"/>
    <w:rsid w:val="008D0B2F"/>
    <w:rsid w:val="008D19D4"/>
    <w:rsid w:val="008D1E6D"/>
    <w:rsid w:val="008D279D"/>
    <w:rsid w:val="008D28AD"/>
    <w:rsid w:val="008D6C3A"/>
    <w:rsid w:val="008D7B46"/>
    <w:rsid w:val="008E2423"/>
    <w:rsid w:val="008E26AD"/>
    <w:rsid w:val="008E26D5"/>
    <w:rsid w:val="008E4F9B"/>
    <w:rsid w:val="008E6AC3"/>
    <w:rsid w:val="008F0972"/>
    <w:rsid w:val="008F2DAB"/>
    <w:rsid w:val="008F2E46"/>
    <w:rsid w:val="008F45FB"/>
    <w:rsid w:val="008F5FF6"/>
    <w:rsid w:val="00901F1D"/>
    <w:rsid w:val="00905C56"/>
    <w:rsid w:val="00906C46"/>
    <w:rsid w:val="00907D5A"/>
    <w:rsid w:val="0091114D"/>
    <w:rsid w:val="00912595"/>
    <w:rsid w:val="00912E70"/>
    <w:rsid w:val="009135EA"/>
    <w:rsid w:val="009172A3"/>
    <w:rsid w:val="00922D1D"/>
    <w:rsid w:val="00926C6E"/>
    <w:rsid w:val="00927255"/>
    <w:rsid w:val="009273DB"/>
    <w:rsid w:val="00927870"/>
    <w:rsid w:val="00931093"/>
    <w:rsid w:val="009340F2"/>
    <w:rsid w:val="009372B9"/>
    <w:rsid w:val="00940BF0"/>
    <w:rsid w:val="00942054"/>
    <w:rsid w:val="00944DAA"/>
    <w:rsid w:val="009462B6"/>
    <w:rsid w:val="00946FA4"/>
    <w:rsid w:val="00955400"/>
    <w:rsid w:val="00956BB1"/>
    <w:rsid w:val="00960617"/>
    <w:rsid w:val="0096076B"/>
    <w:rsid w:val="0096226E"/>
    <w:rsid w:val="0096275C"/>
    <w:rsid w:val="0096285B"/>
    <w:rsid w:val="00964A8B"/>
    <w:rsid w:val="00965331"/>
    <w:rsid w:val="00965338"/>
    <w:rsid w:val="00965483"/>
    <w:rsid w:val="009666B0"/>
    <w:rsid w:val="009759B0"/>
    <w:rsid w:val="00975F30"/>
    <w:rsid w:val="0098003F"/>
    <w:rsid w:val="009808AA"/>
    <w:rsid w:val="00980CCB"/>
    <w:rsid w:val="00981177"/>
    <w:rsid w:val="00981B55"/>
    <w:rsid w:val="00983F3F"/>
    <w:rsid w:val="0098427E"/>
    <w:rsid w:val="00985228"/>
    <w:rsid w:val="00986FB1"/>
    <w:rsid w:val="0098718A"/>
    <w:rsid w:val="0098771F"/>
    <w:rsid w:val="009926A4"/>
    <w:rsid w:val="00993AE0"/>
    <w:rsid w:val="00993F23"/>
    <w:rsid w:val="0099425B"/>
    <w:rsid w:val="009960D3"/>
    <w:rsid w:val="009A07EF"/>
    <w:rsid w:val="009A0F69"/>
    <w:rsid w:val="009A1090"/>
    <w:rsid w:val="009A393E"/>
    <w:rsid w:val="009B0D12"/>
    <w:rsid w:val="009B1032"/>
    <w:rsid w:val="009B1F30"/>
    <w:rsid w:val="009B440A"/>
    <w:rsid w:val="009B4884"/>
    <w:rsid w:val="009B653F"/>
    <w:rsid w:val="009C0A78"/>
    <w:rsid w:val="009C0B40"/>
    <w:rsid w:val="009C140E"/>
    <w:rsid w:val="009C1BD1"/>
    <w:rsid w:val="009C1E9B"/>
    <w:rsid w:val="009C22F4"/>
    <w:rsid w:val="009C48A3"/>
    <w:rsid w:val="009C5544"/>
    <w:rsid w:val="009C5CE6"/>
    <w:rsid w:val="009C5D61"/>
    <w:rsid w:val="009C6825"/>
    <w:rsid w:val="009C72C8"/>
    <w:rsid w:val="009D0F34"/>
    <w:rsid w:val="009D1A60"/>
    <w:rsid w:val="009D4100"/>
    <w:rsid w:val="009D4C1B"/>
    <w:rsid w:val="009D5406"/>
    <w:rsid w:val="009D63EC"/>
    <w:rsid w:val="009D6933"/>
    <w:rsid w:val="009E1DF8"/>
    <w:rsid w:val="009E2F2E"/>
    <w:rsid w:val="009E3E7D"/>
    <w:rsid w:val="009E5093"/>
    <w:rsid w:val="009E512D"/>
    <w:rsid w:val="009E5261"/>
    <w:rsid w:val="009E5FB1"/>
    <w:rsid w:val="009F1D55"/>
    <w:rsid w:val="009F213D"/>
    <w:rsid w:val="009F27B4"/>
    <w:rsid w:val="009F295D"/>
    <w:rsid w:val="009F417C"/>
    <w:rsid w:val="009F5E32"/>
    <w:rsid w:val="009F65EA"/>
    <w:rsid w:val="009F6D7D"/>
    <w:rsid w:val="00A01F35"/>
    <w:rsid w:val="00A043BD"/>
    <w:rsid w:val="00A04998"/>
    <w:rsid w:val="00A04CFB"/>
    <w:rsid w:val="00A0597E"/>
    <w:rsid w:val="00A07F7A"/>
    <w:rsid w:val="00A128EA"/>
    <w:rsid w:val="00A12A7F"/>
    <w:rsid w:val="00A13BC2"/>
    <w:rsid w:val="00A15500"/>
    <w:rsid w:val="00A1610F"/>
    <w:rsid w:val="00A20B81"/>
    <w:rsid w:val="00A225AD"/>
    <w:rsid w:val="00A225C7"/>
    <w:rsid w:val="00A256D4"/>
    <w:rsid w:val="00A26555"/>
    <w:rsid w:val="00A269BE"/>
    <w:rsid w:val="00A30A8B"/>
    <w:rsid w:val="00A310F7"/>
    <w:rsid w:val="00A33B3B"/>
    <w:rsid w:val="00A34F9D"/>
    <w:rsid w:val="00A3594A"/>
    <w:rsid w:val="00A36161"/>
    <w:rsid w:val="00A424EA"/>
    <w:rsid w:val="00A425BE"/>
    <w:rsid w:val="00A42613"/>
    <w:rsid w:val="00A431AD"/>
    <w:rsid w:val="00A43207"/>
    <w:rsid w:val="00A45861"/>
    <w:rsid w:val="00A46318"/>
    <w:rsid w:val="00A51C9D"/>
    <w:rsid w:val="00A526E8"/>
    <w:rsid w:val="00A5428B"/>
    <w:rsid w:val="00A5606E"/>
    <w:rsid w:val="00A560BF"/>
    <w:rsid w:val="00A56B3F"/>
    <w:rsid w:val="00A56B7C"/>
    <w:rsid w:val="00A6005A"/>
    <w:rsid w:val="00A60628"/>
    <w:rsid w:val="00A61CB3"/>
    <w:rsid w:val="00A62860"/>
    <w:rsid w:val="00A62ABD"/>
    <w:rsid w:val="00A64C99"/>
    <w:rsid w:val="00A735EC"/>
    <w:rsid w:val="00A74177"/>
    <w:rsid w:val="00A753BE"/>
    <w:rsid w:val="00A80C20"/>
    <w:rsid w:val="00A81493"/>
    <w:rsid w:val="00A823C9"/>
    <w:rsid w:val="00A83523"/>
    <w:rsid w:val="00A84CAB"/>
    <w:rsid w:val="00A85336"/>
    <w:rsid w:val="00A869FB"/>
    <w:rsid w:val="00A873BD"/>
    <w:rsid w:val="00A87E10"/>
    <w:rsid w:val="00A90E70"/>
    <w:rsid w:val="00A9120F"/>
    <w:rsid w:val="00A956DE"/>
    <w:rsid w:val="00A95927"/>
    <w:rsid w:val="00A960AB"/>
    <w:rsid w:val="00A96741"/>
    <w:rsid w:val="00A96B52"/>
    <w:rsid w:val="00A9759E"/>
    <w:rsid w:val="00A977DB"/>
    <w:rsid w:val="00AA181D"/>
    <w:rsid w:val="00AA21F4"/>
    <w:rsid w:val="00AA4C1A"/>
    <w:rsid w:val="00AA5716"/>
    <w:rsid w:val="00AA6AEB"/>
    <w:rsid w:val="00AA781A"/>
    <w:rsid w:val="00AB0213"/>
    <w:rsid w:val="00AB04D3"/>
    <w:rsid w:val="00AB1306"/>
    <w:rsid w:val="00AB421F"/>
    <w:rsid w:val="00AB7EF4"/>
    <w:rsid w:val="00AC0CDA"/>
    <w:rsid w:val="00AC1329"/>
    <w:rsid w:val="00AC194D"/>
    <w:rsid w:val="00AC23A8"/>
    <w:rsid w:val="00AC3D2B"/>
    <w:rsid w:val="00AC402C"/>
    <w:rsid w:val="00AC4463"/>
    <w:rsid w:val="00AC478B"/>
    <w:rsid w:val="00AC5330"/>
    <w:rsid w:val="00AC5D4E"/>
    <w:rsid w:val="00AC64F2"/>
    <w:rsid w:val="00AC7A77"/>
    <w:rsid w:val="00AD2C35"/>
    <w:rsid w:val="00AD5C59"/>
    <w:rsid w:val="00AE2AA0"/>
    <w:rsid w:val="00AE2CEA"/>
    <w:rsid w:val="00AE3045"/>
    <w:rsid w:val="00AE3C13"/>
    <w:rsid w:val="00AE509A"/>
    <w:rsid w:val="00AE6A20"/>
    <w:rsid w:val="00AF0999"/>
    <w:rsid w:val="00AF12C4"/>
    <w:rsid w:val="00AF21A4"/>
    <w:rsid w:val="00AF3E13"/>
    <w:rsid w:val="00AF4493"/>
    <w:rsid w:val="00AF7EDF"/>
    <w:rsid w:val="00B01670"/>
    <w:rsid w:val="00B02D10"/>
    <w:rsid w:val="00B02ED1"/>
    <w:rsid w:val="00B05254"/>
    <w:rsid w:val="00B05A20"/>
    <w:rsid w:val="00B05EC1"/>
    <w:rsid w:val="00B06717"/>
    <w:rsid w:val="00B0769C"/>
    <w:rsid w:val="00B10C22"/>
    <w:rsid w:val="00B10EED"/>
    <w:rsid w:val="00B1417F"/>
    <w:rsid w:val="00B154A1"/>
    <w:rsid w:val="00B163DB"/>
    <w:rsid w:val="00B17BA1"/>
    <w:rsid w:val="00B20655"/>
    <w:rsid w:val="00B21410"/>
    <w:rsid w:val="00B227ED"/>
    <w:rsid w:val="00B23C22"/>
    <w:rsid w:val="00B25D8D"/>
    <w:rsid w:val="00B265F0"/>
    <w:rsid w:val="00B30587"/>
    <w:rsid w:val="00B34298"/>
    <w:rsid w:val="00B34F5D"/>
    <w:rsid w:val="00B35CE9"/>
    <w:rsid w:val="00B40F5F"/>
    <w:rsid w:val="00B414B2"/>
    <w:rsid w:val="00B41764"/>
    <w:rsid w:val="00B418C8"/>
    <w:rsid w:val="00B4410E"/>
    <w:rsid w:val="00B4527D"/>
    <w:rsid w:val="00B45851"/>
    <w:rsid w:val="00B46633"/>
    <w:rsid w:val="00B47035"/>
    <w:rsid w:val="00B47388"/>
    <w:rsid w:val="00B474E2"/>
    <w:rsid w:val="00B51D47"/>
    <w:rsid w:val="00B522AE"/>
    <w:rsid w:val="00B529F0"/>
    <w:rsid w:val="00B52DB0"/>
    <w:rsid w:val="00B53971"/>
    <w:rsid w:val="00B55F1A"/>
    <w:rsid w:val="00B60EDD"/>
    <w:rsid w:val="00B63160"/>
    <w:rsid w:val="00B64173"/>
    <w:rsid w:val="00B64A01"/>
    <w:rsid w:val="00B65D8F"/>
    <w:rsid w:val="00B65E56"/>
    <w:rsid w:val="00B66C37"/>
    <w:rsid w:val="00B679A9"/>
    <w:rsid w:val="00B67D94"/>
    <w:rsid w:val="00B71FC0"/>
    <w:rsid w:val="00B72013"/>
    <w:rsid w:val="00B7428E"/>
    <w:rsid w:val="00B75CF4"/>
    <w:rsid w:val="00B803CA"/>
    <w:rsid w:val="00B80CC5"/>
    <w:rsid w:val="00B82411"/>
    <w:rsid w:val="00B8716D"/>
    <w:rsid w:val="00B87A29"/>
    <w:rsid w:val="00B87F76"/>
    <w:rsid w:val="00B906F3"/>
    <w:rsid w:val="00B920A9"/>
    <w:rsid w:val="00B93932"/>
    <w:rsid w:val="00B94825"/>
    <w:rsid w:val="00B96776"/>
    <w:rsid w:val="00BA02A6"/>
    <w:rsid w:val="00BA12AB"/>
    <w:rsid w:val="00BA2335"/>
    <w:rsid w:val="00BA2B19"/>
    <w:rsid w:val="00BA516E"/>
    <w:rsid w:val="00BA664A"/>
    <w:rsid w:val="00BA715A"/>
    <w:rsid w:val="00BA7456"/>
    <w:rsid w:val="00BB001C"/>
    <w:rsid w:val="00BB141F"/>
    <w:rsid w:val="00BB2B8E"/>
    <w:rsid w:val="00BB45F4"/>
    <w:rsid w:val="00BB5C92"/>
    <w:rsid w:val="00BB7EE1"/>
    <w:rsid w:val="00BC0F48"/>
    <w:rsid w:val="00BC17F9"/>
    <w:rsid w:val="00BC5030"/>
    <w:rsid w:val="00BC59A0"/>
    <w:rsid w:val="00BC79B3"/>
    <w:rsid w:val="00BD01F7"/>
    <w:rsid w:val="00BD26B6"/>
    <w:rsid w:val="00BD270B"/>
    <w:rsid w:val="00BD4960"/>
    <w:rsid w:val="00BD4CDA"/>
    <w:rsid w:val="00BE2D01"/>
    <w:rsid w:val="00BE2F63"/>
    <w:rsid w:val="00BE4117"/>
    <w:rsid w:val="00BE4D0C"/>
    <w:rsid w:val="00BF1BA2"/>
    <w:rsid w:val="00BF3299"/>
    <w:rsid w:val="00BF3DE4"/>
    <w:rsid w:val="00BF447C"/>
    <w:rsid w:val="00BF5590"/>
    <w:rsid w:val="00BF5D2A"/>
    <w:rsid w:val="00BF6E18"/>
    <w:rsid w:val="00BF7B2A"/>
    <w:rsid w:val="00C00E73"/>
    <w:rsid w:val="00C05AA1"/>
    <w:rsid w:val="00C078C4"/>
    <w:rsid w:val="00C07962"/>
    <w:rsid w:val="00C1272F"/>
    <w:rsid w:val="00C13CBF"/>
    <w:rsid w:val="00C1618C"/>
    <w:rsid w:val="00C16C18"/>
    <w:rsid w:val="00C17060"/>
    <w:rsid w:val="00C170D7"/>
    <w:rsid w:val="00C17834"/>
    <w:rsid w:val="00C24977"/>
    <w:rsid w:val="00C24BE6"/>
    <w:rsid w:val="00C30167"/>
    <w:rsid w:val="00C30B2D"/>
    <w:rsid w:val="00C33146"/>
    <w:rsid w:val="00C33DFE"/>
    <w:rsid w:val="00C34E13"/>
    <w:rsid w:val="00C373EC"/>
    <w:rsid w:val="00C400DC"/>
    <w:rsid w:val="00C450D4"/>
    <w:rsid w:val="00C46B4A"/>
    <w:rsid w:val="00C50733"/>
    <w:rsid w:val="00C511F1"/>
    <w:rsid w:val="00C513EC"/>
    <w:rsid w:val="00C51566"/>
    <w:rsid w:val="00C5173F"/>
    <w:rsid w:val="00C52F97"/>
    <w:rsid w:val="00C53684"/>
    <w:rsid w:val="00C53871"/>
    <w:rsid w:val="00C56329"/>
    <w:rsid w:val="00C573F6"/>
    <w:rsid w:val="00C6009B"/>
    <w:rsid w:val="00C609A2"/>
    <w:rsid w:val="00C620F5"/>
    <w:rsid w:val="00C63BCE"/>
    <w:rsid w:val="00C65CED"/>
    <w:rsid w:val="00C675C5"/>
    <w:rsid w:val="00C71CF7"/>
    <w:rsid w:val="00C7382E"/>
    <w:rsid w:val="00C76128"/>
    <w:rsid w:val="00C7789D"/>
    <w:rsid w:val="00C80A17"/>
    <w:rsid w:val="00C80B04"/>
    <w:rsid w:val="00C826C2"/>
    <w:rsid w:val="00C858B3"/>
    <w:rsid w:val="00C85C80"/>
    <w:rsid w:val="00C867B8"/>
    <w:rsid w:val="00C86E94"/>
    <w:rsid w:val="00C90196"/>
    <w:rsid w:val="00C9097A"/>
    <w:rsid w:val="00C90B00"/>
    <w:rsid w:val="00C96000"/>
    <w:rsid w:val="00C96A36"/>
    <w:rsid w:val="00C96B2E"/>
    <w:rsid w:val="00C970E6"/>
    <w:rsid w:val="00C9712F"/>
    <w:rsid w:val="00C9773E"/>
    <w:rsid w:val="00CA25CA"/>
    <w:rsid w:val="00CA499C"/>
    <w:rsid w:val="00CA6213"/>
    <w:rsid w:val="00CB06C1"/>
    <w:rsid w:val="00CB11FF"/>
    <w:rsid w:val="00CB1955"/>
    <w:rsid w:val="00CB5465"/>
    <w:rsid w:val="00CB6454"/>
    <w:rsid w:val="00CB64D9"/>
    <w:rsid w:val="00CB76FB"/>
    <w:rsid w:val="00CB799E"/>
    <w:rsid w:val="00CC1B1C"/>
    <w:rsid w:val="00CC2438"/>
    <w:rsid w:val="00CC529C"/>
    <w:rsid w:val="00CC6288"/>
    <w:rsid w:val="00CC792C"/>
    <w:rsid w:val="00CD0219"/>
    <w:rsid w:val="00CD0494"/>
    <w:rsid w:val="00CD165B"/>
    <w:rsid w:val="00CD176C"/>
    <w:rsid w:val="00CD25A6"/>
    <w:rsid w:val="00CD34F8"/>
    <w:rsid w:val="00CD46AB"/>
    <w:rsid w:val="00CD5009"/>
    <w:rsid w:val="00CD725A"/>
    <w:rsid w:val="00CD753C"/>
    <w:rsid w:val="00CE028A"/>
    <w:rsid w:val="00CE0741"/>
    <w:rsid w:val="00CE165E"/>
    <w:rsid w:val="00CE3182"/>
    <w:rsid w:val="00CE4E5B"/>
    <w:rsid w:val="00CE5BD4"/>
    <w:rsid w:val="00CE5DAF"/>
    <w:rsid w:val="00CE678D"/>
    <w:rsid w:val="00CE6E5A"/>
    <w:rsid w:val="00CF1139"/>
    <w:rsid w:val="00CF2FF0"/>
    <w:rsid w:val="00CF309B"/>
    <w:rsid w:val="00CF30D8"/>
    <w:rsid w:val="00CF3159"/>
    <w:rsid w:val="00CF3BFD"/>
    <w:rsid w:val="00CF43CE"/>
    <w:rsid w:val="00CF5A5C"/>
    <w:rsid w:val="00CF61E8"/>
    <w:rsid w:val="00CF651D"/>
    <w:rsid w:val="00CF7D61"/>
    <w:rsid w:val="00D00701"/>
    <w:rsid w:val="00D014A0"/>
    <w:rsid w:val="00D046A6"/>
    <w:rsid w:val="00D05F99"/>
    <w:rsid w:val="00D06621"/>
    <w:rsid w:val="00D078F7"/>
    <w:rsid w:val="00D07FD3"/>
    <w:rsid w:val="00D110C6"/>
    <w:rsid w:val="00D11B4A"/>
    <w:rsid w:val="00D1385F"/>
    <w:rsid w:val="00D14741"/>
    <w:rsid w:val="00D151FE"/>
    <w:rsid w:val="00D15A58"/>
    <w:rsid w:val="00D20A0A"/>
    <w:rsid w:val="00D23FC8"/>
    <w:rsid w:val="00D244FF"/>
    <w:rsid w:val="00D2524A"/>
    <w:rsid w:val="00D2690A"/>
    <w:rsid w:val="00D31C35"/>
    <w:rsid w:val="00D328FE"/>
    <w:rsid w:val="00D32D11"/>
    <w:rsid w:val="00D32DE5"/>
    <w:rsid w:val="00D35394"/>
    <w:rsid w:val="00D3750C"/>
    <w:rsid w:val="00D44187"/>
    <w:rsid w:val="00D460F3"/>
    <w:rsid w:val="00D4705D"/>
    <w:rsid w:val="00D47F5B"/>
    <w:rsid w:val="00D52EC4"/>
    <w:rsid w:val="00D54C29"/>
    <w:rsid w:val="00D553EE"/>
    <w:rsid w:val="00D5634C"/>
    <w:rsid w:val="00D577E8"/>
    <w:rsid w:val="00D60950"/>
    <w:rsid w:val="00D64EB4"/>
    <w:rsid w:val="00D661F2"/>
    <w:rsid w:val="00D66F5A"/>
    <w:rsid w:val="00D677B3"/>
    <w:rsid w:val="00D72965"/>
    <w:rsid w:val="00D76410"/>
    <w:rsid w:val="00D765CD"/>
    <w:rsid w:val="00D77735"/>
    <w:rsid w:val="00D778DC"/>
    <w:rsid w:val="00D80851"/>
    <w:rsid w:val="00D81AC2"/>
    <w:rsid w:val="00D81ADA"/>
    <w:rsid w:val="00D82D94"/>
    <w:rsid w:val="00D832FC"/>
    <w:rsid w:val="00D83BB6"/>
    <w:rsid w:val="00D83F79"/>
    <w:rsid w:val="00D855DD"/>
    <w:rsid w:val="00D8582D"/>
    <w:rsid w:val="00D870ED"/>
    <w:rsid w:val="00D913D9"/>
    <w:rsid w:val="00D943BB"/>
    <w:rsid w:val="00D96437"/>
    <w:rsid w:val="00D97697"/>
    <w:rsid w:val="00D97905"/>
    <w:rsid w:val="00DA120C"/>
    <w:rsid w:val="00DA19D3"/>
    <w:rsid w:val="00DA4EEF"/>
    <w:rsid w:val="00DA5072"/>
    <w:rsid w:val="00DA7952"/>
    <w:rsid w:val="00DB1D9D"/>
    <w:rsid w:val="00DB444F"/>
    <w:rsid w:val="00DB7061"/>
    <w:rsid w:val="00DB79D2"/>
    <w:rsid w:val="00DC0A82"/>
    <w:rsid w:val="00DC43E0"/>
    <w:rsid w:val="00DC5CE6"/>
    <w:rsid w:val="00DC5E32"/>
    <w:rsid w:val="00DC66BC"/>
    <w:rsid w:val="00DC7894"/>
    <w:rsid w:val="00DD3DF6"/>
    <w:rsid w:val="00DD4400"/>
    <w:rsid w:val="00DE2445"/>
    <w:rsid w:val="00DE3692"/>
    <w:rsid w:val="00DE4141"/>
    <w:rsid w:val="00DE6DF3"/>
    <w:rsid w:val="00DF12AE"/>
    <w:rsid w:val="00DF15D5"/>
    <w:rsid w:val="00DF3970"/>
    <w:rsid w:val="00DF4495"/>
    <w:rsid w:val="00DF671A"/>
    <w:rsid w:val="00DF6A62"/>
    <w:rsid w:val="00E00543"/>
    <w:rsid w:val="00E01B25"/>
    <w:rsid w:val="00E0228D"/>
    <w:rsid w:val="00E04507"/>
    <w:rsid w:val="00E0613E"/>
    <w:rsid w:val="00E0645D"/>
    <w:rsid w:val="00E07A83"/>
    <w:rsid w:val="00E11EB4"/>
    <w:rsid w:val="00E15013"/>
    <w:rsid w:val="00E15889"/>
    <w:rsid w:val="00E176AF"/>
    <w:rsid w:val="00E20669"/>
    <w:rsid w:val="00E2235D"/>
    <w:rsid w:val="00E22C87"/>
    <w:rsid w:val="00E23AF6"/>
    <w:rsid w:val="00E24425"/>
    <w:rsid w:val="00E3183D"/>
    <w:rsid w:val="00E32CAF"/>
    <w:rsid w:val="00E32CCB"/>
    <w:rsid w:val="00E407FC"/>
    <w:rsid w:val="00E42F81"/>
    <w:rsid w:val="00E43E81"/>
    <w:rsid w:val="00E4420B"/>
    <w:rsid w:val="00E449F2"/>
    <w:rsid w:val="00E450AE"/>
    <w:rsid w:val="00E4510B"/>
    <w:rsid w:val="00E45902"/>
    <w:rsid w:val="00E46385"/>
    <w:rsid w:val="00E508BC"/>
    <w:rsid w:val="00E53110"/>
    <w:rsid w:val="00E53629"/>
    <w:rsid w:val="00E53AE9"/>
    <w:rsid w:val="00E54996"/>
    <w:rsid w:val="00E56660"/>
    <w:rsid w:val="00E569E2"/>
    <w:rsid w:val="00E56AA2"/>
    <w:rsid w:val="00E575CB"/>
    <w:rsid w:val="00E60412"/>
    <w:rsid w:val="00E614AD"/>
    <w:rsid w:val="00E62323"/>
    <w:rsid w:val="00E623A4"/>
    <w:rsid w:val="00E62AA9"/>
    <w:rsid w:val="00E62B72"/>
    <w:rsid w:val="00E633B0"/>
    <w:rsid w:val="00E65295"/>
    <w:rsid w:val="00E67891"/>
    <w:rsid w:val="00E7405A"/>
    <w:rsid w:val="00E76864"/>
    <w:rsid w:val="00E775E7"/>
    <w:rsid w:val="00E7781E"/>
    <w:rsid w:val="00E82AEF"/>
    <w:rsid w:val="00E82FE3"/>
    <w:rsid w:val="00E843B4"/>
    <w:rsid w:val="00E86435"/>
    <w:rsid w:val="00E86580"/>
    <w:rsid w:val="00E86788"/>
    <w:rsid w:val="00E86C64"/>
    <w:rsid w:val="00E92520"/>
    <w:rsid w:val="00E9324D"/>
    <w:rsid w:val="00E96D1E"/>
    <w:rsid w:val="00E97D52"/>
    <w:rsid w:val="00E97EAD"/>
    <w:rsid w:val="00E97EEF"/>
    <w:rsid w:val="00EA009F"/>
    <w:rsid w:val="00EA1EBF"/>
    <w:rsid w:val="00EA1FE4"/>
    <w:rsid w:val="00EA326A"/>
    <w:rsid w:val="00EA32B7"/>
    <w:rsid w:val="00EA3D43"/>
    <w:rsid w:val="00EA4935"/>
    <w:rsid w:val="00EB0739"/>
    <w:rsid w:val="00EB0B1D"/>
    <w:rsid w:val="00EB0E0E"/>
    <w:rsid w:val="00EB0E7B"/>
    <w:rsid w:val="00EB211E"/>
    <w:rsid w:val="00EB319F"/>
    <w:rsid w:val="00EB33CE"/>
    <w:rsid w:val="00EB367C"/>
    <w:rsid w:val="00EB3E0D"/>
    <w:rsid w:val="00EB6614"/>
    <w:rsid w:val="00EB6BCC"/>
    <w:rsid w:val="00EC0786"/>
    <w:rsid w:val="00EC2806"/>
    <w:rsid w:val="00EC369F"/>
    <w:rsid w:val="00EC62BA"/>
    <w:rsid w:val="00EC73D8"/>
    <w:rsid w:val="00ED011A"/>
    <w:rsid w:val="00ED0BA8"/>
    <w:rsid w:val="00ED2205"/>
    <w:rsid w:val="00ED477A"/>
    <w:rsid w:val="00ED58AA"/>
    <w:rsid w:val="00ED6961"/>
    <w:rsid w:val="00ED6BB6"/>
    <w:rsid w:val="00ED74DD"/>
    <w:rsid w:val="00EE00E5"/>
    <w:rsid w:val="00EE0DB9"/>
    <w:rsid w:val="00EE1154"/>
    <w:rsid w:val="00EE2214"/>
    <w:rsid w:val="00EE3CF4"/>
    <w:rsid w:val="00EE5FDD"/>
    <w:rsid w:val="00EE62DD"/>
    <w:rsid w:val="00EE6659"/>
    <w:rsid w:val="00EE720B"/>
    <w:rsid w:val="00EF0B26"/>
    <w:rsid w:val="00EF11C6"/>
    <w:rsid w:val="00EF1EF8"/>
    <w:rsid w:val="00EF394C"/>
    <w:rsid w:val="00EF524A"/>
    <w:rsid w:val="00EF6473"/>
    <w:rsid w:val="00F0002F"/>
    <w:rsid w:val="00F006F5"/>
    <w:rsid w:val="00F00F9A"/>
    <w:rsid w:val="00F01B8A"/>
    <w:rsid w:val="00F03833"/>
    <w:rsid w:val="00F103B9"/>
    <w:rsid w:val="00F125A2"/>
    <w:rsid w:val="00F146EB"/>
    <w:rsid w:val="00F153CA"/>
    <w:rsid w:val="00F215A6"/>
    <w:rsid w:val="00F216C1"/>
    <w:rsid w:val="00F248CB"/>
    <w:rsid w:val="00F25253"/>
    <w:rsid w:val="00F25C7A"/>
    <w:rsid w:val="00F27029"/>
    <w:rsid w:val="00F2712D"/>
    <w:rsid w:val="00F279E5"/>
    <w:rsid w:val="00F30D44"/>
    <w:rsid w:val="00F32ADF"/>
    <w:rsid w:val="00F3330C"/>
    <w:rsid w:val="00F34AEA"/>
    <w:rsid w:val="00F50B81"/>
    <w:rsid w:val="00F53078"/>
    <w:rsid w:val="00F55870"/>
    <w:rsid w:val="00F56532"/>
    <w:rsid w:val="00F56D59"/>
    <w:rsid w:val="00F57312"/>
    <w:rsid w:val="00F5745D"/>
    <w:rsid w:val="00F578C0"/>
    <w:rsid w:val="00F60225"/>
    <w:rsid w:val="00F60611"/>
    <w:rsid w:val="00F616B0"/>
    <w:rsid w:val="00F63F15"/>
    <w:rsid w:val="00F64AE5"/>
    <w:rsid w:val="00F6669E"/>
    <w:rsid w:val="00F67DC6"/>
    <w:rsid w:val="00F72FA2"/>
    <w:rsid w:val="00F73AC7"/>
    <w:rsid w:val="00F74E79"/>
    <w:rsid w:val="00F754E9"/>
    <w:rsid w:val="00F75A8C"/>
    <w:rsid w:val="00F75CF8"/>
    <w:rsid w:val="00F76E3D"/>
    <w:rsid w:val="00F80CE4"/>
    <w:rsid w:val="00F80E97"/>
    <w:rsid w:val="00F82F23"/>
    <w:rsid w:val="00F8382F"/>
    <w:rsid w:val="00F85733"/>
    <w:rsid w:val="00F85A8A"/>
    <w:rsid w:val="00F8649C"/>
    <w:rsid w:val="00F87064"/>
    <w:rsid w:val="00F90F58"/>
    <w:rsid w:val="00F91260"/>
    <w:rsid w:val="00F9167D"/>
    <w:rsid w:val="00F91C67"/>
    <w:rsid w:val="00F92077"/>
    <w:rsid w:val="00F960AA"/>
    <w:rsid w:val="00F962B2"/>
    <w:rsid w:val="00FA1373"/>
    <w:rsid w:val="00FA3B84"/>
    <w:rsid w:val="00FA4BE1"/>
    <w:rsid w:val="00FA4FE7"/>
    <w:rsid w:val="00FA5F3C"/>
    <w:rsid w:val="00FA64D3"/>
    <w:rsid w:val="00FA6D34"/>
    <w:rsid w:val="00FB130D"/>
    <w:rsid w:val="00FB38A9"/>
    <w:rsid w:val="00FB4EC7"/>
    <w:rsid w:val="00FB5652"/>
    <w:rsid w:val="00FB648A"/>
    <w:rsid w:val="00FC00DE"/>
    <w:rsid w:val="00FC0E2F"/>
    <w:rsid w:val="00FC1871"/>
    <w:rsid w:val="00FC3CB9"/>
    <w:rsid w:val="00FC5204"/>
    <w:rsid w:val="00FC5EC6"/>
    <w:rsid w:val="00FC685E"/>
    <w:rsid w:val="00FC7844"/>
    <w:rsid w:val="00FD1952"/>
    <w:rsid w:val="00FD2030"/>
    <w:rsid w:val="00FD27EA"/>
    <w:rsid w:val="00FD286B"/>
    <w:rsid w:val="00FD42B1"/>
    <w:rsid w:val="00FD619D"/>
    <w:rsid w:val="00FE03D5"/>
    <w:rsid w:val="00FE1936"/>
    <w:rsid w:val="00FE1C56"/>
    <w:rsid w:val="00FE2632"/>
    <w:rsid w:val="00FE532E"/>
    <w:rsid w:val="00FE5CFB"/>
    <w:rsid w:val="00FE5D0F"/>
    <w:rsid w:val="00FE759E"/>
    <w:rsid w:val="00FE77A5"/>
    <w:rsid w:val="00FE7DF5"/>
    <w:rsid w:val="00FE7DF7"/>
    <w:rsid w:val="00FE7EF5"/>
    <w:rsid w:val="00FF2D6B"/>
    <w:rsid w:val="00FF31EA"/>
    <w:rsid w:val="00FF5F7E"/>
    <w:rsid w:val="00FF5FAB"/>
    <w:rsid w:val="00FF7209"/>
    <w:rsid w:val="00FF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D5A86"/>
  <w15:docId w15:val="{D9D5A848-A2DC-4C88-BEC9-8BABF656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60"/>
  </w:style>
  <w:style w:type="paragraph" w:styleId="Heading1">
    <w:name w:val="heading 1"/>
    <w:basedOn w:val="Normal"/>
    <w:next w:val="Normal"/>
    <w:link w:val="Heading1Char"/>
    <w:uiPriority w:val="9"/>
    <w:qFormat/>
    <w:rsid w:val="00F271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12D"/>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2712D"/>
    <w:pPr>
      <w:spacing w:after="0" w:line="240" w:lineRule="auto"/>
    </w:pPr>
  </w:style>
  <w:style w:type="paragraph" w:styleId="BalloonText">
    <w:name w:val="Balloon Text"/>
    <w:basedOn w:val="Normal"/>
    <w:link w:val="BalloonTextChar"/>
    <w:uiPriority w:val="99"/>
    <w:semiHidden/>
    <w:unhideWhenUsed/>
    <w:rsid w:val="00F2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12D"/>
    <w:rPr>
      <w:rFonts w:ascii="Tahoma" w:hAnsi="Tahoma" w:cs="Tahoma"/>
      <w:sz w:val="16"/>
      <w:szCs w:val="16"/>
    </w:rPr>
  </w:style>
  <w:style w:type="table" w:styleId="TableGrid">
    <w:name w:val="Table Grid"/>
    <w:basedOn w:val="TableNormal"/>
    <w:uiPriority w:val="59"/>
    <w:rsid w:val="00254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B10EE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CD5009"/>
    <w:rPr>
      <w:color w:val="0000FF"/>
      <w:u w:val="single"/>
    </w:rPr>
  </w:style>
  <w:style w:type="paragraph" w:styleId="Header">
    <w:name w:val="header"/>
    <w:basedOn w:val="Normal"/>
    <w:link w:val="HeaderChar"/>
    <w:uiPriority w:val="99"/>
    <w:semiHidden/>
    <w:unhideWhenUsed/>
    <w:rsid w:val="007E1D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D2E"/>
  </w:style>
  <w:style w:type="paragraph" w:styleId="Footer">
    <w:name w:val="footer"/>
    <w:basedOn w:val="Normal"/>
    <w:link w:val="FooterChar"/>
    <w:uiPriority w:val="99"/>
    <w:semiHidden/>
    <w:unhideWhenUsed/>
    <w:rsid w:val="007E1D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1D2E"/>
  </w:style>
  <w:style w:type="character" w:styleId="CommentReference">
    <w:name w:val="annotation reference"/>
    <w:basedOn w:val="DefaultParagraphFont"/>
    <w:uiPriority w:val="99"/>
    <w:semiHidden/>
    <w:unhideWhenUsed/>
    <w:rsid w:val="00BD270B"/>
    <w:rPr>
      <w:sz w:val="16"/>
      <w:szCs w:val="16"/>
    </w:rPr>
  </w:style>
  <w:style w:type="paragraph" w:styleId="CommentText">
    <w:name w:val="annotation text"/>
    <w:basedOn w:val="Normal"/>
    <w:link w:val="CommentTextChar"/>
    <w:uiPriority w:val="99"/>
    <w:semiHidden/>
    <w:unhideWhenUsed/>
    <w:rsid w:val="00BD270B"/>
    <w:pPr>
      <w:spacing w:line="240" w:lineRule="auto"/>
    </w:pPr>
    <w:rPr>
      <w:sz w:val="20"/>
      <w:szCs w:val="20"/>
    </w:rPr>
  </w:style>
  <w:style w:type="character" w:customStyle="1" w:styleId="CommentTextChar">
    <w:name w:val="Comment Text Char"/>
    <w:basedOn w:val="DefaultParagraphFont"/>
    <w:link w:val="CommentText"/>
    <w:uiPriority w:val="99"/>
    <w:semiHidden/>
    <w:rsid w:val="00BD270B"/>
    <w:rPr>
      <w:sz w:val="20"/>
      <w:szCs w:val="20"/>
    </w:rPr>
  </w:style>
  <w:style w:type="paragraph" w:styleId="CommentSubject">
    <w:name w:val="annotation subject"/>
    <w:basedOn w:val="CommentText"/>
    <w:next w:val="CommentText"/>
    <w:link w:val="CommentSubjectChar"/>
    <w:uiPriority w:val="99"/>
    <w:semiHidden/>
    <w:unhideWhenUsed/>
    <w:rsid w:val="00BD270B"/>
    <w:rPr>
      <w:b/>
      <w:bCs/>
    </w:rPr>
  </w:style>
  <w:style w:type="character" w:customStyle="1" w:styleId="CommentSubjectChar">
    <w:name w:val="Comment Subject Char"/>
    <w:basedOn w:val="CommentTextChar"/>
    <w:link w:val="CommentSubject"/>
    <w:uiPriority w:val="99"/>
    <w:semiHidden/>
    <w:rsid w:val="00BD270B"/>
    <w:rPr>
      <w:b/>
      <w:bCs/>
      <w:sz w:val="20"/>
      <w:szCs w:val="20"/>
    </w:rPr>
  </w:style>
  <w:style w:type="character" w:customStyle="1" w:styleId="NoSpacingChar">
    <w:name w:val="No Spacing Char"/>
    <w:basedOn w:val="DefaultParagraphFont"/>
    <w:link w:val="NoSpacing"/>
    <w:uiPriority w:val="1"/>
    <w:rsid w:val="00782E51"/>
  </w:style>
  <w:style w:type="paragraph" w:styleId="ListParagraph">
    <w:name w:val="List Paragraph"/>
    <w:basedOn w:val="Normal"/>
    <w:uiPriority w:val="34"/>
    <w:qFormat/>
    <w:rsid w:val="00BE4117"/>
    <w:pPr>
      <w:spacing w:after="160" w:line="259" w:lineRule="auto"/>
      <w:ind w:left="720"/>
      <w:contextualSpacing/>
    </w:pPr>
  </w:style>
  <w:style w:type="table" w:customStyle="1" w:styleId="ListTable4-Accent51">
    <w:name w:val="List Table 4 - Accent 51"/>
    <w:basedOn w:val="TableNormal"/>
    <w:uiPriority w:val="49"/>
    <w:rsid w:val="00232B1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UnresolvedMention">
    <w:name w:val="Unresolved Mention"/>
    <w:basedOn w:val="DefaultParagraphFont"/>
    <w:uiPriority w:val="99"/>
    <w:semiHidden/>
    <w:unhideWhenUsed/>
    <w:rsid w:val="00456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714">
      <w:bodyDiv w:val="1"/>
      <w:marLeft w:val="0"/>
      <w:marRight w:val="0"/>
      <w:marTop w:val="0"/>
      <w:marBottom w:val="0"/>
      <w:divBdr>
        <w:top w:val="none" w:sz="0" w:space="0" w:color="auto"/>
        <w:left w:val="none" w:sz="0" w:space="0" w:color="auto"/>
        <w:bottom w:val="none" w:sz="0" w:space="0" w:color="auto"/>
        <w:right w:val="none" w:sz="0" w:space="0" w:color="auto"/>
      </w:divBdr>
    </w:div>
    <w:div w:id="484712557">
      <w:bodyDiv w:val="1"/>
      <w:marLeft w:val="0"/>
      <w:marRight w:val="0"/>
      <w:marTop w:val="0"/>
      <w:marBottom w:val="0"/>
      <w:divBdr>
        <w:top w:val="none" w:sz="0" w:space="0" w:color="auto"/>
        <w:left w:val="none" w:sz="0" w:space="0" w:color="auto"/>
        <w:bottom w:val="none" w:sz="0" w:space="0" w:color="auto"/>
        <w:right w:val="none" w:sz="0" w:space="0" w:color="auto"/>
      </w:divBdr>
    </w:div>
    <w:div w:id="571233653">
      <w:bodyDiv w:val="1"/>
      <w:marLeft w:val="0"/>
      <w:marRight w:val="0"/>
      <w:marTop w:val="0"/>
      <w:marBottom w:val="0"/>
      <w:divBdr>
        <w:top w:val="none" w:sz="0" w:space="0" w:color="auto"/>
        <w:left w:val="none" w:sz="0" w:space="0" w:color="auto"/>
        <w:bottom w:val="none" w:sz="0" w:space="0" w:color="auto"/>
        <w:right w:val="none" w:sz="0" w:space="0" w:color="auto"/>
      </w:divBdr>
    </w:div>
    <w:div w:id="588974724">
      <w:bodyDiv w:val="1"/>
      <w:marLeft w:val="0"/>
      <w:marRight w:val="0"/>
      <w:marTop w:val="0"/>
      <w:marBottom w:val="0"/>
      <w:divBdr>
        <w:top w:val="none" w:sz="0" w:space="0" w:color="auto"/>
        <w:left w:val="none" w:sz="0" w:space="0" w:color="auto"/>
        <w:bottom w:val="none" w:sz="0" w:space="0" w:color="auto"/>
        <w:right w:val="none" w:sz="0" w:space="0" w:color="auto"/>
      </w:divBdr>
    </w:div>
    <w:div w:id="616985097">
      <w:bodyDiv w:val="1"/>
      <w:marLeft w:val="0"/>
      <w:marRight w:val="0"/>
      <w:marTop w:val="0"/>
      <w:marBottom w:val="0"/>
      <w:divBdr>
        <w:top w:val="none" w:sz="0" w:space="0" w:color="auto"/>
        <w:left w:val="none" w:sz="0" w:space="0" w:color="auto"/>
        <w:bottom w:val="none" w:sz="0" w:space="0" w:color="auto"/>
        <w:right w:val="none" w:sz="0" w:space="0" w:color="auto"/>
      </w:divBdr>
    </w:div>
    <w:div w:id="692338332">
      <w:bodyDiv w:val="1"/>
      <w:marLeft w:val="0"/>
      <w:marRight w:val="0"/>
      <w:marTop w:val="0"/>
      <w:marBottom w:val="0"/>
      <w:divBdr>
        <w:top w:val="none" w:sz="0" w:space="0" w:color="auto"/>
        <w:left w:val="none" w:sz="0" w:space="0" w:color="auto"/>
        <w:bottom w:val="none" w:sz="0" w:space="0" w:color="auto"/>
        <w:right w:val="none" w:sz="0" w:space="0" w:color="auto"/>
      </w:divBdr>
    </w:div>
    <w:div w:id="723069261">
      <w:bodyDiv w:val="1"/>
      <w:marLeft w:val="0"/>
      <w:marRight w:val="0"/>
      <w:marTop w:val="0"/>
      <w:marBottom w:val="0"/>
      <w:divBdr>
        <w:top w:val="none" w:sz="0" w:space="0" w:color="auto"/>
        <w:left w:val="none" w:sz="0" w:space="0" w:color="auto"/>
        <w:bottom w:val="none" w:sz="0" w:space="0" w:color="auto"/>
        <w:right w:val="none" w:sz="0" w:space="0" w:color="auto"/>
      </w:divBdr>
    </w:div>
    <w:div w:id="731126497">
      <w:bodyDiv w:val="1"/>
      <w:marLeft w:val="0"/>
      <w:marRight w:val="0"/>
      <w:marTop w:val="0"/>
      <w:marBottom w:val="0"/>
      <w:divBdr>
        <w:top w:val="none" w:sz="0" w:space="0" w:color="auto"/>
        <w:left w:val="none" w:sz="0" w:space="0" w:color="auto"/>
        <w:bottom w:val="none" w:sz="0" w:space="0" w:color="auto"/>
        <w:right w:val="none" w:sz="0" w:space="0" w:color="auto"/>
      </w:divBdr>
    </w:div>
    <w:div w:id="742921274">
      <w:bodyDiv w:val="1"/>
      <w:marLeft w:val="0"/>
      <w:marRight w:val="0"/>
      <w:marTop w:val="0"/>
      <w:marBottom w:val="0"/>
      <w:divBdr>
        <w:top w:val="none" w:sz="0" w:space="0" w:color="auto"/>
        <w:left w:val="none" w:sz="0" w:space="0" w:color="auto"/>
        <w:bottom w:val="none" w:sz="0" w:space="0" w:color="auto"/>
        <w:right w:val="none" w:sz="0" w:space="0" w:color="auto"/>
      </w:divBdr>
    </w:div>
    <w:div w:id="908079451">
      <w:bodyDiv w:val="1"/>
      <w:marLeft w:val="0"/>
      <w:marRight w:val="0"/>
      <w:marTop w:val="0"/>
      <w:marBottom w:val="0"/>
      <w:divBdr>
        <w:top w:val="none" w:sz="0" w:space="0" w:color="auto"/>
        <w:left w:val="none" w:sz="0" w:space="0" w:color="auto"/>
        <w:bottom w:val="none" w:sz="0" w:space="0" w:color="auto"/>
        <w:right w:val="none" w:sz="0" w:space="0" w:color="auto"/>
      </w:divBdr>
    </w:div>
    <w:div w:id="920066878">
      <w:bodyDiv w:val="1"/>
      <w:marLeft w:val="0"/>
      <w:marRight w:val="0"/>
      <w:marTop w:val="0"/>
      <w:marBottom w:val="0"/>
      <w:divBdr>
        <w:top w:val="none" w:sz="0" w:space="0" w:color="auto"/>
        <w:left w:val="none" w:sz="0" w:space="0" w:color="auto"/>
        <w:bottom w:val="none" w:sz="0" w:space="0" w:color="auto"/>
        <w:right w:val="none" w:sz="0" w:space="0" w:color="auto"/>
      </w:divBdr>
    </w:div>
    <w:div w:id="958537348">
      <w:bodyDiv w:val="1"/>
      <w:marLeft w:val="0"/>
      <w:marRight w:val="0"/>
      <w:marTop w:val="0"/>
      <w:marBottom w:val="0"/>
      <w:divBdr>
        <w:top w:val="none" w:sz="0" w:space="0" w:color="auto"/>
        <w:left w:val="none" w:sz="0" w:space="0" w:color="auto"/>
        <w:bottom w:val="none" w:sz="0" w:space="0" w:color="auto"/>
        <w:right w:val="none" w:sz="0" w:space="0" w:color="auto"/>
      </w:divBdr>
    </w:div>
    <w:div w:id="1066418647">
      <w:bodyDiv w:val="1"/>
      <w:marLeft w:val="0"/>
      <w:marRight w:val="0"/>
      <w:marTop w:val="0"/>
      <w:marBottom w:val="0"/>
      <w:divBdr>
        <w:top w:val="none" w:sz="0" w:space="0" w:color="auto"/>
        <w:left w:val="none" w:sz="0" w:space="0" w:color="auto"/>
        <w:bottom w:val="none" w:sz="0" w:space="0" w:color="auto"/>
        <w:right w:val="none" w:sz="0" w:space="0" w:color="auto"/>
      </w:divBdr>
    </w:div>
    <w:div w:id="1193878164">
      <w:bodyDiv w:val="1"/>
      <w:marLeft w:val="0"/>
      <w:marRight w:val="0"/>
      <w:marTop w:val="0"/>
      <w:marBottom w:val="0"/>
      <w:divBdr>
        <w:top w:val="none" w:sz="0" w:space="0" w:color="auto"/>
        <w:left w:val="none" w:sz="0" w:space="0" w:color="auto"/>
        <w:bottom w:val="none" w:sz="0" w:space="0" w:color="auto"/>
        <w:right w:val="none" w:sz="0" w:space="0" w:color="auto"/>
      </w:divBdr>
    </w:div>
    <w:div w:id="1209026870">
      <w:bodyDiv w:val="1"/>
      <w:marLeft w:val="0"/>
      <w:marRight w:val="0"/>
      <w:marTop w:val="0"/>
      <w:marBottom w:val="0"/>
      <w:divBdr>
        <w:top w:val="none" w:sz="0" w:space="0" w:color="auto"/>
        <w:left w:val="none" w:sz="0" w:space="0" w:color="auto"/>
        <w:bottom w:val="none" w:sz="0" w:space="0" w:color="auto"/>
        <w:right w:val="none" w:sz="0" w:space="0" w:color="auto"/>
      </w:divBdr>
    </w:div>
    <w:div w:id="1263760097">
      <w:bodyDiv w:val="1"/>
      <w:marLeft w:val="0"/>
      <w:marRight w:val="0"/>
      <w:marTop w:val="0"/>
      <w:marBottom w:val="0"/>
      <w:divBdr>
        <w:top w:val="none" w:sz="0" w:space="0" w:color="auto"/>
        <w:left w:val="none" w:sz="0" w:space="0" w:color="auto"/>
        <w:bottom w:val="none" w:sz="0" w:space="0" w:color="auto"/>
        <w:right w:val="none" w:sz="0" w:space="0" w:color="auto"/>
      </w:divBdr>
    </w:div>
    <w:div w:id="1319967319">
      <w:bodyDiv w:val="1"/>
      <w:marLeft w:val="0"/>
      <w:marRight w:val="0"/>
      <w:marTop w:val="0"/>
      <w:marBottom w:val="0"/>
      <w:divBdr>
        <w:top w:val="none" w:sz="0" w:space="0" w:color="auto"/>
        <w:left w:val="none" w:sz="0" w:space="0" w:color="auto"/>
        <w:bottom w:val="none" w:sz="0" w:space="0" w:color="auto"/>
        <w:right w:val="none" w:sz="0" w:space="0" w:color="auto"/>
      </w:divBdr>
    </w:div>
    <w:div w:id="1476682346">
      <w:bodyDiv w:val="1"/>
      <w:marLeft w:val="0"/>
      <w:marRight w:val="0"/>
      <w:marTop w:val="0"/>
      <w:marBottom w:val="0"/>
      <w:divBdr>
        <w:top w:val="none" w:sz="0" w:space="0" w:color="auto"/>
        <w:left w:val="none" w:sz="0" w:space="0" w:color="auto"/>
        <w:bottom w:val="none" w:sz="0" w:space="0" w:color="auto"/>
        <w:right w:val="none" w:sz="0" w:space="0" w:color="auto"/>
      </w:divBdr>
    </w:div>
    <w:div w:id="1542552639">
      <w:bodyDiv w:val="1"/>
      <w:marLeft w:val="0"/>
      <w:marRight w:val="0"/>
      <w:marTop w:val="0"/>
      <w:marBottom w:val="0"/>
      <w:divBdr>
        <w:top w:val="none" w:sz="0" w:space="0" w:color="auto"/>
        <w:left w:val="none" w:sz="0" w:space="0" w:color="auto"/>
        <w:bottom w:val="none" w:sz="0" w:space="0" w:color="auto"/>
        <w:right w:val="none" w:sz="0" w:space="0" w:color="auto"/>
      </w:divBdr>
    </w:div>
    <w:div w:id="1726249752">
      <w:bodyDiv w:val="1"/>
      <w:marLeft w:val="0"/>
      <w:marRight w:val="0"/>
      <w:marTop w:val="0"/>
      <w:marBottom w:val="0"/>
      <w:divBdr>
        <w:top w:val="none" w:sz="0" w:space="0" w:color="auto"/>
        <w:left w:val="none" w:sz="0" w:space="0" w:color="auto"/>
        <w:bottom w:val="none" w:sz="0" w:space="0" w:color="auto"/>
        <w:right w:val="none" w:sz="0" w:space="0" w:color="auto"/>
      </w:divBdr>
    </w:div>
    <w:div w:id="214624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mailto:jwatson@freshproduce.com" TargetMode="Externa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hart" Target="charts/chart4.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nne-Marie\Documents\210%20Analytics\Clients\IRI\2021\coronavirus\July%20files\share%20of%20meals%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e-Marie\Documents\210%20Analytics\Clients\IRI\2021\coronavirus\December%20files\Line_graph_produce_Dec_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e-Marie\Documents\210%20Analytics\Clients\IRI\2021\coronavirus\December%20files\Line_graph_produce_Dec_21.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ne-Marie\Documents\210%20Analytics\Clients\IRI\2021\coronavirus\December%20files\Integrated%20Fresh%20-%20January%20Raw%20file.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ne-Marie\Documents\210%20Analytics\Clients\IRI\2021\coronavirus\December%20files\Line_graph_produce_Dec_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en-US" sz="1000"/>
              <a:t>Share of total meals prepared at home by month (%)</a:t>
            </a:r>
          </a:p>
        </c:rich>
      </c:tx>
      <c:overlay val="0"/>
      <c:spPr>
        <a:noFill/>
        <a:ln>
          <a:noFill/>
        </a:ln>
        <a:effectLst/>
      </c:spPr>
    </c:title>
    <c:autoTitleDeleted val="0"/>
    <c:plotArea>
      <c:layout>
        <c:manualLayout>
          <c:layoutTarget val="inner"/>
          <c:xMode val="edge"/>
          <c:yMode val="edge"/>
          <c:x val="2.3182502600388771E-3"/>
          <c:y val="0.15406781387837903"/>
          <c:w val="0.99768174973996038"/>
          <c:h val="0.6287891886474426"/>
        </c:manualLayout>
      </c:layout>
      <c:lineChart>
        <c:grouping val="standard"/>
        <c:varyColors val="0"/>
        <c:ser>
          <c:idx val="0"/>
          <c:order val="0"/>
          <c:tx>
            <c:strRef>
              <c:f>Sheet1!$A$2</c:f>
              <c:strCache>
                <c:ptCount val="1"/>
                <c:pt idx="0">
                  <c:v>MEAN</c:v>
                </c:pt>
              </c:strCache>
            </c:strRef>
          </c:tx>
          <c:spPr>
            <a:ln w="28575" cap="rnd">
              <a:solidFill>
                <a:schemeClr val="accent1"/>
              </a:solidFill>
              <a:round/>
            </a:ln>
            <a:effectLst/>
          </c:spPr>
          <c:marker>
            <c:symbol val="none"/>
          </c:marker>
          <c:dLbls>
            <c:dLbl>
              <c:idx val="15"/>
              <c:layout>
                <c:manualLayout>
                  <c:x val="-3.9949576888956E-2"/>
                  <c:y val="3.83997767995536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C43-4BB2-8EBF-C2CBB7C76370}"/>
                </c:ext>
              </c:extLst>
            </c:dLbl>
            <c:dLbl>
              <c:idx val="16"/>
              <c:layout>
                <c:manualLayout>
                  <c:x val="-3.4474056127599434E-2"/>
                  <c:y val="4.22468548215392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C43-4BB2-8EBF-C2CBB7C76370}"/>
                </c:ext>
              </c:extLst>
            </c:dLbl>
            <c:dLbl>
              <c:idx val="17"/>
              <c:layout>
                <c:manualLayout>
                  <c:x val="-2.9551584898041591E-2"/>
                  <c:y val="3.7461020889976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C43-4BB2-8EBF-C2CBB7C76370}"/>
                </c:ext>
              </c:extLst>
            </c:dLbl>
            <c:dLbl>
              <c:idx val="18"/>
              <c:layout>
                <c:manualLayout>
                  <c:x val="-5.9634766807995156E-2"/>
                  <c:y val="-5.3469823809712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C43-4BB2-8EBF-C2CBB7C76370}"/>
                </c:ext>
              </c:extLst>
            </c:dLbl>
            <c:spPr>
              <a:noFill/>
              <a:ln>
                <a:noFill/>
              </a:ln>
              <a:effectLst/>
            </c:spPr>
            <c:txPr>
              <a:bodyPr rot="0" vert="horz"/>
              <a:lstStyle/>
              <a:p>
                <a:pPr>
                  <a:defRPr sz="9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Sheet1!$B$1:$V$1</c:f>
              <c:strCache>
                <c:ptCount val="21"/>
                <c:pt idx="0">
                  <c:v>Apr-20</c:v>
                </c:pt>
                <c:pt idx="1">
                  <c:v>May-20</c:v>
                </c:pt>
                <c:pt idx="2">
                  <c:v>Jun-20</c:v>
                </c:pt>
                <c:pt idx="3">
                  <c:v>Jul-20</c:v>
                </c:pt>
                <c:pt idx="4">
                  <c:v>Aug-20</c:v>
                </c:pt>
                <c:pt idx="5">
                  <c:v>Sep-20</c:v>
                </c:pt>
                <c:pt idx="6">
                  <c:v>Oct-20</c:v>
                </c:pt>
                <c:pt idx="7">
                  <c:v>Nov-20</c:v>
                </c:pt>
                <c:pt idx="8">
                  <c:v>Dec-20</c:v>
                </c:pt>
                <c:pt idx="9">
                  <c:v>Jan-21</c:v>
                </c:pt>
                <c:pt idx="10">
                  <c:v>Feb-21</c:v>
                </c:pt>
                <c:pt idx="11">
                  <c:v>Mar-21</c:v>
                </c:pt>
                <c:pt idx="12">
                  <c:v>Apr-21</c:v>
                </c:pt>
                <c:pt idx="13">
                  <c:v>May-21</c:v>
                </c:pt>
                <c:pt idx="14">
                  <c:v>Jun-21</c:v>
                </c:pt>
                <c:pt idx="15">
                  <c:v>Jul-21</c:v>
                </c:pt>
                <c:pt idx="16">
                  <c:v>Aug 21</c:v>
                </c:pt>
                <c:pt idx="17">
                  <c:v>Sep 21</c:v>
                </c:pt>
                <c:pt idx="18">
                  <c:v>Oct 21</c:v>
                </c:pt>
                <c:pt idx="19">
                  <c:v>Nov 21</c:v>
                </c:pt>
                <c:pt idx="20">
                  <c:v>Dec 21</c:v>
                </c:pt>
              </c:strCache>
            </c:strRef>
          </c:cat>
          <c:val>
            <c:numRef>
              <c:f>Sheet1!$B$2:$V$2</c:f>
              <c:numCache>
                <c:formatCode>0</c:formatCode>
                <c:ptCount val="21"/>
                <c:pt idx="0">
                  <c:v>88.1</c:v>
                </c:pt>
                <c:pt idx="1">
                  <c:v>85.2</c:v>
                </c:pt>
                <c:pt idx="2">
                  <c:v>84</c:v>
                </c:pt>
                <c:pt idx="3">
                  <c:v>82</c:v>
                </c:pt>
                <c:pt idx="4">
                  <c:v>82.4</c:v>
                </c:pt>
                <c:pt idx="5">
                  <c:v>81.400000000000006</c:v>
                </c:pt>
                <c:pt idx="6">
                  <c:v>81.900000000000006</c:v>
                </c:pt>
                <c:pt idx="7">
                  <c:v>83.6</c:v>
                </c:pt>
                <c:pt idx="8">
                  <c:v>82.4</c:v>
                </c:pt>
                <c:pt idx="9">
                  <c:v>84.2</c:v>
                </c:pt>
                <c:pt idx="10">
                  <c:v>83.4</c:v>
                </c:pt>
                <c:pt idx="11">
                  <c:v>81.400000000000006</c:v>
                </c:pt>
                <c:pt idx="12">
                  <c:v>80.7</c:v>
                </c:pt>
                <c:pt idx="13">
                  <c:v>80.099999999999994</c:v>
                </c:pt>
                <c:pt idx="14">
                  <c:v>80.3</c:v>
                </c:pt>
                <c:pt idx="15">
                  <c:v>76.599999999999994</c:v>
                </c:pt>
                <c:pt idx="16">
                  <c:v>79.900000000000006</c:v>
                </c:pt>
                <c:pt idx="17">
                  <c:v>79.8</c:v>
                </c:pt>
                <c:pt idx="18">
                  <c:v>80.3</c:v>
                </c:pt>
                <c:pt idx="19">
                  <c:v>80</c:v>
                </c:pt>
                <c:pt idx="20">
                  <c:v>79.8</c:v>
                </c:pt>
              </c:numCache>
            </c:numRef>
          </c:val>
          <c:smooth val="0"/>
          <c:extLst>
            <c:ext xmlns:c16="http://schemas.microsoft.com/office/drawing/2014/chart" uri="{C3380CC4-5D6E-409C-BE32-E72D297353CC}">
              <c16:uniqueId val="{00000004-DC43-4BB2-8EBF-C2CBB7C76370}"/>
            </c:ext>
          </c:extLst>
        </c:ser>
        <c:dLbls>
          <c:showLegendKey val="0"/>
          <c:showVal val="0"/>
          <c:showCatName val="0"/>
          <c:showSerName val="0"/>
          <c:showPercent val="0"/>
          <c:showBubbleSize val="0"/>
        </c:dLbls>
        <c:smooth val="0"/>
        <c:axId val="190626048"/>
        <c:axId val="190627840"/>
      </c:lineChart>
      <c:catAx>
        <c:axId val="1906260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vert="horz"/>
          <a:lstStyle/>
          <a:p>
            <a:pPr>
              <a:defRPr sz="900"/>
            </a:pPr>
            <a:endParaRPr lang="en-US"/>
          </a:p>
        </c:txPr>
        <c:crossAx val="190627840"/>
        <c:crosses val="autoZero"/>
        <c:auto val="1"/>
        <c:lblAlgn val="ctr"/>
        <c:lblOffset val="100"/>
        <c:noMultiLvlLbl val="1"/>
      </c:catAx>
      <c:valAx>
        <c:axId val="190627840"/>
        <c:scaling>
          <c:orientation val="minMax"/>
        </c:scaling>
        <c:delete val="1"/>
        <c:axPos val="l"/>
        <c:majorGridlines>
          <c:spPr>
            <a:ln w="9525" cap="flat" cmpd="sng" algn="ctr">
              <a:solidFill>
                <a:schemeClr val="bg1">
                  <a:lumMod val="95000"/>
                </a:schemeClr>
              </a:solidFill>
              <a:round/>
            </a:ln>
            <a:effectLst/>
          </c:spPr>
        </c:majorGridlines>
        <c:numFmt formatCode="0" sourceLinked="1"/>
        <c:majorTickMark val="none"/>
        <c:minorTickMark val="none"/>
        <c:tickLblPos val="none"/>
        <c:crossAx val="1906260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chemeClr val="tx1">
              <a:lumMod val="95000"/>
              <a:lumOff val="5000"/>
            </a:schemeClr>
          </a:solidFill>
          <a:latin typeface="Arial" panose="020B060402020202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rtl="0">
              <a:defRPr sz="1050"/>
            </a:pPr>
            <a:r>
              <a:rPr lang="en-US" sz="1050"/>
              <a:t>% Dollar growth versus the same time period year ago</a:t>
            </a:r>
          </a:p>
        </c:rich>
      </c:tx>
      <c:overlay val="0"/>
    </c:title>
    <c:autoTitleDeleted val="0"/>
    <c:plotArea>
      <c:layout>
        <c:manualLayout>
          <c:layoutTarget val="inner"/>
          <c:xMode val="edge"/>
          <c:yMode val="edge"/>
          <c:x val="2.0694196218605965E-2"/>
          <c:y val="0.28893132841435276"/>
          <c:w val="0.95861160756278807"/>
          <c:h val="0.68654885139766209"/>
        </c:manualLayout>
      </c:layout>
      <c:lineChart>
        <c:grouping val="standard"/>
        <c:varyColors val="0"/>
        <c:ser>
          <c:idx val="0"/>
          <c:order val="0"/>
          <c:tx>
            <c:strRef>
              <c:f>Sheet1!$A$30</c:f>
              <c:strCache>
                <c:ptCount val="1"/>
                <c:pt idx="0">
                  <c:v>Produce dpt  </c:v>
                </c:pt>
              </c:strCache>
            </c:strRef>
          </c:tx>
          <c:marker>
            <c:symbol val="none"/>
          </c:marker>
          <c:dLbls>
            <c:dLbl>
              <c:idx val="0"/>
              <c:layout>
                <c:manualLayout>
                  <c:x val="-6.3073042185404743E-2"/>
                  <c:y val="-1.09999965354341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E33-49DD-AB90-0F3B24A18A0F}"/>
                </c:ext>
              </c:extLst>
            </c:dLbl>
            <c:dLbl>
              <c:idx val="1"/>
              <c:layout>
                <c:manualLayout>
                  <c:x val="-3.2262228751839012E-2"/>
                  <c:y val="-1.89999940157499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E33-49DD-AB90-0F3B24A18A0F}"/>
                </c:ext>
              </c:extLst>
            </c:dLbl>
            <c:dLbl>
              <c:idx val="5"/>
              <c:layout>
                <c:manualLayout>
                  <c:x val="-2.4229214437575215E-2"/>
                  <c:y val="-1.49999952755920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E33-49DD-AB90-0F3B24A18A0F}"/>
                </c:ext>
              </c:extLst>
            </c:dLbl>
            <c:dLbl>
              <c:idx val="6"/>
              <c:layout>
                <c:manualLayout>
                  <c:x val="-3.6881075840587842E-2"/>
                  <c:y val="-2.00863862565649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E33-49DD-AB90-0F3B24A18A0F}"/>
                </c:ext>
              </c:extLst>
            </c:dLbl>
            <c:dLbl>
              <c:idx val="7"/>
              <c:layout>
                <c:manualLayout>
                  <c:x val="-1.7440512703191361E-2"/>
                  <c:y val="2.39740739191258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E33-49DD-AB90-0F3B24A18A0F}"/>
                </c:ext>
              </c:extLst>
            </c:dLbl>
            <c:dLbl>
              <c:idx val="8"/>
              <c:layout>
                <c:manualLayout>
                  <c:x val="-2.338431069389006E-3"/>
                  <c:y val="-3.118337467468350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E33-49DD-AB90-0F3B24A18A0F}"/>
                </c:ext>
              </c:extLst>
            </c:dLbl>
            <c:dLbl>
              <c:idx val="9"/>
              <c:layout>
                <c:manualLayout>
                  <c:x val="-2.0064306649689198E-3"/>
                  <c:y val="6.479479437600656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E33-49DD-AB90-0F3B24A18A0F}"/>
                </c:ext>
              </c:extLst>
            </c:dLbl>
            <c:dLbl>
              <c:idx val="11"/>
              <c:layout>
                <c:manualLayout>
                  <c:x val="-2.4693211455823771E-2"/>
                  <c:y val="2.811193205559667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E33-49DD-AB90-0F3B24A18A0F}"/>
                </c:ext>
              </c:extLst>
            </c:dLbl>
            <c:dLbl>
              <c:idx val="12"/>
              <c:layout>
                <c:manualLayout>
                  <c:x val="-2.3484444590904287E-2"/>
                  <c:y val="-1.79424119166335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E33-49DD-AB90-0F3B24A18A0F}"/>
                </c:ext>
              </c:extLst>
            </c:dLbl>
            <c:dLbl>
              <c:idx val="13"/>
              <c:layout>
                <c:manualLayout>
                  <c:x val="-1.8576973326594252E-2"/>
                  <c:y val="3.08599510085453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E33-49DD-AB90-0F3B24A18A0F}"/>
                </c:ext>
              </c:extLst>
            </c:dLbl>
            <c:spPr>
              <a:noFill/>
              <a:ln>
                <a:noFill/>
              </a:ln>
              <a:effectLst/>
            </c:spPr>
            <c:txPr>
              <a:bodyPr/>
              <a:lstStyle/>
              <a:p>
                <a:pPr>
                  <a:defRPr sz="900">
                    <a:solidFill>
                      <a:schemeClr val="accent1"/>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Sheet1!$B$29:$J$29</c:f>
              <c:strCache>
                <c:ptCount val="9"/>
                <c:pt idx="0">
                  <c:v>2019</c:v>
                </c:pt>
                <c:pt idx="1">
                  <c:v>Q1 '20</c:v>
                </c:pt>
                <c:pt idx="2">
                  <c:v>Q2 '20</c:v>
                </c:pt>
                <c:pt idx="3">
                  <c:v>Q3 '20</c:v>
                </c:pt>
                <c:pt idx="4">
                  <c:v>Q4 '20</c:v>
                </c:pt>
                <c:pt idx="5">
                  <c:v>Q1 '21</c:v>
                </c:pt>
                <c:pt idx="6">
                  <c:v>Q2 '21</c:v>
                </c:pt>
                <c:pt idx="7">
                  <c:v>Q3 '21</c:v>
                </c:pt>
                <c:pt idx="8">
                  <c:v>Q4 '21</c:v>
                </c:pt>
              </c:strCache>
            </c:strRef>
          </c:cat>
          <c:val>
            <c:numRef>
              <c:f>Sheet1!$B$30:$J$30</c:f>
              <c:numCache>
                <c:formatCode>0.0%</c:formatCode>
                <c:ptCount val="9"/>
                <c:pt idx="0">
                  <c:v>1.7999999999999999E-2</c:v>
                </c:pt>
                <c:pt idx="1">
                  <c:v>6.8000000000000005E-2</c:v>
                </c:pt>
                <c:pt idx="2">
                  <c:v>0.151</c:v>
                </c:pt>
                <c:pt idx="3">
                  <c:v>0.121</c:v>
                </c:pt>
                <c:pt idx="4">
                  <c:v>0.11700000000000001</c:v>
                </c:pt>
                <c:pt idx="5">
                  <c:v>4.8000000000000001E-2</c:v>
                </c:pt>
                <c:pt idx="6">
                  <c:v>-1.0999999999999999E-2</c:v>
                </c:pt>
                <c:pt idx="7">
                  <c:v>0.02</c:v>
                </c:pt>
                <c:pt idx="8">
                  <c:v>0.05</c:v>
                </c:pt>
              </c:numCache>
            </c:numRef>
          </c:val>
          <c:smooth val="0"/>
          <c:extLst>
            <c:ext xmlns:c16="http://schemas.microsoft.com/office/drawing/2014/chart" uri="{C3380CC4-5D6E-409C-BE32-E72D297353CC}">
              <c16:uniqueId val="{0000000A-CE33-49DD-AB90-0F3B24A18A0F}"/>
            </c:ext>
          </c:extLst>
        </c:ser>
        <c:ser>
          <c:idx val="1"/>
          <c:order val="1"/>
          <c:tx>
            <c:strRef>
              <c:f>Sheet1!$A$31</c:f>
              <c:strCache>
                <c:ptCount val="1"/>
                <c:pt idx="0">
                  <c:v>Fresh fruit</c:v>
                </c:pt>
              </c:strCache>
            </c:strRef>
          </c:tx>
          <c:marker>
            <c:symbol val="none"/>
          </c:marker>
          <c:dLbls>
            <c:dLbl>
              <c:idx val="0"/>
              <c:layout>
                <c:manualLayout>
                  <c:x val="-6.4151356812203172E-2"/>
                  <c:y val="-4.999998425197379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E33-49DD-AB90-0F3B24A18A0F}"/>
                </c:ext>
              </c:extLst>
            </c:dLbl>
            <c:dLbl>
              <c:idx val="5"/>
              <c:layout>
                <c:manualLayout>
                  <c:x val="-2.5939110462519059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CE33-49DD-AB90-0F3B24A18A0F}"/>
                </c:ext>
              </c:extLst>
            </c:dLbl>
            <c:dLbl>
              <c:idx val="7"/>
              <c:layout>
                <c:manualLayout>
                  <c:x val="-2.0012859709561771E-2"/>
                  <c:y val="1.74945944815243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E33-49DD-AB90-0F3B24A18A0F}"/>
                </c:ext>
              </c:extLst>
            </c:dLbl>
            <c:dLbl>
              <c:idx val="8"/>
              <c:layout>
                <c:manualLayout>
                  <c:x val="-2.8969823737209502E-3"/>
                  <c:y val="5.2658737954205872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E33-49DD-AB90-0F3B24A18A0F}"/>
                </c:ext>
              </c:extLst>
            </c:dLbl>
            <c:dLbl>
              <c:idx val="9"/>
              <c:layout>
                <c:manualLayout>
                  <c:x val="1.3499758108235263E-4"/>
                  <c:y val="-5.831531493841348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E33-49DD-AB90-0F3B24A18A0F}"/>
                </c:ext>
              </c:extLst>
            </c:dLbl>
            <c:dLbl>
              <c:idx val="11"/>
              <c:layout>
                <c:manualLayout>
                  <c:x val="-1.6288929183536787E-2"/>
                  <c:y val="-2.8111932055596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E33-49DD-AB90-0F3B24A18A0F}"/>
                </c:ext>
              </c:extLst>
            </c:dLbl>
            <c:dLbl>
              <c:idx val="12"/>
              <c:layout>
                <c:manualLayout>
                  <c:x val="-2.6024411456978667E-2"/>
                  <c:y val="-1.676099709159728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E33-49DD-AB90-0F3B24A18A0F}"/>
                </c:ext>
              </c:extLst>
            </c:dLbl>
            <c:spPr>
              <a:noFill/>
              <a:ln>
                <a:noFill/>
              </a:ln>
              <a:effectLst/>
            </c:spPr>
            <c:txPr>
              <a:bodyPr/>
              <a:lstStyle/>
              <a:p>
                <a:pPr>
                  <a:defRPr sz="900">
                    <a:solidFill>
                      <a:schemeClr val="accent2"/>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Sheet1!$B$29:$J$29</c:f>
              <c:strCache>
                <c:ptCount val="9"/>
                <c:pt idx="0">
                  <c:v>2019</c:v>
                </c:pt>
                <c:pt idx="1">
                  <c:v>Q1 '20</c:v>
                </c:pt>
                <c:pt idx="2">
                  <c:v>Q2 '20</c:v>
                </c:pt>
                <c:pt idx="3">
                  <c:v>Q3 '20</c:v>
                </c:pt>
                <c:pt idx="4">
                  <c:v>Q4 '20</c:v>
                </c:pt>
                <c:pt idx="5">
                  <c:v>Q1 '21</c:v>
                </c:pt>
                <c:pt idx="6">
                  <c:v>Q2 '21</c:v>
                </c:pt>
                <c:pt idx="7">
                  <c:v>Q3 '21</c:v>
                </c:pt>
                <c:pt idx="8">
                  <c:v>Q4 '21</c:v>
                </c:pt>
              </c:strCache>
            </c:strRef>
          </c:cat>
          <c:val>
            <c:numRef>
              <c:f>Sheet1!$B$31:$J$31</c:f>
              <c:numCache>
                <c:formatCode>0.0%</c:formatCode>
                <c:ptCount val="9"/>
                <c:pt idx="0">
                  <c:v>-2E-3</c:v>
                </c:pt>
                <c:pt idx="1">
                  <c:v>5.2999999999999999E-2</c:v>
                </c:pt>
                <c:pt idx="2">
                  <c:v>0.106</c:v>
                </c:pt>
                <c:pt idx="3">
                  <c:v>9.5000000000000001E-2</c:v>
                </c:pt>
                <c:pt idx="4">
                  <c:v>8.6999999999999994E-2</c:v>
                </c:pt>
                <c:pt idx="5">
                  <c:v>5.0999999999999997E-2</c:v>
                </c:pt>
                <c:pt idx="6">
                  <c:v>4.4999999999999998E-2</c:v>
                </c:pt>
                <c:pt idx="7">
                  <c:v>6.0999999999999999E-2</c:v>
                </c:pt>
                <c:pt idx="8">
                  <c:v>0.108</c:v>
                </c:pt>
              </c:numCache>
            </c:numRef>
          </c:val>
          <c:smooth val="0"/>
          <c:extLst>
            <c:ext xmlns:c16="http://schemas.microsoft.com/office/drawing/2014/chart" uri="{C3380CC4-5D6E-409C-BE32-E72D297353CC}">
              <c16:uniqueId val="{00000012-CE33-49DD-AB90-0F3B24A18A0F}"/>
            </c:ext>
          </c:extLst>
        </c:ser>
        <c:ser>
          <c:idx val="2"/>
          <c:order val="2"/>
          <c:tx>
            <c:strRef>
              <c:f>Sheet1!$A$32</c:f>
              <c:strCache>
                <c:ptCount val="1"/>
                <c:pt idx="0">
                  <c:v>Fresh vegetables</c:v>
                </c:pt>
              </c:strCache>
            </c:strRef>
          </c:tx>
          <c:marker>
            <c:symbol val="none"/>
          </c:marker>
          <c:dLbls>
            <c:dLbl>
              <c:idx val="0"/>
              <c:layout>
                <c:manualLayout>
                  <c:x val="-5.6586555146759317E-2"/>
                  <c:y val="-2.69999914960656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E33-49DD-AB90-0F3B24A18A0F}"/>
                </c:ext>
              </c:extLst>
            </c:dLbl>
            <c:dLbl>
              <c:idx val="5"/>
              <c:layout>
                <c:manualLayout>
                  <c:x val="-3.16017390174156E-2"/>
                  <c:y val="-4.69999851968550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E33-49DD-AB90-0F3B24A18A0F}"/>
                </c:ext>
              </c:extLst>
            </c:dLbl>
            <c:dLbl>
              <c:idx val="6"/>
              <c:layout>
                <c:manualLayout>
                  <c:x val="-3.6219583642252598E-2"/>
                  <c:y val="3.1069307462847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CE33-49DD-AB90-0F3B24A18A0F}"/>
                </c:ext>
              </c:extLst>
            </c:dLbl>
            <c:dLbl>
              <c:idx val="7"/>
              <c:layout>
                <c:manualLayout>
                  <c:x val="-2.3588523321920823E-2"/>
                  <c:y val="3.4341241019288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E33-49DD-AB90-0F3B24A18A0F}"/>
                </c:ext>
              </c:extLst>
            </c:dLbl>
            <c:dLbl>
              <c:idx val="8"/>
              <c:layout>
                <c:manualLayout>
                  <c:x val="-1.239801252219018E-2"/>
                  <c:y val="-2.57611635122818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E33-49DD-AB90-0F3B24A18A0F}"/>
                </c:ext>
              </c:extLst>
            </c:dLbl>
            <c:dLbl>
              <c:idx val="9"/>
              <c:layout>
                <c:manualLayout>
                  <c:x val="-4.648572264647292E-3"/>
                  <c:y val="-1.25369630054036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E33-49DD-AB90-0F3B24A18A0F}"/>
                </c:ext>
              </c:extLst>
            </c:dLbl>
            <c:dLbl>
              <c:idx val="10"/>
              <c:layout>
                <c:manualLayout>
                  <c:x val="-2.0859923341428201E-2"/>
                  <c:y val="2.53737374959150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E33-49DD-AB90-0F3B24A18A0F}"/>
                </c:ext>
              </c:extLst>
            </c:dLbl>
            <c:dLbl>
              <c:idx val="11"/>
              <c:layout>
                <c:manualLayout>
                  <c:x val="-2.2165180456543882E-2"/>
                  <c:y val="3.63367808682864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E33-49DD-AB90-0F3B24A18A0F}"/>
                </c:ext>
              </c:extLst>
            </c:dLbl>
            <c:dLbl>
              <c:idx val="12"/>
              <c:layout>
                <c:manualLayout>
                  <c:x val="-2.4583776145535061E-2"/>
                  <c:y val="2.830016984271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E33-49DD-AB90-0F3B24A18A0F}"/>
                </c:ext>
              </c:extLst>
            </c:dLbl>
            <c:dLbl>
              <c:idx val="13"/>
              <c:layout>
                <c:manualLayout>
                  <c:x val="-2.1939062981788597E-2"/>
                  <c:y val="5.006169830275119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E33-49DD-AB90-0F3B24A18A0F}"/>
                </c:ext>
              </c:extLst>
            </c:dLbl>
            <c:spPr>
              <a:noFill/>
              <a:ln>
                <a:noFill/>
              </a:ln>
              <a:effectLst/>
            </c:spPr>
            <c:txPr>
              <a:bodyPr/>
              <a:lstStyle/>
              <a:p>
                <a:pPr>
                  <a:defRPr sz="900">
                    <a:solidFill>
                      <a:schemeClr val="accent3">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Sheet1!$B$29:$J$29</c:f>
              <c:strCache>
                <c:ptCount val="9"/>
                <c:pt idx="0">
                  <c:v>2019</c:v>
                </c:pt>
                <c:pt idx="1">
                  <c:v>Q1 '20</c:v>
                </c:pt>
                <c:pt idx="2">
                  <c:v>Q2 '20</c:v>
                </c:pt>
                <c:pt idx="3">
                  <c:v>Q3 '20</c:v>
                </c:pt>
                <c:pt idx="4">
                  <c:v>Q4 '20</c:v>
                </c:pt>
                <c:pt idx="5">
                  <c:v>Q1 '21</c:v>
                </c:pt>
                <c:pt idx="6">
                  <c:v>Q2 '21</c:v>
                </c:pt>
                <c:pt idx="7">
                  <c:v>Q3 '21</c:v>
                </c:pt>
                <c:pt idx="8">
                  <c:v>Q4 '21</c:v>
                </c:pt>
              </c:strCache>
            </c:strRef>
          </c:cat>
          <c:val>
            <c:numRef>
              <c:f>Sheet1!$B$32:$J$32</c:f>
              <c:numCache>
                <c:formatCode>0.0%</c:formatCode>
                <c:ptCount val="9"/>
                <c:pt idx="0">
                  <c:v>3.9E-2</c:v>
                </c:pt>
                <c:pt idx="1">
                  <c:v>8.4000000000000005E-2</c:v>
                </c:pt>
                <c:pt idx="2">
                  <c:v>0.20699999999999999</c:v>
                </c:pt>
                <c:pt idx="3">
                  <c:v>0.151</c:v>
                </c:pt>
                <c:pt idx="4">
                  <c:v>0.14799999999999999</c:v>
                </c:pt>
                <c:pt idx="5">
                  <c:v>4.7E-2</c:v>
                </c:pt>
                <c:pt idx="6">
                  <c:v>-7.0999999999999994E-2</c:v>
                </c:pt>
                <c:pt idx="7">
                  <c:v>-2.4E-2</c:v>
                </c:pt>
                <c:pt idx="8">
                  <c:v>1E-3</c:v>
                </c:pt>
              </c:numCache>
            </c:numRef>
          </c:val>
          <c:smooth val="0"/>
          <c:extLst>
            <c:ext xmlns:c16="http://schemas.microsoft.com/office/drawing/2014/chart" uri="{C3380CC4-5D6E-409C-BE32-E72D297353CC}">
              <c16:uniqueId val="{0000001C-CE33-49DD-AB90-0F3B24A18A0F}"/>
            </c:ext>
          </c:extLst>
        </c:ser>
        <c:ser>
          <c:idx val="3"/>
          <c:order val="3"/>
          <c:tx>
            <c:strRef>
              <c:f>Sheet1!$A$33</c:f>
              <c:strCache>
                <c:ptCount val="1"/>
                <c:pt idx="0">
                  <c:v>Produce dpt vs. 2019</c:v>
                </c:pt>
              </c:strCache>
            </c:strRef>
          </c:tx>
          <c:spPr>
            <a:ln>
              <a:noFill/>
            </a:ln>
          </c:spPr>
          <c:marker>
            <c:spPr>
              <a:solidFill>
                <a:srgbClr val="7030A0"/>
              </a:solidFill>
              <a:ln>
                <a:noFill/>
              </a:ln>
            </c:spPr>
          </c:marker>
          <c:dLbls>
            <c:dLbl>
              <c:idx val="7"/>
              <c:layout>
                <c:manualLayout>
                  <c:x val="8.9521073276133262E-3"/>
                  <c:y val="-3.6194795927983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E33-49DD-AB90-0F3B24A18A0F}"/>
                </c:ext>
              </c:extLst>
            </c:dLbl>
            <c:dLbl>
              <c:idx val="11"/>
              <c:layout>
                <c:manualLayout>
                  <c:x val="0"/>
                  <c:y val="-1.371553378157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E33-49DD-AB90-0F3B24A18A0F}"/>
                </c:ext>
              </c:extLst>
            </c:dLbl>
            <c:spPr>
              <a:noFill/>
              <a:ln>
                <a:noFill/>
              </a:ln>
              <a:effectLst/>
            </c:spPr>
            <c:txPr>
              <a:bodyPr/>
              <a:lstStyle/>
              <a:p>
                <a:pPr>
                  <a:defRPr sz="900">
                    <a:solidFill>
                      <a:schemeClr val="accent4"/>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Sheet1!$B$29:$J$29</c:f>
              <c:strCache>
                <c:ptCount val="9"/>
                <c:pt idx="0">
                  <c:v>2019</c:v>
                </c:pt>
                <c:pt idx="1">
                  <c:v>Q1 '20</c:v>
                </c:pt>
                <c:pt idx="2">
                  <c:v>Q2 '20</c:v>
                </c:pt>
                <c:pt idx="3">
                  <c:v>Q3 '20</c:v>
                </c:pt>
                <c:pt idx="4">
                  <c:v>Q4 '20</c:v>
                </c:pt>
                <c:pt idx="5">
                  <c:v>Q1 '21</c:v>
                </c:pt>
                <c:pt idx="6">
                  <c:v>Q2 '21</c:v>
                </c:pt>
                <c:pt idx="7">
                  <c:v>Q3 '21</c:v>
                </c:pt>
                <c:pt idx="8">
                  <c:v>Q4 '21</c:v>
                </c:pt>
              </c:strCache>
            </c:strRef>
          </c:cat>
          <c:val>
            <c:numRef>
              <c:f>Sheet1!$B$33:$J$33</c:f>
              <c:numCache>
                <c:formatCode>General</c:formatCode>
                <c:ptCount val="9"/>
                <c:pt idx="5" formatCode="0.0%">
                  <c:v>0.12</c:v>
                </c:pt>
                <c:pt idx="6" formatCode="0.0%">
                  <c:v>0.13800000000000001</c:v>
                </c:pt>
                <c:pt idx="7" formatCode="0.0%">
                  <c:v>0.14399999999999999</c:v>
                </c:pt>
                <c:pt idx="8" formatCode="0.0%">
                  <c:v>0.17299999999999999</c:v>
                </c:pt>
              </c:numCache>
            </c:numRef>
          </c:val>
          <c:smooth val="0"/>
          <c:extLst>
            <c:ext xmlns:c16="http://schemas.microsoft.com/office/drawing/2014/chart" uri="{C3380CC4-5D6E-409C-BE32-E72D297353CC}">
              <c16:uniqueId val="{0000001F-CE33-49DD-AB90-0F3B24A18A0F}"/>
            </c:ext>
          </c:extLst>
        </c:ser>
        <c:ser>
          <c:idx val="4"/>
          <c:order val="4"/>
          <c:tx>
            <c:strRef>
              <c:f>Sheet1!$A$34</c:f>
              <c:strCache>
                <c:ptCount val="1"/>
                <c:pt idx="0">
                  <c:v>Fresh fruit vs. 2019</c:v>
                </c:pt>
              </c:strCache>
            </c:strRef>
          </c:tx>
          <c:spPr>
            <a:ln>
              <a:noFill/>
            </a:ln>
          </c:spPr>
          <c:marker>
            <c:spPr>
              <a:solidFill>
                <a:schemeClr val="accent5"/>
              </a:solidFill>
              <a:ln>
                <a:noFill/>
              </a:ln>
            </c:spPr>
          </c:marker>
          <c:dLbls>
            <c:dLbl>
              <c:idx val="7"/>
              <c:layout>
                <c:manualLayout>
                  <c:x val="3.9861921591190204E-3"/>
                  <c:y val="-2.20209267808502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E33-49DD-AB90-0F3B24A18A0F}"/>
                </c:ext>
              </c:extLst>
            </c:dLbl>
            <c:dLbl>
              <c:idx val="8"/>
              <c:layout>
                <c:manualLayout>
                  <c:x val="2.5723932915874053E-3"/>
                  <c:y val="-1.76176039756705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E33-49DD-AB90-0F3B24A18A0F}"/>
                </c:ext>
              </c:extLst>
            </c:dLbl>
            <c:dLbl>
              <c:idx val="9"/>
              <c:layout>
                <c:manualLayout>
                  <c:x val="2.5212729927190933E-3"/>
                  <c:y val="3.91296256722776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E33-49DD-AB90-0F3B24A18A0F}"/>
                </c:ext>
              </c:extLst>
            </c:dLbl>
            <c:dLbl>
              <c:idx val="11"/>
              <c:layout>
                <c:manualLayout>
                  <c:x val="-2.5193144132161509E-3"/>
                  <c:y val="-4.11466013447271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3-CE33-49DD-AB90-0F3B24A18A0F}"/>
                </c:ext>
              </c:extLst>
            </c:dLbl>
            <c:dLbl>
              <c:idx val="12"/>
              <c:layout>
                <c:manualLayout>
                  <c:x val="-1.850662112055403E-16"/>
                  <c:y val="-1.37124002206940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E33-49DD-AB90-0F3B24A18A0F}"/>
                </c:ext>
              </c:extLst>
            </c:dLbl>
            <c:spPr>
              <a:noFill/>
              <a:ln>
                <a:noFill/>
              </a:ln>
              <a:effectLst/>
            </c:spPr>
            <c:txPr>
              <a:bodyPr/>
              <a:lstStyle/>
              <a:p>
                <a:pPr>
                  <a:defRPr sz="900">
                    <a:solidFill>
                      <a:schemeClr val="accent5">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Sheet1!$B$29:$J$29</c:f>
              <c:strCache>
                <c:ptCount val="9"/>
                <c:pt idx="0">
                  <c:v>2019</c:v>
                </c:pt>
                <c:pt idx="1">
                  <c:v>Q1 '20</c:v>
                </c:pt>
                <c:pt idx="2">
                  <c:v>Q2 '20</c:v>
                </c:pt>
                <c:pt idx="3">
                  <c:v>Q3 '20</c:v>
                </c:pt>
                <c:pt idx="4">
                  <c:v>Q4 '20</c:v>
                </c:pt>
                <c:pt idx="5">
                  <c:v>Q1 '21</c:v>
                </c:pt>
                <c:pt idx="6">
                  <c:v>Q2 '21</c:v>
                </c:pt>
                <c:pt idx="7">
                  <c:v>Q3 '21</c:v>
                </c:pt>
                <c:pt idx="8">
                  <c:v>Q4 '21</c:v>
                </c:pt>
              </c:strCache>
            </c:strRef>
          </c:cat>
          <c:val>
            <c:numRef>
              <c:f>Sheet1!$B$34:$J$34</c:f>
              <c:numCache>
                <c:formatCode>General</c:formatCode>
                <c:ptCount val="9"/>
                <c:pt idx="5" formatCode="0.0%">
                  <c:v>0.106</c:v>
                </c:pt>
                <c:pt idx="6" formatCode="0.0%">
                  <c:v>0.156</c:v>
                </c:pt>
                <c:pt idx="7" formatCode="0.0%">
                  <c:v>0.16300000000000001</c:v>
                </c:pt>
                <c:pt idx="8" formatCode="0.0%">
                  <c:v>0.20499999999999999</c:v>
                </c:pt>
              </c:numCache>
            </c:numRef>
          </c:val>
          <c:smooth val="0"/>
          <c:extLst>
            <c:ext xmlns:c16="http://schemas.microsoft.com/office/drawing/2014/chart" uri="{C3380CC4-5D6E-409C-BE32-E72D297353CC}">
              <c16:uniqueId val="{00000025-CE33-49DD-AB90-0F3B24A18A0F}"/>
            </c:ext>
          </c:extLst>
        </c:ser>
        <c:ser>
          <c:idx val="5"/>
          <c:order val="5"/>
          <c:tx>
            <c:strRef>
              <c:f>Sheet1!$A$35</c:f>
              <c:strCache>
                <c:ptCount val="1"/>
                <c:pt idx="0">
                  <c:v>Fresh veg vs. 2019</c:v>
                </c:pt>
              </c:strCache>
            </c:strRef>
          </c:tx>
          <c:spPr>
            <a:ln>
              <a:noFill/>
            </a:ln>
          </c:spPr>
          <c:marker>
            <c:spPr>
              <a:ln>
                <a:noFill/>
              </a:ln>
            </c:spPr>
          </c:marker>
          <c:dLbls>
            <c:dLbl>
              <c:idx val="7"/>
              <c:layout>
                <c:manualLayout>
                  <c:x val="6.4308675159260378E-3"/>
                  <c:y val="-5.18358355008122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E33-49DD-AB90-0F3B24A18A0F}"/>
                </c:ext>
              </c:extLst>
            </c:dLbl>
            <c:dLbl>
              <c:idx val="8"/>
              <c:layout>
                <c:manualLayout>
                  <c:x val="3.8585403060229836E-3"/>
                  <c:y val="-4.30305125256425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7-CE33-49DD-AB90-0F3B24A18A0F}"/>
                </c:ext>
              </c:extLst>
            </c:dLbl>
            <c:dLbl>
              <c:idx val="9"/>
              <c:layout>
                <c:manualLayout>
                  <c:x val="0"/>
                  <c:y val="4.74316789533461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E33-49DD-AB90-0F3B24A18A0F}"/>
                </c:ext>
              </c:extLst>
            </c:dLbl>
            <c:dLbl>
              <c:idx val="11"/>
              <c:layout>
                <c:manualLayout>
                  <c:x val="0"/>
                  <c:y val="1.64586405378907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CE33-49DD-AB90-0F3B24A18A0F}"/>
                </c:ext>
              </c:extLst>
            </c:dLbl>
            <c:dLbl>
              <c:idx val="12"/>
              <c:layout>
                <c:manualLayout>
                  <c:x val="-1.850662112055403E-16"/>
                  <c:y val="1.919736030897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CE33-49DD-AB90-0F3B24A18A0F}"/>
                </c:ext>
              </c:extLst>
            </c:dLbl>
            <c:spPr>
              <a:noFill/>
              <a:ln>
                <a:noFill/>
              </a:ln>
              <a:effectLst/>
            </c:spPr>
            <c:txPr>
              <a:bodyPr/>
              <a:lstStyle/>
              <a:p>
                <a:pPr>
                  <a:defRPr sz="900">
                    <a:solidFill>
                      <a:schemeClr val="accent6">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Sheet1!$B$29:$J$29</c:f>
              <c:strCache>
                <c:ptCount val="9"/>
                <c:pt idx="0">
                  <c:v>2019</c:v>
                </c:pt>
                <c:pt idx="1">
                  <c:v>Q1 '20</c:v>
                </c:pt>
                <c:pt idx="2">
                  <c:v>Q2 '20</c:v>
                </c:pt>
                <c:pt idx="3">
                  <c:v>Q3 '20</c:v>
                </c:pt>
                <c:pt idx="4">
                  <c:v>Q4 '20</c:v>
                </c:pt>
                <c:pt idx="5">
                  <c:v>Q1 '21</c:v>
                </c:pt>
                <c:pt idx="6">
                  <c:v>Q2 '21</c:v>
                </c:pt>
                <c:pt idx="7">
                  <c:v>Q3 '21</c:v>
                </c:pt>
                <c:pt idx="8">
                  <c:v>Q4 '21</c:v>
                </c:pt>
              </c:strCache>
            </c:strRef>
          </c:cat>
          <c:val>
            <c:numRef>
              <c:f>Sheet1!$B$35:$J$35</c:f>
              <c:numCache>
                <c:formatCode>General</c:formatCode>
                <c:ptCount val="9"/>
                <c:pt idx="5" formatCode="0.0%">
                  <c:v>0.13500000000000001</c:v>
                </c:pt>
                <c:pt idx="6" formatCode="0.0%">
                  <c:v>0.121</c:v>
                </c:pt>
                <c:pt idx="7" formatCode="0.0%">
                  <c:v>0.125</c:v>
                </c:pt>
                <c:pt idx="8" formatCode="0.0%">
                  <c:v>0.151</c:v>
                </c:pt>
              </c:numCache>
            </c:numRef>
          </c:val>
          <c:smooth val="0"/>
          <c:extLst>
            <c:ext xmlns:c16="http://schemas.microsoft.com/office/drawing/2014/chart" uri="{C3380CC4-5D6E-409C-BE32-E72D297353CC}">
              <c16:uniqueId val="{0000002B-CE33-49DD-AB90-0F3B24A18A0F}"/>
            </c:ext>
          </c:extLst>
        </c:ser>
        <c:dLbls>
          <c:showLegendKey val="0"/>
          <c:showVal val="1"/>
          <c:showCatName val="0"/>
          <c:showSerName val="0"/>
          <c:showPercent val="0"/>
          <c:showBubbleSize val="0"/>
        </c:dLbls>
        <c:smooth val="0"/>
        <c:axId val="147893248"/>
        <c:axId val="147837696"/>
      </c:lineChart>
      <c:catAx>
        <c:axId val="147893248"/>
        <c:scaling>
          <c:orientation val="minMax"/>
        </c:scaling>
        <c:delete val="0"/>
        <c:axPos val="b"/>
        <c:numFmt formatCode="General" sourceLinked="0"/>
        <c:majorTickMark val="none"/>
        <c:minorTickMark val="none"/>
        <c:tickLblPos val="nextTo"/>
        <c:crossAx val="147837696"/>
        <c:crosses val="autoZero"/>
        <c:auto val="1"/>
        <c:lblAlgn val="ctr"/>
        <c:lblOffset val="100"/>
        <c:noMultiLvlLbl val="0"/>
      </c:catAx>
      <c:valAx>
        <c:axId val="147837696"/>
        <c:scaling>
          <c:orientation val="minMax"/>
        </c:scaling>
        <c:delete val="1"/>
        <c:axPos val="l"/>
        <c:numFmt formatCode="0.0%" sourceLinked="1"/>
        <c:majorTickMark val="none"/>
        <c:minorTickMark val="none"/>
        <c:tickLblPos val="none"/>
        <c:crossAx val="147893248"/>
        <c:crosses val="autoZero"/>
        <c:crossBetween val="between"/>
      </c:valAx>
    </c:plotArea>
    <c:legend>
      <c:legendPos val="t"/>
      <c:layout>
        <c:manualLayout>
          <c:xMode val="edge"/>
          <c:yMode val="edge"/>
          <c:x val="4.8713872069891723E-2"/>
          <c:y val="0.11871712429478265"/>
          <c:w val="0.89999990885384662"/>
          <c:h val="0.11778394884946697"/>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Share of dollars across temperature zones</a:t>
            </a:r>
          </a:p>
        </c:rich>
      </c:tx>
      <c:layout>
        <c:manualLayout>
          <c:xMode val="edge"/>
          <c:yMode val="edge"/>
          <c:x val="4.8169926459314871E-3"/>
          <c:y val="2.9908057021516949E-3"/>
        </c:manualLayout>
      </c:layout>
      <c:overlay val="0"/>
    </c:title>
    <c:autoTitleDeleted val="0"/>
    <c:plotArea>
      <c:layout>
        <c:manualLayout>
          <c:layoutTarget val="inner"/>
          <c:xMode val="edge"/>
          <c:yMode val="edge"/>
          <c:x val="5.6438716959834444E-3"/>
          <c:y val="0.1740546230044486"/>
          <c:w val="0.97366193208541063"/>
          <c:h val="0.72356996945013918"/>
        </c:manualLayout>
      </c:layout>
      <c:barChart>
        <c:barDir val="col"/>
        <c:grouping val="percentStacked"/>
        <c:varyColors val="0"/>
        <c:ser>
          <c:idx val="0"/>
          <c:order val="0"/>
          <c:tx>
            <c:strRef>
              <c:f>Sheet1!$A$84</c:f>
              <c:strCache>
                <c:ptCount val="1"/>
                <c:pt idx="0">
                  <c:v>Fresh</c:v>
                </c:pt>
              </c:strCache>
            </c:strRef>
          </c:tx>
          <c:spPr>
            <a:solidFill>
              <a:srgbClr val="92D050"/>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Sheet1!$B$83:$P$83</c:f>
              <c:strCache>
                <c:ptCount val="15"/>
                <c:pt idx="0">
                  <c:v>2019</c:v>
                </c:pt>
                <c:pt idx="1">
                  <c:v>Q1 '20</c:v>
                </c:pt>
                <c:pt idx="2">
                  <c:v>Q2 '20</c:v>
                </c:pt>
                <c:pt idx="3">
                  <c:v>Q3 '20</c:v>
                </c:pt>
                <c:pt idx="4">
                  <c:v>Q4 '20</c:v>
                </c:pt>
                <c:pt idx="5">
                  <c:v>Q1 '21</c:v>
                </c:pt>
                <c:pt idx="6">
                  <c:v>Apr '21</c:v>
                </c:pt>
                <c:pt idx="7">
                  <c:v>May '21</c:v>
                </c:pt>
                <c:pt idx="8">
                  <c:v>Jun '21</c:v>
                </c:pt>
                <c:pt idx="9">
                  <c:v>Jul '21</c:v>
                </c:pt>
                <c:pt idx="10">
                  <c:v>Aug '21</c:v>
                </c:pt>
                <c:pt idx="11">
                  <c:v>Sep '21</c:v>
                </c:pt>
                <c:pt idx="12">
                  <c:v>Oct '21</c:v>
                </c:pt>
                <c:pt idx="13">
                  <c:v>Nov '21</c:v>
                </c:pt>
                <c:pt idx="14">
                  <c:v>Dec '21</c:v>
                </c:pt>
              </c:strCache>
            </c:strRef>
          </c:cat>
          <c:val>
            <c:numRef>
              <c:f>Sheet1!$B$84:$P$84</c:f>
              <c:numCache>
                <c:formatCode>0.0%</c:formatCode>
                <c:ptCount val="15"/>
                <c:pt idx="0">
                  <c:v>0.80800000000000005</c:v>
                </c:pt>
                <c:pt idx="1">
                  <c:v>0.76900000000000002</c:v>
                </c:pt>
                <c:pt idx="2">
                  <c:v>0.80800000000000005</c:v>
                </c:pt>
                <c:pt idx="3">
                  <c:v>0.82099999999999995</c:v>
                </c:pt>
                <c:pt idx="4">
                  <c:v>0.77700000000000002</c:v>
                </c:pt>
                <c:pt idx="5">
                  <c:v>0.79300000000000004</c:v>
                </c:pt>
                <c:pt idx="6">
                  <c:v>0.81200000000000006</c:v>
                </c:pt>
                <c:pt idx="7">
                  <c:v>0.84499999999999997</c:v>
                </c:pt>
                <c:pt idx="8">
                  <c:v>0.83900000000000008</c:v>
                </c:pt>
                <c:pt idx="9">
                  <c:v>0.83899999999999997</c:v>
                </c:pt>
                <c:pt idx="10">
                  <c:v>0.82499999999999996</c:v>
                </c:pt>
                <c:pt idx="11">
                  <c:v>0.81399999999999995</c:v>
                </c:pt>
                <c:pt idx="12">
                  <c:v>0.79500000000000004</c:v>
                </c:pt>
                <c:pt idx="13">
                  <c:v>0.80800000000000005</c:v>
                </c:pt>
                <c:pt idx="14">
                  <c:v>0.78800000000000003</c:v>
                </c:pt>
              </c:numCache>
            </c:numRef>
          </c:val>
          <c:extLst>
            <c:ext xmlns:c16="http://schemas.microsoft.com/office/drawing/2014/chart" uri="{C3380CC4-5D6E-409C-BE32-E72D297353CC}">
              <c16:uniqueId val="{00000000-5070-4817-AAEC-CCDE99EC8542}"/>
            </c:ext>
          </c:extLst>
        </c:ser>
        <c:ser>
          <c:idx val="1"/>
          <c:order val="1"/>
          <c:tx>
            <c:strRef>
              <c:f>Sheet1!$A$85</c:f>
              <c:strCache>
                <c:ptCount val="1"/>
                <c:pt idx="0">
                  <c:v>Shelf stable</c:v>
                </c:pt>
              </c:strCache>
            </c:strRef>
          </c:tx>
          <c:spPr>
            <a:solidFill>
              <a:schemeClr val="bg1">
                <a:lumMod val="65000"/>
              </a:schemeClr>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Sheet1!$B$83:$P$83</c:f>
              <c:strCache>
                <c:ptCount val="15"/>
                <c:pt idx="0">
                  <c:v>2019</c:v>
                </c:pt>
                <c:pt idx="1">
                  <c:v>Q1 '20</c:v>
                </c:pt>
                <c:pt idx="2">
                  <c:v>Q2 '20</c:v>
                </c:pt>
                <c:pt idx="3">
                  <c:v>Q3 '20</c:v>
                </c:pt>
                <c:pt idx="4">
                  <c:v>Q4 '20</c:v>
                </c:pt>
                <c:pt idx="5">
                  <c:v>Q1 '21</c:v>
                </c:pt>
                <c:pt idx="6">
                  <c:v>Apr '21</c:v>
                </c:pt>
                <c:pt idx="7">
                  <c:v>May '21</c:v>
                </c:pt>
                <c:pt idx="8">
                  <c:v>Jun '21</c:v>
                </c:pt>
                <c:pt idx="9">
                  <c:v>Jul '21</c:v>
                </c:pt>
                <c:pt idx="10">
                  <c:v>Aug '21</c:v>
                </c:pt>
                <c:pt idx="11">
                  <c:v>Sep '21</c:v>
                </c:pt>
                <c:pt idx="12">
                  <c:v>Oct '21</c:v>
                </c:pt>
                <c:pt idx="13">
                  <c:v>Nov '21</c:v>
                </c:pt>
                <c:pt idx="14">
                  <c:v>Dec '21</c:v>
                </c:pt>
              </c:strCache>
            </c:strRef>
          </c:cat>
          <c:val>
            <c:numRef>
              <c:f>Sheet1!$B$85:$P$85</c:f>
              <c:numCache>
                <c:formatCode>0.0%</c:formatCode>
                <c:ptCount val="15"/>
                <c:pt idx="0">
                  <c:v>0.115</c:v>
                </c:pt>
                <c:pt idx="1">
                  <c:v>0.14000000000000001</c:v>
                </c:pt>
                <c:pt idx="2">
                  <c:v>0.108</c:v>
                </c:pt>
                <c:pt idx="3">
                  <c:v>0.10299999999999999</c:v>
                </c:pt>
                <c:pt idx="4">
                  <c:v>0.13800000000000001</c:v>
                </c:pt>
                <c:pt idx="5">
                  <c:v>0.11899999999999999</c:v>
                </c:pt>
                <c:pt idx="6">
                  <c:v>0.105</c:v>
                </c:pt>
                <c:pt idx="7">
                  <c:v>7.6999999999999999E-2</c:v>
                </c:pt>
                <c:pt idx="8">
                  <c:v>0.09</c:v>
                </c:pt>
                <c:pt idx="9">
                  <c:v>9.0999999999999998E-2</c:v>
                </c:pt>
                <c:pt idx="10">
                  <c:v>0.10100000000000001</c:v>
                </c:pt>
                <c:pt idx="11">
                  <c:v>0.11</c:v>
                </c:pt>
                <c:pt idx="12">
                  <c:v>0.126</c:v>
                </c:pt>
                <c:pt idx="13">
                  <c:v>8.4000000000000005E-2</c:v>
                </c:pt>
                <c:pt idx="14">
                  <c:v>0.104</c:v>
                </c:pt>
              </c:numCache>
            </c:numRef>
          </c:val>
          <c:extLst>
            <c:ext xmlns:c16="http://schemas.microsoft.com/office/drawing/2014/chart" uri="{C3380CC4-5D6E-409C-BE32-E72D297353CC}">
              <c16:uniqueId val="{00000001-5070-4817-AAEC-CCDE99EC8542}"/>
            </c:ext>
          </c:extLst>
        </c:ser>
        <c:ser>
          <c:idx val="2"/>
          <c:order val="2"/>
          <c:tx>
            <c:strRef>
              <c:f>Sheet1!$A$86</c:f>
              <c:strCache>
                <c:ptCount val="1"/>
                <c:pt idx="0">
                  <c:v>Frozen</c:v>
                </c:pt>
              </c:strCache>
            </c:strRef>
          </c:tx>
          <c:spPr>
            <a:solidFill>
              <a:srgbClr val="00B0F0"/>
            </a:solidFill>
          </c:spPr>
          <c:invertIfNegative val="0"/>
          <c:dLbls>
            <c:spPr>
              <a:noFill/>
              <a:ln>
                <a:noFill/>
              </a:ln>
              <a:effectLst/>
            </c:spPr>
            <c:txPr>
              <a:bodyPr wrap="square" lIns="38100" tIns="19050" rIns="38100" bIns="19050" anchor="ctr">
                <a:spAutoFit/>
              </a:bodyPr>
              <a:lstStyle/>
              <a:p>
                <a:pPr>
                  <a:defRPr sz="8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Sheet1!$B$83:$P$83</c:f>
              <c:strCache>
                <c:ptCount val="15"/>
                <c:pt idx="0">
                  <c:v>2019</c:v>
                </c:pt>
                <c:pt idx="1">
                  <c:v>Q1 '20</c:v>
                </c:pt>
                <c:pt idx="2">
                  <c:v>Q2 '20</c:v>
                </c:pt>
                <c:pt idx="3">
                  <c:v>Q3 '20</c:v>
                </c:pt>
                <c:pt idx="4">
                  <c:v>Q4 '20</c:v>
                </c:pt>
                <c:pt idx="5">
                  <c:v>Q1 '21</c:v>
                </c:pt>
                <c:pt idx="6">
                  <c:v>Apr '21</c:v>
                </c:pt>
                <c:pt idx="7">
                  <c:v>May '21</c:v>
                </c:pt>
                <c:pt idx="8">
                  <c:v>Jun '21</c:v>
                </c:pt>
                <c:pt idx="9">
                  <c:v>Jul '21</c:v>
                </c:pt>
                <c:pt idx="10">
                  <c:v>Aug '21</c:v>
                </c:pt>
                <c:pt idx="11">
                  <c:v>Sep '21</c:v>
                </c:pt>
                <c:pt idx="12">
                  <c:v>Oct '21</c:v>
                </c:pt>
                <c:pt idx="13">
                  <c:v>Nov '21</c:v>
                </c:pt>
                <c:pt idx="14">
                  <c:v>Dec '21</c:v>
                </c:pt>
              </c:strCache>
            </c:strRef>
          </c:cat>
          <c:val>
            <c:numRef>
              <c:f>Sheet1!$B$86:$P$86</c:f>
              <c:numCache>
                <c:formatCode>0.0%</c:formatCode>
                <c:ptCount val="15"/>
                <c:pt idx="0">
                  <c:v>7.6999999999999999E-2</c:v>
                </c:pt>
                <c:pt idx="1">
                  <c:v>9.0999999999999998E-2</c:v>
                </c:pt>
                <c:pt idx="2">
                  <c:v>8.4000000000000005E-2</c:v>
                </c:pt>
                <c:pt idx="3">
                  <c:v>7.6999999999999999E-2</c:v>
                </c:pt>
                <c:pt idx="4">
                  <c:v>8.5999999999999993E-2</c:v>
                </c:pt>
                <c:pt idx="5">
                  <c:v>8.7999999999999995E-2</c:v>
                </c:pt>
                <c:pt idx="6">
                  <c:v>8.3000000000000004E-2</c:v>
                </c:pt>
                <c:pt idx="7">
                  <c:v>7.8E-2</c:v>
                </c:pt>
                <c:pt idx="8">
                  <c:v>7.0999999999999994E-2</c:v>
                </c:pt>
                <c:pt idx="9">
                  <c:v>7.0000000000000007E-2</c:v>
                </c:pt>
                <c:pt idx="10">
                  <c:v>7.2999999999999995E-2</c:v>
                </c:pt>
                <c:pt idx="11">
                  <c:v>7.5999999999999998E-2</c:v>
                </c:pt>
                <c:pt idx="12">
                  <c:v>7.8E-2</c:v>
                </c:pt>
                <c:pt idx="13">
                  <c:v>0.108</c:v>
                </c:pt>
                <c:pt idx="14">
                  <c:v>0.13</c:v>
                </c:pt>
              </c:numCache>
            </c:numRef>
          </c:val>
          <c:extLst>
            <c:ext xmlns:c16="http://schemas.microsoft.com/office/drawing/2014/chart" uri="{C3380CC4-5D6E-409C-BE32-E72D297353CC}">
              <c16:uniqueId val="{00000002-5070-4817-AAEC-CCDE99EC8542}"/>
            </c:ext>
          </c:extLst>
        </c:ser>
        <c:dLbls>
          <c:showLegendKey val="0"/>
          <c:showVal val="1"/>
          <c:showCatName val="0"/>
          <c:showSerName val="0"/>
          <c:showPercent val="0"/>
          <c:showBubbleSize val="0"/>
        </c:dLbls>
        <c:gapWidth val="95"/>
        <c:overlap val="100"/>
        <c:axId val="148140416"/>
        <c:axId val="148141952"/>
      </c:barChart>
      <c:catAx>
        <c:axId val="148140416"/>
        <c:scaling>
          <c:orientation val="minMax"/>
        </c:scaling>
        <c:delete val="0"/>
        <c:axPos val="b"/>
        <c:numFmt formatCode="General" sourceLinked="0"/>
        <c:majorTickMark val="none"/>
        <c:minorTickMark val="none"/>
        <c:tickLblPos val="nextTo"/>
        <c:crossAx val="148141952"/>
        <c:crosses val="autoZero"/>
        <c:auto val="1"/>
        <c:lblAlgn val="ctr"/>
        <c:lblOffset val="100"/>
        <c:noMultiLvlLbl val="0"/>
      </c:catAx>
      <c:valAx>
        <c:axId val="148141952"/>
        <c:scaling>
          <c:orientation val="minMax"/>
        </c:scaling>
        <c:delete val="1"/>
        <c:axPos val="l"/>
        <c:numFmt formatCode="0%" sourceLinked="1"/>
        <c:majorTickMark val="out"/>
        <c:minorTickMark val="none"/>
        <c:tickLblPos val="none"/>
        <c:crossAx val="148140416"/>
        <c:crosses val="autoZero"/>
        <c:crossBetween val="between"/>
      </c:valAx>
    </c:plotArea>
    <c:legend>
      <c:legendPos val="t"/>
      <c:layout>
        <c:manualLayout>
          <c:xMode val="edge"/>
          <c:yMode val="edge"/>
          <c:x val="1.4381265936406181E-3"/>
          <c:y val="7.9984217099084015E-2"/>
          <c:w val="0.26231847072101305"/>
          <c:h val="5.8695519257678831E-2"/>
        </c:manualLayout>
      </c:layout>
      <c:overlay val="0"/>
    </c:legend>
    <c:plotVisOnly val="1"/>
    <c:dispBlanksAs val="gap"/>
    <c:showDLblsOverMax val="0"/>
  </c:chart>
  <c:spPr>
    <a:ln>
      <a:noFill/>
    </a:ln>
  </c:spPr>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50" b="1"/>
              <a:t>Fruit and vegetable shares across the store</a:t>
            </a:r>
          </a:p>
        </c:rich>
      </c:tx>
      <c:layout>
        <c:manualLayout>
          <c:xMode val="edge"/>
          <c:yMode val="edge"/>
          <c:x val="4.8398308901004194E-3"/>
          <c:y val="3.8033143167617495E-2"/>
        </c:manualLayout>
      </c:layout>
      <c:overlay val="0"/>
      <c:spPr>
        <a:noFill/>
        <a:ln>
          <a:noFill/>
        </a:ln>
        <a:effectLst/>
      </c:spPr>
      <c:txPr>
        <a:bodyPr rot="0" spcFirstLastPara="1" vertOverflow="ellipsis" vert="horz" wrap="square" anchor="ctr" anchorCtr="1"/>
        <a:lstStyle/>
        <a:p>
          <a:pPr>
            <a:defRPr sz="105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0"/>
          <c:y val="0.31713858521853677"/>
          <c:w val="0.96954396325459313"/>
          <c:h val="0.59152198498049502"/>
        </c:manualLayout>
      </c:layout>
      <c:barChart>
        <c:barDir val="col"/>
        <c:grouping val="percentStacked"/>
        <c:varyColors val="0"/>
        <c:ser>
          <c:idx val="0"/>
          <c:order val="0"/>
          <c:tx>
            <c:strRef>
              <c:f>Sheet2!$G$379</c:f>
              <c:strCache>
                <c:ptCount val="1"/>
                <c:pt idx="0">
                  <c:v>Fresh share</c:v>
                </c:pt>
              </c:strCache>
            </c:strRef>
          </c:tx>
          <c:spPr>
            <a:solidFill>
              <a:srgbClr val="92D050"/>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0-863C-48CB-AF8E-F9081F3BD0B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Sheet2!$H$378:$O$378</c:f>
              <c:numCache>
                <c:formatCode>General</c:formatCode>
                <c:ptCount val="8"/>
                <c:pt idx="0">
                  <c:v>2019</c:v>
                </c:pt>
                <c:pt idx="1">
                  <c:v>2020</c:v>
                </c:pt>
                <c:pt idx="2">
                  <c:v>2021</c:v>
                </c:pt>
                <c:pt idx="5">
                  <c:v>2019</c:v>
                </c:pt>
                <c:pt idx="6">
                  <c:v>2020</c:v>
                </c:pt>
                <c:pt idx="7">
                  <c:v>2021</c:v>
                </c:pt>
              </c:numCache>
            </c:numRef>
          </c:cat>
          <c:val>
            <c:numRef>
              <c:f>Sheet2!$H$379:$O$379</c:f>
              <c:numCache>
                <c:formatCode>0.0%</c:formatCode>
                <c:ptCount val="8"/>
                <c:pt idx="0">
                  <c:v>0.80771864561326345</c:v>
                </c:pt>
                <c:pt idx="1">
                  <c:v>0.7942337967941977</c:v>
                </c:pt>
                <c:pt idx="2">
                  <c:v>0.80962230579580918</c:v>
                </c:pt>
                <c:pt idx="4" formatCode="General">
                  <c:v>0</c:v>
                </c:pt>
                <c:pt idx="5">
                  <c:v>0.75866431954316138</c:v>
                </c:pt>
                <c:pt idx="6">
                  <c:v>0.75070084791092639</c:v>
                </c:pt>
                <c:pt idx="7">
                  <c:v>0.76983644034563492</c:v>
                </c:pt>
              </c:numCache>
            </c:numRef>
          </c:val>
          <c:extLst>
            <c:ext xmlns:c16="http://schemas.microsoft.com/office/drawing/2014/chart" uri="{C3380CC4-5D6E-409C-BE32-E72D297353CC}">
              <c16:uniqueId val="{00000001-863C-48CB-AF8E-F9081F3BD0BB}"/>
            </c:ext>
          </c:extLst>
        </c:ser>
        <c:ser>
          <c:idx val="1"/>
          <c:order val="1"/>
          <c:tx>
            <c:strRef>
              <c:f>Sheet2!$G$380</c:f>
              <c:strCache>
                <c:ptCount val="1"/>
                <c:pt idx="0">
                  <c:v>Frozen share</c:v>
                </c:pt>
              </c:strCache>
            </c:strRef>
          </c:tx>
          <c:spPr>
            <a:solidFill>
              <a:srgbClr val="00B0F0"/>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2-863C-48CB-AF8E-F9081F3BD0B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Sheet2!$H$378:$O$378</c:f>
              <c:numCache>
                <c:formatCode>General</c:formatCode>
                <c:ptCount val="8"/>
                <c:pt idx="0">
                  <c:v>2019</c:v>
                </c:pt>
                <c:pt idx="1">
                  <c:v>2020</c:v>
                </c:pt>
                <c:pt idx="2">
                  <c:v>2021</c:v>
                </c:pt>
                <c:pt idx="5">
                  <c:v>2019</c:v>
                </c:pt>
                <c:pt idx="6">
                  <c:v>2020</c:v>
                </c:pt>
                <c:pt idx="7">
                  <c:v>2021</c:v>
                </c:pt>
              </c:numCache>
            </c:numRef>
          </c:cat>
          <c:val>
            <c:numRef>
              <c:f>Sheet2!$H$380:$O$380</c:f>
              <c:numCache>
                <c:formatCode>0.0%</c:formatCode>
                <c:ptCount val="8"/>
                <c:pt idx="0">
                  <c:v>7.6968734856905655E-2</c:v>
                </c:pt>
                <c:pt idx="1">
                  <c:v>8.4351887724315788E-2</c:v>
                </c:pt>
                <c:pt idx="2">
                  <c:v>7.896403085881816E-2</c:v>
                </c:pt>
                <c:pt idx="4" formatCode="General">
                  <c:v>0</c:v>
                </c:pt>
                <c:pt idx="5">
                  <c:v>6.9631276559439792E-2</c:v>
                </c:pt>
                <c:pt idx="6">
                  <c:v>7.2936876022284824E-2</c:v>
                </c:pt>
                <c:pt idx="7">
                  <c:v>7.0488054336042119E-2</c:v>
                </c:pt>
              </c:numCache>
            </c:numRef>
          </c:val>
          <c:extLst>
            <c:ext xmlns:c16="http://schemas.microsoft.com/office/drawing/2014/chart" uri="{C3380CC4-5D6E-409C-BE32-E72D297353CC}">
              <c16:uniqueId val="{00000003-863C-48CB-AF8E-F9081F3BD0BB}"/>
            </c:ext>
          </c:extLst>
        </c:ser>
        <c:ser>
          <c:idx val="2"/>
          <c:order val="2"/>
          <c:tx>
            <c:strRef>
              <c:f>Sheet2!$G$381</c:f>
              <c:strCache>
                <c:ptCount val="1"/>
                <c:pt idx="0">
                  <c:v>SS share</c:v>
                </c:pt>
              </c:strCache>
            </c:strRef>
          </c:tx>
          <c:spPr>
            <a:solidFill>
              <a:schemeClr val="bg1">
                <a:lumMod val="65000"/>
              </a:schemeClr>
            </a:solidFill>
            <a:ln>
              <a:no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4-863C-48CB-AF8E-F9081F3BD0BB}"/>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Sheet2!$H$378:$O$378</c:f>
              <c:numCache>
                <c:formatCode>General</c:formatCode>
                <c:ptCount val="8"/>
                <c:pt idx="0">
                  <c:v>2019</c:v>
                </c:pt>
                <c:pt idx="1">
                  <c:v>2020</c:v>
                </c:pt>
                <c:pt idx="2">
                  <c:v>2021</c:v>
                </c:pt>
                <c:pt idx="5">
                  <c:v>2019</c:v>
                </c:pt>
                <c:pt idx="6">
                  <c:v>2020</c:v>
                </c:pt>
                <c:pt idx="7">
                  <c:v>2021</c:v>
                </c:pt>
              </c:numCache>
            </c:numRef>
          </c:cat>
          <c:val>
            <c:numRef>
              <c:f>Sheet2!$H$381:$O$381</c:f>
              <c:numCache>
                <c:formatCode>0.0%</c:formatCode>
                <c:ptCount val="8"/>
                <c:pt idx="0">
                  <c:v>0.11531259348822714</c:v>
                </c:pt>
                <c:pt idx="1">
                  <c:v>0.12141429250951163</c:v>
                </c:pt>
                <c:pt idx="2">
                  <c:v>0.11141364049991735</c:v>
                </c:pt>
                <c:pt idx="4" formatCode="General">
                  <c:v>0</c:v>
                </c:pt>
                <c:pt idx="5">
                  <c:v>0.17170434811812826</c:v>
                </c:pt>
                <c:pt idx="6">
                  <c:v>0.17636222661472245</c:v>
                </c:pt>
                <c:pt idx="7">
                  <c:v>0.1596754534797212</c:v>
                </c:pt>
              </c:numCache>
            </c:numRef>
          </c:val>
          <c:extLst>
            <c:ext xmlns:c16="http://schemas.microsoft.com/office/drawing/2014/chart" uri="{C3380CC4-5D6E-409C-BE32-E72D297353CC}">
              <c16:uniqueId val="{00000005-863C-48CB-AF8E-F9081F3BD0BB}"/>
            </c:ext>
          </c:extLst>
        </c:ser>
        <c:dLbls>
          <c:dLblPos val="ctr"/>
          <c:showLegendKey val="0"/>
          <c:showVal val="1"/>
          <c:showCatName val="0"/>
          <c:showSerName val="0"/>
          <c:showPercent val="0"/>
          <c:showBubbleSize val="0"/>
        </c:dLbls>
        <c:gapWidth val="75"/>
        <c:overlap val="100"/>
        <c:axId val="2019514959"/>
        <c:axId val="2019513711"/>
      </c:barChart>
      <c:catAx>
        <c:axId val="2019514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019513711"/>
        <c:crosses val="autoZero"/>
        <c:auto val="1"/>
        <c:lblAlgn val="ctr"/>
        <c:lblOffset val="100"/>
        <c:noMultiLvlLbl val="0"/>
      </c:catAx>
      <c:valAx>
        <c:axId val="2019513711"/>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19514959"/>
        <c:crosses val="autoZero"/>
        <c:crossBetween val="between"/>
      </c:valAx>
      <c:spPr>
        <a:noFill/>
        <a:ln>
          <a:noFill/>
        </a:ln>
        <a:effectLst/>
      </c:spPr>
    </c:plotArea>
    <c:legend>
      <c:legendPos val="b"/>
      <c:layout>
        <c:manualLayout>
          <c:xMode val="edge"/>
          <c:yMode val="edge"/>
          <c:x val="2.7019110118177669E-4"/>
          <c:y val="0.10786310635375958"/>
          <c:w val="0.43047096903003729"/>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Dollar and volume growth total produce (fixed and random weight)</a:t>
            </a:r>
            <a:br>
              <a:rPr lang="en-US" sz="1000"/>
            </a:br>
            <a:r>
              <a:rPr lang="en-US" sz="1000"/>
              <a:t>versus the comparable period year ago and vs. 2019</a:t>
            </a:r>
          </a:p>
        </c:rich>
      </c:tx>
      <c:overlay val="0"/>
    </c:title>
    <c:autoTitleDeleted val="0"/>
    <c:plotArea>
      <c:layout>
        <c:manualLayout>
          <c:layoutTarget val="inner"/>
          <c:xMode val="edge"/>
          <c:yMode val="edge"/>
          <c:x val="1.5534523839044542E-2"/>
          <c:y val="0.1738405967790867"/>
          <c:w val="0.96893095232191095"/>
          <c:h val="0.80986327937037239"/>
        </c:manualLayout>
      </c:layout>
      <c:lineChart>
        <c:grouping val="standard"/>
        <c:varyColors val="0"/>
        <c:ser>
          <c:idx val="0"/>
          <c:order val="0"/>
          <c:tx>
            <c:strRef>
              <c:f>Sheet1!$A$65</c:f>
              <c:strCache>
                <c:ptCount val="1"/>
                <c:pt idx="0">
                  <c:v>Dollar growth</c:v>
                </c:pt>
              </c:strCache>
            </c:strRef>
          </c:tx>
          <c:spPr>
            <a:ln>
              <a:solidFill>
                <a:schemeClr val="tx2">
                  <a:lumMod val="75000"/>
                </a:schemeClr>
              </a:solidFill>
            </a:ln>
          </c:spPr>
          <c:marker>
            <c:symbol val="none"/>
          </c:marker>
          <c:dLbls>
            <c:dLbl>
              <c:idx val="0"/>
              <c:layout>
                <c:manualLayout>
                  <c:x val="-3.4746457593163152E-2"/>
                  <c:y val="-6.055788746505889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11-484E-9CF1-F3C13E11B868}"/>
                </c:ext>
              </c:extLst>
            </c:dLbl>
            <c:dLbl>
              <c:idx val="3"/>
              <c:layout>
                <c:manualLayout>
                  <c:x val="-2.3079483993763576E-2"/>
                  <c:y val="-3.678473483065762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11-484E-9CF1-F3C13E11B868}"/>
                </c:ext>
              </c:extLst>
            </c:dLbl>
            <c:dLbl>
              <c:idx val="4"/>
              <c:layout>
                <c:manualLayout>
                  <c:x val="-1.8940200502051956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11-484E-9CF1-F3C13E11B868}"/>
                </c:ext>
              </c:extLst>
            </c:dLbl>
            <c:dLbl>
              <c:idx val="5"/>
              <c:layout>
                <c:manualLayout>
                  <c:x val="-2.2857501245362351E-2"/>
                  <c:y val="-2.95212790686278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11-484E-9CF1-F3C13E11B868}"/>
                </c:ext>
              </c:extLst>
            </c:dLbl>
            <c:dLbl>
              <c:idx val="6"/>
              <c:layout>
                <c:manualLayout>
                  <c:x val="-2.0533236137664852E-2"/>
                  <c:y val="-2.6329789439586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11-484E-9CF1-F3C13E11B868}"/>
                </c:ext>
              </c:extLst>
            </c:dLbl>
            <c:dLbl>
              <c:idx val="7"/>
              <c:layout>
                <c:manualLayout>
                  <c:x val="-2.4819779699024668E-2"/>
                  <c:y val="3.1451612903225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11-484E-9CF1-F3C13E11B868}"/>
                </c:ext>
              </c:extLst>
            </c:dLbl>
            <c:dLbl>
              <c:idx val="8"/>
              <c:layout>
                <c:manualLayout>
                  <c:x val="-2.0943394110203416E-2"/>
                  <c:y val="3.29153423226178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611-484E-9CF1-F3C13E11B868}"/>
                </c:ext>
              </c:extLst>
            </c:dLbl>
            <c:dLbl>
              <c:idx val="9"/>
              <c:layout>
                <c:manualLayout>
                  <c:x val="-3.5118686783167798E-2"/>
                  <c:y val="2.73888144087226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11-484E-9CF1-F3C13E11B868}"/>
                </c:ext>
              </c:extLst>
            </c:dLbl>
            <c:dLbl>
              <c:idx val="10"/>
              <c:layout>
                <c:manualLayout>
                  <c:x val="-2.568672597757363E-2"/>
                  <c:y val="-2.24272099733755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611-484E-9CF1-F3C13E11B868}"/>
                </c:ext>
              </c:extLst>
            </c:dLbl>
            <c:dLbl>
              <c:idx val="11"/>
              <c:layout>
                <c:manualLayout>
                  <c:x val="-2.6635130515179177E-2"/>
                  <c:y val="2.0220574201968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611-484E-9CF1-F3C13E11B868}"/>
                </c:ext>
              </c:extLst>
            </c:dLbl>
            <c:dLbl>
              <c:idx val="12"/>
              <c:layout>
                <c:manualLayout>
                  <c:x val="-4.3507064647141533E-2"/>
                  <c:y val="-1.4779488174454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611-484E-9CF1-F3C13E11B868}"/>
                </c:ext>
              </c:extLst>
            </c:dLbl>
            <c:dLbl>
              <c:idx val="13"/>
              <c:layout>
                <c:manualLayout>
                  <c:x val="-2.5774155342648455E-2"/>
                  <c:y val="-1.71442062823670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C611-484E-9CF1-F3C13E11B868}"/>
                </c:ext>
              </c:extLst>
            </c:dLbl>
            <c:spPr>
              <a:noFill/>
              <a:ln>
                <a:noFill/>
              </a:ln>
              <a:effectLst/>
            </c:spPr>
            <c:txPr>
              <a:bodyPr/>
              <a:lstStyle/>
              <a:p>
                <a:pPr>
                  <a:defRPr sz="900">
                    <a:solidFill>
                      <a:schemeClr val="tx2">
                        <a:lumMod val="75000"/>
                      </a:schemeClr>
                    </a:solidFill>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Sheet1!$B$64:$R$64</c:f>
              <c:strCache>
                <c:ptCount val="17"/>
                <c:pt idx="0">
                  <c:v>2019</c:v>
                </c:pt>
                <c:pt idx="1">
                  <c:v>Q1 '20</c:v>
                </c:pt>
                <c:pt idx="2">
                  <c:v>Q2 '20</c:v>
                </c:pt>
                <c:pt idx="3">
                  <c:v>Q3 '20</c:v>
                </c:pt>
                <c:pt idx="4">
                  <c:v>Q4 '20</c:v>
                </c:pt>
                <c:pt idx="5">
                  <c:v>Jan '21</c:v>
                </c:pt>
                <c:pt idx="6">
                  <c:v>Feb '21</c:v>
                </c:pt>
                <c:pt idx="7">
                  <c:v>Mar '21</c:v>
                </c:pt>
                <c:pt idx="8">
                  <c:v>Apr '21</c:v>
                </c:pt>
                <c:pt idx="9">
                  <c:v>May '21</c:v>
                </c:pt>
                <c:pt idx="10">
                  <c:v>Jun '21</c:v>
                </c:pt>
                <c:pt idx="11">
                  <c:v>Jul '21</c:v>
                </c:pt>
                <c:pt idx="12">
                  <c:v>Aug '21</c:v>
                </c:pt>
                <c:pt idx="13">
                  <c:v>Sep '21</c:v>
                </c:pt>
                <c:pt idx="14">
                  <c:v>Oct '21</c:v>
                </c:pt>
                <c:pt idx="15">
                  <c:v>Nov '21</c:v>
                </c:pt>
                <c:pt idx="16">
                  <c:v>Dec 21</c:v>
                </c:pt>
              </c:strCache>
            </c:strRef>
          </c:cat>
          <c:val>
            <c:numRef>
              <c:f>Sheet1!$B$65:$R$65</c:f>
              <c:numCache>
                <c:formatCode>0%</c:formatCode>
                <c:ptCount val="17"/>
                <c:pt idx="0">
                  <c:v>1.7999999999999999E-2</c:v>
                </c:pt>
                <c:pt idx="1">
                  <c:v>6.8000000000000005E-2</c:v>
                </c:pt>
                <c:pt idx="2">
                  <c:v>0.151</c:v>
                </c:pt>
                <c:pt idx="3">
                  <c:v>0.121</c:v>
                </c:pt>
                <c:pt idx="4">
                  <c:v>0.11700000000000001</c:v>
                </c:pt>
                <c:pt idx="5">
                  <c:v>0.107</c:v>
                </c:pt>
                <c:pt idx="6">
                  <c:v>0.11</c:v>
                </c:pt>
                <c:pt idx="7">
                  <c:v>-7.5999999999999998E-2</c:v>
                </c:pt>
                <c:pt idx="8">
                  <c:v>-3.1E-2</c:v>
                </c:pt>
                <c:pt idx="9">
                  <c:v>-3.6999999999999998E-2</c:v>
                </c:pt>
                <c:pt idx="10">
                  <c:v>6.0000000000000001E-3</c:v>
                </c:pt>
                <c:pt idx="11">
                  <c:v>-1.9E-2</c:v>
                </c:pt>
                <c:pt idx="12">
                  <c:v>0.01</c:v>
                </c:pt>
                <c:pt idx="13">
                  <c:v>0.04</c:v>
                </c:pt>
                <c:pt idx="14">
                  <c:v>3.7999999999999999E-2</c:v>
                </c:pt>
                <c:pt idx="15">
                  <c:v>0.04</c:v>
                </c:pt>
                <c:pt idx="16" formatCode="0.0%">
                  <c:v>6.5000000000000002E-2</c:v>
                </c:pt>
              </c:numCache>
            </c:numRef>
          </c:val>
          <c:smooth val="0"/>
          <c:extLst>
            <c:ext xmlns:c16="http://schemas.microsoft.com/office/drawing/2014/chart" uri="{C3380CC4-5D6E-409C-BE32-E72D297353CC}">
              <c16:uniqueId val="{0000000C-C611-484E-9CF1-F3C13E11B868}"/>
            </c:ext>
          </c:extLst>
        </c:ser>
        <c:ser>
          <c:idx val="1"/>
          <c:order val="1"/>
          <c:tx>
            <c:strRef>
              <c:f>Sheet1!$A$66</c:f>
              <c:strCache>
                <c:ptCount val="1"/>
                <c:pt idx="0">
                  <c:v>Volume growth</c:v>
                </c:pt>
              </c:strCache>
            </c:strRef>
          </c:tx>
          <c:spPr>
            <a:ln>
              <a:solidFill>
                <a:schemeClr val="accent5"/>
              </a:solidFill>
            </a:ln>
          </c:spPr>
          <c:marker>
            <c:symbol val="none"/>
          </c:marker>
          <c:dLbls>
            <c:dLbl>
              <c:idx val="0"/>
              <c:layout>
                <c:manualLayout>
                  <c:x val="-3.8663758336473515E-2"/>
                  <c:y val="-1.62846386567799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C611-484E-9CF1-F3C13E11B868}"/>
                </c:ext>
              </c:extLst>
            </c:dLbl>
            <c:dLbl>
              <c:idx val="3"/>
              <c:layout>
                <c:manualLayout>
                  <c:x val="-2.4672519793166498E-2"/>
                  <c:y val="3.3514980623488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611-484E-9CF1-F3C13E11B868}"/>
                </c:ext>
              </c:extLst>
            </c:dLbl>
            <c:dLbl>
              <c:idx val="4"/>
              <c:layout>
                <c:manualLayout>
                  <c:x val="-2.4163268159799151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C611-484E-9CF1-F3C13E11B868}"/>
                </c:ext>
              </c:extLst>
            </c:dLbl>
            <c:dLbl>
              <c:idx val="5"/>
              <c:layout>
                <c:manualLayout>
                  <c:x val="-2.1839003052101652E-2"/>
                  <c:y val="2.313829981054613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C611-484E-9CF1-F3C13E11B868}"/>
                </c:ext>
              </c:extLst>
            </c:dLbl>
            <c:dLbl>
              <c:idx val="6"/>
              <c:layout>
                <c:manualLayout>
                  <c:x val="-2.0533236137664852E-2"/>
                  <c:y val="3.2712768697668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C611-484E-9CF1-F3C13E11B868}"/>
                </c:ext>
              </c:extLst>
            </c:dLbl>
            <c:dLbl>
              <c:idx val="7"/>
              <c:layout>
                <c:manualLayout>
                  <c:x val="-3.1575961188850206E-2"/>
                  <c:y val="2.66129032258066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C611-484E-9CF1-F3C13E11B868}"/>
                </c:ext>
              </c:extLst>
            </c:dLbl>
            <c:dLbl>
              <c:idx val="8"/>
              <c:layout>
                <c:manualLayout>
                  <c:x val="-1.992808089141105E-2"/>
                  <c:y val="3.42277806743913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C611-484E-9CF1-F3C13E11B868}"/>
                </c:ext>
              </c:extLst>
            </c:dLbl>
            <c:dLbl>
              <c:idx val="9"/>
              <c:layout>
                <c:manualLayout>
                  <c:x val="-2.8589820939239265E-2"/>
                  <c:y val="3.909574795575041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C611-484E-9CF1-F3C13E11B868}"/>
                </c:ext>
              </c:extLst>
            </c:dLbl>
            <c:dLbl>
              <c:idx val="10"/>
              <c:layout>
                <c:manualLayout>
                  <c:x val="-2.2228410894598174E-2"/>
                  <c:y val="4.06401809663901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C611-484E-9CF1-F3C13E11B868}"/>
                </c:ext>
              </c:extLst>
            </c:dLbl>
            <c:dLbl>
              <c:idx val="11"/>
              <c:layout>
                <c:manualLayout>
                  <c:x val="-3.4819550194175992E-2"/>
                  <c:y val="2.1716677351344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C611-484E-9CF1-F3C13E11B868}"/>
                </c:ext>
              </c:extLst>
            </c:dLbl>
            <c:dLbl>
              <c:idx val="12"/>
              <c:layout>
                <c:manualLayout>
                  <c:x val="-2.8045278100028978E-2"/>
                  <c:y val="1.95089243902797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C611-484E-9CF1-F3C13E11B868}"/>
                </c:ext>
              </c:extLst>
            </c:dLbl>
            <c:dLbl>
              <c:idx val="13"/>
              <c:layout>
                <c:manualLayout>
                  <c:x val="-2.8232166423407545E-2"/>
                  <c:y val="3.13325149298433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C611-484E-9CF1-F3C13E11B868}"/>
                </c:ext>
              </c:extLst>
            </c:dLbl>
            <c:dLbl>
              <c:idx val="14"/>
              <c:layout>
                <c:manualLayout>
                  <c:x val="-2.6888223658378608E-2"/>
                  <c:y val="2.723751282760564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C611-484E-9CF1-F3C13E11B868}"/>
                </c:ext>
              </c:extLst>
            </c:dLbl>
            <c:dLbl>
              <c:idx val="15"/>
              <c:layout>
                <c:manualLayout>
                  <c:x val="-2.550151795139673E-2"/>
                  <c:y val="1.99741760735773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C611-484E-9CF1-F3C13E11B868}"/>
                </c:ext>
              </c:extLst>
            </c:dLbl>
            <c:dLbl>
              <c:idx val="16"/>
              <c:layout>
                <c:manualLayout>
                  <c:x val="-2.1762107687852764E-2"/>
                  <c:y val="1.75530638222346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C611-484E-9CF1-F3C13E11B868}"/>
                </c:ext>
              </c:extLst>
            </c:dLbl>
            <c:spPr>
              <a:noFill/>
              <a:ln>
                <a:noFill/>
              </a:ln>
              <a:effectLst/>
            </c:spPr>
            <c:txPr>
              <a:bodyPr/>
              <a:lstStyle/>
              <a:p>
                <a:pPr>
                  <a:defRPr sz="900">
                    <a:solidFill>
                      <a:schemeClr val="accent5">
                        <a:lumMod val="75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Sheet1!$B$64:$R$64</c:f>
              <c:strCache>
                <c:ptCount val="17"/>
                <c:pt idx="0">
                  <c:v>2019</c:v>
                </c:pt>
                <c:pt idx="1">
                  <c:v>Q1 '20</c:v>
                </c:pt>
                <c:pt idx="2">
                  <c:v>Q2 '20</c:v>
                </c:pt>
                <c:pt idx="3">
                  <c:v>Q3 '20</c:v>
                </c:pt>
                <c:pt idx="4">
                  <c:v>Q4 '20</c:v>
                </c:pt>
                <c:pt idx="5">
                  <c:v>Jan '21</c:v>
                </c:pt>
                <c:pt idx="6">
                  <c:v>Feb '21</c:v>
                </c:pt>
                <c:pt idx="7">
                  <c:v>Mar '21</c:v>
                </c:pt>
                <c:pt idx="8">
                  <c:v>Apr '21</c:v>
                </c:pt>
                <c:pt idx="9">
                  <c:v>May '21</c:v>
                </c:pt>
                <c:pt idx="10">
                  <c:v>Jun '21</c:v>
                </c:pt>
                <c:pt idx="11">
                  <c:v>Jul '21</c:v>
                </c:pt>
                <c:pt idx="12">
                  <c:v>Aug '21</c:v>
                </c:pt>
                <c:pt idx="13">
                  <c:v>Sep '21</c:v>
                </c:pt>
                <c:pt idx="14">
                  <c:v>Oct '21</c:v>
                </c:pt>
                <c:pt idx="15">
                  <c:v>Nov '21</c:v>
                </c:pt>
                <c:pt idx="16">
                  <c:v>Dec 21</c:v>
                </c:pt>
              </c:strCache>
            </c:strRef>
          </c:cat>
          <c:val>
            <c:numRef>
              <c:f>Sheet1!$B$66:$R$66</c:f>
              <c:numCache>
                <c:formatCode>0%</c:formatCode>
                <c:ptCount val="17"/>
                <c:pt idx="0">
                  <c:v>5.0000000000000001E-3</c:v>
                </c:pt>
                <c:pt idx="1">
                  <c:v>9.7000000000000003E-2</c:v>
                </c:pt>
                <c:pt idx="2">
                  <c:v>0.153</c:v>
                </c:pt>
                <c:pt idx="3">
                  <c:v>9.7000000000000003E-2</c:v>
                </c:pt>
                <c:pt idx="4">
                  <c:v>0.1</c:v>
                </c:pt>
                <c:pt idx="5">
                  <c:v>7.8E-2</c:v>
                </c:pt>
                <c:pt idx="6">
                  <c:v>7.6999999999999999E-2</c:v>
                </c:pt>
                <c:pt idx="7">
                  <c:v>-0.14799999999999999</c:v>
                </c:pt>
                <c:pt idx="8">
                  <c:v>-0.104</c:v>
                </c:pt>
                <c:pt idx="9">
                  <c:v>-0.11600000000000001</c:v>
                </c:pt>
                <c:pt idx="10">
                  <c:v>-4.4999999999999998E-2</c:v>
                </c:pt>
                <c:pt idx="11">
                  <c:v>-4.5999999999999999E-2</c:v>
                </c:pt>
                <c:pt idx="12">
                  <c:v>-3.4000000000000002E-2</c:v>
                </c:pt>
                <c:pt idx="13">
                  <c:v>-2.5000000000000001E-2</c:v>
                </c:pt>
                <c:pt idx="14">
                  <c:v>-3.5999999999999997E-2</c:v>
                </c:pt>
                <c:pt idx="15">
                  <c:v>-4.3999999999999997E-2</c:v>
                </c:pt>
                <c:pt idx="16" formatCode="0.0%">
                  <c:v>-0.04</c:v>
                </c:pt>
              </c:numCache>
            </c:numRef>
          </c:val>
          <c:smooth val="0"/>
          <c:extLst>
            <c:ext xmlns:c16="http://schemas.microsoft.com/office/drawing/2014/chart" uri="{C3380CC4-5D6E-409C-BE32-E72D297353CC}">
              <c16:uniqueId val="{0000001C-C611-484E-9CF1-F3C13E11B868}"/>
            </c:ext>
          </c:extLst>
        </c:ser>
        <c:ser>
          <c:idx val="2"/>
          <c:order val="2"/>
          <c:tx>
            <c:strRef>
              <c:f>Sheet1!$A$67</c:f>
              <c:strCache>
                <c:ptCount val="1"/>
                <c:pt idx="0">
                  <c:v>Dollars vs. 2019</c:v>
                </c:pt>
              </c:strCache>
            </c:strRef>
          </c:tx>
          <c:spPr>
            <a:ln>
              <a:noFill/>
            </a:ln>
          </c:spPr>
          <c:marker>
            <c:spPr>
              <a:ln>
                <a:noFill/>
              </a:ln>
            </c:spPr>
          </c:marker>
          <c:dLbls>
            <c:dLbl>
              <c:idx val="7"/>
              <c:layout>
                <c:manualLayout>
                  <c:x val="-2.4870184691729913E-2"/>
                  <c:y val="-2.1161474270535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C611-484E-9CF1-F3C13E11B868}"/>
                </c:ext>
              </c:extLst>
            </c:dLbl>
            <c:dLbl>
              <c:idx val="8"/>
              <c:layout>
                <c:manualLayout>
                  <c:x val="-3.0424541590033889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C611-484E-9CF1-F3C13E11B868}"/>
                </c:ext>
              </c:extLst>
            </c:dLbl>
            <c:dLbl>
              <c:idx val="9"/>
              <c:layout>
                <c:manualLayout>
                  <c:x val="-2.9022767742298981E-2"/>
                  <c:y val="-2.3792098519060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C611-484E-9CF1-F3C13E11B868}"/>
                </c:ext>
              </c:extLst>
            </c:dLbl>
            <c:dLbl>
              <c:idx val="10"/>
              <c:layout>
                <c:manualLayout>
                  <c:x val="-2.6268246098989385E-2"/>
                  <c:y val="-1.802336964302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C611-484E-9CF1-F3C13E11B868}"/>
                </c:ext>
              </c:extLst>
            </c:dLbl>
            <c:dLbl>
              <c:idx val="11"/>
              <c:layout>
                <c:manualLayout>
                  <c:x val="-2.3030779625602561E-2"/>
                  <c:y val="-2.8320150345351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C611-484E-9CF1-F3C13E11B868}"/>
                </c:ext>
              </c:extLst>
            </c:dLbl>
            <c:dLbl>
              <c:idx val="12"/>
              <c:layout>
                <c:manualLayout>
                  <c:x val="-2.8577602453530172E-2"/>
                  <c:y val="-2.60118962398982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C611-484E-9CF1-F3C13E11B868}"/>
                </c:ext>
              </c:extLst>
            </c:dLbl>
            <c:dLbl>
              <c:idx val="13"/>
              <c:layout>
                <c:manualLayout>
                  <c:x val="-2.1825119143991344E-2"/>
                  <c:y val="-1.8917744863301604E-2"/>
                </c:manualLayout>
              </c:layout>
              <c:showLegendKey val="0"/>
              <c:showVal val="1"/>
              <c:showCatName val="0"/>
              <c:showSerName val="0"/>
              <c:showPercent val="0"/>
              <c:showBubbleSize val="0"/>
              <c:extLst>
                <c:ext xmlns:c15="http://schemas.microsoft.com/office/drawing/2012/chart" uri="{CE6537A1-D6FC-4f65-9D91-7224C49458BB}">
                  <c15:layout>
                    <c:manualLayout>
                      <c:w val="3.606821543859863E-2"/>
                      <c:h val="3.5106127644469388E-2"/>
                    </c:manualLayout>
                  </c15:layout>
                </c:ext>
                <c:ext xmlns:c16="http://schemas.microsoft.com/office/drawing/2014/chart" uri="{C3380CC4-5D6E-409C-BE32-E72D297353CC}">
                  <c16:uniqueId val="{00000023-C611-484E-9CF1-F3C13E11B868}"/>
                </c:ext>
              </c:extLst>
            </c:dLbl>
            <c:dLbl>
              <c:idx val="14"/>
              <c:layout>
                <c:manualLayout>
                  <c:x val="-2.7734114139637552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4-C611-484E-9CF1-F3C13E11B868}"/>
                </c:ext>
              </c:extLst>
            </c:dLbl>
            <c:dLbl>
              <c:idx val="15"/>
              <c:layout>
                <c:manualLayout>
                  <c:x val="-3.1894231260583286E-2"/>
                  <c:y val="-2.42111225134272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5-C611-484E-9CF1-F3C13E11B868}"/>
                </c:ext>
              </c:extLst>
            </c:dLbl>
            <c:dLbl>
              <c:idx val="16"/>
              <c:layout>
                <c:manualLayout>
                  <c:x val="-2.3573997018691919E-2"/>
                  <c:y val="-2.66322347647698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6-C611-484E-9CF1-F3C13E11B868}"/>
                </c:ext>
              </c:extLst>
            </c:dLbl>
            <c:spPr>
              <a:noFill/>
              <a:ln>
                <a:noFill/>
              </a:ln>
              <a:effectLst/>
            </c:spPr>
            <c:txPr>
              <a:bodyPr wrap="square" lIns="38100" tIns="19050" rIns="38100" bIns="19050" anchor="ctr">
                <a:spAutoFit/>
              </a:bodyPr>
              <a:lstStyle/>
              <a:p>
                <a:pPr>
                  <a:defRPr sz="900">
                    <a:solidFill>
                      <a:schemeClr val="accent3">
                        <a:lumMod val="50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Sheet1!$B$64:$R$64</c:f>
              <c:strCache>
                <c:ptCount val="17"/>
                <c:pt idx="0">
                  <c:v>2019</c:v>
                </c:pt>
                <c:pt idx="1">
                  <c:v>Q1 '20</c:v>
                </c:pt>
                <c:pt idx="2">
                  <c:v>Q2 '20</c:v>
                </c:pt>
                <c:pt idx="3">
                  <c:v>Q3 '20</c:v>
                </c:pt>
                <c:pt idx="4">
                  <c:v>Q4 '20</c:v>
                </c:pt>
                <c:pt idx="5">
                  <c:v>Jan '21</c:v>
                </c:pt>
                <c:pt idx="6">
                  <c:v>Feb '21</c:v>
                </c:pt>
                <c:pt idx="7">
                  <c:v>Mar '21</c:v>
                </c:pt>
                <c:pt idx="8">
                  <c:v>Apr '21</c:v>
                </c:pt>
                <c:pt idx="9">
                  <c:v>May '21</c:v>
                </c:pt>
                <c:pt idx="10">
                  <c:v>Jun '21</c:v>
                </c:pt>
                <c:pt idx="11">
                  <c:v>Jul '21</c:v>
                </c:pt>
                <c:pt idx="12">
                  <c:v>Aug '21</c:v>
                </c:pt>
                <c:pt idx="13">
                  <c:v>Sep '21</c:v>
                </c:pt>
                <c:pt idx="14">
                  <c:v>Oct '21</c:v>
                </c:pt>
                <c:pt idx="15">
                  <c:v>Nov '21</c:v>
                </c:pt>
                <c:pt idx="16">
                  <c:v>Dec 21</c:v>
                </c:pt>
              </c:strCache>
            </c:strRef>
          </c:cat>
          <c:val>
            <c:numRef>
              <c:f>Sheet1!$B$67:$R$67</c:f>
              <c:numCache>
                <c:formatCode>General</c:formatCode>
                <c:ptCount val="17"/>
                <c:pt idx="7" formatCode="0%">
                  <c:v>0.11</c:v>
                </c:pt>
                <c:pt idx="8" formatCode="0%">
                  <c:v>0.112</c:v>
                </c:pt>
                <c:pt idx="9" formatCode="0%">
                  <c:v>0.125</c:v>
                </c:pt>
                <c:pt idx="10" formatCode="0%">
                  <c:v>0.14000000000000001</c:v>
                </c:pt>
                <c:pt idx="11" formatCode="0%">
                  <c:v>0.114</c:v>
                </c:pt>
                <c:pt idx="12" formatCode="0%">
                  <c:v>0.121</c:v>
                </c:pt>
                <c:pt idx="13" formatCode="0%">
                  <c:v>0.16300000000000001</c:v>
                </c:pt>
                <c:pt idx="14" formatCode="0%">
                  <c:v>0.159</c:v>
                </c:pt>
                <c:pt idx="15" formatCode="0%">
                  <c:v>0.16</c:v>
                </c:pt>
                <c:pt idx="16" formatCode="0.0%">
                  <c:v>0.19400000000000001</c:v>
                </c:pt>
              </c:numCache>
            </c:numRef>
          </c:val>
          <c:smooth val="0"/>
          <c:extLst>
            <c:ext xmlns:c16="http://schemas.microsoft.com/office/drawing/2014/chart" uri="{C3380CC4-5D6E-409C-BE32-E72D297353CC}">
              <c16:uniqueId val="{00000027-C611-484E-9CF1-F3C13E11B868}"/>
            </c:ext>
          </c:extLst>
        </c:ser>
        <c:ser>
          <c:idx val="3"/>
          <c:order val="3"/>
          <c:tx>
            <c:strRef>
              <c:f>Sheet1!$A$68</c:f>
              <c:strCache>
                <c:ptCount val="1"/>
                <c:pt idx="0">
                  <c:v>Volume vs. 2019</c:v>
                </c:pt>
              </c:strCache>
            </c:strRef>
          </c:tx>
          <c:spPr>
            <a:ln>
              <a:noFill/>
            </a:ln>
          </c:spPr>
          <c:marker>
            <c:symbol val="square"/>
            <c:size val="5"/>
            <c:spPr>
              <a:solidFill>
                <a:srgbClr val="7030A0"/>
              </a:solidFill>
              <a:ln>
                <a:noFill/>
              </a:ln>
            </c:spPr>
          </c:marker>
          <c:dLbls>
            <c:dLbl>
              <c:idx val="7"/>
              <c:layout>
                <c:manualLayout>
                  <c:x val="-1.9342251634456464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8-C611-484E-9CF1-F3C13E11B868}"/>
                </c:ext>
              </c:extLst>
            </c:dLbl>
            <c:dLbl>
              <c:idx val="8"/>
              <c:layout>
                <c:manualLayout>
                  <c:x val="-1.9345964074931898E-2"/>
                  <c:y val="-2.13709862677182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9-C611-484E-9CF1-F3C13E11B868}"/>
                </c:ext>
              </c:extLst>
            </c:dLbl>
            <c:dLbl>
              <c:idx val="9"/>
              <c:layout>
                <c:manualLayout>
                  <c:x val="-1.9334717564079999E-2"/>
                  <c:y val="-2.22974906410667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A-C611-484E-9CF1-F3C13E11B868}"/>
                </c:ext>
              </c:extLst>
            </c:dLbl>
            <c:dLbl>
              <c:idx val="10"/>
              <c:layout>
                <c:manualLayout>
                  <c:x val="-2.0725135711537262E-2"/>
                  <c:y val="-2.47186028924093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B-C611-484E-9CF1-F3C13E11B868}"/>
                </c:ext>
              </c:extLst>
            </c:dLbl>
            <c:dLbl>
              <c:idx val="11"/>
              <c:layout>
                <c:manualLayout>
                  <c:x val="-1.8961180538600863E-2"/>
                  <c:y val="-2.35343549156109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C-C611-484E-9CF1-F3C13E11B868}"/>
                </c:ext>
              </c:extLst>
            </c:dLbl>
            <c:dLbl>
              <c:idx val="12"/>
              <c:layout>
                <c:manualLayout>
                  <c:x val="-2.0302572633897901E-2"/>
                  <c:y val="-2.36472130615002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D-C611-484E-9CF1-F3C13E11B868}"/>
                </c:ext>
              </c:extLst>
            </c:dLbl>
            <c:dLbl>
              <c:idx val="13"/>
              <c:layout>
                <c:manualLayout>
                  <c:x val="-2.4553259036990436E-2"/>
                  <c:y val="-1.89177448633016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E-C611-484E-9CF1-F3C13E11B868}"/>
                </c:ext>
              </c:extLst>
            </c:dLbl>
            <c:dLbl>
              <c:idx val="14"/>
              <c:layout>
                <c:manualLayout>
                  <c:x val="-2.3573997018692019E-2"/>
                  <c:y val="-1.9368898010741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F-C611-484E-9CF1-F3C13E11B868}"/>
                </c:ext>
              </c:extLst>
            </c:dLbl>
            <c:dLbl>
              <c:idx val="15"/>
              <c:layout>
                <c:manualLayout>
                  <c:x val="-2.0800585604728163E-2"/>
                  <c:y val="-1.21055612567135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0-C611-484E-9CF1-F3C13E11B868}"/>
                </c:ext>
              </c:extLst>
            </c:dLbl>
            <c:dLbl>
              <c:idx val="16"/>
              <c:layout>
                <c:manualLayout>
                  <c:x val="-2.3573997018691919E-2"/>
                  <c:y val="-2.42111225134272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31-C611-484E-9CF1-F3C13E11B868}"/>
                </c:ext>
              </c:extLst>
            </c:dLbl>
            <c:spPr>
              <a:noFill/>
              <a:ln>
                <a:noFill/>
              </a:ln>
              <a:effectLst/>
            </c:spPr>
            <c:txPr>
              <a:bodyPr wrap="square" lIns="38100" tIns="19050" rIns="38100" bIns="19050" anchor="ctr">
                <a:spAutoFit/>
              </a:bodyPr>
              <a:lstStyle/>
              <a:p>
                <a:pPr>
                  <a:defRPr sz="900">
                    <a:solidFill>
                      <a:srgbClr val="7030A0"/>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Sheet1!$B$64:$R$64</c:f>
              <c:strCache>
                <c:ptCount val="17"/>
                <c:pt idx="0">
                  <c:v>2019</c:v>
                </c:pt>
                <c:pt idx="1">
                  <c:v>Q1 '20</c:v>
                </c:pt>
                <c:pt idx="2">
                  <c:v>Q2 '20</c:v>
                </c:pt>
                <c:pt idx="3">
                  <c:v>Q3 '20</c:v>
                </c:pt>
                <c:pt idx="4">
                  <c:v>Q4 '20</c:v>
                </c:pt>
                <c:pt idx="5">
                  <c:v>Jan '21</c:v>
                </c:pt>
                <c:pt idx="6">
                  <c:v>Feb '21</c:v>
                </c:pt>
                <c:pt idx="7">
                  <c:v>Mar '21</c:v>
                </c:pt>
                <c:pt idx="8">
                  <c:v>Apr '21</c:v>
                </c:pt>
                <c:pt idx="9">
                  <c:v>May '21</c:v>
                </c:pt>
                <c:pt idx="10">
                  <c:v>Jun '21</c:v>
                </c:pt>
                <c:pt idx="11">
                  <c:v>Jul '21</c:v>
                </c:pt>
                <c:pt idx="12">
                  <c:v>Aug '21</c:v>
                </c:pt>
                <c:pt idx="13">
                  <c:v>Sep '21</c:v>
                </c:pt>
                <c:pt idx="14">
                  <c:v>Oct '21</c:v>
                </c:pt>
                <c:pt idx="15">
                  <c:v>Nov '21</c:v>
                </c:pt>
                <c:pt idx="16">
                  <c:v>Dec 21</c:v>
                </c:pt>
              </c:strCache>
            </c:strRef>
          </c:cat>
          <c:val>
            <c:numRef>
              <c:f>Sheet1!$B$68:$R$68</c:f>
              <c:numCache>
                <c:formatCode>General</c:formatCode>
                <c:ptCount val="17"/>
                <c:pt idx="7" formatCode="0%">
                  <c:v>7.0999999999999994E-2</c:v>
                </c:pt>
                <c:pt idx="8" formatCode="0%">
                  <c:v>6.2E-2</c:v>
                </c:pt>
                <c:pt idx="9" formatCode="0%">
                  <c:v>3.9E-2</c:v>
                </c:pt>
                <c:pt idx="10" formatCode="0%">
                  <c:v>5.0999999999999997E-2</c:v>
                </c:pt>
                <c:pt idx="11" formatCode="0%">
                  <c:v>4.7E-2</c:v>
                </c:pt>
                <c:pt idx="12" formatCode="0%">
                  <c:v>3.9E-2</c:v>
                </c:pt>
                <c:pt idx="13" formatCode="0%">
                  <c:v>9.6000000000000002E-2</c:v>
                </c:pt>
                <c:pt idx="14" formatCode="0%">
                  <c:v>6.4000000000000001E-2</c:v>
                </c:pt>
                <c:pt idx="15" formatCode="0%">
                  <c:v>4.3999999999999997E-2</c:v>
                </c:pt>
                <c:pt idx="16" formatCode="0.0%">
                  <c:v>6.0999999999999999E-2</c:v>
                </c:pt>
              </c:numCache>
            </c:numRef>
          </c:val>
          <c:smooth val="0"/>
          <c:extLst>
            <c:ext xmlns:c16="http://schemas.microsoft.com/office/drawing/2014/chart" uri="{C3380CC4-5D6E-409C-BE32-E72D297353CC}">
              <c16:uniqueId val="{00000032-C611-484E-9CF1-F3C13E11B868}"/>
            </c:ext>
          </c:extLst>
        </c:ser>
        <c:dLbls>
          <c:showLegendKey val="0"/>
          <c:showVal val="1"/>
          <c:showCatName val="0"/>
          <c:showSerName val="0"/>
          <c:showPercent val="0"/>
          <c:showBubbleSize val="0"/>
        </c:dLbls>
        <c:smooth val="0"/>
        <c:axId val="147973248"/>
        <c:axId val="147974784"/>
      </c:lineChart>
      <c:catAx>
        <c:axId val="147973248"/>
        <c:scaling>
          <c:orientation val="minMax"/>
        </c:scaling>
        <c:delete val="0"/>
        <c:axPos val="b"/>
        <c:numFmt formatCode="General" sourceLinked="0"/>
        <c:majorTickMark val="none"/>
        <c:minorTickMark val="none"/>
        <c:tickLblPos val="nextTo"/>
        <c:txPr>
          <a:bodyPr/>
          <a:lstStyle/>
          <a:p>
            <a:pPr>
              <a:defRPr sz="800"/>
            </a:pPr>
            <a:endParaRPr lang="en-US"/>
          </a:p>
        </c:txPr>
        <c:crossAx val="147974784"/>
        <c:crosses val="autoZero"/>
        <c:auto val="1"/>
        <c:lblAlgn val="ctr"/>
        <c:lblOffset val="100"/>
        <c:noMultiLvlLbl val="0"/>
      </c:catAx>
      <c:valAx>
        <c:axId val="147974784"/>
        <c:scaling>
          <c:orientation val="minMax"/>
        </c:scaling>
        <c:delete val="1"/>
        <c:axPos val="l"/>
        <c:numFmt formatCode="0%" sourceLinked="1"/>
        <c:majorTickMark val="none"/>
        <c:minorTickMark val="none"/>
        <c:tickLblPos val="none"/>
        <c:crossAx val="147973248"/>
        <c:crosses val="autoZero"/>
        <c:crossBetween val="between"/>
      </c:valAx>
    </c:plotArea>
    <c:legend>
      <c:legendPos val="t"/>
      <c:overlay val="0"/>
      <c:txPr>
        <a:bodyPr/>
        <a:lstStyle/>
        <a:p>
          <a:pPr>
            <a:defRPr sz="900"/>
          </a:pPr>
          <a:endParaRPr lang="en-US"/>
        </a:p>
      </c:txPr>
    </c:legend>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0.09618</cdr:x>
      <cdr:y>0.1844</cdr:y>
    </cdr:from>
    <cdr:to>
      <cdr:x>0.30476</cdr:x>
      <cdr:y>0.26556</cdr:y>
    </cdr:to>
    <cdr:sp macro="" textlink="">
      <cdr:nvSpPr>
        <cdr:cNvPr id="2" name="Text Box 1"/>
        <cdr:cNvSpPr txBox="1"/>
      </cdr:nvSpPr>
      <cdr:spPr>
        <a:xfrm xmlns:a="http://schemas.openxmlformats.org/drawingml/2006/main">
          <a:off x="659958" y="435363"/>
          <a:ext cx="1431235" cy="1916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Dollar sales share</a:t>
          </a:r>
        </a:p>
      </cdr:txBody>
    </cdr:sp>
  </cdr:relSizeAnchor>
  <cdr:relSizeAnchor xmlns:cdr="http://schemas.openxmlformats.org/drawingml/2006/chartDrawing">
    <cdr:from>
      <cdr:x>0.70962</cdr:x>
      <cdr:y>0.18553</cdr:y>
    </cdr:from>
    <cdr:to>
      <cdr:x>0.9182</cdr:x>
      <cdr:y>0.26669</cdr:y>
    </cdr:to>
    <cdr:sp macro="" textlink="">
      <cdr:nvSpPr>
        <cdr:cNvPr id="3" name="Text Box 1"/>
        <cdr:cNvSpPr txBox="1"/>
      </cdr:nvSpPr>
      <cdr:spPr>
        <a:xfrm xmlns:a="http://schemas.openxmlformats.org/drawingml/2006/main">
          <a:off x="4869290" y="438025"/>
          <a:ext cx="1431235" cy="19161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b="1"/>
            <a:t>Unit sales share</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BC50A1FC79394A9023C6A5DFA7A09D" ma:contentTypeVersion="13" ma:contentTypeDescription="Create a new document." ma:contentTypeScope="" ma:versionID="79705aaae5de6f9ed494cfeb67a4f3c7">
  <xsd:schema xmlns:xsd="http://www.w3.org/2001/XMLSchema" xmlns:xs="http://www.w3.org/2001/XMLSchema" xmlns:p="http://schemas.microsoft.com/office/2006/metadata/properties" xmlns:ns3="4f61ba3f-198b-401e-8f2f-b2c662dca9cb" xmlns:ns4="b9b95171-1552-4127-953a-44d049f6e73c" targetNamespace="http://schemas.microsoft.com/office/2006/metadata/properties" ma:root="true" ma:fieldsID="b556130ecffddc83dc8ca6d01a721ba0" ns3:_="" ns4:_="">
    <xsd:import namespace="4f61ba3f-198b-401e-8f2f-b2c662dca9cb"/>
    <xsd:import namespace="b9b95171-1552-4127-953a-44d049f6e7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1ba3f-198b-401e-8f2f-b2c662dca9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b95171-1552-4127-953a-44d049f6e7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F70050-016F-449C-8583-24594E936827}">
  <ds:schemaRefs>
    <ds:schemaRef ds:uri="http://schemas.openxmlformats.org/officeDocument/2006/bibliography"/>
  </ds:schemaRefs>
</ds:datastoreItem>
</file>

<file path=customXml/itemProps2.xml><?xml version="1.0" encoding="utf-8"?>
<ds:datastoreItem xmlns:ds="http://schemas.openxmlformats.org/officeDocument/2006/customXml" ds:itemID="{C9C3BEEF-BB43-4692-BD09-7A0D07B70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812EC2-62BE-486D-9F59-FCA114384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1ba3f-198b-401e-8f2f-b2c662dca9cb"/>
    <ds:schemaRef ds:uri="b9b95171-1552-4127-953a-44d049f6e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B094F-237B-42B9-A007-1B37B12C3D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3169</Words>
  <Characters>18066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Anne-Marie Roerink</cp:lastModifiedBy>
  <cp:revision>5</cp:revision>
  <dcterms:created xsi:type="dcterms:W3CDTF">2022-01-10T00:02:00Z</dcterms:created>
  <dcterms:modified xsi:type="dcterms:W3CDTF">2022-01-10T16:35:00Z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0x010100F7BC50A1FC79394A9023C6A5DFA7A09D</vt:lpwstr>
  </property>
</Properties>
</file>