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2E98" w14:textId="33BB2E03" w:rsidR="003935EB" w:rsidRPr="00944DAA" w:rsidRDefault="00EB28C1" w:rsidP="003935EB">
      <w:pPr>
        <w:pStyle w:val="Heading1"/>
        <w:spacing w:before="0"/>
        <w:ind w:right="-142"/>
        <w:rPr>
          <w:rFonts w:ascii="Arial" w:hAnsi="Arial" w:cs="Arial"/>
          <w:color w:val="595959" w:themeColor="text1" w:themeTint="A6"/>
          <w:sz w:val="24"/>
        </w:rPr>
      </w:pPr>
      <w:r>
        <w:rPr>
          <w:rFonts w:ascii="Arial" w:hAnsi="Arial" w:cs="Arial"/>
          <w:color w:val="595959" w:themeColor="text1" w:themeTint="A6"/>
          <w:sz w:val="24"/>
        </w:rPr>
        <w:t>High Inflation Boosts Produce Dollars but Volume Pressure Persists in January 2022</w:t>
      </w:r>
    </w:p>
    <w:p w14:paraId="74F26225" w14:textId="77777777" w:rsidR="000B705A" w:rsidRPr="00B35CE9" w:rsidRDefault="000B705A" w:rsidP="000B705A">
      <w:pPr>
        <w:rPr>
          <w:rFonts w:ascii="Arial" w:hAnsi="Arial" w:cs="Arial"/>
          <w:sz w:val="20"/>
          <w:szCs w:val="20"/>
        </w:rPr>
      </w:pPr>
      <w:r w:rsidRPr="00B35CE9">
        <w:rPr>
          <w:rFonts w:ascii="Arial" w:hAnsi="Arial" w:cs="Arial"/>
          <w:sz w:val="20"/>
          <w:szCs w:val="20"/>
        </w:rPr>
        <w:t xml:space="preserve">By: Anne-Marie Roerink, President, 210 Analytics </w:t>
      </w:r>
      <w:r w:rsidRPr="007E1D2E">
        <w:rPr>
          <w:rFonts w:ascii="Arial" w:hAnsi="Arial" w:cs="Arial"/>
          <w:noProof/>
          <w:sz w:val="20"/>
          <w:szCs w:val="20"/>
        </w:rPr>
        <w:drawing>
          <wp:anchor distT="0" distB="0" distL="114300" distR="114300" simplePos="0" relativeHeight="251659264" behindDoc="0" locked="1" layoutInCell="1" allowOverlap="1" wp14:anchorId="124ABB56" wp14:editId="58017E60">
            <wp:simplePos x="0" y="0"/>
            <wp:positionH relativeFrom="page">
              <wp:posOffset>313055</wp:posOffset>
            </wp:positionH>
            <wp:positionV relativeFrom="page">
              <wp:posOffset>1129030</wp:posOffset>
            </wp:positionV>
            <wp:extent cx="7212330" cy="634365"/>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shadow PS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12330" cy="634365"/>
                    </a:xfrm>
                    <a:prstGeom prst="rect">
                      <a:avLst/>
                    </a:prstGeom>
                  </pic:spPr>
                </pic:pic>
              </a:graphicData>
            </a:graphic>
          </wp:anchor>
        </w:drawing>
      </w:r>
    </w:p>
    <w:p w14:paraId="11AC18FC" w14:textId="77777777" w:rsidR="000B705A" w:rsidRDefault="000B705A" w:rsidP="000B705A">
      <w:pPr>
        <w:pStyle w:val="NoSpacing"/>
        <w:rPr>
          <w:rFonts w:ascii="Arial" w:hAnsi="Arial" w:cs="Arial"/>
          <w:sz w:val="20"/>
          <w:szCs w:val="20"/>
        </w:rPr>
      </w:pPr>
    </w:p>
    <w:p w14:paraId="1247329F" w14:textId="77777777" w:rsidR="000B705A" w:rsidRPr="009172A3" w:rsidRDefault="000B705A" w:rsidP="000B705A">
      <w:pPr>
        <w:pStyle w:val="NoSpacing"/>
        <w:rPr>
          <w:rFonts w:ascii="Arial" w:hAnsi="Arial" w:cs="Arial"/>
          <w:sz w:val="10"/>
          <w:szCs w:val="10"/>
        </w:rPr>
      </w:pPr>
    </w:p>
    <w:p w14:paraId="0DA3FB84" w14:textId="17A15081" w:rsidR="000D5607" w:rsidRDefault="000D5607" w:rsidP="000D5607">
      <w:pPr>
        <w:pStyle w:val="NoSpacing"/>
        <w:rPr>
          <w:rFonts w:ascii="Arial" w:hAnsi="Arial" w:cs="Arial"/>
          <w:sz w:val="20"/>
          <w:szCs w:val="20"/>
        </w:rPr>
      </w:pPr>
      <w:r>
        <w:rPr>
          <w:rFonts w:ascii="Arial" w:hAnsi="Arial" w:cs="Arial"/>
          <w:sz w:val="20"/>
          <w:szCs w:val="20"/>
        </w:rPr>
        <w:t>Coronavirus concern levels among primary grocery shoppers have remained mostly flat between September 2021 and January 2022, according to the monthly primary shopper survey series by IRI. “In January, 38% of the population w</w:t>
      </w:r>
      <w:r w:rsidR="00FD5ACD">
        <w:rPr>
          <w:rFonts w:ascii="Arial" w:hAnsi="Arial" w:cs="Arial"/>
          <w:sz w:val="20"/>
          <w:szCs w:val="20"/>
        </w:rPr>
        <w:t>ere</w:t>
      </w:r>
      <w:r>
        <w:rPr>
          <w:rFonts w:ascii="Arial" w:hAnsi="Arial" w:cs="Arial"/>
          <w:sz w:val="20"/>
          <w:szCs w:val="20"/>
        </w:rPr>
        <w:t xml:space="preserve"> extremely concerned over COVID-19, which was down sharply from 66% in April 2020,” said Jonna Parker, Team Lead for IRI Fresh. “</w:t>
      </w:r>
      <w:r w:rsidR="0063796D">
        <w:rPr>
          <w:rFonts w:ascii="Arial" w:hAnsi="Arial" w:cs="Arial"/>
          <w:sz w:val="20"/>
          <w:szCs w:val="20"/>
        </w:rPr>
        <w:t>Shoppers are very aware of food inflation (89%) and the vast majority (95%) worry about it. In total, 42% of shoppers are extremely concerned about the price increases they are seeing across the store — which means food inflation has more people on high alert than COVID-19 as of January 2022</w:t>
      </w:r>
      <w:r>
        <w:rPr>
          <w:rFonts w:ascii="Arial" w:hAnsi="Arial" w:cs="Arial"/>
          <w:sz w:val="20"/>
          <w:szCs w:val="20"/>
        </w:rPr>
        <w:t xml:space="preserve">.” </w:t>
      </w:r>
    </w:p>
    <w:p w14:paraId="66F4B5AB" w14:textId="77777777" w:rsidR="000D5607" w:rsidRDefault="000D5607" w:rsidP="000D5607">
      <w:pPr>
        <w:pStyle w:val="NoSpacing"/>
        <w:rPr>
          <w:rFonts w:ascii="Arial" w:hAnsi="Arial" w:cs="Arial"/>
          <w:sz w:val="20"/>
          <w:szCs w:val="20"/>
        </w:rPr>
      </w:pPr>
    </w:p>
    <w:p w14:paraId="3CB84A57" w14:textId="26C49A32" w:rsidR="000D5607" w:rsidRDefault="000D5607" w:rsidP="000D5607">
      <w:pPr>
        <w:pStyle w:val="NoSpacing"/>
        <w:rPr>
          <w:rFonts w:ascii="Arial" w:hAnsi="Arial" w:cs="Arial"/>
          <w:sz w:val="20"/>
          <w:szCs w:val="20"/>
        </w:rPr>
      </w:pPr>
      <w:r>
        <w:rPr>
          <w:rFonts w:ascii="Arial" w:hAnsi="Arial" w:cs="Arial"/>
          <w:sz w:val="20"/>
          <w:szCs w:val="20"/>
        </w:rPr>
        <w:t xml:space="preserve">The combined effect of concerns over COVID-19, inflation and supply chain challenges explains why </w:t>
      </w:r>
      <w:r w:rsidR="00551D01">
        <w:rPr>
          <w:rFonts w:ascii="Arial" w:hAnsi="Arial" w:cs="Arial"/>
          <w:sz w:val="20"/>
          <w:szCs w:val="20"/>
        </w:rPr>
        <w:t>shopper</w:t>
      </w:r>
      <w:r>
        <w:rPr>
          <w:rFonts w:ascii="Arial" w:hAnsi="Arial" w:cs="Arial"/>
          <w:sz w:val="20"/>
          <w:szCs w:val="20"/>
        </w:rPr>
        <w:t xml:space="preserve"> demand remains in flux as we enter the third pandemic year. In 2022, IRI, 210 Analytics and the International Fresh Produce Association (IFPA) will continue to team up to document the ever-changing </w:t>
      </w:r>
      <w:r w:rsidRPr="0039585E">
        <w:rPr>
          <w:rFonts w:ascii="Arial" w:hAnsi="Arial" w:cs="Arial"/>
          <w:sz w:val="20"/>
          <w:szCs w:val="20"/>
        </w:rPr>
        <w:t xml:space="preserve">marketplace </w:t>
      </w:r>
      <w:r>
        <w:rPr>
          <w:rFonts w:ascii="Arial" w:hAnsi="Arial" w:cs="Arial"/>
          <w:sz w:val="20"/>
          <w:szCs w:val="20"/>
        </w:rPr>
        <w:t>and its impact on fresh produce sales</w:t>
      </w:r>
      <w:r w:rsidRPr="0039585E">
        <w:rPr>
          <w:rFonts w:ascii="Arial" w:hAnsi="Arial" w:cs="Arial"/>
          <w:sz w:val="20"/>
          <w:szCs w:val="20"/>
        </w:rPr>
        <w:t>.</w:t>
      </w:r>
    </w:p>
    <w:p w14:paraId="39159ED7" w14:textId="77777777" w:rsidR="000D5607" w:rsidRDefault="000D5607" w:rsidP="000D5607">
      <w:pPr>
        <w:pStyle w:val="NoSpacing"/>
        <w:rPr>
          <w:rFonts w:ascii="Arial" w:hAnsi="Arial" w:cs="Arial"/>
          <w:sz w:val="20"/>
          <w:szCs w:val="20"/>
        </w:rPr>
      </w:pPr>
      <w:r>
        <w:rPr>
          <w:noProof/>
        </w:rPr>
        <w:drawing>
          <wp:anchor distT="0" distB="0" distL="114300" distR="114300" simplePos="0" relativeHeight="251666432" behindDoc="0" locked="0" layoutInCell="1" allowOverlap="1" wp14:anchorId="7173C930" wp14:editId="01FA23E9">
            <wp:simplePos x="0" y="0"/>
            <wp:positionH relativeFrom="column">
              <wp:posOffset>1796415</wp:posOffset>
            </wp:positionH>
            <wp:positionV relativeFrom="paragraph">
              <wp:posOffset>121920</wp:posOffset>
            </wp:positionV>
            <wp:extent cx="4953000" cy="2533650"/>
            <wp:effectExtent l="0" t="0" r="0" b="0"/>
            <wp:wrapSquare wrapText="bothSides"/>
            <wp:docPr id="4" name="Chart 4">
              <a:extLst xmlns:a="http://schemas.openxmlformats.org/drawingml/2006/main">
                <a:ext uri="{FF2B5EF4-FFF2-40B4-BE49-F238E27FC236}">
                  <a16:creationId xmlns:a16="http://schemas.microsoft.com/office/drawing/2014/main" id="{722FB69E-C8FF-4474-9368-90D2A38384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0D7B7E2B" w14:textId="77777777" w:rsidR="000D5607" w:rsidRDefault="000D5607" w:rsidP="000D5607">
      <w:pPr>
        <w:pStyle w:val="NoSpacing"/>
        <w:rPr>
          <w:rFonts w:ascii="Arial" w:hAnsi="Arial" w:cs="Arial"/>
          <w:sz w:val="20"/>
          <w:szCs w:val="20"/>
        </w:rPr>
      </w:pPr>
      <w:r>
        <w:rPr>
          <w:rFonts w:ascii="Arial" w:hAnsi="Arial" w:cs="Arial"/>
          <w:sz w:val="20"/>
          <w:szCs w:val="20"/>
        </w:rPr>
        <w:t xml:space="preserve">The combination of 40-year high inflation and the upswing in COVID-19 cases moved more meals to the home in January 2022, at 82% of all meal occasions. This is the highest number since February 2021. </w:t>
      </w:r>
    </w:p>
    <w:p w14:paraId="55A3E5DA" w14:textId="77777777" w:rsidR="000D5607" w:rsidRDefault="000D5607" w:rsidP="000D5607">
      <w:pPr>
        <w:pStyle w:val="NoSpacing"/>
        <w:rPr>
          <w:rFonts w:ascii="Arial" w:hAnsi="Arial" w:cs="Arial"/>
          <w:sz w:val="20"/>
          <w:szCs w:val="20"/>
        </w:rPr>
      </w:pPr>
    </w:p>
    <w:p w14:paraId="0BB5B8CF" w14:textId="77777777" w:rsidR="000D5607" w:rsidRDefault="000D5607" w:rsidP="000D5607">
      <w:pPr>
        <w:pStyle w:val="NoSpacing"/>
        <w:rPr>
          <w:rFonts w:ascii="Arial" w:hAnsi="Arial" w:cs="Arial"/>
          <w:sz w:val="20"/>
          <w:szCs w:val="20"/>
        </w:rPr>
      </w:pPr>
      <w:r>
        <w:rPr>
          <w:rFonts w:ascii="Arial" w:hAnsi="Arial" w:cs="Arial"/>
          <w:sz w:val="20"/>
          <w:szCs w:val="20"/>
        </w:rPr>
        <w:t xml:space="preserve">Restaurant takeout remained popular in January 2022, at 54% of shoppers having done so, but fewer people dined inside, at 41%. In addition to COVID concerns, cutting back on restaurant spending is one of the most popular money-saving measures. </w:t>
      </w:r>
    </w:p>
    <w:p w14:paraId="557FA428" w14:textId="77777777" w:rsidR="000D5607" w:rsidRDefault="000D5607" w:rsidP="000D5607">
      <w:pPr>
        <w:pStyle w:val="NoSpacing"/>
        <w:rPr>
          <w:rFonts w:ascii="Arial" w:hAnsi="Arial" w:cs="Arial"/>
          <w:sz w:val="20"/>
          <w:szCs w:val="20"/>
        </w:rPr>
      </w:pPr>
    </w:p>
    <w:p w14:paraId="1CC96CE6" w14:textId="44628E1D" w:rsidR="000D5607" w:rsidRDefault="000D5607" w:rsidP="000D5607">
      <w:pPr>
        <w:pStyle w:val="NoSpacing"/>
        <w:rPr>
          <w:rFonts w:ascii="Arial" w:hAnsi="Arial" w:cs="Arial"/>
          <w:sz w:val="20"/>
          <w:szCs w:val="20"/>
        </w:rPr>
      </w:pPr>
      <w:r>
        <w:rPr>
          <w:rFonts w:ascii="Arial" w:hAnsi="Arial" w:cs="Arial"/>
          <w:sz w:val="20"/>
          <w:szCs w:val="20"/>
        </w:rPr>
        <w:t>In response to inflationary pressure around the store, 64% of shoppers have made one or more changes to what and how they buy. Forty-five percent of shoppers look for sales specials more often, 31% are cutting back on non-essentials, 19% buy more private brand and 12% now shop at a lower-cost retailer. The vast majority of trips took place in-store in January 2022, at 86%. During the early months of the pandemic, as many as 20% of trips were online. This dropped to a low of 11% in July of 2021 and sat at 14% in January 2022. The 14% was split between delivery (7%), curbside pickup (6%) and in-store pickup (1%). Wh</w:t>
      </w:r>
      <w:r w:rsidR="00164B37">
        <w:rPr>
          <w:rFonts w:ascii="Arial" w:hAnsi="Arial" w:cs="Arial"/>
          <w:sz w:val="20"/>
          <w:szCs w:val="20"/>
        </w:rPr>
        <w:t>en shopping in person</w:t>
      </w:r>
      <w:r>
        <w:rPr>
          <w:rFonts w:ascii="Arial" w:hAnsi="Arial" w:cs="Arial"/>
          <w:sz w:val="20"/>
          <w:szCs w:val="20"/>
        </w:rPr>
        <w:t xml:space="preserve">, 73% estimate they spent as much time in the store as they normally do but 20% said they shopped faster. Shoppers predict that their shopping will remain store-centric: 65% say all their shopping will be in store versus just 4% who believe they will purchase all groceries online. The remaining 31% plan to mostly purchase a little or some items online in a mixed format shopping approach. “This means in-person trips will continue to capture the bulk of purchases in the next few months,” added Parker. “This also means a continued lead role for fresh produce and its eye-appeal to anchor people to the store for stock-up and fill-in trips.” </w:t>
      </w:r>
    </w:p>
    <w:p w14:paraId="76636946" w14:textId="77777777" w:rsidR="000D5607" w:rsidRDefault="000D5607" w:rsidP="000D5607">
      <w:pPr>
        <w:pStyle w:val="NoSpacing"/>
        <w:rPr>
          <w:rFonts w:ascii="Arial" w:hAnsi="Arial" w:cs="Arial"/>
          <w:sz w:val="20"/>
          <w:szCs w:val="20"/>
        </w:rPr>
      </w:pPr>
      <w:r>
        <w:rPr>
          <w:rFonts w:ascii="Arial" w:hAnsi="Arial" w:cs="Arial"/>
          <w:sz w:val="20"/>
          <w:szCs w:val="20"/>
        </w:rPr>
        <w:t xml:space="preserve"> </w:t>
      </w:r>
    </w:p>
    <w:p w14:paraId="5ECAABB2" w14:textId="77777777" w:rsidR="000D5607" w:rsidRDefault="000D5607" w:rsidP="000D5607">
      <w:pPr>
        <w:pStyle w:val="NoSpacing"/>
        <w:rPr>
          <w:rFonts w:ascii="Arial" w:hAnsi="Arial" w:cs="Arial"/>
          <w:sz w:val="20"/>
          <w:szCs w:val="20"/>
        </w:rPr>
      </w:pPr>
    </w:p>
    <w:p w14:paraId="439E405C" w14:textId="77777777" w:rsidR="00897C9C" w:rsidRPr="00355721" w:rsidRDefault="00897C9C" w:rsidP="00897C9C">
      <w:pPr>
        <w:pStyle w:val="NoSpacing"/>
        <w:rPr>
          <w:rFonts w:ascii="Arial" w:hAnsi="Arial" w:cs="Arial"/>
          <w:b/>
          <w:color w:val="595959" w:themeColor="text1" w:themeTint="A6"/>
          <w:sz w:val="24"/>
          <w:szCs w:val="20"/>
        </w:rPr>
      </w:pPr>
      <w:r w:rsidRPr="00355721">
        <w:rPr>
          <w:rFonts w:ascii="Arial" w:hAnsi="Arial" w:cs="Arial"/>
          <w:b/>
          <w:color w:val="595959" w:themeColor="text1" w:themeTint="A6"/>
          <w:sz w:val="24"/>
          <w:szCs w:val="20"/>
        </w:rPr>
        <w:t>Inflation</w:t>
      </w:r>
    </w:p>
    <w:p w14:paraId="2917EB81" w14:textId="4AD9150A" w:rsidR="00897C9C" w:rsidRDefault="00897C9C" w:rsidP="00897C9C">
      <w:pPr>
        <w:pStyle w:val="NoSpacing"/>
        <w:rPr>
          <w:rFonts w:ascii="Arial" w:hAnsi="Arial" w:cs="Arial"/>
          <w:color w:val="000000" w:themeColor="text1"/>
          <w:sz w:val="20"/>
          <w:szCs w:val="20"/>
        </w:rPr>
      </w:pPr>
      <w:r>
        <w:rPr>
          <w:rFonts w:ascii="Arial" w:hAnsi="Arial" w:cs="Arial"/>
          <w:color w:val="000000" w:themeColor="text1"/>
          <w:sz w:val="20"/>
          <w:szCs w:val="20"/>
        </w:rPr>
        <w:t xml:space="preserve">The consumer price index increased 7.5% for the 12 months ending January 2022, the highest increase in 40 years, according to the Bureau of Labor Statistics. </w:t>
      </w:r>
      <w:r>
        <w:rPr>
          <w:rFonts w:ascii="Arial" w:hAnsi="Arial" w:cs="Arial"/>
          <w:sz w:val="20"/>
          <w:szCs w:val="20"/>
        </w:rPr>
        <w:t xml:space="preserve">IRI-measured price per unit for all food and beverages in multi-outlet stores, including supermarkets, club, mass, supercenter, drug, military, and other retail food stores, also shows that prices continued to rise over and above their elevated 2020 and 2021 levels. In January 2022, the average price per unit was up 9.1% versus January 2021 and +15.3% versus </w:t>
      </w:r>
      <w:r w:rsidR="00551D01">
        <w:rPr>
          <w:rFonts w:ascii="Arial" w:hAnsi="Arial" w:cs="Arial"/>
          <w:sz w:val="20"/>
          <w:szCs w:val="20"/>
        </w:rPr>
        <w:t>two years ago</w:t>
      </w:r>
      <w:r>
        <w:rPr>
          <w:rFonts w:ascii="Arial" w:hAnsi="Arial" w:cs="Arial"/>
          <w:sz w:val="20"/>
          <w:szCs w:val="20"/>
        </w:rPr>
        <w:t xml:space="preserve"> across all food and beverages. For the latest 52 weeks ending January 30, 2022, prices increased 5.7% — pulled down by much milder inflation in the second quarter of 2021. </w:t>
      </w:r>
    </w:p>
    <w:p w14:paraId="15B284CA" w14:textId="77777777" w:rsidR="00897C9C" w:rsidRDefault="00897C9C" w:rsidP="00897C9C">
      <w:pPr>
        <w:pStyle w:val="NoSpacing"/>
        <w:rPr>
          <w:rFonts w:ascii="Arial" w:hAnsi="Arial" w:cs="Arial"/>
          <w:b/>
          <w:color w:val="595959" w:themeColor="text1" w:themeTint="A6"/>
          <w:sz w:val="24"/>
          <w:szCs w:val="20"/>
        </w:rPr>
      </w:pPr>
    </w:p>
    <w:tbl>
      <w:tblPr>
        <w:tblStyle w:val="LightShading-Accent5"/>
        <w:tblW w:w="10497" w:type="dxa"/>
        <w:tblBorders>
          <w:top w:val="none" w:sz="0" w:space="0" w:color="auto"/>
          <w:bottom w:val="none" w:sz="0" w:space="0" w:color="auto"/>
        </w:tblBorders>
        <w:tblCellMar>
          <w:left w:w="57" w:type="dxa"/>
          <w:right w:w="57" w:type="dxa"/>
        </w:tblCellMar>
        <w:tblLook w:val="04A0" w:firstRow="1" w:lastRow="0" w:firstColumn="1" w:lastColumn="0" w:noHBand="0" w:noVBand="1"/>
      </w:tblPr>
      <w:tblGrid>
        <w:gridCol w:w="2521"/>
        <w:gridCol w:w="1257"/>
        <w:gridCol w:w="1257"/>
        <w:gridCol w:w="1258"/>
        <w:gridCol w:w="1257"/>
        <w:gridCol w:w="1257"/>
        <w:gridCol w:w="1690"/>
      </w:tblGrid>
      <w:tr w:rsidR="00897C9C" w:rsidRPr="00770F6B" w14:paraId="0EB016E8" w14:textId="77777777" w:rsidTr="006E6284">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21"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7C9CF373" w14:textId="77777777" w:rsidR="00897C9C" w:rsidRPr="006C208B" w:rsidRDefault="00897C9C" w:rsidP="006E6284">
            <w:pPr>
              <w:pStyle w:val="NoSpacing"/>
              <w:rPr>
                <w:rFonts w:ascii="Arial" w:hAnsi="Arial" w:cs="Arial"/>
                <w:b w:val="0"/>
                <w:color w:val="F2F2F2" w:themeColor="background1" w:themeShade="F2"/>
                <w:sz w:val="18"/>
                <w:szCs w:val="18"/>
              </w:rPr>
            </w:pPr>
            <w:r w:rsidRPr="006C208B">
              <w:rPr>
                <w:rFonts w:ascii="Arial" w:hAnsi="Arial" w:cs="Arial"/>
                <w:b w:val="0"/>
                <w:color w:val="F2F2F2" w:themeColor="background1" w:themeShade="F2"/>
                <w:sz w:val="18"/>
                <w:szCs w:val="18"/>
              </w:rPr>
              <w:lastRenderedPageBreak/>
              <w:t>Average price</w:t>
            </w:r>
            <w:r>
              <w:rPr>
                <w:rFonts w:ascii="Arial" w:hAnsi="Arial" w:cs="Arial"/>
                <w:b w:val="0"/>
                <w:color w:val="F2F2F2" w:themeColor="background1" w:themeShade="F2"/>
                <w:sz w:val="18"/>
                <w:szCs w:val="18"/>
              </w:rPr>
              <w:t>/unit vs. YA</w:t>
            </w:r>
          </w:p>
        </w:tc>
        <w:tc>
          <w:tcPr>
            <w:tcW w:w="1257"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2C347A37" w14:textId="77777777" w:rsidR="00897C9C" w:rsidRPr="006C208B" w:rsidRDefault="00897C9C" w:rsidP="006E6284">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Q1 21</w:t>
            </w:r>
          </w:p>
        </w:tc>
        <w:tc>
          <w:tcPr>
            <w:tcW w:w="1257"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74415822" w14:textId="77777777" w:rsidR="00897C9C" w:rsidRPr="006C208B" w:rsidRDefault="00897C9C" w:rsidP="006E6284">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Q2 21</w:t>
            </w:r>
          </w:p>
        </w:tc>
        <w:tc>
          <w:tcPr>
            <w:tcW w:w="1258"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09DF0D7C" w14:textId="77777777" w:rsidR="00897C9C" w:rsidRPr="006C208B" w:rsidRDefault="00897C9C" w:rsidP="006E6284">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Q3 21</w:t>
            </w:r>
          </w:p>
        </w:tc>
        <w:tc>
          <w:tcPr>
            <w:tcW w:w="1257"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4D150EB6" w14:textId="77777777" w:rsidR="00897C9C" w:rsidRPr="006C208B" w:rsidRDefault="00897C9C" w:rsidP="006E6284">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Q4 21</w:t>
            </w:r>
          </w:p>
        </w:tc>
        <w:tc>
          <w:tcPr>
            <w:tcW w:w="1257"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BE22C97" w14:textId="77777777" w:rsidR="00897C9C" w:rsidRDefault="00897C9C" w:rsidP="006E6284">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 xml:space="preserve">2021 </w:t>
            </w:r>
          </w:p>
        </w:tc>
        <w:tc>
          <w:tcPr>
            <w:tcW w:w="169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6ED579D7" w14:textId="77777777" w:rsidR="00897C9C" w:rsidRPr="006C208B" w:rsidRDefault="00897C9C" w:rsidP="006E6284">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Jan 2022</w:t>
            </w:r>
          </w:p>
        </w:tc>
      </w:tr>
      <w:tr w:rsidR="00897C9C" w:rsidRPr="00617F9E" w14:paraId="263C1705" w14:textId="77777777" w:rsidTr="006E628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521" w:type="dxa"/>
            <w:tcBorders>
              <w:left w:val="none" w:sz="0" w:space="0" w:color="auto"/>
              <w:right w:val="none" w:sz="0" w:space="0" w:color="auto"/>
            </w:tcBorders>
            <w:vAlign w:val="center"/>
          </w:tcPr>
          <w:p w14:paraId="146B880B" w14:textId="77777777" w:rsidR="00897C9C" w:rsidRPr="006C208B" w:rsidRDefault="00897C9C" w:rsidP="006E6284">
            <w:pPr>
              <w:pStyle w:val="NoSpacing"/>
              <w:rPr>
                <w:rFonts w:ascii="Arial" w:hAnsi="Arial" w:cs="Arial"/>
                <w:sz w:val="18"/>
                <w:szCs w:val="18"/>
              </w:rPr>
            </w:pPr>
            <w:r w:rsidRPr="006C208B">
              <w:rPr>
                <w:rFonts w:ascii="Arial" w:hAnsi="Arial" w:cs="Arial"/>
                <w:sz w:val="18"/>
                <w:szCs w:val="18"/>
              </w:rPr>
              <w:t>Total food and beverages</w:t>
            </w:r>
          </w:p>
        </w:tc>
        <w:tc>
          <w:tcPr>
            <w:tcW w:w="1257" w:type="dxa"/>
            <w:tcBorders>
              <w:left w:val="none" w:sz="0" w:space="0" w:color="auto"/>
              <w:right w:val="none" w:sz="0" w:space="0" w:color="auto"/>
            </w:tcBorders>
          </w:tcPr>
          <w:p w14:paraId="7C4EC597" w14:textId="77777777" w:rsidR="00897C9C" w:rsidRPr="006C208B" w:rsidRDefault="00897C9C" w:rsidP="006E628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+5.5%</w:t>
            </w:r>
          </w:p>
        </w:tc>
        <w:tc>
          <w:tcPr>
            <w:tcW w:w="1257" w:type="dxa"/>
            <w:tcBorders>
              <w:left w:val="none" w:sz="0" w:space="0" w:color="auto"/>
              <w:right w:val="none" w:sz="0" w:space="0" w:color="auto"/>
            </w:tcBorders>
          </w:tcPr>
          <w:p w14:paraId="74FF2983" w14:textId="77777777" w:rsidR="00897C9C" w:rsidRPr="006C208B" w:rsidRDefault="00897C9C" w:rsidP="006E628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+2.7%</w:t>
            </w:r>
          </w:p>
        </w:tc>
        <w:tc>
          <w:tcPr>
            <w:tcW w:w="1258" w:type="dxa"/>
            <w:tcBorders>
              <w:left w:val="none" w:sz="0" w:space="0" w:color="auto"/>
              <w:right w:val="none" w:sz="0" w:space="0" w:color="auto"/>
            </w:tcBorders>
          </w:tcPr>
          <w:p w14:paraId="7BE889F0" w14:textId="77777777" w:rsidR="00897C9C" w:rsidRPr="006C208B" w:rsidRDefault="00897C9C" w:rsidP="006E628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+5.0%</w:t>
            </w:r>
          </w:p>
        </w:tc>
        <w:tc>
          <w:tcPr>
            <w:tcW w:w="1257" w:type="dxa"/>
            <w:tcBorders>
              <w:left w:val="none" w:sz="0" w:space="0" w:color="auto"/>
              <w:right w:val="none" w:sz="0" w:space="0" w:color="auto"/>
            </w:tcBorders>
          </w:tcPr>
          <w:p w14:paraId="2300A610" w14:textId="77777777" w:rsidR="00897C9C" w:rsidRPr="006C208B" w:rsidRDefault="00897C9C" w:rsidP="006E628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+8.0%</w:t>
            </w:r>
          </w:p>
        </w:tc>
        <w:tc>
          <w:tcPr>
            <w:tcW w:w="1257" w:type="dxa"/>
            <w:tcBorders>
              <w:left w:val="none" w:sz="0" w:space="0" w:color="auto"/>
              <w:right w:val="none" w:sz="0" w:space="0" w:color="auto"/>
            </w:tcBorders>
          </w:tcPr>
          <w:p w14:paraId="6AEF809D" w14:textId="77777777" w:rsidR="00897C9C" w:rsidRPr="006C208B" w:rsidRDefault="00897C9C" w:rsidP="006E628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+5.3%</w:t>
            </w:r>
          </w:p>
        </w:tc>
        <w:tc>
          <w:tcPr>
            <w:tcW w:w="1690" w:type="dxa"/>
            <w:tcBorders>
              <w:left w:val="none" w:sz="0" w:space="0" w:color="auto"/>
              <w:right w:val="none" w:sz="0" w:space="0" w:color="auto"/>
            </w:tcBorders>
          </w:tcPr>
          <w:p w14:paraId="0125E7D9" w14:textId="77777777" w:rsidR="00897C9C" w:rsidRPr="006C208B" w:rsidRDefault="00897C9C" w:rsidP="006E628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+9.1%</w:t>
            </w:r>
          </w:p>
        </w:tc>
      </w:tr>
    </w:tbl>
    <w:p w14:paraId="6A4BF494" w14:textId="77777777" w:rsidR="00897C9C" w:rsidRPr="00392CAA" w:rsidRDefault="00897C9C" w:rsidP="00897C9C">
      <w:pPr>
        <w:pStyle w:val="NoSpacing"/>
        <w:rPr>
          <w:rFonts w:ascii="Arial" w:hAnsi="Arial" w:cs="Arial"/>
          <w:sz w:val="10"/>
          <w:szCs w:val="10"/>
        </w:rPr>
      </w:pPr>
    </w:p>
    <w:p w14:paraId="7EF2CE55" w14:textId="77777777" w:rsidR="00897C9C" w:rsidRPr="005C6A11" w:rsidRDefault="00897C9C" w:rsidP="00897C9C">
      <w:pPr>
        <w:pStyle w:val="NoSpacing"/>
        <w:rPr>
          <w:rFonts w:ascii="Arial" w:hAnsi="Arial" w:cs="Arial"/>
          <w:sz w:val="16"/>
          <w:szCs w:val="16"/>
        </w:rPr>
      </w:pPr>
      <w:r w:rsidRPr="005C6A11">
        <w:rPr>
          <w:rFonts w:ascii="Arial" w:hAnsi="Arial" w:cs="Arial"/>
          <w:sz w:val="16"/>
          <w:szCs w:val="16"/>
        </w:rPr>
        <w:t xml:space="preserve">Source: IRI, </w:t>
      </w:r>
      <w:r>
        <w:rPr>
          <w:rFonts w:ascii="Arial" w:hAnsi="Arial" w:cs="Arial"/>
          <w:sz w:val="16"/>
          <w:szCs w:val="16"/>
        </w:rPr>
        <w:t xml:space="preserve">Integrated Fresh </w:t>
      </w:r>
      <w:r w:rsidRPr="005C6A11">
        <w:rPr>
          <w:rFonts w:ascii="Arial" w:hAnsi="Arial" w:cs="Arial"/>
          <w:sz w:val="16"/>
          <w:szCs w:val="16"/>
        </w:rPr>
        <w:t>Total US, MULO</w:t>
      </w:r>
    </w:p>
    <w:p w14:paraId="5FF597A6" w14:textId="77777777" w:rsidR="000D5607" w:rsidRDefault="000D5607" w:rsidP="00D8582D">
      <w:pPr>
        <w:pStyle w:val="NoSpacing"/>
        <w:rPr>
          <w:rFonts w:ascii="Arial" w:hAnsi="Arial" w:cs="Arial"/>
          <w:sz w:val="20"/>
          <w:szCs w:val="20"/>
        </w:rPr>
      </w:pPr>
    </w:p>
    <w:p w14:paraId="62F0BB44" w14:textId="77777777" w:rsidR="000D5607" w:rsidRDefault="000D5607" w:rsidP="00D8582D">
      <w:pPr>
        <w:pStyle w:val="NoSpacing"/>
        <w:rPr>
          <w:rFonts w:ascii="Arial" w:hAnsi="Arial" w:cs="Arial"/>
          <w:sz w:val="20"/>
          <w:szCs w:val="20"/>
        </w:rPr>
      </w:pPr>
    </w:p>
    <w:p w14:paraId="2449661F" w14:textId="51A2EBB8" w:rsidR="00DD3DF6" w:rsidRDefault="00DD3DF6" w:rsidP="00DD3DF6">
      <w:pPr>
        <w:pStyle w:val="NoSpacing"/>
        <w:rPr>
          <w:rFonts w:ascii="Arial" w:hAnsi="Arial" w:cs="Arial"/>
          <w:color w:val="000000" w:themeColor="text1"/>
          <w:sz w:val="20"/>
          <w:szCs w:val="20"/>
        </w:rPr>
      </w:pPr>
      <w:r>
        <w:rPr>
          <w:rFonts w:ascii="Arial" w:hAnsi="Arial" w:cs="Arial"/>
          <w:sz w:val="20"/>
          <w:szCs w:val="20"/>
        </w:rPr>
        <w:t xml:space="preserve">Fresh produce prices are also higher than last year. </w:t>
      </w:r>
      <w:r w:rsidR="00A12A7F">
        <w:rPr>
          <w:rFonts w:ascii="Arial" w:hAnsi="Arial" w:cs="Arial"/>
          <w:sz w:val="20"/>
          <w:szCs w:val="20"/>
        </w:rPr>
        <w:t>In</w:t>
      </w:r>
      <w:r w:rsidR="003433C6">
        <w:rPr>
          <w:rFonts w:ascii="Arial" w:hAnsi="Arial" w:cs="Arial"/>
          <w:sz w:val="20"/>
          <w:szCs w:val="20"/>
        </w:rPr>
        <w:t xml:space="preserve"> January 2022</w:t>
      </w:r>
      <w:r w:rsidR="00A12A7F">
        <w:rPr>
          <w:rFonts w:ascii="Arial" w:hAnsi="Arial" w:cs="Arial"/>
          <w:sz w:val="20"/>
          <w:szCs w:val="20"/>
        </w:rPr>
        <w:t xml:space="preserve">, </w:t>
      </w:r>
      <w:r w:rsidR="003433C6">
        <w:rPr>
          <w:rFonts w:ascii="Arial" w:hAnsi="Arial" w:cs="Arial"/>
          <w:sz w:val="20"/>
          <w:szCs w:val="20"/>
        </w:rPr>
        <w:t xml:space="preserve">the </w:t>
      </w:r>
      <w:r>
        <w:rPr>
          <w:rFonts w:ascii="Arial" w:hAnsi="Arial" w:cs="Arial"/>
          <w:sz w:val="20"/>
          <w:szCs w:val="20"/>
        </w:rPr>
        <w:t>price</w:t>
      </w:r>
      <w:r w:rsidR="001F29DC">
        <w:rPr>
          <w:rFonts w:ascii="Arial" w:hAnsi="Arial" w:cs="Arial"/>
          <w:sz w:val="20"/>
          <w:szCs w:val="20"/>
        </w:rPr>
        <w:t xml:space="preserve"> per pound</w:t>
      </w:r>
      <w:r>
        <w:rPr>
          <w:rFonts w:ascii="Arial" w:hAnsi="Arial" w:cs="Arial"/>
          <w:sz w:val="20"/>
          <w:szCs w:val="20"/>
        </w:rPr>
        <w:t xml:space="preserve"> for total fresh produce </w:t>
      </w:r>
      <w:r w:rsidR="00A12A7F">
        <w:rPr>
          <w:rFonts w:ascii="Arial" w:hAnsi="Arial" w:cs="Arial"/>
          <w:sz w:val="20"/>
          <w:szCs w:val="20"/>
        </w:rPr>
        <w:t xml:space="preserve">increased by </w:t>
      </w:r>
      <w:r w:rsidR="003433C6">
        <w:rPr>
          <w:rFonts w:ascii="Arial" w:hAnsi="Arial" w:cs="Arial"/>
          <w:sz w:val="20"/>
          <w:szCs w:val="20"/>
        </w:rPr>
        <w:t>9.0</w:t>
      </w:r>
      <w:r w:rsidR="00A12A7F">
        <w:rPr>
          <w:rFonts w:ascii="Arial" w:hAnsi="Arial" w:cs="Arial"/>
          <w:sz w:val="20"/>
          <w:szCs w:val="20"/>
        </w:rPr>
        <w:t>%</w:t>
      </w:r>
      <w:r w:rsidR="003433C6">
        <w:rPr>
          <w:rFonts w:ascii="Arial" w:hAnsi="Arial" w:cs="Arial"/>
          <w:sz w:val="20"/>
          <w:szCs w:val="20"/>
        </w:rPr>
        <w:t xml:space="preserve"> over January 2021. The latest 52-week look is milder, at +7.1%</w:t>
      </w:r>
      <w:r w:rsidR="00551D01">
        <w:rPr>
          <w:rFonts w:ascii="Arial" w:hAnsi="Arial" w:cs="Arial"/>
          <w:sz w:val="20"/>
          <w:szCs w:val="20"/>
        </w:rPr>
        <w:t>,</w:t>
      </w:r>
      <w:r w:rsidR="003433C6">
        <w:rPr>
          <w:rFonts w:ascii="Arial" w:hAnsi="Arial" w:cs="Arial"/>
          <w:sz w:val="20"/>
          <w:szCs w:val="20"/>
        </w:rPr>
        <w:t xml:space="preserve"> given the</w:t>
      </w:r>
      <w:r w:rsidR="00A12A7F">
        <w:rPr>
          <w:rFonts w:ascii="Arial" w:hAnsi="Arial" w:cs="Arial"/>
          <w:sz w:val="20"/>
          <w:szCs w:val="20"/>
        </w:rPr>
        <w:t xml:space="preserve"> much milder inflation </w:t>
      </w:r>
      <w:r w:rsidR="003433C6">
        <w:rPr>
          <w:rFonts w:ascii="Arial" w:hAnsi="Arial" w:cs="Arial"/>
          <w:sz w:val="20"/>
          <w:szCs w:val="20"/>
        </w:rPr>
        <w:t>in the second quarter of 2021.</w:t>
      </w:r>
      <w:r w:rsidR="00A12A7F">
        <w:rPr>
          <w:rFonts w:ascii="Arial" w:hAnsi="Arial" w:cs="Arial"/>
          <w:sz w:val="20"/>
          <w:szCs w:val="20"/>
        </w:rPr>
        <w:t xml:space="preserve"> </w:t>
      </w:r>
      <w:r w:rsidR="003433C6">
        <w:rPr>
          <w:rFonts w:ascii="Arial" w:hAnsi="Arial" w:cs="Arial"/>
          <w:sz w:val="20"/>
          <w:szCs w:val="20"/>
        </w:rPr>
        <w:t>Vegetable inflation is far below average</w:t>
      </w:r>
      <w:r w:rsidR="00551D01">
        <w:rPr>
          <w:rFonts w:ascii="Arial" w:hAnsi="Arial" w:cs="Arial"/>
          <w:sz w:val="20"/>
          <w:szCs w:val="20"/>
        </w:rPr>
        <w:t>;</w:t>
      </w:r>
      <w:r w:rsidR="003433C6">
        <w:rPr>
          <w:rFonts w:ascii="Arial" w:hAnsi="Arial" w:cs="Arial"/>
          <w:sz w:val="20"/>
          <w:szCs w:val="20"/>
        </w:rPr>
        <w:t xml:space="preserve"> </w:t>
      </w:r>
      <w:proofErr w:type="gramStart"/>
      <w:r w:rsidR="003433C6">
        <w:rPr>
          <w:rFonts w:ascii="Arial" w:hAnsi="Arial" w:cs="Arial"/>
          <w:sz w:val="20"/>
          <w:szCs w:val="20"/>
        </w:rPr>
        <w:t>but</w:t>
      </w:r>
      <w:r w:rsidR="00551D01">
        <w:rPr>
          <w:rFonts w:ascii="Arial" w:hAnsi="Arial" w:cs="Arial"/>
          <w:sz w:val="20"/>
          <w:szCs w:val="20"/>
        </w:rPr>
        <w:t>,</w:t>
      </w:r>
      <w:proofErr w:type="gramEnd"/>
      <w:r w:rsidR="003433C6">
        <w:rPr>
          <w:rFonts w:ascii="Arial" w:hAnsi="Arial" w:cs="Arial"/>
          <w:sz w:val="20"/>
          <w:szCs w:val="20"/>
        </w:rPr>
        <w:t xml:space="preserve"> fruit prices increased by nearly 14%.</w:t>
      </w:r>
      <w:r w:rsidR="006B3E16">
        <w:rPr>
          <w:rFonts w:ascii="Arial" w:hAnsi="Arial" w:cs="Arial"/>
          <w:sz w:val="20"/>
          <w:szCs w:val="20"/>
        </w:rPr>
        <w:t xml:space="preserve"> </w:t>
      </w:r>
      <w:r>
        <w:rPr>
          <w:rFonts w:ascii="Arial" w:hAnsi="Arial" w:cs="Arial"/>
          <w:color w:val="000000" w:themeColor="text1"/>
          <w:sz w:val="20"/>
          <w:szCs w:val="20"/>
        </w:rPr>
        <w:t>“</w:t>
      </w:r>
      <w:r w:rsidR="003433C6">
        <w:rPr>
          <w:rFonts w:ascii="Arial" w:hAnsi="Arial" w:cs="Arial"/>
          <w:color w:val="000000" w:themeColor="text1"/>
          <w:sz w:val="20"/>
          <w:szCs w:val="20"/>
        </w:rPr>
        <w:t>Consumers are aware and concerned about the inflation they are seeing</w:t>
      </w:r>
      <w:r>
        <w:rPr>
          <w:rFonts w:ascii="Arial" w:hAnsi="Arial" w:cs="Arial"/>
          <w:color w:val="000000" w:themeColor="text1"/>
          <w:sz w:val="20"/>
          <w:szCs w:val="20"/>
        </w:rPr>
        <w:t xml:space="preserve">,” said </w:t>
      </w:r>
      <w:r>
        <w:rPr>
          <w:rFonts w:ascii="Arial" w:hAnsi="Arial" w:cs="Arial"/>
          <w:sz w:val="20"/>
          <w:szCs w:val="20"/>
        </w:rPr>
        <w:t xml:space="preserve">Joe Watson, </w:t>
      </w:r>
      <w:r w:rsidR="0045675D">
        <w:rPr>
          <w:rFonts w:ascii="Arial" w:hAnsi="Arial" w:cs="Arial"/>
          <w:sz w:val="20"/>
          <w:szCs w:val="20"/>
        </w:rPr>
        <w:t>VP, Retail, Foodservice &amp; Wholesale for IFPA</w:t>
      </w:r>
      <w:r>
        <w:rPr>
          <w:rFonts w:ascii="Arial" w:hAnsi="Arial" w:cs="Arial"/>
          <w:sz w:val="20"/>
          <w:szCs w:val="20"/>
        </w:rPr>
        <w:t>. “</w:t>
      </w:r>
      <w:r w:rsidR="003433C6">
        <w:rPr>
          <w:rFonts w:ascii="Arial" w:hAnsi="Arial" w:cs="Arial"/>
          <w:sz w:val="20"/>
          <w:szCs w:val="20"/>
        </w:rPr>
        <w:t xml:space="preserve">And as a volume-driven business, the industry is concerned as well </w:t>
      </w:r>
      <w:r w:rsidR="00050514">
        <w:rPr>
          <w:rFonts w:ascii="Arial" w:hAnsi="Arial" w:cs="Arial"/>
          <w:sz w:val="20"/>
          <w:szCs w:val="20"/>
        </w:rPr>
        <w:t xml:space="preserve">and </w:t>
      </w:r>
      <w:r w:rsidR="003433C6">
        <w:rPr>
          <w:rFonts w:ascii="Arial" w:hAnsi="Arial" w:cs="Arial"/>
          <w:sz w:val="20"/>
          <w:szCs w:val="20"/>
        </w:rPr>
        <w:t xml:space="preserve">doing everything in its power to get adequate supply to </w:t>
      </w:r>
      <w:r w:rsidR="00551D01">
        <w:rPr>
          <w:rFonts w:ascii="Arial" w:hAnsi="Arial" w:cs="Arial"/>
          <w:sz w:val="20"/>
          <w:szCs w:val="20"/>
        </w:rPr>
        <w:t xml:space="preserve">the </w:t>
      </w:r>
      <w:r w:rsidR="003433C6">
        <w:rPr>
          <w:rFonts w:ascii="Arial" w:hAnsi="Arial" w:cs="Arial"/>
          <w:sz w:val="20"/>
          <w:szCs w:val="20"/>
        </w:rPr>
        <w:t>stores</w:t>
      </w:r>
      <w:r w:rsidR="00050514">
        <w:rPr>
          <w:rFonts w:ascii="Arial" w:hAnsi="Arial" w:cs="Arial"/>
          <w:sz w:val="20"/>
          <w:szCs w:val="20"/>
        </w:rPr>
        <w:t xml:space="preserve"> and keeping prices down.</w:t>
      </w:r>
      <w:r w:rsidR="001E726D">
        <w:rPr>
          <w:rFonts w:ascii="Arial" w:hAnsi="Arial" w:cs="Arial"/>
          <w:sz w:val="20"/>
          <w:szCs w:val="20"/>
        </w:rPr>
        <w:t>”</w:t>
      </w:r>
    </w:p>
    <w:p w14:paraId="2EDF8097" w14:textId="77777777" w:rsidR="00DD3DF6" w:rsidRPr="000A543A" w:rsidRDefault="00DD3DF6" w:rsidP="00DD3DF6">
      <w:pPr>
        <w:pStyle w:val="NoSpacing"/>
        <w:rPr>
          <w:rFonts w:ascii="Arial" w:hAnsi="Arial" w:cs="Arial"/>
          <w:sz w:val="20"/>
          <w:szCs w:val="20"/>
        </w:rPr>
      </w:pPr>
    </w:p>
    <w:tbl>
      <w:tblPr>
        <w:tblStyle w:val="LightShading-Accent5"/>
        <w:tblW w:w="10008" w:type="dxa"/>
        <w:tblBorders>
          <w:top w:val="none" w:sz="0" w:space="0" w:color="auto"/>
          <w:bottom w:val="none" w:sz="0" w:space="0" w:color="auto"/>
        </w:tblBorders>
        <w:tblLook w:val="04A0" w:firstRow="1" w:lastRow="0" w:firstColumn="1" w:lastColumn="0" w:noHBand="0" w:noVBand="1"/>
      </w:tblPr>
      <w:tblGrid>
        <w:gridCol w:w="4260"/>
        <w:gridCol w:w="2130"/>
        <w:gridCol w:w="1702"/>
        <w:gridCol w:w="1916"/>
      </w:tblGrid>
      <w:tr w:rsidR="00DD3DF6" w:rsidRPr="002A71C0" w14:paraId="34E708B3" w14:textId="77777777" w:rsidTr="001F29DC">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260" w:type="dxa"/>
            <w:tcBorders>
              <w:top w:val="none" w:sz="0" w:space="0" w:color="auto"/>
              <w:bottom w:val="none" w:sz="0" w:space="0" w:color="auto"/>
            </w:tcBorders>
            <w:shd w:val="clear" w:color="auto" w:fill="17365D" w:themeFill="text2" w:themeFillShade="BF"/>
            <w:vAlign w:val="center"/>
          </w:tcPr>
          <w:p w14:paraId="4F54E5B7" w14:textId="474BD8CB" w:rsidR="00DD3DF6" w:rsidRPr="004850A1" w:rsidRDefault="00DD3DF6" w:rsidP="001F29DC">
            <w:pPr>
              <w:pStyle w:val="NoSpacing"/>
              <w:rPr>
                <w:rFonts w:ascii="Arial" w:hAnsi="Arial" w:cs="Arial"/>
                <w:color w:val="FFFFFF" w:themeColor="background1"/>
                <w:sz w:val="18"/>
                <w:szCs w:val="18"/>
              </w:rPr>
            </w:pPr>
            <w:r w:rsidRPr="004850A1">
              <w:rPr>
                <w:rFonts w:ascii="Arial" w:hAnsi="Arial" w:cs="Arial"/>
                <w:color w:val="FFFFFF" w:themeColor="background1"/>
                <w:sz w:val="18"/>
                <w:szCs w:val="18"/>
              </w:rPr>
              <w:t>Price per volume</w:t>
            </w:r>
            <w:r w:rsidR="00551D01">
              <w:rPr>
                <w:rFonts w:ascii="Arial" w:hAnsi="Arial" w:cs="Arial"/>
                <w:color w:val="FFFFFF" w:themeColor="background1"/>
                <w:sz w:val="18"/>
                <w:szCs w:val="18"/>
              </w:rPr>
              <w:t xml:space="preserve"> (</w:t>
            </w:r>
            <w:proofErr w:type="spellStart"/>
            <w:r w:rsidR="00551D01">
              <w:rPr>
                <w:rFonts w:ascii="Arial" w:hAnsi="Arial" w:cs="Arial"/>
                <w:color w:val="FFFFFF" w:themeColor="background1"/>
                <w:sz w:val="18"/>
                <w:szCs w:val="18"/>
              </w:rPr>
              <w:t>lb</w:t>
            </w:r>
            <w:proofErr w:type="spellEnd"/>
            <w:r w:rsidR="00551D01">
              <w:rPr>
                <w:rFonts w:ascii="Arial" w:hAnsi="Arial" w:cs="Arial"/>
                <w:color w:val="FFFFFF" w:themeColor="background1"/>
                <w:sz w:val="18"/>
                <w:szCs w:val="18"/>
              </w:rPr>
              <w:t>)</w:t>
            </w:r>
          </w:p>
        </w:tc>
        <w:tc>
          <w:tcPr>
            <w:tcW w:w="2130" w:type="dxa"/>
            <w:tcBorders>
              <w:top w:val="none" w:sz="0" w:space="0" w:color="auto"/>
              <w:bottom w:val="none" w:sz="0" w:space="0" w:color="auto"/>
            </w:tcBorders>
            <w:shd w:val="clear" w:color="auto" w:fill="17365D" w:themeFill="text2" w:themeFillShade="BF"/>
            <w:vAlign w:val="center"/>
          </w:tcPr>
          <w:p w14:paraId="06FD748D"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Price/volume</w:t>
            </w:r>
          </w:p>
        </w:tc>
        <w:tc>
          <w:tcPr>
            <w:tcW w:w="1702" w:type="dxa"/>
            <w:tcBorders>
              <w:top w:val="none" w:sz="0" w:space="0" w:color="auto"/>
              <w:bottom w:val="none" w:sz="0" w:space="0" w:color="auto"/>
            </w:tcBorders>
            <w:shd w:val="clear" w:color="auto" w:fill="17365D" w:themeFill="text2" w:themeFillShade="BF"/>
            <w:vAlign w:val="center"/>
          </w:tcPr>
          <w:p w14:paraId="446CFB3F"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Change vs. 202</w:t>
            </w:r>
            <w:r w:rsidR="0038781D">
              <w:rPr>
                <w:rFonts w:ascii="Arial" w:hAnsi="Arial" w:cs="Arial"/>
                <w:color w:val="FFFFFF" w:themeColor="background1"/>
                <w:sz w:val="18"/>
                <w:szCs w:val="18"/>
              </w:rPr>
              <w:t>1</w:t>
            </w:r>
          </w:p>
        </w:tc>
        <w:tc>
          <w:tcPr>
            <w:tcW w:w="1916" w:type="dxa"/>
            <w:tcBorders>
              <w:top w:val="none" w:sz="0" w:space="0" w:color="auto"/>
              <w:bottom w:val="none" w:sz="0" w:space="0" w:color="auto"/>
            </w:tcBorders>
            <w:shd w:val="clear" w:color="auto" w:fill="17365D" w:themeFill="text2" w:themeFillShade="BF"/>
            <w:vAlign w:val="center"/>
          </w:tcPr>
          <w:p w14:paraId="23EF784E"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Change vs. 20</w:t>
            </w:r>
            <w:r w:rsidR="0038781D">
              <w:rPr>
                <w:rFonts w:ascii="Arial" w:hAnsi="Arial" w:cs="Arial"/>
                <w:color w:val="FFFFFF" w:themeColor="background1"/>
                <w:sz w:val="18"/>
                <w:szCs w:val="18"/>
              </w:rPr>
              <w:t>20</w:t>
            </w:r>
          </w:p>
        </w:tc>
      </w:tr>
      <w:tr w:rsidR="00DD3DF6" w:rsidRPr="009A0F69" w14:paraId="1434C87A" w14:textId="77777777" w:rsidTr="001F29D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1E4595FE" w14:textId="55DF3EC6" w:rsidR="00DD3DF6" w:rsidRPr="009A0F69" w:rsidRDefault="00DD3DF6" w:rsidP="001F29DC">
            <w:pPr>
              <w:pStyle w:val="NoSpacing"/>
              <w:jc w:val="right"/>
              <w:rPr>
                <w:rFonts w:ascii="Arial" w:hAnsi="Arial" w:cs="Arial"/>
                <w:color w:val="215868" w:themeColor="accent5" w:themeShade="80"/>
                <w:sz w:val="18"/>
                <w:szCs w:val="18"/>
              </w:rPr>
            </w:pPr>
            <w:r w:rsidRPr="009A0F69">
              <w:rPr>
                <w:rFonts w:ascii="Arial" w:hAnsi="Arial" w:cs="Arial"/>
                <w:color w:val="215868" w:themeColor="accent5" w:themeShade="80"/>
                <w:sz w:val="18"/>
                <w:szCs w:val="18"/>
              </w:rPr>
              <w:t xml:space="preserve">Total fresh produce </w:t>
            </w:r>
            <w:r w:rsidR="00D437BC">
              <w:rPr>
                <w:rFonts w:ascii="Arial" w:hAnsi="Arial" w:cs="Arial"/>
                <w:color w:val="215868" w:themeColor="accent5" w:themeShade="80"/>
                <w:sz w:val="18"/>
                <w:szCs w:val="18"/>
              </w:rPr>
              <w:t>January 2022</w:t>
            </w:r>
          </w:p>
        </w:tc>
        <w:tc>
          <w:tcPr>
            <w:tcW w:w="2130" w:type="dxa"/>
            <w:vAlign w:val="center"/>
          </w:tcPr>
          <w:p w14:paraId="6E97F861" w14:textId="412ED258" w:rsidR="00DD3DF6" w:rsidRPr="009A0F69" w:rsidRDefault="00DD3DF6" w:rsidP="001F29DC">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18"/>
              </w:rPr>
            </w:pPr>
            <w:r w:rsidRPr="009A0F69">
              <w:rPr>
                <w:rFonts w:ascii="Arial" w:hAnsi="Arial" w:cs="Arial"/>
                <w:b/>
                <w:bCs/>
                <w:color w:val="215868" w:themeColor="accent5" w:themeShade="80"/>
                <w:sz w:val="18"/>
                <w:szCs w:val="18"/>
              </w:rPr>
              <w:t>$</w:t>
            </w:r>
            <w:r w:rsidR="00D437BC">
              <w:rPr>
                <w:rFonts w:ascii="Arial" w:hAnsi="Arial" w:cs="Arial"/>
                <w:b/>
                <w:bCs/>
                <w:color w:val="215868" w:themeColor="accent5" w:themeShade="80"/>
                <w:sz w:val="18"/>
                <w:szCs w:val="18"/>
              </w:rPr>
              <w:t>1.86</w:t>
            </w:r>
          </w:p>
        </w:tc>
        <w:tc>
          <w:tcPr>
            <w:tcW w:w="1702" w:type="dxa"/>
            <w:vAlign w:val="center"/>
          </w:tcPr>
          <w:p w14:paraId="5720898A" w14:textId="6607BDB5" w:rsidR="00DD3DF6" w:rsidRPr="009A0F69" w:rsidRDefault="00DD3DF6"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18"/>
              </w:rPr>
            </w:pPr>
            <w:r w:rsidRPr="009A0F69">
              <w:rPr>
                <w:rFonts w:ascii="Arial" w:hAnsi="Arial" w:cs="Arial"/>
                <w:b/>
                <w:bCs/>
                <w:color w:val="215868" w:themeColor="accent5" w:themeShade="80"/>
                <w:sz w:val="18"/>
                <w:szCs w:val="18"/>
              </w:rPr>
              <w:t>+</w:t>
            </w:r>
            <w:r w:rsidR="00D437BC">
              <w:rPr>
                <w:rFonts w:ascii="Arial" w:hAnsi="Arial" w:cs="Arial"/>
                <w:b/>
                <w:bCs/>
                <w:color w:val="215868" w:themeColor="accent5" w:themeShade="80"/>
                <w:sz w:val="18"/>
                <w:szCs w:val="18"/>
              </w:rPr>
              <w:t>9.0</w:t>
            </w:r>
            <w:r w:rsidRPr="009A0F69">
              <w:rPr>
                <w:rFonts w:ascii="Arial" w:hAnsi="Arial" w:cs="Arial"/>
                <w:b/>
                <w:bCs/>
                <w:color w:val="215868" w:themeColor="accent5" w:themeShade="80"/>
                <w:sz w:val="18"/>
                <w:szCs w:val="18"/>
              </w:rPr>
              <w:t>%</w:t>
            </w:r>
          </w:p>
        </w:tc>
        <w:tc>
          <w:tcPr>
            <w:tcW w:w="1916" w:type="dxa"/>
          </w:tcPr>
          <w:p w14:paraId="164946FB" w14:textId="475D5BB9" w:rsidR="00DD3DF6" w:rsidRPr="009A0F69" w:rsidRDefault="00DD3DF6" w:rsidP="001F29DC">
            <w:pPr>
              <w:jc w:val="right"/>
              <w:cnfStyle w:val="000000100000" w:firstRow="0" w:lastRow="0" w:firstColumn="0" w:lastColumn="0" w:oddVBand="0" w:evenVBand="0" w:oddHBand="1" w:evenHBand="0" w:firstRowFirstColumn="0" w:firstRowLastColumn="0" w:lastRowFirstColumn="0" w:lastRowLastColumn="0"/>
              <w:rPr>
                <w:b/>
                <w:bCs/>
              </w:rPr>
            </w:pPr>
            <w:r w:rsidRPr="009A0F69">
              <w:rPr>
                <w:rFonts w:ascii="Arial" w:hAnsi="Arial" w:cs="Arial"/>
                <w:b/>
                <w:bCs/>
                <w:color w:val="215868" w:themeColor="accent5" w:themeShade="80"/>
                <w:sz w:val="18"/>
                <w:szCs w:val="18"/>
              </w:rPr>
              <w:t>+</w:t>
            </w:r>
            <w:r w:rsidR="00D437BC">
              <w:rPr>
                <w:rFonts w:ascii="Arial" w:hAnsi="Arial" w:cs="Arial"/>
                <w:b/>
                <w:bCs/>
                <w:color w:val="215868" w:themeColor="accent5" w:themeShade="80"/>
                <w:sz w:val="18"/>
                <w:szCs w:val="18"/>
              </w:rPr>
              <w:t>11.9</w:t>
            </w:r>
            <w:r w:rsidRPr="009A0F69">
              <w:rPr>
                <w:rFonts w:ascii="Arial" w:hAnsi="Arial" w:cs="Arial"/>
                <w:b/>
                <w:bCs/>
                <w:color w:val="215868" w:themeColor="accent5" w:themeShade="80"/>
                <w:sz w:val="18"/>
                <w:szCs w:val="18"/>
              </w:rPr>
              <w:t>%</w:t>
            </w:r>
          </w:p>
        </w:tc>
      </w:tr>
      <w:tr w:rsidR="00DD3DF6" w:rsidRPr="003C65CF" w14:paraId="5A66D034" w14:textId="77777777" w:rsidTr="001F29DC">
        <w:trPr>
          <w:trHeight w:val="259"/>
        </w:trPr>
        <w:tc>
          <w:tcPr>
            <w:cnfStyle w:val="001000000000" w:firstRow="0" w:lastRow="0" w:firstColumn="1" w:lastColumn="0" w:oddVBand="0" w:evenVBand="0" w:oddHBand="0" w:evenHBand="0" w:firstRowFirstColumn="0" w:firstRowLastColumn="0" w:lastRowFirstColumn="0" w:lastRowLastColumn="0"/>
            <w:tcW w:w="4260" w:type="dxa"/>
          </w:tcPr>
          <w:p w14:paraId="47FBBA20" w14:textId="0A386F92" w:rsidR="00DD3DF6" w:rsidRPr="004850A1" w:rsidRDefault="00DD3DF6" w:rsidP="001F29DC">
            <w:pPr>
              <w:pStyle w:val="NoSpacing"/>
              <w:jc w:val="right"/>
              <w:rPr>
                <w:rFonts w:ascii="Arial" w:hAnsi="Arial" w:cs="Arial"/>
                <w:b w:val="0"/>
                <w:bCs w:val="0"/>
                <w:color w:val="215868" w:themeColor="accent5" w:themeShade="80"/>
                <w:sz w:val="18"/>
                <w:szCs w:val="18"/>
              </w:rPr>
            </w:pPr>
            <w:r>
              <w:rPr>
                <w:rFonts w:ascii="Arial" w:hAnsi="Arial" w:cs="Arial"/>
                <w:b w:val="0"/>
                <w:bCs w:val="0"/>
                <w:color w:val="215868" w:themeColor="accent5" w:themeShade="80"/>
                <w:sz w:val="18"/>
                <w:szCs w:val="18"/>
              </w:rPr>
              <w:t xml:space="preserve">Total fresh produce </w:t>
            </w:r>
            <w:r w:rsidR="00D437BC">
              <w:rPr>
                <w:rFonts w:ascii="Arial" w:hAnsi="Arial" w:cs="Arial"/>
                <w:b w:val="0"/>
                <w:bCs w:val="0"/>
                <w:color w:val="215868" w:themeColor="accent5" w:themeShade="80"/>
                <w:sz w:val="18"/>
                <w:szCs w:val="18"/>
              </w:rPr>
              <w:t>latest 52 weeks</w:t>
            </w:r>
          </w:p>
        </w:tc>
        <w:tc>
          <w:tcPr>
            <w:tcW w:w="2130" w:type="dxa"/>
          </w:tcPr>
          <w:p w14:paraId="1F20343F" w14:textId="351CA46A" w:rsidR="00DD3DF6" w:rsidRDefault="00DD3DF6" w:rsidP="001F29DC">
            <w:pPr>
              <w:jc w:val="right"/>
              <w:cnfStyle w:val="000000000000" w:firstRow="0" w:lastRow="0" w:firstColumn="0" w:lastColumn="0" w:oddVBand="0" w:evenVBand="0" w:oddHBand="0" w:evenHBand="0" w:firstRowFirstColumn="0" w:firstRowLastColumn="0" w:lastRowFirstColumn="0" w:lastRowLastColumn="0"/>
            </w:pPr>
            <w:r w:rsidRPr="00210B83">
              <w:rPr>
                <w:rFonts w:ascii="Arial" w:hAnsi="Arial" w:cs="Arial"/>
                <w:color w:val="215868" w:themeColor="accent5" w:themeShade="80"/>
                <w:sz w:val="18"/>
                <w:szCs w:val="18"/>
              </w:rPr>
              <w:t>$</w:t>
            </w:r>
            <w:r w:rsidR="003433C6">
              <w:rPr>
                <w:rFonts w:ascii="Arial" w:hAnsi="Arial" w:cs="Arial"/>
                <w:color w:val="215868" w:themeColor="accent5" w:themeShade="80"/>
                <w:sz w:val="18"/>
                <w:szCs w:val="18"/>
              </w:rPr>
              <w:t>1.69</w:t>
            </w:r>
          </w:p>
        </w:tc>
        <w:tc>
          <w:tcPr>
            <w:tcW w:w="1702" w:type="dxa"/>
          </w:tcPr>
          <w:p w14:paraId="31810777" w14:textId="50E98C9D" w:rsidR="00DD3DF6" w:rsidRDefault="00DD3DF6" w:rsidP="001F29DC">
            <w:pPr>
              <w:jc w:val="right"/>
              <w:cnfStyle w:val="000000000000" w:firstRow="0" w:lastRow="0" w:firstColumn="0" w:lastColumn="0" w:oddVBand="0" w:evenVBand="0" w:oddHBand="0" w:evenHBand="0" w:firstRowFirstColumn="0" w:firstRowLastColumn="0" w:lastRowFirstColumn="0" w:lastRowLastColumn="0"/>
            </w:pPr>
            <w:r w:rsidRPr="00222108">
              <w:rPr>
                <w:rFonts w:ascii="Arial" w:hAnsi="Arial" w:cs="Arial"/>
                <w:color w:val="215868" w:themeColor="accent5" w:themeShade="80"/>
                <w:sz w:val="18"/>
                <w:szCs w:val="18"/>
              </w:rPr>
              <w:t>+</w:t>
            </w:r>
            <w:r w:rsidR="003433C6">
              <w:rPr>
                <w:rFonts w:ascii="Arial" w:hAnsi="Arial" w:cs="Arial"/>
                <w:color w:val="215868" w:themeColor="accent5" w:themeShade="80"/>
                <w:sz w:val="18"/>
                <w:szCs w:val="18"/>
              </w:rPr>
              <w:t>7.1</w:t>
            </w:r>
            <w:r w:rsidRPr="00222108">
              <w:rPr>
                <w:rFonts w:ascii="Arial" w:hAnsi="Arial" w:cs="Arial"/>
                <w:color w:val="215868" w:themeColor="accent5" w:themeShade="80"/>
                <w:sz w:val="18"/>
                <w:szCs w:val="18"/>
              </w:rPr>
              <w:t>%</w:t>
            </w:r>
          </w:p>
        </w:tc>
        <w:tc>
          <w:tcPr>
            <w:tcW w:w="1916" w:type="dxa"/>
          </w:tcPr>
          <w:p w14:paraId="3E082B02" w14:textId="0F32E1A9" w:rsidR="00DD3DF6" w:rsidRDefault="00DD3DF6" w:rsidP="001F29DC">
            <w:pPr>
              <w:jc w:val="right"/>
              <w:cnfStyle w:val="000000000000" w:firstRow="0" w:lastRow="0" w:firstColumn="0" w:lastColumn="0" w:oddVBand="0" w:evenVBand="0" w:oddHBand="0" w:evenHBand="0" w:firstRowFirstColumn="0" w:firstRowLastColumn="0" w:lastRowFirstColumn="0" w:lastRowLastColumn="0"/>
            </w:pPr>
            <w:r w:rsidRPr="0038421C">
              <w:rPr>
                <w:rFonts w:ascii="Arial" w:hAnsi="Arial" w:cs="Arial"/>
                <w:color w:val="215868" w:themeColor="accent5" w:themeShade="80"/>
                <w:sz w:val="18"/>
                <w:szCs w:val="18"/>
              </w:rPr>
              <w:t>+</w:t>
            </w:r>
            <w:r w:rsidR="003433C6">
              <w:rPr>
                <w:rFonts w:ascii="Arial" w:hAnsi="Arial" w:cs="Arial"/>
                <w:color w:val="215868" w:themeColor="accent5" w:themeShade="80"/>
                <w:sz w:val="18"/>
                <w:szCs w:val="18"/>
              </w:rPr>
              <w:t>7.8</w:t>
            </w:r>
            <w:r w:rsidRPr="0038421C">
              <w:rPr>
                <w:rFonts w:ascii="Arial" w:hAnsi="Arial" w:cs="Arial"/>
                <w:color w:val="215868" w:themeColor="accent5" w:themeShade="80"/>
                <w:sz w:val="18"/>
                <w:szCs w:val="18"/>
              </w:rPr>
              <w:t>%</w:t>
            </w:r>
          </w:p>
        </w:tc>
      </w:tr>
      <w:tr w:rsidR="003433C6" w:rsidRPr="009A0F69" w14:paraId="5B57AE54" w14:textId="77777777" w:rsidTr="006E628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71D907A4" w14:textId="77777777" w:rsidR="003433C6" w:rsidRPr="009A0F69" w:rsidRDefault="003433C6" w:rsidP="006E6284">
            <w:pPr>
              <w:pStyle w:val="NoSpacing"/>
              <w:jc w:val="right"/>
              <w:rPr>
                <w:rFonts w:ascii="Arial" w:hAnsi="Arial" w:cs="Arial"/>
                <w:color w:val="215868" w:themeColor="accent5" w:themeShade="80"/>
                <w:sz w:val="18"/>
                <w:szCs w:val="18"/>
              </w:rPr>
            </w:pPr>
            <w:r w:rsidRPr="009A0F69">
              <w:rPr>
                <w:rFonts w:ascii="Arial" w:hAnsi="Arial" w:cs="Arial"/>
                <w:color w:val="215868" w:themeColor="accent5" w:themeShade="80"/>
                <w:sz w:val="18"/>
                <w:szCs w:val="18"/>
              </w:rPr>
              <w:t xml:space="preserve">Fresh fruit </w:t>
            </w:r>
            <w:r>
              <w:rPr>
                <w:rFonts w:ascii="Arial" w:hAnsi="Arial" w:cs="Arial"/>
                <w:color w:val="215868" w:themeColor="accent5" w:themeShade="80"/>
                <w:sz w:val="18"/>
                <w:szCs w:val="18"/>
              </w:rPr>
              <w:t>January 2022</w:t>
            </w:r>
          </w:p>
        </w:tc>
        <w:tc>
          <w:tcPr>
            <w:tcW w:w="2130" w:type="dxa"/>
          </w:tcPr>
          <w:p w14:paraId="2E070CA6" w14:textId="77777777" w:rsidR="003433C6" w:rsidRPr="009A0F69" w:rsidRDefault="003433C6" w:rsidP="006E6284">
            <w:pPr>
              <w:jc w:val="right"/>
              <w:cnfStyle w:val="000000100000" w:firstRow="0" w:lastRow="0" w:firstColumn="0" w:lastColumn="0" w:oddVBand="0" w:evenVBand="0" w:oddHBand="1" w:evenHBand="0" w:firstRowFirstColumn="0" w:firstRowLastColumn="0" w:lastRowFirstColumn="0" w:lastRowLastColumn="0"/>
              <w:rPr>
                <w:b/>
                <w:bCs/>
              </w:rPr>
            </w:pPr>
            <w:r w:rsidRPr="009A0F69">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1.79</w:t>
            </w:r>
          </w:p>
        </w:tc>
        <w:tc>
          <w:tcPr>
            <w:tcW w:w="1702" w:type="dxa"/>
          </w:tcPr>
          <w:p w14:paraId="5F7D0FB3" w14:textId="77777777" w:rsidR="003433C6" w:rsidRPr="009A0F69" w:rsidRDefault="003433C6" w:rsidP="006E6284">
            <w:pPr>
              <w:jc w:val="right"/>
              <w:cnfStyle w:val="000000100000" w:firstRow="0" w:lastRow="0" w:firstColumn="0" w:lastColumn="0" w:oddVBand="0" w:evenVBand="0" w:oddHBand="1" w:evenHBand="0" w:firstRowFirstColumn="0" w:firstRowLastColumn="0" w:lastRowFirstColumn="0" w:lastRowLastColumn="0"/>
              <w:rPr>
                <w:b/>
                <w:bCs/>
              </w:rPr>
            </w:pPr>
            <w:r w:rsidRPr="009A0F69">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13.9</w:t>
            </w:r>
            <w:r w:rsidRPr="009A0F69">
              <w:rPr>
                <w:rFonts w:ascii="Arial" w:hAnsi="Arial" w:cs="Arial"/>
                <w:b/>
                <w:bCs/>
                <w:color w:val="215868" w:themeColor="accent5" w:themeShade="80"/>
                <w:sz w:val="18"/>
                <w:szCs w:val="18"/>
              </w:rPr>
              <w:t>%</w:t>
            </w:r>
          </w:p>
        </w:tc>
        <w:tc>
          <w:tcPr>
            <w:tcW w:w="1916" w:type="dxa"/>
          </w:tcPr>
          <w:p w14:paraId="5BD0263C" w14:textId="77777777" w:rsidR="003433C6" w:rsidRPr="009A0F69" w:rsidRDefault="003433C6" w:rsidP="006E6284">
            <w:pPr>
              <w:jc w:val="right"/>
              <w:cnfStyle w:val="000000100000" w:firstRow="0" w:lastRow="0" w:firstColumn="0" w:lastColumn="0" w:oddVBand="0" w:evenVBand="0" w:oddHBand="1" w:evenHBand="0" w:firstRowFirstColumn="0" w:firstRowLastColumn="0" w:lastRowFirstColumn="0" w:lastRowLastColumn="0"/>
              <w:rPr>
                <w:b/>
                <w:bCs/>
              </w:rPr>
            </w:pPr>
            <w:r w:rsidRPr="009A0F69">
              <w:rPr>
                <w:rFonts w:ascii="Arial" w:hAnsi="Arial" w:cs="Arial"/>
                <w:b/>
                <w:bCs/>
                <w:color w:val="215868" w:themeColor="accent5" w:themeShade="80"/>
                <w:sz w:val="18"/>
                <w:szCs w:val="18"/>
              </w:rPr>
              <w:t>+</w:t>
            </w:r>
            <w:r>
              <w:rPr>
                <w:rFonts w:ascii="Arial" w:hAnsi="Arial" w:cs="Arial"/>
                <w:b/>
                <w:bCs/>
                <w:color w:val="215868" w:themeColor="accent5" w:themeShade="80"/>
                <w:sz w:val="18"/>
                <w:szCs w:val="18"/>
              </w:rPr>
              <w:t>18.2</w:t>
            </w:r>
            <w:r w:rsidRPr="009A0F69">
              <w:rPr>
                <w:rFonts w:ascii="Arial" w:hAnsi="Arial" w:cs="Arial"/>
                <w:b/>
                <w:bCs/>
                <w:color w:val="215868" w:themeColor="accent5" w:themeShade="80"/>
                <w:sz w:val="18"/>
                <w:szCs w:val="18"/>
              </w:rPr>
              <w:t>%</w:t>
            </w:r>
          </w:p>
        </w:tc>
      </w:tr>
      <w:tr w:rsidR="003433C6" w:rsidRPr="003C65CF" w14:paraId="1144520F" w14:textId="77777777" w:rsidTr="006E6284">
        <w:trPr>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4DC7A0E2" w14:textId="77777777" w:rsidR="003433C6" w:rsidRPr="004850A1" w:rsidRDefault="003433C6" w:rsidP="006E6284">
            <w:pPr>
              <w:pStyle w:val="NoSpacing"/>
              <w:jc w:val="right"/>
              <w:rPr>
                <w:rFonts w:ascii="Arial" w:hAnsi="Arial" w:cs="Arial"/>
                <w:b w:val="0"/>
                <w:bCs w:val="0"/>
                <w:color w:val="215868" w:themeColor="accent5" w:themeShade="80"/>
                <w:sz w:val="18"/>
                <w:szCs w:val="18"/>
              </w:rPr>
            </w:pPr>
            <w:r>
              <w:rPr>
                <w:rFonts w:ascii="Arial" w:hAnsi="Arial" w:cs="Arial"/>
                <w:b w:val="0"/>
                <w:bCs w:val="0"/>
                <w:color w:val="215868" w:themeColor="accent5" w:themeShade="80"/>
                <w:sz w:val="18"/>
                <w:szCs w:val="18"/>
              </w:rPr>
              <w:t xml:space="preserve"> Fresh fruit latest 52 weeks</w:t>
            </w:r>
          </w:p>
        </w:tc>
        <w:tc>
          <w:tcPr>
            <w:tcW w:w="2130" w:type="dxa"/>
          </w:tcPr>
          <w:p w14:paraId="7E73EC2B" w14:textId="3F021FEC" w:rsidR="003433C6" w:rsidRDefault="003433C6" w:rsidP="006E6284">
            <w:pPr>
              <w:jc w:val="right"/>
              <w:cnfStyle w:val="000000000000" w:firstRow="0" w:lastRow="0" w:firstColumn="0" w:lastColumn="0" w:oddVBand="0" w:evenVBand="0" w:oddHBand="0" w:evenHBand="0" w:firstRowFirstColumn="0" w:firstRowLastColumn="0" w:lastRowFirstColumn="0" w:lastRowLastColumn="0"/>
            </w:pPr>
            <w:r w:rsidRPr="00210B83">
              <w:rPr>
                <w:rFonts w:ascii="Arial" w:hAnsi="Arial" w:cs="Arial"/>
                <w:color w:val="215868" w:themeColor="accent5" w:themeShade="80"/>
                <w:sz w:val="18"/>
                <w:szCs w:val="18"/>
              </w:rPr>
              <w:t>$</w:t>
            </w:r>
            <w:r>
              <w:rPr>
                <w:rFonts w:ascii="Arial" w:hAnsi="Arial" w:cs="Arial"/>
                <w:color w:val="215868" w:themeColor="accent5" w:themeShade="80"/>
                <w:sz w:val="18"/>
                <w:szCs w:val="18"/>
              </w:rPr>
              <w:t>1.57</w:t>
            </w:r>
          </w:p>
        </w:tc>
        <w:tc>
          <w:tcPr>
            <w:tcW w:w="1702" w:type="dxa"/>
          </w:tcPr>
          <w:p w14:paraId="4038274E" w14:textId="02785BB0" w:rsidR="003433C6" w:rsidRDefault="003433C6" w:rsidP="006E6284">
            <w:pPr>
              <w:jc w:val="right"/>
              <w:cnfStyle w:val="000000000000" w:firstRow="0" w:lastRow="0" w:firstColumn="0" w:lastColumn="0" w:oddVBand="0" w:evenVBand="0" w:oddHBand="0" w:evenHBand="0" w:firstRowFirstColumn="0" w:firstRowLastColumn="0" w:lastRowFirstColumn="0" w:lastRowLastColumn="0"/>
            </w:pPr>
            <w:r w:rsidRPr="00222108">
              <w:rPr>
                <w:rFonts w:ascii="Arial" w:hAnsi="Arial" w:cs="Arial"/>
                <w:color w:val="215868" w:themeColor="accent5" w:themeShade="80"/>
                <w:sz w:val="18"/>
                <w:szCs w:val="18"/>
              </w:rPr>
              <w:t>+</w:t>
            </w:r>
            <w:r>
              <w:rPr>
                <w:rFonts w:ascii="Arial" w:hAnsi="Arial" w:cs="Arial"/>
                <w:color w:val="215868" w:themeColor="accent5" w:themeShade="80"/>
                <w:sz w:val="18"/>
                <w:szCs w:val="18"/>
              </w:rPr>
              <w:t>9.5</w:t>
            </w:r>
            <w:r w:rsidRPr="00222108">
              <w:rPr>
                <w:rFonts w:ascii="Arial" w:hAnsi="Arial" w:cs="Arial"/>
                <w:color w:val="215868" w:themeColor="accent5" w:themeShade="80"/>
                <w:sz w:val="18"/>
                <w:szCs w:val="18"/>
              </w:rPr>
              <w:t>%</w:t>
            </w:r>
          </w:p>
        </w:tc>
        <w:tc>
          <w:tcPr>
            <w:tcW w:w="1916" w:type="dxa"/>
          </w:tcPr>
          <w:p w14:paraId="4548B493" w14:textId="639FF9FF" w:rsidR="003433C6" w:rsidRDefault="003433C6" w:rsidP="006E6284">
            <w:pPr>
              <w:jc w:val="right"/>
              <w:cnfStyle w:val="000000000000" w:firstRow="0" w:lastRow="0" w:firstColumn="0" w:lastColumn="0" w:oddVBand="0" w:evenVBand="0" w:oddHBand="0" w:evenHBand="0" w:firstRowFirstColumn="0" w:firstRowLastColumn="0" w:lastRowFirstColumn="0" w:lastRowLastColumn="0"/>
            </w:pPr>
            <w:r w:rsidRPr="0038421C">
              <w:rPr>
                <w:rFonts w:ascii="Arial" w:hAnsi="Arial" w:cs="Arial"/>
                <w:color w:val="215868" w:themeColor="accent5" w:themeShade="80"/>
                <w:sz w:val="18"/>
                <w:szCs w:val="18"/>
              </w:rPr>
              <w:t>+</w:t>
            </w:r>
            <w:r>
              <w:rPr>
                <w:rFonts w:ascii="Arial" w:hAnsi="Arial" w:cs="Arial"/>
                <w:color w:val="215868" w:themeColor="accent5" w:themeShade="80"/>
                <w:sz w:val="18"/>
                <w:szCs w:val="18"/>
              </w:rPr>
              <w:t>10.0</w:t>
            </w:r>
            <w:r w:rsidRPr="0038421C">
              <w:rPr>
                <w:rFonts w:ascii="Arial" w:hAnsi="Arial" w:cs="Arial"/>
                <w:color w:val="215868" w:themeColor="accent5" w:themeShade="80"/>
                <w:sz w:val="18"/>
                <w:szCs w:val="18"/>
              </w:rPr>
              <w:t>%</w:t>
            </w:r>
          </w:p>
        </w:tc>
      </w:tr>
      <w:tr w:rsidR="00DD3DF6" w:rsidRPr="009A0F69" w14:paraId="49DE74F5" w14:textId="77777777" w:rsidTr="001F29D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354E4AFC" w14:textId="0F054B08" w:rsidR="00DD3DF6" w:rsidRPr="009A0F69" w:rsidRDefault="00DD3DF6" w:rsidP="001F29DC">
            <w:pPr>
              <w:pStyle w:val="NoSpacing"/>
              <w:jc w:val="right"/>
              <w:rPr>
                <w:rFonts w:ascii="Arial" w:hAnsi="Arial" w:cs="Arial"/>
                <w:color w:val="215868" w:themeColor="accent5" w:themeShade="80"/>
                <w:sz w:val="18"/>
                <w:szCs w:val="18"/>
              </w:rPr>
            </w:pPr>
            <w:r w:rsidRPr="009A0F69">
              <w:rPr>
                <w:rFonts w:ascii="Arial" w:hAnsi="Arial" w:cs="Arial"/>
                <w:color w:val="215868" w:themeColor="accent5" w:themeShade="80"/>
                <w:sz w:val="18"/>
                <w:szCs w:val="18"/>
              </w:rPr>
              <w:t>Fresh vegetables</w:t>
            </w:r>
            <w:r w:rsidR="0038781D">
              <w:rPr>
                <w:rFonts w:ascii="Arial" w:hAnsi="Arial" w:cs="Arial"/>
                <w:color w:val="215868" w:themeColor="accent5" w:themeShade="80"/>
                <w:sz w:val="18"/>
                <w:szCs w:val="18"/>
              </w:rPr>
              <w:t xml:space="preserve"> </w:t>
            </w:r>
            <w:r w:rsidR="00D437BC">
              <w:rPr>
                <w:rFonts w:ascii="Arial" w:hAnsi="Arial" w:cs="Arial"/>
                <w:color w:val="215868" w:themeColor="accent5" w:themeShade="80"/>
                <w:sz w:val="18"/>
                <w:szCs w:val="18"/>
              </w:rPr>
              <w:t>January 2022</w:t>
            </w:r>
          </w:p>
        </w:tc>
        <w:tc>
          <w:tcPr>
            <w:tcW w:w="2130" w:type="dxa"/>
          </w:tcPr>
          <w:p w14:paraId="179F7533" w14:textId="5684BB45" w:rsidR="00DD3DF6" w:rsidRPr="009A0F69" w:rsidRDefault="00DD3DF6" w:rsidP="001F29DC">
            <w:pPr>
              <w:jc w:val="right"/>
              <w:cnfStyle w:val="000000100000" w:firstRow="0" w:lastRow="0" w:firstColumn="0" w:lastColumn="0" w:oddVBand="0" w:evenVBand="0" w:oddHBand="1" w:evenHBand="0" w:firstRowFirstColumn="0" w:firstRowLastColumn="0" w:lastRowFirstColumn="0" w:lastRowLastColumn="0"/>
              <w:rPr>
                <w:b/>
                <w:bCs/>
              </w:rPr>
            </w:pPr>
            <w:r w:rsidRPr="009A0F69">
              <w:rPr>
                <w:rFonts w:ascii="Arial" w:hAnsi="Arial" w:cs="Arial"/>
                <w:b/>
                <w:bCs/>
                <w:color w:val="215868" w:themeColor="accent5" w:themeShade="80"/>
                <w:sz w:val="18"/>
                <w:szCs w:val="18"/>
              </w:rPr>
              <w:t>$</w:t>
            </w:r>
            <w:r w:rsidR="00D437BC">
              <w:rPr>
                <w:rFonts w:ascii="Arial" w:hAnsi="Arial" w:cs="Arial"/>
                <w:b/>
                <w:bCs/>
                <w:color w:val="215868" w:themeColor="accent5" w:themeShade="80"/>
                <w:sz w:val="18"/>
                <w:szCs w:val="18"/>
              </w:rPr>
              <w:t>1.90</w:t>
            </w:r>
          </w:p>
        </w:tc>
        <w:tc>
          <w:tcPr>
            <w:tcW w:w="1702" w:type="dxa"/>
          </w:tcPr>
          <w:p w14:paraId="5B5FDC39" w14:textId="5BE4B113" w:rsidR="00DD3DF6" w:rsidRPr="009A0F69" w:rsidRDefault="00DD3DF6" w:rsidP="001F29DC">
            <w:pPr>
              <w:jc w:val="right"/>
              <w:cnfStyle w:val="000000100000" w:firstRow="0" w:lastRow="0" w:firstColumn="0" w:lastColumn="0" w:oddVBand="0" w:evenVBand="0" w:oddHBand="1" w:evenHBand="0" w:firstRowFirstColumn="0" w:firstRowLastColumn="0" w:lastRowFirstColumn="0" w:lastRowLastColumn="0"/>
              <w:rPr>
                <w:b/>
                <w:bCs/>
              </w:rPr>
            </w:pPr>
            <w:r w:rsidRPr="009A0F69">
              <w:rPr>
                <w:rFonts w:ascii="Arial" w:hAnsi="Arial" w:cs="Arial"/>
                <w:b/>
                <w:bCs/>
                <w:color w:val="215868" w:themeColor="accent5" w:themeShade="80"/>
                <w:sz w:val="18"/>
                <w:szCs w:val="18"/>
              </w:rPr>
              <w:t>+</w:t>
            </w:r>
            <w:r w:rsidR="00D437BC">
              <w:rPr>
                <w:rFonts w:ascii="Arial" w:hAnsi="Arial" w:cs="Arial"/>
                <w:b/>
                <w:bCs/>
                <w:color w:val="215868" w:themeColor="accent5" w:themeShade="80"/>
                <w:sz w:val="18"/>
                <w:szCs w:val="18"/>
              </w:rPr>
              <w:t>4.9</w:t>
            </w:r>
            <w:r w:rsidRPr="009A0F69">
              <w:rPr>
                <w:rFonts w:ascii="Arial" w:hAnsi="Arial" w:cs="Arial"/>
                <w:b/>
                <w:bCs/>
                <w:color w:val="215868" w:themeColor="accent5" w:themeShade="80"/>
                <w:sz w:val="18"/>
                <w:szCs w:val="18"/>
              </w:rPr>
              <w:t>%</w:t>
            </w:r>
          </w:p>
        </w:tc>
        <w:tc>
          <w:tcPr>
            <w:tcW w:w="1916" w:type="dxa"/>
          </w:tcPr>
          <w:p w14:paraId="0790677A" w14:textId="2859353D" w:rsidR="00DD3DF6" w:rsidRPr="009A0F69" w:rsidRDefault="00DD3DF6" w:rsidP="001F29DC">
            <w:pPr>
              <w:jc w:val="right"/>
              <w:cnfStyle w:val="000000100000" w:firstRow="0" w:lastRow="0" w:firstColumn="0" w:lastColumn="0" w:oddVBand="0" w:evenVBand="0" w:oddHBand="1" w:evenHBand="0" w:firstRowFirstColumn="0" w:firstRowLastColumn="0" w:lastRowFirstColumn="0" w:lastRowLastColumn="0"/>
              <w:rPr>
                <w:b/>
                <w:bCs/>
              </w:rPr>
            </w:pPr>
            <w:r w:rsidRPr="009A0F69">
              <w:rPr>
                <w:rFonts w:ascii="Arial" w:hAnsi="Arial" w:cs="Arial"/>
                <w:b/>
                <w:bCs/>
                <w:color w:val="215868" w:themeColor="accent5" w:themeShade="80"/>
                <w:sz w:val="18"/>
                <w:szCs w:val="18"/>
              </w:rPr>
              <w:t>+</w:t>
            </w:r>
            <w:r w:rsidR="00D437BC">
              <w:rPr>
                <w:rFonts w:ascii="Arial" w:hAnsi="Arial" w:cs="Arial"/>
                <w:b/>
                <w:bCs/>
                <w:color w:val="215868" w:themeColor="accent5" w:themeShade="80"/>
                <w:sz w:val="18"/>
                <w:szCs w:val="18"/>
              </w:rPr>
              <w:t>6.5</w:t>
            </w:r>
            <w:r w:rsidRPr="009A0F69">
              <w:rPr>
                <w:rFonts w:ascii="Arial" w:hAnsi="Arial" w:cs="Arial"/>
                <w:b/>
                <w:bCs/>
                <w:color w:val="215868" w:themeColor="accent5" w:themeShade="80"/>
                <w:sz w:val="18"/>
                <w:szCs w:val="18"/>
              </w:rPr>
              <w:t>%</w:t>
            </w:r>
          </w:p>
        </w:tc>
      </w:tr>
      <w:tr w:rsidR="00DD3DF6" w:rsidRPr="003C65CF" w14:paraId="0E7328F7" w14:textId="77777777" w:rsidTr="001F29DC">
        <w:trPr>
          <w:trHeight w:val="259"/>
        </w:trPr>
        <w:tc>
          <w:tcPr>
            <w:cnfStyle w:val="001000000000" w:firstRow="0" w:lastRow="0" w:firstColumn="1" w:lastColumn="0" w:oddVBand="0" w:evenVBand="0" w:oddHBand="0" w:evenHBand="0" w:firstRowFirstColumn="0" w:firstRowLastColumn="0" w:lastRowFirstColumn="0" w:lastRowLastColumn="0"/>
            <w:tcW w:w="4260" w:type="dxa"/>
          </w:tcPr>
          <w:p w14:paraId="7639B956" w14:textId="1EF08D42" w:rsidR="00DD3DF6" w:rsidRPr="004850A1" w:rsidRDefault="00DD3DF6" w:rsidP="001F29DC">
            <w:pPr>
              <w:pStyle w:val="NoSpacing"/>
              <w:jc w:val="right"/>
              <w:rPr>
                <w:rFonts w:ascii="Arial" w:hAnsi="Arial" w:cs="Arial"/>
                <w:b w:val="0"/>
                <w:bCs w:val="0"/>
                <w:color w:val="215868" w:themeColor="accent5" w:themeShade="80"/>
                <w:sz w:val="18"/>
                <w:szCs w:val="18"/>
              </w:rPr>
            </w:pPr>
            <w:r>
              <w:rPr>
                <w:rFonts w:ascii="Arial" w:hAnsi="Arial" w:cs="Arial"/>
                <w:b w:val="0"/>
                <w:bCs w:val="0"/>
                <w:color w:val="215868" w:themeColor="accent5" w:themeShade="80"/>
                <w:sz w:val="18"/>
                <w:szCs w:val="18"/>
              </w:rPr>
              <w:t xml:space="preserve">Fresh vegetables </w:t>
            </w:r>
            <w:r w:rsidR="00D437BC">
              <w:rPr>
                <w:rFonts w:ascii="Arial" w:hAnsi="Arial" w:cs="Arial"/>
                <w:b w:val="0"/>
                <w:bCs w:val="0"/>
                <w:color w:val="215868" w:themeColor="accent5" w:themeShade="80"/>
                <w:sz w:val="18"/>
                <w:szCs w:val="18"/>
              </w:rPr>
              <w:t>latest 52 weeks</w:t>
            </w:r>
          </w:p>
        </w:tc>
        <w:tc>
          <w:tcPr>
            <w:tcW w:w="2130" w:type="dxa"/>
          </w:tcPr>
          <w:p w14:paraId="1F880C62" w14:textId="6671793A" w:rsidR="00DD3DF6" w:rsidRDefault="00DD3DF6" w:rsidP="001F29DC">
            <w:pPr>
              <w:jc w:val="right"/>
              <w:cnfStyle w:val="000000000000" w:firstRow="0" w:lastRow="0" w:firstColumn="0" w:lastColumn="0" w:oddVBand="0" w:evenVBand="0" w:oddHBand="0" w:evenHBand="0" w:firstRowFirstColumn="0" w:firstRowLastColumn="0" w:lastRowFirstColumn="0" w:lastRowLastColumn="0"/>
            </w:pPr>
            <w:r w:rsidRPr="00210B83">
              <w:rPr>
                <w:rFonts w:ascii="Arial" w:hAnsi="Arial" w:cs="Arial"/>
                <w:color w:val="215868" w:themeColor="accent5" w:themeShade="80"/>
                <w:sz w:val="18"/>
                <w:szCs w:val="18"/>
              </w:rPr>
              <w:t>$</w:t>
            </w:r>
            <w:r w:rsidR="003433C6">
              <w:rPr>
                <w:rFonts w:ascii="Arial" w:hAnsi="Arial" w:cs="Arial"/>
                <w:color w:val="215868" w:themeColor="accent5" w:themeShade="80"/>
                <w:sz w:val="18"/>
                <w:szCs w:val="18"/>
              </w:rPr>
              <w:t>1.80</w:t>
            </w:r>
          </w:p>
        </w:tc>
        <w:tc>
          <w:tcPr>
            <w:tcW w:w="1702" w:type="dxa"/>
          </w:tcPr>
          <w:p w14:paraId="414FD40F" w14:textId="0A0AC4BE" w:rsidR="00DD3DF6" w:rsidRDefault="00DD3DF6" w:rsidP="001F29DC">
            <w:pPr>
              <w:jc w:val="right"/>
              <w:cnfStyle w:val="000000000000" w:firstRow="0" w:lastRow="0" w:firstColumn="0" w:lastColumn="0" w:oddVBand="0" w:evenVBand="0" w:oddHBand="0" w:evenHBand="0" w:firstRowFirstColumn="0" w:firstRowLastColumn="0" w:lastRowFirstColumn="0" w:lastRowLastColumn="0"/>
            </w:pPr>
            <w:r w:rsidRPr="00222108">
              <w:rPr>
                <w:rFonts w:ascii="Arial" w:hAnsi="Arial" w:cs="Arial"/>
                <w:color w:val="215868" w:themeColor="accent5" w:themeShade="80"/>
                <w:sz w:val="18"/>
                <w:szCs w:val="18"/>
              </w:rPr>
              <w:t>+</w:t>
            </w:r>
            <w:r w:rsidR="003433C6">
              <w:rPr>
                <w:rFonts w:ascii="Arial" w:hAnsi="Arial" w:cs="Arial"/>
                <w:color w:val="215868" w:themeColor="accent5" w:themeShade="80"/>
                <w:sz w:val="18"/>
                <w:szCs w:val="18"/>
              </w:rPr>
              <w:t>4.9</w:t>
            </w:r>
            <w:r w:rsidRPr="00222108">
              <w:rPr>
                <w:rFonts w:ascii="Arial" w:hAnsi="Arial" w:cs="Arial"/>
                <w:color w:val="215868" w:themeColor="accent5" w:themeShade="80"/>
                <w:sz w:val="18"/>
                <w:szCs w:val="18"/>
              </w:rPr>
              <w:t>%</w:t>
            </w:r>
          </w:p>
        </w:tc>
        <w:tc>
          <w:tcPr>
            <w:tcW w:w="1916" w:type="dxa"/>
          </w:tcPr>
          <w:p w14:paraId="2E870FBA" w14:textId="26CC9B57" w:rsidR="00DD3DF6" w:rsidRDefault="00DD3DF6" w:rsidP="001F29DC">
            <w:pPr>
              <w:jc w:val="right"/>
              <w:cnfStyle w:val="000000000000" w:firstRow="0" w:lastRow="0" w:firstColumn="0" w:lastColumn="0" w:oddVBand="0" w:evenVBand="0" w:oddHBand="0" w:evenHBand="0" w:firstRowFirstColumn="0" w:firstRowLastColumn="0" w:lastRowFirstColumn="0" w:lastRowLastColumn="0"/>
            </w:pPr>
            <w:r w:rsidRPr="0038421C">
              <w:rPr>
                <w:rFonts w:ascii="Arial" w:hAnsi="Arial" w:cs="Arial"/>
                <w:color w:val="215868" w:themeColor="accent5" w:themeShade="80"/>
                <w:sz w:val="18"/>
                <w:szCs w:val="18"/>
              </w:rPr>
              <w:t>+</w:t>
            </w:r>
            <w:r w:rsidR="003433C6">
              <w:rPr>
                <w:rFonts w:ascii="Arial" w:hAnsi="Arial" w:cs="Arial"/>
                <w:color w:val="215868" w:themeColor="accent5" w:themeShade="80"/>
                <w:sz w:val="18"/>
                <w:szCs w:val="18"/>
              </w:rPr>
              <w:t>5.7</w:t>
            </w:r>
            <w:r w:rsidRPr="0038421C">
              <w:rPr>
                <w:rFonts w:ascii="Arial" w:hAnsi="Arial" w:cs="Arial"/>
                <w:color w:val="215868" w:themeColor="accent5" w:themeShade="80"/>
                <w:sz w:val="18"/>
                <w:szCs w:val="18"/>
              </w:rPr>
              <w:t>%</w:t>
            </w:r>
          </w:p>
        </w:tc>
      </w:tr>
    </w:tbl>
    <w:p w14:paraId="0F3442BC" w14:textId="77777777" w:rsidR="00DD3DF6" w:rsidRPr="008A1AD9" w:rsidRDefault="00DD3DF6" w:rsidP="00DD3DF6">
      <w:pPr>
        <w:pStyle w:val="NoSpacing"/>
        <w:rPr>
          <w:rFonts w:ascii="Arial" w:hAnsi="Arial" w:cs="Arial"/>
          <w:sz w:val="6"/>
          <w:szCs w:val="6"/>
        </w:rPr>
      </w:pPr>
    </w:p>
    <w:p w14:paraId="62F0D49A" w14:textId="77777777" w:rsidR="00DD3DF6" w:rsidRPr="006879B2" w:rsidRDefault="00DD3DF6" w:rsidP="00DD3DF6">
      <w:pPr>
        <w:pStyle w:val="NoSpacing"/>
        <w:rPr>
          <w:rFonts w:ascii="Arial" w:hAnsi="Arial" w:cs="Arial"/>
          <w:sz w:val="16"/>
          <w:szCs w:val="16"/>
        </w:rPr>
      </w:pPr>
      <w:r>
        <w:rPr>
          <w:rFonts w:ascii="Arial" w:hAnsi="Arial" w:cs="Arial"/>
          <w:sz w:val="16"/>
          <w:szCs w:val="16"/>
        </w:rPr>
        <w:t>Source: IRI, Integrated Fresh, Total US, MULO, average price per volume and % gain versus YA and 2YA</w:t>
      </w:r>
    </w:p>
    <w:p w14:paraId="4C18FB86" w14:textId="77777777" w:rsidR="00D8582D" w:rsidRDefault="00D8582D" w:rsidP="001210D2">
      <w:pPr>
        <w:pStyle w:val="NoSpacing"/>
        <w:rPr>
          <w:rFonts w:ascii="Arial" w:hAnsi="Arial" w:cs="Arial"/>
          <w:sz w:val="20"/>
          <w:szCs w:val="20"/>
        </w:rPr>
      </w:pPr>
    </w:p>
    <w:p w14:paraId="75762CE0" w14:textId="77777777" w:rsidR="00D8582D" w:rsidRDefault="00D8582D" w:rsidP="001210D2">
      <w:pPr>
        <w:pStyle w:val="NoSpacing"/>
        <w:rPr>
          <w:rFonts w:ascii="Arial" w:hAnsi="Arial" w:cs="Arial"/>
          <w:sz w:val="20"/>
          <w:szCs w:val="20"/>
        </w:rPr>
      </w:pPr>
    </w:p>
    <w:p w14:paraId="5C0A0277" w14:textId="77777777" w:rsidR="007B7C7D" w:rsidRPr="00CF43CE" w:rsidRDefault="007B7C7D" w:rsidP="007B7C7D">
      <w:pPr>
        <w:pStyle w:val="NoSpacing"/>
        <w:rPr>
          <w:rFonts w:ascii="Arial" w:hAnsi="Arial" w:cs="Arial"/>
          <w:b/>
          <w:bCs/>
          <w:color w:val="595959" w:themeColor="text1" w:themeTint="A6"/>
          <w:sz w:val="24"/>
          <w:szCs w:val="24"/>
        </w:rPr>
      </w:pPr>
      <w:r>
        <w:rPr>
          <w:rFonts w:ascii="Arial" w:hAnsi="Arial" w:cs="Arial"/>
          <w:b/>
          <w:bCs/>
          <w:color w:val="595959" w:themeColor="text1" w:themeTint="A6"/>
          <w:sz w:val="24"/>
          <w:szCs w:val="24"/>
        </w:rPr>
        <w:t>January 2022 Sales</w:t>
      </w:r>
    </w:p>
    <w:p w14:paraId="070D8865" w14:textId="7E0968E3" w:rsidR="007B7C7D" w:rsidRDefault="007B7C7D" w:rsidP="007B7C7D">
      <w:pPr>
        <w:pStyle w:val="NoSpacing"/>
        <w:rPr>
          <w:rFonts w:ascii="Arial" w:hAnsi="Arial" w:cs="Arial"/>
          <w:sz w:val="20"/>
          <w:szCs w:val="20"/>
        </w:rPr>
      </w:pPr>
      <w:r>
        <w:rPr>
          <w:rFonts w:ascii="Arial" w:hAnsi="Arial" w:cs="Arial"/>
          <w:sz w:val="20"/>
          <w:szCs w:val="20"/>
        </w:rPr>
        <w:t xml:space="preserve">January 2022 brought $67 billion in food and beverage sales — up 5.8% over 2021 and 18.6% over 2020. However, inflation played a significant role with year-on-year unit sales down 3.0%. Perishables, including produce, seafood, meat, bakery and deli, had the highest year-over-year </w:t>
      </w:r>
      <w:r w:rsidR="00551D01">
        <w:rPr>
          <w:rFonts w:ascii="Arial" w:hAnsi="Arial" w:cs="Arial"/>
          <w:sz w:val="20"/>
          <w:szCs w:val="20"/>
        </w:rPr>
        <w:t xml:space="preserve">sales </w:t>
      </w:r>
      <w:r>
        <w:rPr>
          <w:rFonts w:ascii="Arial" w:hAnsi="Arial" w:cs="Arial"/>
          <w:sz w:val="20"/>
          <w:szCs w:val="20"/>
        </w:rPr>
        <w:t>growth in 2021, at +6.2%.</w:t>
      </w:r>
      <w:r w:rsidR="00865026">
        <w:rPr>
          <w:rFonts w:ascii="Arial" w:hAnsi="Arial" w:cs="Arial"/>
          <w:sz w:val="20"/>
          <w:szCs w:val="20"/>
        </w:rPr>
        <w:t xml:space="preserve"> However, fresh produce sales gains were below average, at +4.4%.</w:t>
      </w:r>
      <w:r>
        <w:rPr>
          <w:rFonts w:ascii="Arial" w:hAnsi="Arial" w:cs="Arial"/>
          <w:sz w:val="20"/>
          <w:szCs w:val="20"/>
        </w:rPr>
        <w:t xml:space="preserve"> Frozen foods had the highest increase versus 2020, at +26.0%. </w:t>
      </w:r>
    </w:p>
    <w:p w14:paraId="2D363327" w14:textId="77777777" w:rsidR="007B7C7D" w:rsidRDefault="007B7C7D" w:rsidP="007B7C7D">
      <w:pPr>
        <w:pStyle w:val="NoSpacing"/>
        <w:rPr>
          <w:rFonts w:ascii="Arial" w:hAnsi="Arial" w:cs="Arial"/>
          <w:sz w:val="20"/>
          <w:szCs w:val="20"/>
        </w:rPr>
      </w:pPr>
    </w:p>
    <w:tbl>
      <w:tblPr>
        <w:tblStyle w:val="LightShading-Accent5"/>
        <w:tblW w:w="10739" w:type="dxa"/>
        <w:tblInd w:w="108" w:type="dxa"/>
        <w:tblBorders>
          <w:top w:val="none" w:sz="0" w:space="0" w:color="auto"/>
          <w:bottom w:val="none" w:sz="0" w:space="0" w:color="auto"/>
        </w:tblBorders>
        <w:tblLayout w:type="fixed"/>
        <w:tblLook w:val="04A0" w:firstRow="1" w:lastRow="0" w:firstColumn="1" w:lastColumn="0" w:noHBand="0" w:noVBand="1"/>
      </w:tblPr>
      <w:tblGrid>
        <w:gridCol w:w="2430"/>
        <w:gridCol w:w="1014"/>
        <w:gridCol w:w="647"/>
        <w:gridCol w:w="1662"/>
        <w:gridCol w:w="1662"/>
        <w:gridCol w:w="1662"/>
        <w:gridCol w:w="1662"/>
      </w:tblGrid>
      <w:tr w:rsidR="007B7C7D" w:rsidRPr="00706DE2" w14:paraId="7124B18F" w14:textId="77777777" w:rsidTr="006E628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30" w:type="dxa"/>
            <w:vMerge w:val="restart"/>
            <w:tcBorders>
              <w:top w:val="none" w:sz="0" w:space="0" w:color="auto"/>
              <w:left w:val="none" w:sz="0" w:space="0" w:color="auto"/>
              <w:bottom w:val="none" w:sz="0" w:space="0" w:color="auto"/>
              <w:right w:val="none" w:sz="0" w:space="0" w:color="auto"/>
            </w:tcBorders>
            <w:shd w:val="clear" w:color="auto" w:fill="17365D" w:themeFill="text2" w:themeFillShade="BF"/>
            <w:hideMark/>
          </w:tcPr>
          <w:p w14:paraId="13553C4F" w14:textId="77777777" w:rsidR="007B7C7D" w:rsidRPr="00706DE2" w:rsidRDefault="007B7C7D" w:rsidP="006E6284">
            <w:pPr>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January 2022</w:t>
            </w:r>
          </w:p>
        </w:tc>
        <w:tc>
          <w:tcPr>
            <w:tcW w:w="1014"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47F74DB5" w14:textId="77777777" w:rsidR="007B7C7D" w:rsidRPr="00706DE2" w:rsidRDefault="007B7C7D" w:rsidP="006E628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p>
        </w:tc>
        <w:tc>
          <w:tcPr>
            <w:tcW w:w="7295" w:type="dxa"/>
            <w:gridSpan w:val="5"/>
            <w:tcBorders>
              <w:top w:val="none" w:sz="0" w:space="0" w:color="auto"/>
              <w:left w:val="none" w:sz="0" w:space="0" w:color="auto"/>
              <w:bottom w:val="none" w:sz="0" w:space="0" w:color="auto"/>
              <w:right w:val="none" w:sz="0" w:space="0" w:color="auto"/>
            </w:tcBorders>
            <w:shd w:val="clear" w:color="auto" w:fill="17365D" w:themeFill="text2" w:themeFillShade="BF"/>
          </w:tcPr>
          <w:p w14:paraId="756CFCA1" w14:textId="77777777" w:rsidR="007B7C7D" w:rsidRPr="00706DE2" w:rsidRDefault="007B7C7D" w:rsidP="006E628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706DE2">
              <w:rPr>
                <w:rFonts w:ascii="Arial" w:eastAsia="Times New Roman" w:hAnsi="Arial" w:cs="Arial"/>
                <w:color w:val="FFFFFF" w:themeColor="background1"/>
                <w:sz w:val="18"/>
                <w:szCs w:val="20"/>
              </w:rPr>
              <w:t>% sales change</w:t>
            </w:r>
            <w:r>
              <w:rPr>
                <w:rFonts w:ascii="Arial" w:eastAsia="Times New Roman" w:hAnsi="Arial" w:cs="Arial"/>
                <w:color w:val="FFFFFF" w:themeColor="background1"/>
                <w:sz w:val="18"/>
                <w:szCs w:val="20"/>
              </w:rPr>
              <w:t xml:space="preserve"> </w:t>
            </w:r>
            <w:r w:rsidRPr="00706DE2">
              <w:rPr>
                <w:rFonts w:ascii="Arial" w:eastAsia="Times New Roman" w:hAnsi="Arial" w:cs="Arial"/>
                <w:color w:val="FFFFFF" w:themeColor="background1"/>
                <w:sz w:val="18"/>
                <w:szCs w:val="20"/>
              </w:rPr>
              <w:t>versus year ago</w:t>
            </w:r>
          </w:p>
        </w:tc>
      </w:tr>
      <w:tr w:rsidR="007B7C7D" w:rsidRPr="00706DE2" w14:paraId="72C95700" w14:textId="77777777" w:rsidTr="006E6284">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30" w:type="dxa"/>
            <w:vMerge/>
            <w:tcBorders>
              <w:left w:val="none" w:sz="0" w:space="0" w:color="auto"/>
              <w:right w:val="none" w:sz="0" w:space="0" w:color="auto"/>
            </w:tcBorders>
            <w:hideMark/>
          </w:tcPr>
          <w:p w14:paraId="27BCAB91" w14:textId="77777777" w:rsidR="007B7C7D" w:rsidRPr="00706DE2" w:rsidRDefault="007B7C7D" w:rsidP="006E6284">
            <w:pPr>
              <w:rPr>
                <w:rFonts w:ascii="Arial" w:eastAsia="Times New Roman" w:hAnsi="Arial" w:cs="Arial"/>
                <w:color w:val="FFFFFF" w:themeColor="background1"/>
                <w:sz w:val="18"/>
                <w:szCs w:val="20"/>
              </w:rPr>
            </w:pPr>
          </w:p>
        </w:tc>
        <w:tc>
          <w:tcPr>
            <w:tcW w:w="1661" w:type="dxa"/>
            <w:gridSpan w:val="2"/>
            <w:tcBorders>
              <w:left w:val="none" w:sz="0" w:space="0" w:color="auto"/>
              <w:right w:val="none" w:sz="0" w:space="0" w:color="auto"/>
            </w:tcBorders>
            <w:shd w:val="clear" w:color="auto" w:fill="17365D" w:themeFill="text2" w:themeFillShade="BF"/>
          </w:tcPr>
          <w:p w14:paraId="0C0EB3D1" w14:textId="77777777" w:rsidR="007B7C7D"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 xml:space="preserve">Dollar </w:t>
            </w:r>
          </w:p>
          <w:p w14:paraId="2B15201C" w14:textId="77777777" w:rsidR="007B7C7D" w:rsidRPr="00706DE2"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size</w:t>
            </w:r>
          </w:p>
        </w:tc>
        <w:tc>
          <w:tcPr>
            <w:tcW w:w="1662" w:type="dxa"/>
            <w:tcBorders>
              <w:left w:val="none" w:sz="0" w:space="0" w:color="auto"/>
              <w:right w:val="none" w:sz="0" w:space="0" w:color="auto"/>
            </w:tcBorders>
            <w:shd w:val="clear" w:color="auto" w:fill="17365D" w:themeFill="text2" w:themeFillShade="BF"/>
          </w:tcPr>
          <w:p w14:paraId="647D9B13" w14:textId="77777777" w:rsidR="007B7C7D"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sidRPr="00706DE2">
              <w:rPr>
                <w:rFonts w:ascii="Arial" w:eastAsia="Times New Roman" w:hAnsi="Arial" w:cs="Arial"/>
                <w:b/>
                <w:color w:val="FFFFFF" w:themeColor="background1"/>
                <w:sz w:val="18"/>
                <w:szCs w:val="20"/>
              </w:rPr>
              <w:t>Dollar</w:t>
            </w:r>
            <w:r>
              <w:rPr>
                <w:rFonts w:ascii="Arial" w:eastAsia="Times New Roman" w:hAnsi="Arial" w:cs="Arial"/>
                <w:b/>
                <w:color w:val="FFFFFF" w:themeColor="background1"/>
                <w:sz w:val="18"/>
                <w:szCs w:val="20"/>
              </w:rPr>
              <w:t>s</w:t>
            </w:r>
          </w:p>
          <w:p w14:paraId="41B31DFD" w14:textId="77777777" w:rsidR="007B7C7D" w:rsidRPr="00706DE2"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vs. 2021</w:t>
            </w:r>
          </w:p>
        </w:tc>
        <w:tc>
          <w:tcPr>
            <w:tcW w:w="1662" w:type="dxa"/>
            <w:tcBorders>
              <w:left w:val="none" w:sz="0" w:space="0" w:color="auto"/>
              <w:right w:val="none" w:sz="0" w:space="0" w:color="auto"/>
            </w:tcBorders>
            <w:shd w:val="clear" w:color="auto" w:fill="17365D" w:themeFill="text2" w:themeFillShade="BF"/>
          </w:tcPr>
          <w:p w14:paraId="0F9256F1" w14:textId="77777777" w:rsidR="007B7C7D"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 xml:space="preserve">Dollars </w:t>
            </w:r>
            <w:r>
              <w:rPr>
                <w:rFonts w:ascii="Arial" w:eastAsia="Times New Roman" w:hAnsi="Arial" w:cs="Arial"/>
                <w:b/>
                <w:color w:val="FFFFFF" w:themeColor="background1"/>
                <w:sz w:val="18"/>
                <w:szCs w:val="20"/>
              </w:rPr>
              <w:br/>
              <w:t xml:space="preserve"> vs. 2020</w:t>
            </w:r>
          </w:p>
        </w:tc>
        <w:tc>
          <w:tcPr>
            <w:tcW w:w="1662" w:type="dxa"/>
            <w:tcBorders>
              <w:left w:val="none" w:sz="0" w:space="0" w:color="auto"/>
              <w:right w:val="none" w:sz="0" w:space="0" w:color="auto"/>
            </w:tcBorders>
            <w:shd w:val="clear" w:color="auto" w:fill="17365D" w:themeFill="text2" w:themeFillShade="BF"/>
          </w:tcPr>
          <w:p w14:paraId="7C1E21D5" w14:textId="77777777" w:rsidR="007B7C7D" w:rsidRPr="00706DE2"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Units</w:t>
            </w:r>
            <w:r>
              <w:rPr>
                <w:rFonts w:ascii="Arial" w:eastAsia="Times New Roman" w:hAnsi="Arial" w:cs="Arial"/>
                <w:b/>
                <w:color w:val="FFFFFF" w:themeColor="background1"/>
                <w:sz w:val="18"/>
                <w:szCs w:val="20"/>
              </w:rPr>
              <w:br/>
              <w:t xml:space="preserve"> vs. 2021</w:t>
            </w:r>
          </w:p>
        </w:tc>
        <w:tc>
          <w:tcPr>
            <w:tcW w:w="1662" w:type="dxa"/>
            <w:tcBorders>
              <w:left w:val="none" w:sz="0" w:space="0" w:color="auto"/>
              <w:right w:val="none" w:sz="0" w:space="0" w:color="auto"/>
            </w:tcBorders>
            <w:shd w:val="clear" w:color="auto" w:fill="17365D" w:themeFill="text2" w:themeFillShade="BF"/>
          </w:tcPr>
          <w:p w14:paraId="2B04D0C1" w14:textId="77777777" w:rsidR="007B7C7D"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20"/>
              </w:rPr>
            </w:pPr>
            <w:r>
              <w:rPr>
                <w:rFonts w:ascii="Arial" w:eastAsia="Times New Roman" w:hAnsi="Arial" w:cs="Arial"/>
                <w:b/>
                <w:color w:val="FFFFFF" w:themeColor="background1"/>
                <w:sz w:val="18"/>
                <w:szCs w:val="20"/>
              </w:rPr>
              <w:t xml:space="preserve">Units </w:t>
            </w:r>
            <w:r>
              <w:rPr>
                <w:rFonts w:ascii="Arial" w:eastAsia="Times New Roman" w:hAnsi="Arial" w:cs="Arial"/>
                <w:b/>
                <w:color w:val="FFFFFF" w:themeColor="background1"/>
                <w:sz w:val="18"/>
                <w:szCs w:val="20"/>
              </w:rPr>
              <w:br/>
              <w:t xml:space="preserve">vs. 2020 </w:t>
            </w:r>
          </w:p>
        </w:tc>
      </w:tr>
      <w:tr w:rsidR="007B7C7D" w:rsidRPr="00295B72" w14:paraId="0ED5FB59" w14:textId="77777777" w:rsidTr="006E6284">
        <w:trPr>
          <w:trHeight w:val="113"/>
        </w:trPr>
        <w:tc>
          <w:tcPr>
            <w:cnfStyle w:val="001000000000" w:firstRow="0" w:lastRow="0" w:firstColumn="1" w:lastColumn="0" w:oddVBand="0" w:evenVBand="0" w:oddHBand="0" w:evenHBand="0" w:firstRowFirstColumn="0" w:firstRowLastColumn="0" w:lastRowFirstColumn="0" w:lastRowLastColumn="0"/>
            <w:tcW w:w="2430" w:type="dxa"/>
            <w:noWrap/>
            <w:hideMark/>
          </w:tcPr>
          <w:p w14:paraId="311B8181" w14:textId="77777777" w:rsidR="007B7C7D" w:rsidRPr="002F5F30" w:rsidRDefault="007B7C7D" w:rsidP="006E6284">
            <w:pPr>
              <w:rPr>
                <w:rFonts w:ascii="Arial" w:eastAsia="Times New Roman" w:hAnsi="Arial" w:cs="Arial"/>
                <w:b w:val="0"/>
                <w:color w:val="215868" w:themeColor="accent5" w:themeShade="80"/>
                <w:sz w:val="18"/>
                <w:szCs w:val="18"/>
              </w:rPr>
            </w:pPr>
            <w:r w:rsidRPr="002F5F30">
              <w:rPr>
                <w:rFonts w:ascii="Arial" w:eastAsia="Times New Roman" w:hAnsi="Arial" w:cs="Arial"/>
                <w:b w:val="0"/>
                <w:color w:val="215868" w:themeColor="accent5" w:themeShade="80"/>
                <w:sz w:val="18"/>
                <w:szCs w:val="18"/>
              </w:rPr>
              <w:t>Total food and beverages</w:t>
            </w:r>
          </w:p>
        </w:tc>
        <w:tc>
          <w:tcPr>
            <w:tcW w:w="1661" w:type="dxa"/>
            <w:gridSpan w:val="2"/>
          </w:tcPr>
          <w:p w14:paraId="0743F7ED"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67</w:t>
            </w:r>
            <w:r w:rsidRPr="002F5F30">
              <w:rPr>
                <w:rFonts w:ascii="Arial" w:eastAsia="Times New Roman" w:hAnsi="Arial" w:cs="Arial"/>
                <w:color w:val="215868" w:themeColor="accent5" w:themeShade="80"/>
                <w:sz w:val="18"/>
                <w:szCs w:val="18"/>
              </w:rPr>
              <w:t>B</w:t>
            </w:r>
          </w:p>
        </w:tc>
        <w:tc>
          <w:tcPr>
            <w:tcW w:w="1662" w:type="dxa"/>
          </w:tcPr>
          <w:p w14:paraId="558AEC34"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+5.8</w:t>
            </w:r>
            <w:r w:rsidRPr="002F5F30">
              <w:rPr>
                <w:rFonts w:ascii="Arial" w:eastAsia="Times New Roman" w:hAnsi="Arial" w:cs="Arial"/>
                <w:color w:val="215868" w:themeColor="accent5" w:themeShade="80"/>
                <w:sz w:val="18"/>
                <w:szCs w:val="18"/>
              </w:rPr>
              <w:t>%</w:t>
            </w:r>
          </w:p>
        </w:tc>
        <w:tc>
          <w:tcPr>
            <w:tcW w:w="1662" w:type="dxa"/>
          </w:tcPr>
          <w:p w14:paraId="4D946E11"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18.6</w:t>
            </w:r>
            <w:r w:rsidRPr="002F5F30">
              <w:rPr>
                <w:rFonts w:ascii="Arial" w:eastAsia="Times New Roman" w:hAnsi="Arial" w:cs="Arial"/>
                <w:color w:val="215868" w:themeColor="accent5" w:themeShade="80"/>
                <w:sz w:val="18"/>
                <w:szCs w:val="18"/>
              </w:rPr>
              <w:t>%</w:t>
            </w:r>
          </w:p>
        </w:tc>
        <w:tc>
          <w:tcPr>
            <w:tcW w:w="1662" w:type="dxa"/>
          </w:tcPr>
          <w:p w14:paraId="524F6096"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Pr>
                <w:rFonts w:ascii="Arial" w:eastAsia="Times New Roman" w:hAnsi="Arial" w:cs="Arial"/>
                <w:color w:val="215868" w:themeColor="accent5" w:themeShade="80"/>
                <w:sz w:val="18"/>
                <w:szCs w:val="18"/>
              </w:rPr>
              <w:t>-3.0</w:t>
            </w:r>
            <w:r w:rsidRPr="002F5F30">
              <w:rPr>
                <w:rFonts w:ascii="Arial" w:eastAsia="Times New Roman" w:hAnsi="Arial" w:cs="Arial"/>
                <w:color w:val="215868" w:themeColor="accent5" w:themeShade="80"/>
                <w:sz w:val="18"/>
                <w:szCs w:val="18"/>
              </w:rPr>
              <w:t>%</w:t>
            </w:r>
          </w:p>
        </w:tc>
        <w:tc>
          <w:tcPr>
            <w:tcW w:w="1662" w:type="dxa"/>
          </w:tcPr>
          <w:p w14:paraId="4A392F3C"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+2.9%</w:t>
            </w:r>
          </w:p>
        </w:tc>
      </w:tr>
      <w:tr w:rsidR="007B7C7D" w:rsidRPr="00295B72" w14:paraId="640C72A1" w14:textId="77777777" w:rsidTr="006E628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30" w:type="dxa"/>
            <w:tcBorders>
              <w:left w:val="none" w:sz="0" w:space="0" w:color="auto"/>
              <w:right w:val="none" w:sz="0" w:space="0" w:color="auto"/>
            </w:tcBorders>
            <w:noWrap/>
          </w:tcPr>
          <w:p w14:paraId="4218440C" w14:textId="77777777" w:rsidR="007B7C7D" w:rsidRPr="002F5F30" w:rsidRDefault="007B7C7D" w:rsidP="006E6284">
            <w:pPr>
              <w:rPr>
                <w:rFonts w:ascii="Arial" w:eastAsia="Times New Roman" w:hAnsi="Arial" w:cs="Arial"/>
                <w:b w:val="0"/>
                <w:color w:val="215868" w:themeColor="accent5" w:themeShade="80"/>
                <w:sz w:val="18"/>
                <w:szCs w:val="18"/>
              </w:rPr>
            </w:pPr>
            <w:r w:rsidRPr="002F5F30">
              <w:rPr>
                <w:rFonts w:ascii="Arial" w:eastAsia="Times New Roman" w:hAnsi="Arial" w:cs="Arial"/>
                <w:b w:val="0"/>
                <w:color w:val="215868" w:themeColor="accent5" w:themeShade="80"/>
                <w:sz w:val="18"/>
                <w:szCs w:val="18"/>
              </w:rPr>
              <w:t>Total perishables</w:t>
            </w:r>
          </w:p>
        </w:tc>
        <w:tc>
          <w:tcPr>
            <w:tcW w:w="1661" w:type="dxa"/>
            <w:gridSpan w:val="2"/>
            <w:tcBorders>
              <w:left w:val="none" w:sz="0" w:space="0" w:color="auto"/>
              <w:right w:val="none" w:sz="0" w:space="0" w:color="auto"/>
            </w:tcBorders>
          </w:tcPr>
          <w:p w14:paraId="37F75B79" w14:textId="77777777" w:rsidR="007B7C7D" w:rsidRPr="002F5F30"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$31</w:t>
            </w:r>
            <w:r w:rsidRPr="002F5F30">
              <w:rPr>
                <w:rFonts w:ascii="Arial" w:eastAsia="Times New Roman" w:hAnsi="Arial" w:cs="Arial"/>
                <w:color w:val="215868" w:themeColor="accent5" w:themeShade="80"/>
                <w:sz w:val="18"/>
                <w:szCs w:val="18"/>
              </w:rPr>
              <w:t>B</w:t>
            </w:r>
          </w:p>
        </w:tc>
        <w:tc>
          <w:tcPr>
            <w:tcW w:w="1662" w:type="dxa"/>
            <w:tcBorders>
              <w:left w:val="none" w:sz="0" w:space="0" w:color="auto"/>
              <w:right w:val="none" w:sz="0" w:space="0" w:color="auto"/>
            </w:tcBorders>
          </w:tcPr>
          <w:p w14:paraId="277D0601" w14:textId="77777777" w:rsidR="007B7C7D" w:rsidRPr="002F5F30"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+6.2</w:t>
            </w:r>
            <w:r w:rsidRPr="002F5F30">
              <w:rPr>
                <w:rFonts w:ascii="Arial" w:eastAsia="Times New Roman" w:hAnsi="Arial" w:cs="Arial"/>
                <w:color w:val="215868" w:themeColor="accent5" w:themeShade="80"/>
                <w:sz w:val="18"/>
                <w:szCs w:val="18"/>
              </w:rPr>
              <w:t>%</w:t>
            </w:r>
          </w:p>
        </w:tc>
        <w:tc>
          <w:tcPr>
            <w:tcW w:w="1662" w:type="dxa"/>
            <w:tcBorders>
              <w:left w:val="none" w:sz="0" w:space="0" w:color="auto"/>
              <w:right w:val="none" w:sz="0" w:space="0" w:color="auto"/>
            </w:tcBorders>
          </w:tcPr>
          <w:p w14:paraId="025C0E10" w14:textId="77777777" w:rsidR="007B7C7D" w:rsidRPr="002F5F30"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18.0</w:t>
            </w:r>
            <w:r w:rsidRPr="002F5F30">
              <w:rPr>
                <w:rFonts w:ascii="Arial" w:eastAsia="Times New Roman" w:hAnsi="Arial" w:cs="Arial"/>
                <w:color w:val="215868" w:themeColor="accent5" w:themeShade="80"/>
                <w:sz w:val="18"/>
                <w:szCs w:val="18"/>
              </w:rPr>
              <w:t>%</w:t>
            </w:r>
          </w:p>
        </w:tc>
        <w:tc>
          <w:tcPr>
            <w:tcW w:w="1662" w:type="dxa"/>
            <w:tcBorders>
              <w:left w:val="none" w:sz="0" w:space="0" w:color="auto"/>
              <w:right w:val="none" w:sz="0" w:space="0" w:color="auto"/>
            </w:tcBorders>
          </w:tcPr>
          <w:p w14:paraId="20942A0C" w14:textId="77777777" w:rsidR="007B7C7D" w:rsidRPr="002F5F30" w:rsidRDefault="007B7C7D" w:rsidP="006E6284">
            <w:pPr>
              <w:jc w:val="right"/>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2.9</w:t>
            </w:r>
            <w:r w:rsidRPr="002F5F30">
              <w:rPr>
                <w:rFonts w:ascii="Arial" w:eastAsia="Times New Roman" w:hAnsi="Arial" w:cs="Arial"/>
                <w:color w:val="215868" w:themeColor="accent5" w:themeShade="80"/>
                <w:sz w:val="18"/>
                <w:szCs w:val="18"/>
              </w:rPr>
              <w:t>%</w:t>
            </w:r>
          </w:p>
        </w:tc>
        <w:tc>
          <w:tcPr>
            <w:tcW w:w="1662" w:type="dxa"/>
            <w:tcBorders>
              <w:left w:val="none" w:sz="0" w:space="0" w:color="auto"/>
              <w:right w:val="none" w:sz="0" w:space="0" w:color="auto"/>
            </w:tcBorders>
          </w:tcPr>
          <w:p w14:paraId="6F1DC49B" w14:textId="77777777" w:rsidR="007B7C7D" w:rsidRPr="002F5F30"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+2.6%</w:t>
            </w:r>
          </w:p>
        </w:tc>
      </w:tr>
      <w:tr w:rsidR="007B7C7D" w:rsidRPr="00A30CAC" w14:paraId="3817523B" w14:textId="77777777" w:rsidTr="006E6284">
        <w:trPr>
          <w:trHeight w:val="113"/>
        </w:trPr>
        <w:tc>
          <w:tcPr>
            <w:cnfStyle w:val="001000000000" w:firstRow="0" w:lastRow="0" w:firstColumn="1" w:lastColumn="0" w:oddVBand="0" w:evenVBand="0" w:oddHBand="0" w:evenHBand="0" w:firstRowFirstColumn="0" w:firstRowLastColumn="0" w:lastRowFirstColumn="0" w:lastRowLastColumn="0"/>
            <w:tcW w:w="2430" w:type="dxa"/>
            <w:noWrap/>
          </w:tcPr>
          <w:p w14:paraId="4C96824C" w14:textId="77777777" w:rsidR="007B7C7D" w:rsidRPr="002F5F30" w:rsidRDefault="007B7C7D" w:rsidP="006E6284">
            <w:pPr>
              <w:rPr>
                <w:rFonts w:ascii="Arial" w:eastAsia="Times New Roman" w:hAnsi="Arial" w:cs="Arial"/>
                <w:b w:val="0"/>
                <w:color w:val="215868" w:themeColor="accent5" w:themeShade="80"/>
                <w:sz w:val="18"/>
                <w:szCs w:val="18"/>
              </w:rPr>
            </w:pPr>
            <w:r w:rsidRPr="002F5F30">
              <w:rPr>
                <w:rFonts w:ascii="Arial" w:eastAsia="Times New Roman" w:hAnsi="Arial" w:cs="Arial"/>
                <w:b w:val="0"/>
                <w:color w:val="215868" w:themeColor="accent5" w:themeShade="80"/>
                <w:sz w:val="18"/>
                <w:szCs w:val="18"/>
              </w:rPr>
              <w:t>Total frozen</w:t>
            </w:r>
          </w:p>
        </w:tc>
        <w:tc>
          <w:tcPr>
            <w:tcW w:w="1661" w:type="dxa"/>
            <w:gridSpan w:val="2"/>
          </w:tcPr>
          <w:p w14:paraId="45118875"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Pr>
                <w:rFonts w:ascii="Arial" w:eastAsia="Times New Roman" w:hAnsi="Arial" w:cs="Arial"/>
                <w:color w:val="215868" w:themeColor="accent5" w:themeShade="80"/>
                <w:sz w:val="18"/>
                <w:szCs w:val="18"/>
              </w:rPr>
              <w:t>$7</w:t>
            </w:r>
            <w:r w:rsidRPr="002F5F30">
              <w:rPr>
                <w:rFonts w:ascii="Arial" w:eastAsia="Times New Roman" w:hAnsi="Arial" w:cs="Arial"/>
                <w:color w:val="215868" w:themeColor="accent5" w:themeShade="80"/>
                <w:sz w:val="18"/>
                <w:szCs w:val="18"/>
              </w:rPr>
              <w:t>B</w:t>
            </w:r>
          </w:p>
        </w:tc>
        <w:tc>
          <w:tcPr>
            <w:tcW w:w="1662" w:type="dxa"/>
          </w:tcPr>
          <w:p w14:paraId="4CACCB17"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+5.7</w:t>
            </w:r>
            <w:r w:rsidRPr="002F5F30">
              <w:rPr>
                <w:rFonts w:ascii="Arial" w:eastAsia="Times New Roman" w:hAnsi="Arial" w:cs="Arial"/>
                <w:color w:val="215868" w:themeColor="accent5" w:themeShade="80"/>
                <w:sz w:val="18"/>
                <w:szCs w:val="18"/>
              </w:rPr>
              <w:t>%</w:t>
            </w:r>
          </w:p>
        </w:tc>
        <w:tc>
          <w:tcPr>
            <w:tcW w:w="1662" w:type="dxa"/>
          </w:tcPr>
          <w:p w14:paraId="1BF8225A"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2F5F30">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26.0</w:t>
            </w:r>
            <w:r w:rsidRPr="002F5F30">
              <w:rPr>
                <w:rFonts w:ascii="Arial" w:eastAsia="Times New Roman" w:hAnsi="Arial" w:cs="Arial"/>
                <w:color w:val="215868" w:themeColor="accent5" w:themeShade="80"/>
                <w:sz w:val="18"/>
                <w:szCs w:val="18"/>
              </w:rPr>
              <w:t>%</w:t>
            </w:r>
          </w:p>
        </w:tc>
        <w:tc>
          <w:tcPr>
            <w:tcW w:w="1662" w:type="dxa"/>
          </w:tcPr>
          <w:p w14:paraId="194A86E0" w14:textId="77777777" w:rsidR="007B7C7D" w:rsidRPr="002F5F30" w:rsidRDefault="007B7C7D" w:rsidP="006E6284">
            <w:pPr>
              <w:jc w:val="right"/>
              <w:cnfStyle w:val="000000000000" w:firstRow="0" w:lastRow="0" w:firstColumn="0" w:lastColumn="0" w:oddVBand="0" w:evenVBand="0" w:oddHBand="0" w:evenHBand="0" w:firstRowFirstColumn="0" w:firstRowLastColumn="0" w:lastRowFirstColumn="0" w:lastRowLastColumn="0"/>
              <w:rPr>
                <w:color w:val="215868" w:themeColor="accent5" w:themeShade="80"/>
              </w:rPr>
            </w:pPr>
            <w:r>
              <w:rPr>
                <w:rFonts w:ascii="Arial" w:eastAsia="Times New Roman" w:hAnsi="Arial" w:cs="Arial"/>
                <w:color w:val="215868" w:themeColor="accent5" w:themeShade="80"/>
                <w:sz w:val="18"/>
                <w:szCs w:val="18"/>
              </w:rPr>
              <w:t>-3.6</w:t>
            </w:r>
            <w:r w:rsidRPr="002F5F30">
              <w:rPr>
                <w:rFonts w:ascii="Arial" w:eastAsia="Times New Roman" w:hAnsi="Arial" w:cs="Arial"/>
                <w:color w:val="215868" w:themeColor="accent5" w:themeShade="80"/>
                <w:sz w:val="18"/>
                <w:szCs w:val="18"/>
              </w:rPr>
              <w:t>%</w:t>
            </w:r>
          </w:p>
        </w:tc>
        <w:tc>
          <w:tcPr>
            <w:tcW w:w="1662" w:type="dxa"/>
          </w:tcPr>
          <w:p w14:paraId="5B251158" w14:textId="77777777" w:rsidR="007B7C7D" w:rsidRDefault="007B7C7D"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+8.4%</w:t>
            </w:r>
          </w:p>
        </w:tc>
      </w:tr>
      <w:tr w:rsidR="007B7C7D" w:rsidRPr="007B7C7D" w14:paraId="474B4A14" w14:textId="77777777" w:rsidTr="006E6284">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30" w:type="dxa"/>
            <w:noWrap/>
          </w:tcPr>
          <w:p w14:paraId="05BDC399" w14:textId="08E1B4BA" w:rsidR="007B7C7D" w:rsidRPr="007B7C7D" w:rsidRDefault="007B7C7D" w:rsidP="006E6284">
            <w:pPr>
              <w:rPr>
                <w:rFonts w:ascii="Arial" w:eastAsia="Times New Roman" w:hAnsi="Arial" w:cs="Arial"/>
                <w:b w:val="0"/>
                <w:bCs w:val="0"/>
                <w:color w:val="215868" w:themeColor="accent5" w:themeShade="80"/>
                <w:sz w:val="18"/>
                <w:szCs w:val="18"/>
              </w:rPr>
            </w:pPr>
            <w:r w:rsidRPr="007B7C7D">
              <w:rPr>
                <w:rFonts w:ascii="Arial" w:eastAsia="Times New Roman" w:hAnsi="Arial" w:cs="Arial"/>
                <w:b w:val="0"/>
                <w:bCs w:val="0"/>
                <w:color w:val="215868" w:themeColor="accent5" w:themeShade="80"/>
                <w:sz w:val="18"/>
                <w:szCs w:val="18"/>
              </w:rPr>
              <w:t>Total fresh produce</w:t>
            </w:r>
          </w:p>
        </w:tc>
        <w:tc>
          <w:tcPr>
            <w:tcW w:w="1661" w:type="dxa"/>
            <w:gridSpan w:val="2"/>
          </w:tcPr>
          <w:p w14:paraId="5C0584B8" w14:textId="63E62266" w:rsidR="007B7C7D" w:rsidRPr="007B7C7D" w:rsidRDefault="007B7C7D"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$7B</w:t>
            </w:r>
          </w:p>
        </w:tc>
        <w:tc>
          <w:tcPr>
            <w:tcW w:w="1662" w:type="dxa"/>
          </w:tcPr>
          <w:p w14:paraId="5AC17344" w14:textId="31289F14" w:rsidR="007B7C7D" w:rsidRPr="007B7C7D" w:rsidRDefault="00865026"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+4.4%</w:t>
            </w:r>
          </w:p>
        </w:tc>
        <w:tc>
          <w:tcPr>
            <w:tcW w:w="1662" w:type="dxa"/>
          </w:tcPr>
          <w:p w14:paraId="4A6FCB2C" w14:textId="30077C42" w:rsidR="007B7C7D" w:rsidRPr="007B7C7D" w:rsidRDefault="00865026"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+15.6%</w:t>
            </w:r>
          </w:p>
        </w:tc>
        <w:tc>
          <w:tcPr>
            <w:tcW w:w="1662" w:type="dxa"/>
          </w:tcPr>
          <w:p w14:paraId="3DD23E29" w14:textId="555FBB27" w:rsidR="007B7C7D" w:rsidRPr="007B7C7D" w:rsidRDefault="00865026"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-4.3%</w:t>
            </w:r>
          </w:p>
        </w:tc>
        <w:tc>
          <w:tcPr>
            <w:tcW w:w="1662" w:type="dxa"/>
          </w:tcPr>
          <w:p w14:paraId="45A7894E" w14:textId="00FC63FA" w:rsidR="007B7C7D" w:rsidRPr="007B7C7D" w:rsidRDefault="00865026"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+3.3%</w:t>
            </w:r>
          </w:p>
        </w:tc>
      </w:tr>
    </w:tbl>
    <w:p w14:paraId="71BA8589" w14:textId="77777777" w:rsidR="007B7C7D" w:rsidRPr="00B64ECF" w:rsidRDefault="007B7C7D" w:rsidP="007B7C7D">
      <w:pPr>
        <w:pStyle w:val="NoSpacing"/>
        <w:rPr>
          <w:rFonts w:ascii="Arial" w:hAnsi="Arial" w:cs="Arial"/>
          <w:sz w:val="12"/>
          <w:szCs w:val="16"/>
        </w:rPr>
      </w:pPr>
    </w:p>
    <w:p w14:paraId="1BA1CC63" w14:textId="77777777" w:rsidR="007B7C7D" w:rsidRPr="00A04CFB" w:rsidRDefault="007B7C7D" w:rsidP="007B7C7D">
      <w:pPr>
        <w:pStyle w:val="NoSpacing"/>
        <w:rPr>
          <w:rFonts w:ascii="Arial" w:hAnsi="Arial" w:cs="Arial"/>
          <w:color w:val="7F7F7F" w:themeColor="text1" w:themeTint="80"/>
          <w:sz w:val="16"/>
          <w:szCs w:val="16"/>
        </w:rPr>
      </w:pPr>
      <w:r w:rsidRPr="00A04CFB">
        <w:rPr>
          <w:rFonts w:ascii="Arial" w:hAnsi="Arial" w:cs="Arial"/>
          <w:color w:val="7F7F7F" w:themeColor="text1" w:themeTint="80"/>
          <w:sz w:val="16"/>
          <w:szCs w:val="16"/>
        </w:rPr>
        <w:t>Source: IRI, Integrated Fresh, Total US, MULO</w:t>
      </w:r>
    </w:p>
    <w:p w14:paraId="6E461028" w14:textId="77777777" w:rsidR="004349A0" w:rsidRPr="00B64ECF" w:rsidRDefault="004349A0" w:rsidP="004349A0">
      <w:pPr>
        <w:pStyle w:val="NoSpacing"/>
        <w:rPr>
          <w:rFonts w:ascii="Arial" w:hAnsi="Arial" w:cs="Arial"/>
          <w:sz w:val="12"/>
          <w:szCs w:val="16"/>
        </w:rPr>
      </w:pPr>
    </w:p>
    <w:p w14:paraId="014557AB" w14:textId="77777777" w:rsidR="00CF43CE" w:rsidRDefault="00CF43CE" w:rsidP="00CF43CE">
      <w:pPr>
        <w:pStyle w:val="NoSpacing"/>
        <w:rPr>
          <w:rFonts w:ascii="Arial" w:hAnsi="Arial" w:cs="Arial"/>
          <w:sz w:val="20"/>
          <w:szCs w:val="20"/>
        </w:rPr>
      </w:pPr>
    </w:p>
    <w:p w14:paraId="5C40F56A" w14:textId="5DE00FC2" w:rsidR="001C641C" w:rsidRDefault="001C641C" w:rsidP="00CF43CE">
      <w:pPr>
        <w:pStyle w:val="NoSpacing"/>
        <w:rPr>
          <w:rFonts w:ascii="Arial" w:hAnsi="Arial" w:cs="Arial"/>
          <w:sz w:val="20"/>
          <w:szCs w:val="20"/>
        </w:rPr>
      </w:pPr>
      <w:r>
        <w:rPr>
          <w:rFonts w:ascii="Arial" w:hAnsi="Arial" w:cs="Arial"/>
          <w:sz w:val="20"/>
          <w:szCs w:val="20"/>
        </w:rPr>
        <w:t xml:space="preserve">From a dollar sales perspective, </w:t>
      </w:r>
      <w:r w:rsidR="00647DD6">
        <w:rPr>
          <w:rFonts w:ascii="Arial" w:hAnsi="Arial" w:cs="Arial"/>
          <w:sz w:val="20"/>
          <w:szCs w:val="20"/>
        </w:rPr>
        <w:t xml:space="preserve">January 2022 </w:t>
      </w:r>
      <w:r>
        <w:rPr>
          <w:rFonts w:ascii="Arial" w:hAnsi="Arial" w:cs="Arial"/>
          <w:sz w:val="20"/>
          <w:szCs w:val="20"/>
        </w:rPr>
        <w:t xml:space="preserve">was another great </w:t>
      </w:r>
      <w:r w:rsidR="00EB28C1">
        <w:rPr>
          <w:rFonts w:ascii="Arial" w:hAnsi="Arial" w:cs="Arial"/>
          <w:sz w:val="20"/>
          <w:szCs w:val="20"/>
        </w:rPr>
        <w:t xml:space="preserve">month </w:t>
      </w:r>
      <w:r w:rsidR="00A84CAB">
        <w:rPr>
          <w:rFonts w:ascii="Arial" w:hAnsi="Arial" w:cs="Arial"/>
          <w:sz w:val="20"/>
          <w:szCs w:val="20"/>
        </w:rPr>
        <w:t>for fresh produce</w:t>
      </w:r>
      <w:r>
        <w:rPr>
          <w:rFonts w:ascii="Arial" w:hAnsi="Arial" w:cs="Arial"/>
          <w:sz w:val="20"/>
          <w:szCs w:val="20"/>
        </w:rPr>
        <w:t>, surpassing the records set in 2020</w:t>
      </w:r>
      <w:r w:rsidR="002741C9">
        <w:rPr>
          <w:rFonts w:ascii="Arial" w:hAnsi="Arial" w:cs="Arial"/>
          <w:sz w:val="20"/>
          <w:szCs w:val="20"/>
        </w:rPr>
        <w:t xml:space="preserve"> and 2021</w:t>
      </w:r>
      <w:r>
        <w:rPr>
          <w:rFonts w:ascii="Arial" w:hAnsi="Arial" w:cs="Arial"/>
          <w:sz w:val="20"/>
          <w:szCs w:val="20"/>
        </w:rPr>
        <w:t>. However, dollar gains were inflation</w:t>
      </w:r>
      <w:r w:rsidR="00551D01">
        <w:rPr>
          <w:rFonts w:ascii="Arial" w:hAnsi="Arial" w:cs="Arial"/>
          <w:sz w:val="20"/>
          <w:szCs w:val="20"/>
        </w:rPr>
        <w:t>-</w:t>
      </w:r>
      <w:r>
        <w:rPr>
          <w:rFonts w:ascii="Arial" w:hAnsi="Arial" w:cs="Arial"/>
          <w:sz w:val="20"/>
          <w:szCs w:val="20"/>
        </w:rPr>
        <w:t xml:space="preserve">boosted </w:t>
      </w:r>
      <w:r w:rsidR="00551D01">
        <w:rPr>
          <w:rFonts w:ascii="Arial" w:hAnsi="Arial" w:cs="Arial"/>
          <w:sz w:val="20"/>
          <w:szCs w:val="20"/>
        </w:rPr>
        <w:t>while</w:t>
      </w:r>
      <w:r>
        <w:rPr>
          <w:rFonts w:ascii="Arial" w:hAnsi="Arial" w:cs="Arial"/>
          <w:sz w:val="20"/>
          <w:szCs w:val="20"/>
        </w:rPr>
        <w:t xml:space="preserve"> units and volume sales declined year-on-year. “</w:t>
      </w:r>
      <w:r w:rsidR="002741C9">
        <w:rPr>
          <w:rFonts w:ascii="Arial" w:hAnsi="Arial" w:cs="Arial"/>
          <w:sz w:val="20"/>
          <w:szCs w:val="20"/>
        </w:rPr>
        <w:t>The risk in the current levels of inflation is volume pressure</w:t>
      </w:r>
      <w:r w:rsidR="00667BC4">
        <w:rPr>
          <w:rFonts w:ascii="Arial" w:hAnsi="Arial" w:cs="Arial"/>
          <w:sz w:val="20"/>
          <w:szCs w:val="20"/>
        </w:rPr>
        <w:t>,” said Watson. “</w:t>
      </w:r>
      <w:r w:rsidR="002741C9">
        <w:rPr>
          <w:rFonts w:ascii="Arial" w:hAnsi="Arial" w:cs="Arial"/>
          <w:sz w:val="20"/>
          <w:szCs w:val="20"/>
        </w:rPr>
        <w:t>At the same time, it is hard to measure the effect of supply chain disruption, several winter storms affecting the Northeast and the impact of frozen and canned purchases on fresh produce sales</w:t>
      </w:r>
      <w:r>
        <w:rPr>
          <w:rFonts w:ascii="Arial" w:hAnsi="Arial" w:cs="Arial"/>
          <w:sz w:val="20"/>
          <w:szCs w:val="20"/>
        </w:rPr>
        <w:t>.</w:t>
      </w:r>
      <w:r w:rsidR="002741C9">
        <w:rPr>
          <w:rFonts w:ascii="Arial" w:hAnsi="Arial" w:cs="Arial"/>
          <w:sz w:val="20"/>
          <w:szCs w:val="20"/>
        </w:rPr>
        <w:t xml:space="preserve"> In all, January 2022 sales still tracked ahead</w:t>
      </w:r>
      <w:r w:rsidR="009D7889">
        <w:rPr>
          <w:rFonts w:ascii="Arial" w:hAnsi="Arial" w:cs="Arial"/>
          <w:sz w:val="20"/>
          <w:szCs w:val="20"/>
        </w:rPr>
        <w:t xml:space="preserve"> of January 2020, which was not yet affected by the pandemic purchase patterns.</w:t>
      </w:r>
      <w:r w:rsidR="00A84CAB">
        <w:rPr>
          <w:rFonts w:ascii="Arial" w:hAnsi="Arial" w:cs="Arial"/>
          <w:sz w:val="20"/>
          <w:szCs w:val="20"/>
        </w:rPr>
        <w:t>”</w:t>
      </w:r>
      <w:r>
        <w:rPr>
          <w:rFonts w:ascii="Arial" w:hAnsi="Arial" w:cs="Arial"/>
          <w:sz w:val="20"/>
          <w:szCs w:val="20"/>
        </w:rPr>
        <w:t xml:space="preserve">  </w:t>
      </w:r>
    </w:p>
    <w:p w14:paraId="4313C97D" w14:textId="77777777" w:rsidR="00E97D52" w:rsidRDefault="00E97D52" w:rsidP="00CF43CE">
      <w:pPr>
        <w:pStyle w:val="NoSpacing"/>
        <w:rPr>
          <w:rFonts w:ascii="Arial" w:hAnsi="Arial" w:cs="Arial"/>
          <w:sz w:val="20"/>
          <w:szCs w:val="20"/>
        </w:rPr>
      </w:pPr>
    </w:p>
    <w:tbl>
      <w:tblPr>
        <w:tblStyle w:val="LightShading-Accent5"/>
        <w:tblW w:w="10728" w:type="dxa"/>
        <w:tblBorders>
          <w:top w:val="none" w:sz="0" w:space="0" w:color="auto"/>
          <w:bottom w:val="none" w:sz="0" w:space="0" w:color="auto"/>
        </w:tblBorders>
        <w:tblLayout w:type="fixed"/>
        <w:tblLook w:val="04A0" w:firstRow="1" w:lastRow="0" w:firstColumn="1" w:lastColumn="0" w:noHBand="0" w:noVBand="1"/>
      </w:tblPr>
      <w:tblGrid>
        <w:gridCol w:w="1872"/>
        <w:gridCol w:w="1265"/>
        <w:gridCol w:w="1265"/>
        <w:gridCol w:w="1265"/>
        <w:gridCol w:w="1265"/>
        <w:gridCol w:w="1265"/>
        <w:gridCol w:w="1265"/>
        <w:gridCol w:w="1266"/>
      </w:tblGrid>
      <w:tr w:rsidR="001729EA" w:rsidRPr="001729EA" w14:paraId="5E5E5D5E" w14:textId="77777777" w:rsidTr="001729EA">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17365D" w:themeFill="text2" w:themeFillShade="BF"/>
            <w:hideMark/>
          </w:tcPr>
          <w:p w14:paraId="69258784" w14:textId="724D9E39" w:rsidR="001729EA" w:rsidRPr="001729EA" w:rsidRDefault="00865026" w:rsidP="00E97D52">
            <w:pPr>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 xml:space="preserve">January </w:t>
            </w:r>
            <w:r w:rsidR="001729EA" w:rsidRPr="001729EA">
              <w:rPr>
                <w:rFonts w:ascii="Arial" w:eastAsia="Times New Roman" w:hAnsi="Arial" w:cs="Arial"/>
                <w:color w:val="FFFFFF" w:themeColor="background1"/>
                <w:sz w:val="18"/>
                <w:szCs w:val="20"/>
              </w:rPr>
              <w:t>202</w:t>
            </w:r>
            <w:r w:rsidR="0038781D">
              <w:rPr>
                <w:rFonts w:ascii="Arial" w:eastAsia="Times New Roman" w:hAnsi="Arial" w:cs="Arial"/>
                <w:color w:val="FFFFFF" w:themeColor="background1"/>
                <w:sz w:val="18"/>
                <w:szCs w:val="20"/>
              </w:rPr>
              <w:t>2</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5FCCBB40"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size</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C388075"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growth vs. ‘2</w:t>
            </w:r>
            <w:r w:rsidR="0038781D">
              <w:rPr>
                <w:rFonts w:ascii="Arial" w:eastAsia="Times New Roman" w:hAnsi="Arial" w:cs="Arial"/>
                <w:color w:val="FFFFFF" w:themeColor="background1"/>
                <w:sz w:val="18"/>
                <w:szCs w:val="20"/>
              </w:rPr>
              <w:t>1</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EA4EC29"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growth vs. ‘</w:t>
            </w:r>
            <w:r w:rsidR="0038781D">
              <w:rPr>
                <w:rFonts w:ascii="Arial" w:eastAsia="Times New Roman" w:hAnsi="Arial" w:cs="Arial"/>
                <w:color w:val="FFFFFF" w:themeColor="background1"/>
                <w:sz w:val="18"/>
                <w:szCs w:val="20"/>
              </w:rPr>
              <w:t>20</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0804AAB4"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Unit growth vs. ‘2</w:t>
            </w:r>
            <w:r w:rsidR="0038781D">
              <w:rPr>
                <w:rFonts w:ascii="Arial" w:eastAsia="Times New Roman" w:hAnsi="Arial" w:cs="Arial"/>
                <w:color w:val="FFFFFF" w:themeColor="background1"/>
                <w:sz w:val="18"/>
                <w:szCs w:val="20"/>
              </w:rPr>
              <w:t>1</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6156BA5"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Unit growth vs. ‘</w:t>
            </w:r>
            <w:r w:rsidR="0038781D">
              <w:rPr>
                <w:rFonts w:ascii="Arial" w:eastAsia="Times New Roman" w:hAnsi="Arial" w:cs="Arial"/>
                <w:color w:val="FFFFFF" w:themeColor="background1"/>
                <w:sz w:val="18"/>
                <w:szCs w:val="20"/>
              </w:rPr>
              <w:t>20</w:t>
            </w:r>
          </w:p>
        </w:tc>
        <w:tc>
          <w:tcPr>
            <w:tcW w:w="126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6ECF71E1"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Volume growth vs. ‘2</w:t>
            </w:r>
            <w:r w:rsidR="0038781D">
              <w:rPr>
                <w:rFonts w:ascii="Arial" w:eastAsia="Times New Roman" w:hAnsi="Arial" w:cs="Arial"/>
                <w:color w:val="FFFFFF" w:themeColor="background1"/>
                <w:sz w:val="18"/>
                <w:szCs w:val="20"/>
              </w:rPr>
              <w:t>1</w:t>
            </w:r>
          </w:p>
        </w:tc>
        <w:tc>
          <w:tcPr>
            <w:tcW w:w="1266"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750B5E2" w14:textId="77777777" w:rsidR="001729EA" w:rsidRPr="001729EA" w:rsidRDefault="001729EA" w:rsidP="00E97D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Volume growth vs. ‘</w:t>
            </w:r>
            <w:r w:rsidR="0038781D">
              <w:rPr>
                <w:rFonts w:ascii="Arial" w:eastAsia="Times New Roman" w:hAnsi="Arial" w:cs="Arial"/>
                <w:color w:val="FFFFFF" w:themeColor="background1"/>
                <w:sz w:val="18"/>
                <w:szCs w:val="20"/>
              </w:rPr>
              <w:t>20</w:t>
            </w:r>
          </w:p>
        </w:tc>
      </w:tr>
      <w:tr w:rsidR="001729EA" w:rsidRPr="000A733E" w14:paraId="4C79F54A" w14:textId="77777777" w:rsidTr="001729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72" w:type="dxa"/>
            <w:tcBorders>
              <w:left w:val="none" w:sz="0" w:space="0" w:color="auto"/>
              <w:right w:val="none" w:sz="0" w:space="0" w:color="auto"/>
            </w:tcBorders>
            <w:noWrap/>
          </w:tcPr>
          <w:p w14:paraId="6530B6D0" w14:textId="77777777" w:rsidR="001729EA" w:rsidRPr="000A733E" w:rsidRDefault="001729EA" w:rsidP="00E97D52">
            <w:pPr>
              <w:rPr>
                <w:rFonts w:ascii="Arial" w:eastAsia="Times New Roman" w:hAnsi="Arial" w:cs="Arial"/>
                <w:b w:val="0"/>
                <w:color w:val="17365D" w:themeColor="text2" w:themeShade="BF"/>
                <w:sz w:val="18"/>
                <w:szCs w:val="18"/>
              </w:rPr>
            </w:pPr>
            <w:r>
              <w:rPr>
                <w:rFonts w:ascii="Arial" w:eastAsia="Times New Roman" w:hAnsi="Arial" w:cs="Arial"/>
                <w:b w:val="0"/>
                <w:color w:val="17365D" w:themeColor="text2" w:themeShade="BF"/>
                <w:sz w:val="18"/>
                <w:szCs w:val="18"/>
              </w:rPr>
              <w:t>Total fresh produce</w:t>
            </w:r>
          </w:p>
        </w:tc>
        <w:tc>
          <w:tcPr>
            <w:tcW w:w="1265" w:type="dxa"/>
            <w:tcBorders>
              <w:left w:val="none" w:sz="0" w:space="0" w:color="auto"/>
              <w:right w:val="none" w:sz="0" w:space="0" w:color="auto"/>
            </w:tcBorders>
            <w:vAlign w:val="center"/>
          </w:tcPr>
          <w:p w14:paraId="18E23756" w14:textId="5CA7AF10"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E97D52">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6.9</w:t>
            </w:r>
            <w:r w:rsidRPr="00E97D52">
              <w:rPr>
                <w:rFonts w:ascii="Arial" w:eastAsia="Times New Roman" w:hAnsi="Arial" w:cs="Arial"/>
                <w:color w:val="17365D" w:themeColor="text2" w:themeShade="BF"/>
                <w:sz w:val="18"/>
                <w:szCs w:val="18"/>
              </w:rPr>
              <w:t>B</w:t>
            </w:r>
          </w:p>
        </w:tc>
        <w:tc>
          <w:tcPr>
            <w:tcW w:w="1265" w:type="dxa"/>
            <w:tcBorders>
              <w:left w:val="none" w:sz="0" w:space="0" w:color="auto"/>
              <w:right w:val="none" w:sz="0" w:space="0" w:color="auto"/>
            </w:tcBorders>
          </w:tcPr>
          <w:p w14:paraId="397195B1" w14:textId="209EC446"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591300">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4.4</w:t>
            </w:r>
            <w:r w:rsidRPr="00591300">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55886AA9" w14:textId="2D5D8945"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sidRPr="00591300">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15.6</w:t>
            </w:r>
            <w:r w:rsidRPr="00591300">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6D70BA8C" w14:textId="656F23CD"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0A0500">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4.3</w:t>
            </w:r>
            <w:r w:rsidRPr="000A0500">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18B16EF1" w14:textId="7E37D53C"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7650CC">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3.9</w:t>
            </w:r>
            <w:r w:rsidRPr="007650CC">
              <w:rPr>
                <w:rFonts w:ascii="Arial" w:eastAsia="Times New Roman" w:hAnsi="Arial" w:cs="Arial"/>
                <w:color w:val="17365D" w:themeColor="text2" w:themeShade="BF"/>
                <w:sz w:val="18"/>
                <w:szCs w:val="18"/>
              </w:rPr>
              <w:t>%</w:t>
            </w:r>
          </w:p>
        </w:tc>
        <w:tc>
          <w:tcPr>
            <w:tcW w:w="1265" w:type="dxa"/>
            <w:tcBorders>
              <w:left w:val="none" w:sz="0" w:space="0" w:color="auto"/>
              <w:right w:val="none" w:sz="0" w:space="0" w:color="auto"/>
            </w:tcBorders>
          </w:tcPr>
          <w:p w14:paraId="69F9E48C" w14:textId="4620D7B3"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E87888">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4.3</w:t>
            </w:r>
            <w:r w:rsidRPr="00E87888">
              <w:rPr>
                <w:rFonts w:ascii="Arial" w:eastAsia="Times New Roman" w:hAnsi="Arial" w:cs="Arial"/>
                <w:color w:val="17365D" w:themeColor="text2" w:themeShade="BF"/>
                <w:sz w:val="18"/>
                <w:szCs w:val="18"/>
              </w:rPr>
              <w:t>%</w:t>
            </w:r>
          </w:p>
        </w:tc>
        <w:tc>
          <w:tcPr>
            <w:tcW w:w="1266" w:type="dxa"/>
            <w:tcBorders>
              <w:left w:val="none" w:sz="0" w:space="0" w:color="auto"/>
              <w:right w:val="none" w:sz="0" w:space="0" w:color="auto"/>
            </w:tcBorders>
          </w:tcPr>
          <w:p w14:paraId="32C1B643" w14:textId="606D4E05"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560673">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3.3</w:t>
            </w:r>
            <w:r w:rsidRPr="00560673">
              <w:rPr>
                <w:rFonts w:ascii="Arial" w:eastAsia="Times New Roman" w:hAnsi="Arial" w:cs="Arial"/>
                <w:color w:val="17365D" w:themeColor="text2" w:themeShade="BF"/>
                <w:sz w:val="18"/>
                <w:szCs w:val="18"/>
              </w:rPr>
              <w:t>%</w:t>
            </w:r>
          </w:p>
        </w:tc>
      </w:tr>
      <w:tr w:rsidR="00647DD6" w:rsidRPr="000A733E" w14:paraId="00EC79C9" w14:textId="77777777" w:rsidTr="006E6284">
        <w:trPr>
          <w:trHeight w:val="113"/>
        </w:trPr>
        <w:tc>
          <w:tcPr>
            <w:cnfStyle w:val="001000000000" w:firstRow="0" w:lastRow="0" w:firstColumn="1" w:lastColumn="0" w:oddVBand="0" w:evenVBand="0" w:oddHBand="0" w:evenHBand="0" w:firstRowFirstColumn="0" w:firstRowLastColumn="0" w:lastRowFirstColumn="0" w:lastRowLastColumn="0"/>
            <w:tcW w:w="1872" w:type="dxa"/>
            <w:noWrap/>
          </w:tcPr>
          <w:p w14:paraId="21B21BAF" w14:textId="77777777" w:rsidR="00647DD6" w:rsidRPr="000A733E" w:rsidRDefault="00647DD6" w:rsidP="006E6284">
            <w:pPr>
              <w:rPr>
                <w:rFonts w:ascii="Arial" w:eastAsia="Times New Roman" w:hAnsi="Arial" w:cs="Arial"/>
                <w:b w:val="0"/>
                <w:color w:val="17365D" w:themeColor="text2" w:themeShade="BF"/>
                <w:sz w:val="18"/>
                <w:szCs w:val="18"/>
              </w:rPr>
            </w:pPr>
            <w:r>
              <w:rPr>
                <w:rFonts w:ascii="Arial" w:eastAsia="Times New Roman" w:hAnsi="Arial" w:cs="Arial"/>
                <w:b w:val="0"/>
                <w:color w:val="17365D" w:themeColor="text2" w:themeShade="BF"/>
                <w:sz w:val="18"/>
                <w:szCs w:val="18"/>
              </w:rPr>
              <w:t>Fresh fruit</w:t>
            </w:r>
          </w:p>
        </w:tc>
        <w:tc>
          <w:tcPr>
            <w:tcW w:w="1265" w:type="dxa"/>
            <w:vAlign w:val="center"/>
          </w:tcPr>
          <w:p w14:paraId="48DCBDB3" w14:textId="16CE74CF" w:rsidR="00647DD6" w:rsidRPr="00E97D52" w:rsidRDefault="00647DD6" w:rsidP="006E628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rPr>
            </w:pPr>
            <w:r w:rsidRPr="00E97D52">
              <w:rPr>
                <w:rFonts w:ascii="Arial" w:eastAsia="Times New Roman" w:hAnsi="Arial" w:cs="Arial"/>
                <w:color w:val="17365D" w:themeColor="text2" w:themeShade="BF"/>
                <w:sz w:val="18"/>
                <w:szCs w:val="18"/>
              </w:rPr>
              <w:t>$</w:t>
            </w:r>
            <w:r>
              <w:rPr>
                <w:rFonts w:ascii="Arial" w:eastAsia="Times New Roman" w:hAnsi="Arial" w:cs="Arial"/>
                <w:color w:val="17365D" w:themeColor="text2" w:themeShade="BF"/>
                <w:sz w:val="18"/>
                <w:szCs w:val="18"/>
              </w:rPr>
              <w:t>3.3</w:t>
            </w:r>
            <w:r w:rsidRPr="00E97D52">
              <w:rPr>
                <w:rFonts w:ascii="Arial" w:eastAsia="Times New Roman" w:hAnsi="Arial" w:cs="Arial"/>
                <w:color w:val="17365D" w:themeColor="text2" w:themeShade="BF"/>
                <w:sz w:val="18"/>
                <w:szCs w:val="18"/>
              </w:rPr>
              <w:t>B</w:t>
            </w:r>
          </w:p>
        </w:tc>
        <w:tc>
          <w:tcPr>
            <w:tcW w:w="1265" w:type="dxa"/>
          </w:tcPr>
          <w:p w14:paraId="57664D8C" w14:textId="642E1F3F" w:rsidR="00647DD6" w:rsidRPr="00E97D52" w:rsidRDefault="00647DD6"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591300">
              <w:rPr>
                <w:rFonts w:ascii="Arial" w:eastAsia="Times New Roman" w:hAnsi="Arial" w:cs="Arial"/>
                <w:color w:val="17365D" w:themeColor="text2" w:themeShade="BF"/>
                <w:sz w:val="18"/>
                <w:szCs w:val="18"/>
              </w:rPr>
              <w:t>+</w:t>
            </w:r>
            <w:r>
              <w:rPr>
                <w:rFonts w:ascii="Arial" w:eastAsia="Times New Roman" w:hAnsi="Arial" w:cs="Arial"/>
                <w:color w:val="17365D" w:themeColor="text2" w:themeShade="BF"/>
                <w:sz w:val="18"/>
                <w:szCs w:val="18"/>
              </w:rPr>
              <w:t>10.1</w:t>
            </w:r>
            <w:r w:rsidRPr="00591300">
              <w:rPr>
                <w:rFonts w:ascii="Arial" w:eastAsia="Times New Roman" w:hAnsi="Arial" w:cs="Arial"/>
                <w:color w:val="17365D" w:themeColor="text2" w:themeShade="BF"/>
                <w:sz w:val="18"/>
                <w:szCs w:val="18"/>
              </w:rPr>
              <w:t>%</w:t>
            </w:r>
          </w:p>
        </w:tc>
        <w:tc>
          <w:tcPr>
            <w:tcW w:w="1265" w:type="dxa"/>
          </w:tcPr>
          <w:p w14:paraId="0AB9E5AE" w14:textId="42685DAA" w:rsidR="00647DD6" w:rsidRPr="00E97D52" w:rsidRDefault="00647DD6" w:rsidP="006E628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rPr>
            </w:pPr>
            <w:r w:rsidRPr="00591300">
              <w:rPr>
                <w:rFonts w:ascii="Arial" w:eastAsia="Times New Roman" w:hAnsi="Arial" w:cs="Arial"/>
                <w:color w:val="17365D" w:themeColor="text2" w:themeShade="BF"/>
                <w:sz w:val="18"/>
                <w:szCs w:val="18"/>
              </w:rPr>
              <w:t>+</w:t>
            </w:r>
            <w:r>
              <w:rPr>
                <w:rFonts w:ascii="Arial" w:eastAsia="Times New Roman" w:hAnsi="Arial" w:cs="Arial"/>
                <w:color w:val="17365D" w:themeColor="text2" w:themeShade="BF"/>
                <w:sz w:val="18"/>
                <w:szCs w:val="18"/>
              </w:rPr>
              <w:t>20.0</w:t>
            </w:r>
            <w:r w:rsidRPr="00591300">
              <w:rPr>
                <w:rFonts w:ascii="Arial" w:eastAsia="Times New Roman" w:hAnsi="Arial" w:cs="Arial"/>
                <w:color w:val="17365D" w:themeColor="text2" w:themeShade="BF"/>
                <w:sz w:val="18"/>
                <w:szCs w:val="18"/>
              </w:rPr>
              <w:t>%</w:t>
            </w:r>
          </w:p>
        </w:tc>
        <w:tc>
          <w:tcPr>
            <w:tcW w:w="1265" w:type="dxa"/>
          </w:tcPr>
          <w:p w14:paraId="18ACF451" w14:textId="4A864F8A" w:rsidR="00647DD6" w:rsidRPr="00E97D52" w:rsidRDefault="00647DD6"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0A0500">
              <w:rPr>
                <w:rFonts w:ascii="Arial" w:eastAsia="Times New Roman" w:hAnsi="Arial" w:cs="Arial"/>
                <w:color w:val="17365D" w:themeColor="text2" w:themeShade="BF"/>
                <w:sz w:val="18"/>
                <w:szCs w:val="18"/>
              </w:rPr>
              <w:t>-</w:t>
            </w:r>
            <w:r>
              <w:rPr>
                <w:rFonts w:ascii="Arial" w:eastAsia="Times New Roman" w:hAnsi="Arial" w:cs="Arial"/>
                <w:color w:val="17365D" w:themeColor="text2" w:themeShade="BF"/>
                <w:sz w:val="18"/>
                <w:szCs w:val="18"/>
              </w:rPr>
              <w:t>1.9</w:t>
            </w:r>
            <w:r w:rsidRPr="000A0500">
              <w:rPr>
                <w:rFonts w:ascii="Arial" w:eastAsia="Times New Roman" w:hAnsi="Arial" w:cs="Arial"/>
                <w:color w:val="17365D" w:themeColor="text2" w:themeShade="BF"/>
                <w:sz w:val="18"/>
                <w:szCs w:val="18"/>
              </w:rPr>
              <w:t>%</w:t>
            </w:r>
          </w:p>
        </w:tc>
        <w:tc>
          <w:tcPr>
            <w:tcW w:w="1265" w:type="dxa"/>
          </w:tcPr>
          <w:p w14:paraId="3E25926E" w14:textId="3A62EAE3" w:rsidR="00647DD6" w:rsidRPr="00E97D52" w:rsidRDefault="00647DD6"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7650CC">
              <w:rPr>
                <w:rFonts w:ascii="Arial" w:eastAsia="Times New Roman" w:hAnsi="Arial" w:cs="Arial"/>
                <w:color w:val="17365D" w:themeColor="text2" w:themeShade="BF"/>
                <w:sz w:val="18"/>
                <w:szCs w:val="18"/>
              </w:rPr>
              <w:t>+</w:t>
            </w:r>
            <w:r>
              <w:rPr>
                <w:rFonts w:ascii="Arial" w:eastAsia="Times New Roman" w:hAnsi="Arial" w:cs="Arial"/>
                <w:color w:val="17365D" w:themeColor="text2" w:themeShade="BF"/>
                <w:sz w:val="18"/>
                <w:szCs w:val="18"/>
              </w:rPr>
              <w:t>3.7</w:t>
            </w:r>
            <w:r w:rsidRPr="007650CC">
              <w:rPr>
                <w:rFonts w:ascii="Arial" w:eastAsia="Times New Roman" w:hAnsi="Arial" w:cs="Arial"/>
                <w:color w:val="17365D" w:themeColor="text2" w:themeShade="BF"/>
                <w:sz w:val="18"/>
                <w:szCs w:val="18"/>
              </w:rPr>
              <w:t>%</w:t>
            </w:r>
          </w:p>
        </w:tc>
        <w:tc>
          <w:tcPr>
            <w:tcW w:w="1265" w:type="dxa"/>
          </w:tcPr>
          <w:p w14:paraId="426F58FB" w14:textId="18F64DA7" w:rsidR="00647DD6" w:rsidRPr="00E97D52" w:rsidRDefault="00647DD6"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E87888">
              <w:rPr>
                <w:rFonts w:ascii="Arial" w:eastAsia="Times New Roman" w:hAnsi="Arial" w:cs="Arial"/>
                <w:color w:val="17365D" w:themeColor="text2" w:themeShade="BF"/>
                <w:sz w:val="18"/>
                <w:szCs w:val="18"/>
              </w:rPr>
              <w:t>-</w:t>
            </w:r>
            <w:r>
              <w:rPr>
                <w:rFonts w:ascii="Arial" w:eastAsia="Times New Roman" w:hAnsi="Arial" w:cs="Arial"/>
                <w:color w:val="17365D" w:themeColor="text2" w:themeShade="BF"/>
                <w:sz w:val="18"/>
                <w:szCs w:val="18"/>
              </w:rPr>
              <w:t>3.3</w:t>
            </w:r>
            <w:r w:rsidRPr="00E87888">
              <w:rPr>
                <w:rFonts w:ascii="Arial" w:eastAsia="Times New Roman" w:hAnsi="Arial" w:cs="Arial"/>
                <w:color w:val="17365D" w:themeColor="text2" w:themeShade="BF"/>
                <w:sz w:val="18"/>
                <w:szCs w:val="18"/>
              </w:rPr>
              <w:t>%</w:t>
            </w:r>
          </w:p>
        </w:tc>
        <w:tc>
          <w:tcPr>
            <w:tcW w:w="1266" w:type="dxa"/>
          </w:tcPr>
          <w:p w14:paraId="44B578EA" w14:textId="0D52D4B2" w:rsidR="00647DD6" w:rsidRPr="00E97D52" w:rsidRDefault="00647DD6"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560673">
              <w:rPr>
                <w:rFonts w:ascii="Arial" w:eastAsia="Times New Roman" w:hAnsi="Arial" w:cs="Arial"/>
                <w:color w:val="17365D" w:themeColor="text2" w:themeShade="BF"/>
                <w:sz w:val="18"/>
                <w:szCs w:val="18"/>
              </w:rPr>
              <w:t>+</w:t>
            </w:r>
            <w:r>
              <w:rPr>
                <w:rFonts w:ascii="Arial" w:eastAsia="Times New Roman" w:hAnsi="Arial" w:cs="Arial"/>
                <w:color w:val="17365D" w:themeColor="text2" w:themeShade="BF"/>
                <w:sz w:val="18"/>
                <w:szCs w:val="18"/>
              </w:rPr>
              <w:t>1.5</w:t>
            </w:r>
            <w:r w:rsidRPr="00560673">
              <w:rPr>
                <w:rFonts w:ascii="Arial" w:eastAsia="Times New Roman" w:hAnsi="Arial" w:cs="Arial"/>
                <w:color w:val="17365D" w:themeColor="text2" w:themeShade="BF"/>
                <w:sz w:val="18"/>
                <w:szCs w:val="18"/>
              </w:rPr>
              <w:t>%</w:t>
            </w:r>
          </w:p>
        </w:tc>
      </w:tr>
      <w:tr w:rsidR="001729EA" w:rsidRPr="000A733E" w14:paraId="52DE1385" w14:textId="77777777" w:rsidTr="001729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72" w:type="dxa"/>
            <w:noWrap/>
          </w:tcPr>
          <w:p w14:paraId="7DC406A0" w14:textId="77777777" w:rsidR="001729EA" w:rsidRPr="000A733E" w:rsidRDefault="001729EA" w:rsidP="00E97D52">
            <w:pPr>
              <w:rPr>
                <w:rFonts w:ascii="Arial" w:eastAsia="Times New Roman" w:hAnsi="Arial" w:cs="Arial"/>
                <w:b w:val="0"/>
                <w:color w:val="17365D" w:themeColor="text2" w:themeShade="BF"/>
                <w:sz w:val="18"/>
                <w:szCs w:val="18"/>
              </w:rPr>
            </w:pPr>
            <w:r>
              <w:rPr>
                <w:rFonts w:ascii="Arial" w:eastAsia="Times New Roman" w:hAnsi="Arial" w:cs="Arial"/>
                <w:b w:val="0"/>
                <w:color w:val="17365D" w:themeColor="text2" w:themeShade="BF"/>
                <w:sz w:val="18"/>
                <w:szCs w:val="18"/>
              </w:rPr>
              <w:t>Fresh vegetables</w:t>
            </w:r>
          </w:p>
        </w:tc>
        <w:tc>
          <w:tcPr>
            <w:tcW w:w="1265" w:type="dxa"/>
            <w:vAlign w:val="center"/>
          </w:tcPr>
          <w:p w14:paraId="643F13CC" w14:textId="188F98D2"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sidRPr="00E97D52">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3.5</w:t>
            </w:r>
            <w:r w:rsidRPr="00E97D52">
              <w:rPr>
                <w:rFonts w:ascii="Arial" w:eastAsia="Times New Roman" w:hAnsi="Arial" w:cs="Arial"/>
                <w:color w:val="17365D" w:themeColor="text2" w:themeShade="BF"/>
                <w:sz w:val="18"/>
                <w:szCs w:val="18"/>
              </w:rPr>
              <w:t>B</w:t>
            </w:r>
          </w:p>
        </w:tc>
        <w:tc>
          <w:tcPr>
            <w:tcW w:w="1265" w:type="dxa"/>
          </w:tcPr>
          <w:p w14:paraId="62E753B2" w14:textId="153DD7DA" w:rsidR="001729EA" w:rsidRPr="00E97D52" w:rsidRDefault="0038781D"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0.5</w:t>
            </w:r>
            <w:r w:rsidR="001729EA" w:rsidRPr="00591300">
              <w:rPr>
                <w:rFonts w:ascii="Arial" w:eastAsia="Times New Roman" w:hAnsi="Arial" w:cs="Arial"/>
                <w:color w:val="17365D" w:themeColor="text2" w:themeShade="BF"/>
                <w:sz w:val="18"/>
                <w:szCs w:val="18"/>
              </w:rPr>
              <w:t>%</w:t>
            </w:r>
          </w:p>
        </w:tc>
        <w:tc>
          <w:tcPr>
            <w:tcW w:w="1265" w:type="dxa"/>
          </w:tcPr>
          <w:p w14:paraId="5F82C4A8" w14:textId="7228BD92"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sidRPr="00591300">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12.2</w:t>
            </w:r>
            <w:r w:rsidRPr="00591300">
              <w:rPr>
                <w:rFonts w:ascii="Arial" w:eastAsia="Times New Roman" w:hAnsi="Arial" w:cs="Arial"/>
                <w:color w:val="17365D" w:themeColor="text2" w:themeShade="BF"/>
                <w:sz w:val="18"/>
                <w:szCs w:val="18"/>
              </w:rPr>
              <w:t>%</w:t>
            </w:r>
          </w:p>
        </w:tc>
        <w:tc>
          <w:tcPr>
            <w:tcW w:w="1265" w:type="dxa"/>
          </w:tcPr>
          <w:p w14:paraId="36BF3793" w14:textId="35AFB08D"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0A0500">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5.8</w:t>
            </w:r>
            <w:r w:rsidRPr="000A0500">
              <w:rPr>
                <w:rFonts w:ascii="Arial" w:eastAsia="Times New Roman" w:hAnsi="Arial" w:cs="Arial"/>
                <w:color w:val="17365D" w:themeColor="text2" w:themeShade="BF"/>
                <w:sz w:val="18"/>
                <w:szCs w:val="18"/>
              </w:rPr>
              <w:t>%</w:t>
            </w:r>
          </w:p>
        </w:tc>
        <w:tc>
          <w:tcPr>
            <w:tcW w:w="1265" w:type="dxa"/>
          </w:tcPr>
          <w:p w14:paraId="60C3D45F" w14:textId="49C7A212"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7650CC">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4.3</w:t>
            </w:r>
            <w:r w:rsidRPr="007650CC">
              <w:rPr>
                <w:rFonts w:ascii="Arial" w:eastAsia="Times New Roman" w:hAnsi="Arial" w:cs="Arial"/>
                <w:color w:val="17365D" w:themeColor="text2" w:themeShade="BF"/>
                <w:sz w:val="18"/>
                <w:szCs w:val="18"/>
              </w:rPr>
              <w:t>%</w:t>
            </w:r>
          </w:p>
        </w:tc>
        <w:tc>
          <w:tcPr>
            <w:tcW w:w="1265" w:type="dxa"/>
          </w:tcPr>
          <w:p w14:paraId="53B735C6" w14:textId="43E36B1B"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E87888">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5.2</w:t>
            </w:r>
            <w:r w:rsidRPr="00E87888">
              <w:rPr>
                <w:rFonts w:ascii="Arial" w:eastAsia="Times New Roman" w:hAnsi="Arial" w:cs="Arial"/>
                <w:color w:val="17365D" w:themeColor="text2" w:themeShade="BF"/>
                <w:sz w:val="18"/>
                <w:szCs w:val="18"/>
              </w:rPr>
              <w:t>%</w:t>
            </w:r>
          </w:p>
        </w:tc>
        <w:tc>
          <w:tcPr>
            <w:tcW w:w="1266" w:type="dxa"/>
          </w:tcPr>
          <w:p w14:paraId="3696D109" w14:textId="452744A0" w:rsidR="001729EA" w:rsidRPr="00E97D52" w:rsidRDefault="001729EA" w:rsidP="00E97D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560673">
              <w:rPr>
                <w:rFonts w:ascii="Arial" w:eastAsia="Times New Roman" w:hAnsi="Arial" w:cs="Arial"/>
                <w:color w:val="17365D" w:themeColor="text2" w:themeShade="BF"/>
                <w:sz w:val="18"/>
                <w:szCs w:val="18"/>
              </w:rPr>
              <w:t>+</w:t>
            </w:r>
            <w:r w:rsidR="00647DD6">
              <w:rPr>
                <w:rFonts w:ascii="Arial" w:eastAsia="Times New Roman" w:hAnsi="Arial" w:cs="Arial"/>
                <w:color w:val="17365D" w:themeColor="text2" w:themeShade="BF"/>
                <w:sz w:val="18"/>
                <w:szCs w:val="18"/>
              </w:rPr>
              <w:t>5.3</w:t>
            </w:r>
            <w:r w:rsidRPr="00560673">
              <w:rPr>
                <w:rFonts w:ascii="Arial" w:eastAsia="Times New Roman" w:hAnsi="Arial" w:cs="Arial"/>
                <w:color w:val="17365D" w:themeColor="text2" w:themeShade="BF"/>
                <w:sz w:val="18"/>
                <w:szCs w:val="18"/>
              </w:rPr>
              <w:t>%</w:t>
            </w:r>
          </w:p>
        </w:tc>
      </w:tr>
    </w:tbl>
    <w:p w14:paraId="76F803AD" w14:textId="77777777" w:rsidR="00E97D52" w:rsidRPr="00B64ECF" w:rsidRDefault="00E97D52" w:rsidP="00E97D52">
      <w:pPr>
        <w:pStyle w:val="NoSpacing"/>
        <w:rPr>
          <w:rFonts w:ascii="Arial" w:hAnsi="Arial" w:cs="Arial"/>
          <w:sz w:val="12"/>
          <w:szCs w:val="16"/>
        </w:rPr>
      </w:pPr>
    </w:p>
    <w:p w14:paraId="23B1FE35" w14:textId="77777777" w:rsidR="00E97D52" w:rsidRPr="005C6A11" w:rsidRDefault="00E97D52" w:rsidP="00E97D52">
      <w:pPr>
        <w:pStyle w:val="NoSpacing"/>
        <w:rPr>
          <w:rFonts w:ascii="Arial" w:hAnsi="Arial" w:cs="Arial"/>
          <w:sz w:val="16"/>
          <w:szCs w:val="16"/>
        </w:rPr>
      </w:pPr>
      <w:r w:rsidRPr="005C6A11">
        <w:rPr>
          <w:rFonts w:ascii="Arial" w:hAnsi="Arial" w:cs="Arial"/>
          <w:sz w:val="16"/>
          <w:szCs w:val="16"/>
        </w:rPr>
        <w:t xml:space="preserve">Source: IRI, </w:t>
      </w:r>
      <w:r>
        <w:rPr>
          <w:rFonts w:ascii="Arial" w:hAnsi="Arial" w:cs="Arial"/>
          <w:sz w:val="16"/>
          <w:szCs w:val="16"/>
        </w:rPr>
        <w:t xml:space="preserve">Integrated Fresh, Total </w:t>
      </w:r>
      <w:r w:rsidRPr="005C6A11">
        <w:rPr>
          <w:rFonts w:ascii="Arial" w:hAnsi="Arial" w:cs="Arial"/>
          <w:sz w:val="16"/>
          <w:szCs w:val="16"/>
        </w:rPr>
        <w:t>US, MULO, % change vs. year ago.</w:t>
      </w:r>
    </w:p>
    <w:p w14:paraId="7B8E71ED" w14:textId="38BB40CA" w:rsidR="0053257C" w:rsidRPr="00C227BA" w:rsidRDefault="0053257C" w:rsidP="0053257C">
      <w:pPr>
        <w:pStyle w:val="Heading1"/>
        <w:rPr>
          <w:rFonts w:ascii="Arial" w:hAnsi="Arial" w:cs="Arial"/>
          <w:color w:val="595959" w:themeColor="text1" w:themeTint="A6"/>
          <w:sz w:val="24"/>
        </w:rPr>
      </w:pPr>
    </w:p>
    <w:tbl>
      <w:tblPr>
        <w:tblStyle w:val="LightShading-Accent5"/>
        <w:tblpPr w:leftFromText="180" w:rightFromText="180" w:vertAnchor="text" w:horzAnchor="margin" w:tblpXSpec="right" w:tblpY="320"/>
        <w:tblOverlap w:val="never"/>
        <w:tblW w:w="5701" w:type="dxa"/>
        <w:tblBorders>
          <w:top w:val="none" w:sz="0" w:space="0" w:color="auto"/>
          <w:bottom w:val="none" w:sz="0" w:space="0" w:color="auto"/>
        </w:tblBorders>
        <w:tblLook w:val="04A0" w:firstRow="1" w:lastRow="0" w:firstColumn="1" w:lastColumn="0" w:noHBand="0" w:noVBand="1"/>
      </w:tblPr>
      <w:tblGrid>
        <w:gridCol w:w="1843"/>
        <w:gridCol w:w="1276"/>
        <w:gridCol w:w="1291"/>
        <w:gridCol w:w="1291"/>
      </w:tblGrid>
      <w:tr w:rsidR="00A225AD" w:rsidRPr="00DE633B" w14:paraId="789E18F0" w14:textId="77777777" w:rsidTr="009D788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22B589CF" w14:textId="77777777" w:rsidR="00A225AD" w:rsidRPr="00DE633B" w:rsidRDefault="00A225AD" w:rsidP="00340AA9">
            <w:pPr>
              <w:rPr>
                <w:rFonts w:ascii="Arial" w:hAnsi="Arial" w:cs="Arial"/>
                <w:color w:val="FFFFFF" w:themeColor="background1"/>
                <w:sz w:val="18"/>
                <w:szCs w:val="20"/>
              </w:rPr>
            </w:pPr>
            <w:r>
              <w:rPr>
                <w:rFonts w:ascii="Arial" w:hAnsi="Arial" w:cs="Arial"/>
                <w:color w:val="FFFFFF" w:themeColor="background1"/>
                <w:sz w:val="18"/>
                <w:szCs w:val="20"/>
              </w:rPr>
              <w:t xml:space="preserve">Produce </w:t>
            </w:r>
            <w:r w:rsidRPr="00DE633B">
              <w:rPr>
                <w:rFonts w:ascii="Arial" w:hAnsi="Arial" w:cs="Arial"/>
                <w:color w:val="FFFFFF" w:themeColor="background1"/>
                <w:sz w:val="18"/>
                <w:szCs w:val="20"/>
              </w:rPr>
              <w:t>department</w:t>
            </w:r>
          </w:p>
        </w:tc>
        <w:tc>
          <w:tcPr>
            <w:tcW w:w="1276"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297495A7" w14:textId="77777777" w:rsidR="00A225AD" w:rsidRPr="00DE633B" w:rsidRDefault="00A225AD"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DE633B">
              <w:rPr>
                <w:rFonts w:ascii="Arial" w:hAnsi="Arial" w:cs="Arial"/>
                <w:color w:val="FFFFFF" w:themeColor="background1"/>
                <w:sz w:val="18"/>
                <w:szCs w:val="20"/>
              </w:rPr>
              <w:t xml:space="preserve">Dollar </w:t>
            </w:r>
            <w:r>
              <w:rPr>
                <w:rFonts w:ascii="Arial" w:hAnsi="Arial" w:cs="Arial"/>
                <w:color w:val="FFFFFF" w:themeColor="background1"/>
                <w:sz w:val="18"/>
                <w:szCs w:val="20"/>
              </w:rPr>
              <w:br/>
            </w:r>
            <w:r w:rsidRPr="00DE633B">
              <w:rPr>
                <w:rFonts w:ascii="Arial" w:hAnsi="Arial" w:cs="Arial"/>
                <w:color w:val="FFFFFF" w:themeColor="background1"/>
                <w:sz w:val="18"/>
                <w:szCs w:val="20"/>
              </w:rPr>
              <w:t>sales</w:t>
            </w:r>
          </w:p>
        </w:tc>
        <w:tc>
          <w:tcPr>
            <w:tcW w:w="1291"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0F6EDA89" w14:textId="77777777" w:rsidR="009D7889" w:rsidRDefault="009D7889"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r>
              <w:rPr>
                <w:rFonts w:ascii="Arial" w:hAnsi="Arial" w:cs="Arial"/>
                <w:color w:val="FFFFFF" w:themeColor="background1"/>
                <w:sz w:val="18"/>
                <w:szCs w:val="20"/>
              </w:rPr>
              <w:t xml:space="preserve">$ </w:t>
            </w:r>
          </w:p>
          <w:p w14:paraId="789DFE22" w14:textId="5D3683E5" w:rsidR="00A225AD" w:rsidRPr="00DE633B" w:rsidRDefault="00A225AD"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vs. </w:t>
            </w:r>
            <w:r w:rsidR="009D7889">
              <w:rPr>
                <w:rFonts w:ascii="Arial" w:hAnsi="Arial" w:cs="Arial"/>
                <w:color w:val="FFFFFF" w:themeColor="background1"/>
                <w:sz w:val="18"/>
                <w:szCs w:val="20"/>
              </w:rPr>
              <w:t>YA</w:t>
            </w:r>
          </w:p>
        </w:tc>
        <w:tc>
          <w:tcPr>
            <w:tcW w:w="1291"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00F40F68" w14:textId="77777777" w:rsidR="009D7889" w:rsidRDefault="009D7889"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proofErr w:type="spellStart"/>
            <w:r>
              <w:rPr>
                <w:rFonts w:ascii="Arial" w:hAnsi="Arial" w:cs="Arial"/>
                <w:color w:val="FFFFFF" w:themeColor="background1"/>
                <w:sz w:val="18"/>
                <w:szCs w:val="20"/>
              </w:rPr>
              <w:t>Lbs</w:t>
            </w:r>
            <w:proofErr w:type="spellEnd"/>
            <w:r>
              <w:rPr>
                <w:rFonts w:ascii="Arial" w:hAnsi="Arial" w:cs="Arial"/>
                <w:color w:val="FFFFFF" w:themeColor="background1"/>
                <w:sz w:val="18"/>
                <w:szCs w:val="20"/>
              </w:rPr>
              <w:t xml:space="preserve"> </w:t>
            </w:r>
          </w:p>
          <w:p w14:paraId="602B4FB7" w14:textId="2AC2744A" w:rsidR="00A225AD" w:rsidRPr="00DE633B" w:rsidRDefault="009D7889" w:rsidP="00340AA9">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vs. YA</w:t>
            </w:r>
          </w:p>
        </w:tc>
      </w:tr>
      <w:tr w:rsidR="00A225AD" w:rsidRPr="00361BCC" w14:paraId="2B024870" w14:textId="77777777" w:rsidTr="009D78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right w:val="none" w:sz="0" w:space="0" w:color="auto"/>
            </w:tcBorders>
            <w:vAlign w:val="center"/>
          </w:tcPr>
          <w:p w14:paraId="642F99E2" w14:textId="77777777" w:rsidR="00A225AD" w:rsidRPr="00361BCC" w:rsidRDefault="00112E9A" w:rsidP="00340AA9">
            <w:pPr>
              <w:pStyle w:val="NoSpacing"/>
              <w:rPr>
                <w:rFonts w:ascii="Arial" w:hAnsi="Arial" w:cs="Arial"/>
                <w:color w:val="215868" w:themeColor="accent5" w:themeShade="80"/>
                <w:sz w:val="18"/>
                <w:szCs w:val="18"/>
              </w:rPr>
            </w:pPr>
            <w:r>
              <w:rPr>
                <w:rFonts w:ascii="Arial" w:hAnsi="Arial" w:cs="Arial"/>
                <w:color w:val="215868" w:themeColor="accent5" w:themeShade="80"/>
                <w:sz w:val="18"/>
                <w:szCs w:val="18"/>
              </w:rPr>
              <w:t>January 2022</w:t>
            </w:r>
          </w:p>
        </w:tc>
        <w:tc>
          <w:tcPr>
            <w:tcW w:w="1276" w:type="dxa"/>
            <w:tcBorders>
              <w:left w:val="none" w:sz="0" w:space="0" w:color="auto"/>
              <w:right w:val="none" w:sz="0" w:space="0" w:color="auto"/>
            </w:tcBorders>
            <w:vAlign w:val="center"/>
          </w:tcPr>
          <w:p w14:paraId="112F661F" w14:textId="01B96552" w:rsidR="00A225AD" w:rsidRPr="00361BCC" w:rsidRDefault="00A225AD"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sidRPr="00361BCC">
              <w:rPr>
                <w:rFonts w:ascii="Arial" w:hAnsi="Arial" w:cs="Arial"/>
                <w:b/>
                <w:bCs/>
                <w:color w:val="215868" w:themeColor="accent5" w:themeShade="80"/>
                <w:sz w:val="18"/>
                <w:szCs w:val="20"/>
              </w:rPr>
              <w:t>$</w:t>
            </w:r>
            <w:r w:rsidR="009D7889">
              <w:rPr>
                <w:rFonts w:ascii="Arial" w:hAnsi="Arial" w:cs="Arial"/>
                <w:b/>
                <w:bCs/>
                <w:color w:val="215868" w:themeColor="accent5" w:themeShade="80"/>
                <w:sz w:val="18"/>
                <w:szCs w:val="20"/>
              </w:rPr>
              <w:t>6.909</w:t>
            </w:r>
            <w:r w:rsidRPr="00361BCC">
              <w:rPr>
                <w:rFonts w:ascii="Arial" w:hAnsi="Arial" w:cs="Arial"/>
                <w:b/>
                <w:bCs/>
                <w:color w:val="215868" w:themeColor="accent5" w:themeShade="80"/>
                <w:sz w:val="18"/>
                <w:szCs w:val="20"/>
              </w:rPr>
              <w:t>B</w:t>
            </w:r>
          </w:p>
        </w:tc>
        <w:tc>
          <w:tcPr>
            <w:tcW w:w="1291" w:type="dxa"/>
            <w:tcBorders>
              <w:left w:val="none" w:sz="0" w:space="0" w:color="auto"/>
              <w:right w:val="none" w:sz="0" w:space="0" w:color="auto"/>
            </w:tcBorders>
            <w:vAlign w:val="center"/>
          </w:tcPr>
          <w:p w14:paraId="626D5FC4" w14:textId="740BFD16" w:rsidR="00A225AD" w:rsidRPr="00361BCC" w:rsidRDefault="00BA7456"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9D7889">
              <w:rPr>
                <w:rFonts w:ascii="Arial" w:hAnsi="Arial" w:cs="Arial"/>
                <w:b/>
                <w:bCs/>
                <w:color w:val="215868" w:themeColor="accent5" w:themeShade="80"/>
                <w:sz w:val="18"/>
                <w:szCs w:val="20"/>
              </w:rPr>
              <w:t>4.4</w:t>
            </w:r>
            <w:r w:rsidR="00A225AD" w:rsidRPr="00361BCC">
              <w:rPr>
                <w:rFonts w:ascii="Arial" w:hAnsi="Arial" w:cs="Arial"/>
                <w:b/>
                <w:bCs/>
                <w:color w:val="215868" w:themeColor="accent5" w:themeShade="80"/>
                <w:sz w:val="18"/>
                <w:szCs w:val="20"/>
              </w:rPr>
              <w:t>%</w:t>
            </w:r>
          </w:p>
        </w:tc>
        <w:tc>
          <w:tcPr>
            <w:tcW w:w="1291" w:type="dxa"/>
            <w:tcBorders>
              <w:left w:val="none" w:sz="0" w:space="0" w:color="auto"/>
              <w:right w:val="none" w:sz="0" w:space="0" w:color="auto"/>
            </w:tcBorders>
            <w:vAlign w:val="center"/>
          </w:tcPr>
          <w:p w14:paraId="18FFDE5D" w14:textId="03AC4F88" w:rsidR="00A225AD" w:rsidRPr="00361BCC" w:rsidRDefault="009D7889"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-4.3</w:t>
            </w:r>
            <w:r w:rsidR="00A225AD" w:rsidRPr="00361BCC">
              <w:rPr>
                <w:rFonts w:ascii="Arial" w:hAnsi="Arial" w:cs="Arial"/>
                <w:b/>
                <w:bCs/>
                <w:color w:val="215868" w:themeColor="accent5" w:themeShade="80"/>
                <w:sz w:val="18"/>
                <w:szCs w:val="20"/>
              </w:rPr>
              <w:t>%</w:t>
            </w:r>
          </w:p>
        </w:tc>
      </w:tr>
      <w:tr w:rsidR="00A225AD" w:rsidRPr="00E736B9" w14:paraId="0E6C1C11" w14:textId="77777777" w:rsidTr="00340AA9">
        <w:trPr>
          <w:trHeight w:val="25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11A1C270" w14:textId="77777777" w:rsidR="00A225AD" w:rsidRPr="00E736B9" w:rsidRDefault="00A74177" w:rsidP="00340AA9">
            <w:pPr>
              <w:pStyle w:val="NoSpacing"/>
              <w:rPr>
                <w:rFonts w:ascii="Arial" w:hAnsi="Arial" w:cs="Arial"/>
                <w:b w:val="0"/>
                <w:color w:val="215868" w:themeColor="accent5" w:themeShade="80"/>
                <w:sz w:val="18"/>
                <w:szCs w:val="18"/>
              </w:rPr>
            </w:pPr>
            <w:proofErr w:type="spellStart"/>
            <w:r>
              <w:rPr>
                <w:rFonts w:ascii="Arial" w:hAnsi="Arial" w:cs="Arial"/>
                <w:b w:val="0"/>
                <w:color w:val="215868" w:themeColor="accent5" w:themeShade="80"/>
                <w:sz w:val="18"/>
                <w:szCs w:val="18"/>
              </w:rPr>
              <w:t>w.e</w:t>
            </w:r>
            <w:proofErr w:type="spellEnd"/>
            <w:r>
              <w:rPr>
                <w:rFonts w:ascii="Arial" w:hAnsi="Arial" w:cs="Arial"/>
                <w:b w:val="0"/>
                <w:color w:val="215868" w:themeColor="accent5" w:themeShade="80"/>
                <w:sz w:val="18"/>
                <w:szCs w:val="18"/>
              </w:rPr>
              <w:t>. 1</w:t>
            </w:r>
            <w:r w:rsidR="00112E9A">
              <w:rPr>
                <w:rFonts w:ascii="Arial" w:hAnsi="Arial" w:cs="Arial"/>
                <w:b w:val="0"/>
                <w:color w:val="215868" w:themeColor="accent5" w:themeShade="80"/>
                <w:sz w:val="18"/>
                <w:szCs w:val="18"/>
              </w:rPr>
              <w:t>/2/2022</w:t>
            </w:r>
          </w:p>
        </w:tc>
        <w:tc>
          <w:tcPr>
            <w:tcW w:w="1276" w:type="dxa"/>
            <w:vAlign w:val="center"/>
          </w:tcPr>
          <w:p w14:paraId="05ACFCB0" w14:textId="76DA519B" w:rsidR="00A225AD" w:rsidRPr="00E736B9" w:rsidRDefault="00BA7456" w:rsidP="00340AA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9D7889">
              <w:rPr>
                <w:rFonts w:ascii="Arial" w:hAnsi="Arial" w:cs="Arial"/>
                <w:color w:val="215868" w:themeColor="accent5" w:themeShade="80"/>
                <w:sz w:val="18"/>
                <w:szCs w:val="20"/>
              </w:rPr>
              <w:t>1.319</w:t>
            </w:r>
            <w:r w:rsidR="00A225AD">
              <w:rPr>
                <w:rFonts w:ascii="Arial" w:hAnsi="Arial" w:cs="Arial"/>
                <w:color w:val="215868" w:themeColor="accent5" w:themeShade="80"/>
                <w:sz w:val="18"/>
                <w:szCs w:val="20"/>
              </w:rPr>
              <w:t>B</w:t>
            </w:r>
          </w:p>
        </w:tc>
        <w:tc>
          <w:tcPr>
            <w:tcW w:w="1291" w:type="dxa"/>
            <w:vAlign w:val="center"/>
          </w:tcPr>
          <w:p w14:paraId="58668FAD" w14:textId="4B55F818" w:rsidR="00A225AD" w:rsidRPr="00E736B9" w:rsidRDefault="00BA7456" w:rsidP="00340AA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9D7889">
              <w:rPr>
                <w:rFonts w:ascii="Arial" w:hAnsi="Arial" w:cs="Arial"/>
                <w:color w:val="215868" w:themeColor="accent5" w:themeShade="80"/>
                <w:sz w:val="18"/>
                <w:szCs w:val="20"/>
              </w:rPr>
              <w:t>3.6</w:t>
            </w:r>
            <w:r w:rsidR="00A225AD">
              <w:rPr>
                <w:rFonts w:ascii="Arial" w:hAnsi="Arial" w:cs="Arial"/>
                <w:color w:val="215868" w:themeColor="accent5" w:themeShade="80"/>
                <w:sz w:val="18"/>
                <w:szCs w:val="20"/>
              </w:rPr>
              <w:t>%</w:t>
            </w:r>
          </w:p>
        </w:tc>
        <w:tc>
          <w:tcPr>
            <w:tcW w:w="1291" w:type="dxa"/>
            <w:vAlign w:val="center"/>
          </w:tcPr>
          <w:p w14:paraId="71A2D256" w14:textId="1D76460E" w:rsidR="00A225AD" w:rsidRPr="00E736B9" w:rsidRDefault="009D7889" w:rsidP="00340AA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-6.2</w:t>
            </w:r>
            <w:r w:rsidR="00A225AD">
              <w:rPr>
                <w:rFonts w:ascii="Arial" w:hAnsi="Arial" w:cs="Arial"/>
                <w:color w:val="215868" w:themeColor="accent5" w:themeShade="80"/>
                <w:sz w:val="18"/>
                <w:szCs w:val="20"/>
              </w:rPr>
              <w:t>%</w:t>
            </w:r>
          </w:p>
        </w:tc>
      </w:tr>
      <w:tr w:rsidR="00A225AD" w:rsidRPr="00E736B9" w14:paraId="6851F49E" w14:textId="77777777" w:rsidTr="009D78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right w:val="none" w:sz="0" w:space="0" w:color="auto"/>
            </w:tcBorders>
            <w:vAlign w:val="center"/>
          </w:tcPr>
          <w:p w14:paraId="647D5E2A" w14:textId="77777777" w:rsidR="00A225AD" w:rsidRPr="00E736B9" w:rsidRDefault="00A225AD" w:rsidP="00A74177">
            <w:pPr>
              <w:rPr>
                <w:color w:val="215868" w:themeColor="accent5" w:themeShade="80"/>
              </w:rPr>
            </w:pPr>
            <w:proofErr w:type="spellStart"/>
            <w:r w:rsidRPr="00E736B9">
              <w:rPr>
                <w:rFonts w:ascii="Arial" w:hAnsi="Arial" w:cs="Arial"/>
                <w:b w:val="0"/>
                <w:color w:val="215868" w:themeColor="accent5" w:themeShade="80"/>
                <w:sz w:val="18"/>
                <w:szCs w:val="18"/>
              </w:rPr>
              <w:t>w.e</w:t>
            </w:r>
            <w:proofErr w:type="spellEnd"/>
            <w:r w:rsidRPr="00E736B9">
              <w:rPr>
                <w:rFonts w:ascii="Arial" w:hAnsi="Arial" w:cs="Arial"/>
                <w:b w:val="0"/>
                <w:color w:val="215868" w:themeColor="accent5" w:themeShade="80"/>
                <w:sz w:val="18"/>
                <w:szCs w:val="18"/>
              </w:rPr>
              <w:t xml:space="preserve">. </w:t>
            </w:r>
            <w:r w:rsidR="00A74177">
              <w:rPr>
                <w:rFonts w:ascii="Arial" w:hAnsi="Arial" w:cs="Arial"/>
                <w:b w:val="0"/>
                <w:color w:val="215868" w:themeColor="accent5" w:themeShade="80"/>
                <w:sz w:val="18"/>
                <w:szCs w:val="18"/>
              </w:rPr>
              <w:t>1</w:t>
            </w:r>
            <w:r w:rsidR="00112E9A">
              <w:rPr>
                <w:rFonts w:ascii="Arial" w:hAnsi="Arial" w:cs="Arial"/>
                <w:b w:val="0"/>
                <w:color w:val="215868" w:themeColor="accent5" w:themeShade="80"/>
                <w:sz w:val="18"/>
                <w:szCs w:val="18"/>
              </w:rPr>
              <w:t>/9/2022</w:t>
            </w:r>
          </w:p>
        </w:tc>
        <w:tc>
          <w:tcPr>
            <w:tcW w:w="1276" w:type="dxa"/>
            <w:tcBorders>
              <w:left w:val="none" w:sz="0" w:space="0" w:color="auto"/>
              <w:right w:val="none" w:sz="0" w:space="0" w:color="auto"/>
            </w:tcBorders>
            <w:vAlign w:val="center"/>
          </w:tcPr>
          <w:p w14:paraId="38924E9F" w14:textId="7E40AF68" w:rsidR="00A225AD" w:rsidRPr="00E736B9" w:rsidRDefault="00E614AD"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9D7889">
              <w:rPr>
                <w:rFonts w:ascii="Arial" w:hAnsi="Arial" w:cs="Arial"/>
                <w:color w:val="215868" w:themeColor="accent5" w:themeShade="80"/>
                <w:sz w:val="18"/>
                <w:szCs w:val="20"/>
              </w:rPr>
              <w:t>1.384</w:t>
            </w:r>
            <w:r w:rsidR="00A225AD">
              <w:rPr>
                <w:rFonts w:ascii="Arial" w:hAnsi="Arial" w:cs="Arial"/>
                <w:color w:val="215868" w:themeColor="accent5" w:themeShade="80"/>
                <w:sz w:val="18"/>
                <w:szCs w:val="20"/>
              </w:rPr>
              <w:t>B</w:t>
            </w:r>
          </w:p>
        </w:tc>
        <w:tc>
          <w:tcPr>
            <w:tcW w:w="1291" w:type="dxa"/>
            <w:tcBorders>
              <w:left w:val="none" w:sz="0" w:space="0" w:color="auto"/>
              <w:right w:val="none" w:sz="0" w:space="0" w:color="auto"/>
            </w:tcBorders>
            <w:vAlign w:val="center"/>
          </w:tcPr>
          <w:p w14:paraId="5FDEE9AD" w14:textId="15C1269A" w:rsidR="00A225AD" w:rsidRPr="00E736B9" w:rsidRDefault="00BA7456"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9D7889">
              <w:rPr>
                <w:rFonts w:ascii="Arial" w:hAnsi="Arial" w:cs="Arial"/>
                <w:color w:val="215868" w:themeColor="accent5" w:themeShade="80"/>
                <w:sz w:val="18"/>
                <w:szCs w:val="20"/>
              </w:rPr>
              <w:t>3.4</w:t>
            </w:r>
            <w:r w:rsidR="00A225AD">
              <w:rPr>
                <w:rFonts w:ascii="Arial" w:hAnsi="Arial" w:cs="Arial"/>
                <w:color w:val="215868" w:themeColor="accent5" w:themeShade="80"/>
                <w:sz w:val="18"/>
                <w:szCs w:val="20"/>
              </w:rPr>
              <w:t>%</w:t>
            </w:r>
          </w:p>
        </w:tc>
        <w:tc>
          <w:tcPr>
            <w:tcW w:w="1291" w:type="dxa"/>
            <w:tcBorders>
              <w:left w:val="none" w:sz="0" w:space="0" w:color="auto"/>
              <w:right w:val="none" w:sz="0" w:space="0" w:color="auto"/>
            </w:tcBorders>
            <w:vAlign w:val="center"/>
          </w:tcPr>
          <w:p w14:paraId="05B7695E" w14:textId="234EA9CC" w:rsidR="00A225AD" w:rsidRPr="00E736B9" w:rsidRDefault="009D7889"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-5.3</w:t>
            </w:r>
            <w:r w:rsidR="00A225AD">
              <w:rPr>
                <w:rFonts w:ascii="Arial" w:hAnsi="Arial" w:cs="Arial"/>
                <w:color w:val="215868" w:themeColor="accent5" w:themeShade="80"/>
                <w:sz w:val="18"/>
                <w:szCs w:val="20"/>
              </w:rPr>
              <w:t>%</w:t>
            </w:r>
          </w:p>
        </w:tc>
      </w:tr>
      <w:tr w:rsidR="00112E9A" w:rsidRPr="00E736B9" w14:paraId="0D2847A6" w14:textId="77777777" w:rsidTr="00112E9A">
        <w:trPr>
          <w:trHeight w:val="25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B223774" w14:textId="77777777" w:rsidR="00112E9A" w:rsidRPr="00E736B9" w:rsidRDefault="00112E9A" w:rsidP="00E614AD">
            <w:pPr>
              <w:rPr>
                <w:color w:val="215868" w:themeColor="accent5" w:themeShade="80"/>
              </w:rPr>
            </w:pPr>
            <w:proofErr w:type="spellStart"/>
            <w:r>
              <w:rPr>
                <w:rFonts w:ascii="Arial" w:hAnsi="Arial" w:cs="Arial"/>
                <w:b w:val="0"/>
                <w:color w:val="215868" w:themeColor="accent5" w:themeShade="80"/>
                <w:sz w:val="18"/>
                <w:szCs w:val="18"/>
              </w:rPr>
              <w:t>w.e</w:t>
            </w:r>
            <w:proofErr w:type="spellEnd"/>
            <w:r>
              <w:rPr>
                <w:rFonts w:ascii="Arial" w:hAnsi="Arial" w:cs="Arial"/>
                <w:b w:val="0"/>
                <w:color w:val="215868" w:themeColor="accent5" w:themeShade="80"/>
                <w:sz w:val="18"/>
                <w:szCs w:val="18"/>
              </w:rPr>
              <w:t>. 1/16/2022</w:t>
            </w:r>
          </w:p>
        </w:tc>
        <w:tc>
          <w:tcPr>
            <w:tcW w:w="1276" w:type="dxa"/>
          </w:tcPr>
          <w:p w14:paraId="5AB61FC0" w14:textId="2758FE01" w:rsidR="00112E9A" w:rsidRDefault="00112E9A" w:rsidP="00112E9A">
            <w:pPr>
              <w:jc w:val="right"/>
              <w:cnfStyle w:val="000000000000" w:firstRow="0" w:lastRow="0" w:firstColumn="0" w:lastColumn="0" w:oddVBand="0" w:evenVBand="0" w:oddHBand="0" w:evenHBand="0" w:firstRowFirstColumn="0" w:firstRowLastColumn="0" w:lastRowFirstColumn="0" w:lastRowLastColumn="0"/>
            </w:pPr>
            <w:r w:rsidRPr="00182DC8">
              <w:rPr>
                <w:rFonts w:ascii="Arial" w:hAnsi="Arial" w:cs="Arial"/>
                <w:color w:val="215868" w:themeColor="accent5" w:themeShade="80"/>
                <w:sz w:val="18"/>
                <w:szCs w:val="20"/>
              </w:rPr>
              <w:t>$</w:t>
            </w:r>
            <w:r w:rsidR="009D7889">
              <w:rPr>
                <w:rFonts w:ascii="Arial" w:hAnsi="Arial" w:cs="Arial"/>
                <w:color w:val="215868" w:themeColor="accent5" w:themeShade="80"/>
                <w:sz w:val="18"/>
                <w:szCs w:val="20"/>
              </w:rPr>
              <w:t>1.429</w:t>
            </w:r>
            <w:r w:rsidRPr="00182DC8">
              <w:rPr>
                <w:rFonts w:ascii="Arial" w:hAnsi="Arial" w:cs="Arial"/>
                <w:color w:val="215868" w:themeColor="accent5" w:themeShade="80"/>
                <w:sz w:val="18"/>
                <w:szCs w:val="20"/>
              </w:rPr>
              <w:t>B</w:t>
            </w:r>
          </w:p>
        </w:tc>
        <w:tc>
          <w:tcPr>
            <w:tcW w:w="1291" w:type="dxa"/>
            <w:vAlign w:val="center"/>
          </w:tcPr>
          <w:p w14:paraId="17ECF4F3" w14:textId="7D781BD0" w:rsidR="00112E9A" w:rsidRPr="00E736B9" w:rsidRDefault="00112E9A" w:rsidP="00340AA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9D7889">
              <w:rPr>
                <w:rFonts w:ascii="Arial" w:hAnsi="Arial" w:cs="Arial"/>
                <w:color w:val="215868" w:themeColor="accent5" w:themeShade="80"/>
                <w:sz w:val="18"/>
                <w:szCs w:val="20"/>
              </w:rPr>
              <w:t>5.9</w:t>
            </w:r>
            <w:r>
              <w:rPr>
                <w:rFonts w:ascii="Arial" w:hAnsi="Arial" w:cs="Arial"/>
                <w:color w:val="215868" w:themeColor="accent5" w:themeShade="80"/>
                <w:sz w:val="18"/>
                <w:szCs w:val="20"/>
              </w:rPr>
              <w:t>%</w:t>
            </w:r>
          </w:p>
        </w:tc>
        <w:tc>
          <w:tcPr>
            <w:tcW w:w="1291" w:type="dxa"/>
            <w:vAlign w:val="center"/>
          </w:tcPr>
          <w:p w14:paraId="787DCCD7" w14:textId="1A371F81" w:rsidR="00112E9A" w:rsidRPr="00E736B9" w:rsidRDefault="009D7889" w:rsidP="00340AA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-1.7</w:t>
            </w:r>
            <w:r w:rsidR="00112E9A">
              <w:rPr>
                <w:rFonts w:ascii="Arial" w:hAnsi="Arial" w:cs="Arial"/>
                <w:color w:val="215868" w:themeColor="accent5" w:themeShade="80"/>
                <w:sz w:val="18"/>
                <w:szCs w:val="20"/>
              </w:rPr>
              <w:t>%</w:t>
            </w:r>
          </w:p>
        </w:tc>
      </w:tr>
      <w:tr w:rsidR="00112E9A" w:rsidRPr="00E736B9" w14:paraId="480D89B1" w14:textId="77777777" w:rsidTr="009D78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right w:val="none" w:sz="0" w:space="0" w:color="auto"/>
            </w:tcBorders>
            <w:vAlign w:val="center"/>
          </w:tcPr>
          <w:p w14:paraId="5D516260" w14:textId="77777777" w:rsidR="00112E9A" w:rsidRPr="00E736B9" w:rsidRDefault="00112E9A" w:rsidP="00340AA9">
            <w:pPr>
              <w:rPr>
                <w:color w:val="215868" w:themeColor="accent5" w:themeShade="80"/>
              </w:rPr>
            </w:pPr>
            <w:proofErr w:type="spellStart"/>
            <w:r>
              <w:rPr>
                <w:rFonts w:ascii="Arial" w:hAnsi="Arial" w:cs="Arial"/>
                <w:b w:val="0"/>
                <w:color w:val="215868" w:themeColor="accent5" w:themeShade="80"/>
                <w:sz w:val="18"/>
                <w:szCs w:val="18"/>
              </w:rPr>
              <w:t>w.e</w:t>
            </w:r>
            <w:proofErr w:type="spellEnd"/>
            <w:r>
              <w:rPr>
                <w:rFonts w:ascii="Arial" w:hAnsi="Arial" w:cs="Arial"/>
                <w:b w:val="0"/>
                <w:color w:val="215868" w:themeColor="accent5" w:themeShade="80"/>
                <w:sz w:val="18"/>
                <w:szCs w:val="18"/>
              </w:rPr>
              <w:t>. 1/23/2022</w:t>
            </w:r>
          </w:p>
        </w:tc>
        <w:tc>
          <w:tcPr>
            <w:tcW w:w="1276" w:type="dxa"/>
            <w:tcBorders>
              <w:left w:val="none" w:sz="0" w:space="0" w:color="auto"/>
              <w:right w:val="none" w:sz="0" w:space="0" w:color="auto"/>
            </w:tcBorders>
          </w:tcPr>
          <w:p w14:paraId="1637EA20" w14:textId="2551194C" w:rsidR="00112E9A" w:rsidRDefault="00112E9A" w:rsidP="00112E9A">
            <w:pPr>
              <w:jc w:val="right"/>
              <w:cnfStyle w:val="000000100000" w:firstRow="0" w:lastRow="0" w:firstColumn="0" w:lastColumn="0" w:oddVBand="0" w:evenVBand="0" w:oddHBand="1" w:evenHBand="0" w:firstRowFirstColumn="0" w:firstRowLastColumn="0" w:lastRowFirstColumn="0" w:lastRowLastColumn="0"/>
            </w:pPr>
            <w:r w:rsidRPr="00182DC8">
              <w:rPr>
                <w:rFonts w:ascii="Arial" w:hAnsi="Arial" w:cs="Arial"/>
                <w:color w:val="215868" w:themeColor="accent5" w:themeShade="80"/>
                <w:sz w:val="18"/>
                <w:szCs w:val="20"/>
              </w:rPr>
              <w:t>$</w:t>
            </w:r>
            <w:r w:rsidR="009D7889">
              <w:rPr>
                <w:rFonts w:ascii="Arial" w:hAnsi="Arial" w:cs="Arial"/>
                <w:color w:val="215868" w:themeColor="accent5" w:themeShade="80"/>
                <w:sz w:val="18"/>
                <w:szCs w:val="20"/>
              </w:rPr>
              <w:t>1.370</w:t>
            </w:r>
            <w:r w:rsidRPr="00182DC8">
              <w:rPr>
                <w:rFonts w:ascii="Arial" w:hAnsi="Arial" w:cs="Arial"/>
                <w:color w:val="215868" w:themeColor="accent5" w:themeShade="80"/>
                <w:sz w:val="18"/>
                <w:szCs w:val="20"/>
              </w:rPr>
              <w:t>B</w:t>
            </w:r>
          </w:p>
        </w:tc>
        <w:tc>
          <w:tcPr>
            <w:tcW w:w="1291" w:type="dxa"/>
            <w:tcBorders>
              <w:left w:val="none" w:sz="0" w:space="0" w:color="auto"/>
              <w:right w:val="none" w:sz="0" w:space="0" w:color="auto"/>
            </w:tcBorders>
            <w:vAlign w:val="center"/>
          </w:tcPr>
          <w:p w14:paraId="7A1D7AA7" w14:textId="7071A547" w:rsidR="00112E9A" w:rsidRPr="00E736B9" w:rsidRDefault="00112E9A"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9D7889">
              <w:rPr>
                <w:rFonts w:ascii="Arial" w:hAnsi="Arial" w:cs="Arial"/>
                <w:color w:val="215868" w:themeColor="accent5" w:themeShade="80"/>
                <w:sz w:val="18"/>
                <w:szCs w:val="20"/>
              </w:rPr>
              <w:t>3.0</w:t>
            </w:r>
            <w:r>
              <w:rPr>
                <w:rFonts w:ascii="Arial" w:hAnsi="Arial" w:cs="Arial"/>
                <w:color w:val="215868" w:themeColor="accent5" w:themeShade="80"/>
                <w:sz w:val="18"/>
                <w:szCs w:val="20"/>
              </w:rPr>
              <w:t>%</w:t>
            </w:r>
          </w:p>
        </w:tc>
        <w:tc>
          <w:tcPr>
            <w:tcW w:w="1291" w:type="dxa"/>
            <w:tcBorders>
              <w:left w:val="none" w:sz="0" w:space="0" w:color="auto"/>
              <w:right w:val="none" w:sz="0" w:space="0" w:color="auto"/>
            </w:tcBorders>
            <w:vAlign w:val="center"/>
          </w:tcPr>
          <w:p w14:paraId="57F75F3D" w14:textId="300E5854" w:rsidR="00112E9A" w:rsidRPr="00E736B9" w:rsidRDefault="009D7889" w:rsidP="00340AA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-5.0</w:t>
            </w:r>
            <w:r w:rsidR="00112E9A">
              <w:rPr>
                <w:rFonts w:ascii="Arial" w:hAnsi="Arial" w:cs="Arial"/>
                <w:color w:val="215868" w:themeColor="accent5" w:themeShade="80"/>
                <w:sz w:val="18"/>
                <w:szCs w:val="20"/>
              </w:rPr>
              <w:t>%</w:t>
            </w:r>
          </w:p>
        </w:tc>
      </w:tr>
      <w:tr w:rsidR="00112E9A" w:rsidRPr="00E736B9" w14:paraId="78EEB326" w14:textId="77777777" w:rsidTr="00112E9A">
        <w:trPr>
          <w:trHeight w:val="25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A681FAB" w14:textId="77777777" w:rsidR="00112E9A" w:rsidRPr="00E736B9" w:rsidRDefault="00112E9A" w:rsidP="00112E9A">
            <w:pPr>
              <w:rPr>
                <w:color w:val="215868" w:themeColor="accent5" w:themeShade="80"/>
              </w:rPr>
            </w:pPr>
            <w:proofErr w:type="spellStart"/>
            <w:r>
              <w:rPr>
                <w:rFonts w:ascii="Arial" w:hAnsi="Arial" w:cs="Arial"/>
                <w:b w:val="0"/>
                <w:color w:val="215868" w:themeColor="accent5" w:themeShade="80"/>
                <w:sz w:val="18"/>
                <w:szCs w:val="18"/>
              </w:rPr>
              <w:t>w.e</w:t>
            </w:r>
            <w:proofErr w:type="spellEnd"/>
            <w:r>
              <w:rPr>
                <w:rFonts w:ascii="Arial" w:hAnsi="Arial" w:cs="Arial"/>
                <w:b w:val="0"/>
                <w:color w:val="215868" w:themeColor="accent5" w:themeShade="80"/>
                <w:sz w:val="18"/>
                <w:szCs w:val="18"/>
              </w:rPr>
              <w:t>. 1/30/2022</w:t>
            </w:r>
          </w:p>
        </w:tc>
        <w:tc>
          <w:tcPr>
            <w:tcW w:w="1276" w:type="dxa"/>
          </w:tcPr>
          <w:p w14:paraId="1793D132" w14:textId="70AA9194" w:rsidR="00112E9A" w:rsidRDefault="00112E9A" w:rsidP="00112E9A">
            <w:pPr>
              <w:jc w:val="right"/>
              <w:cnfStyle w:val="000000000000" w:firstRow="0" w:lastRow="0" w:firstColumn="0" w:lastColumn="0" w:oddVBand="0" w:evenVBand="0" w:oddHBand="0" w:evenHBand="0" w:firstRowFirstColumn="0" w:firstRowLastColumn="0" w:lastRowFirstColumn="0" w:lastRowLastColumn="0"/>
            </w:pPr>
            <w:r w:rsidRPr="00182DC8">
              <w:rPr>
                <w:rFonts w:ascii="Arial" w:hAnsi="Arial" w:cs="Arial"/>
                <w:color w:val="215868" w:themeColor="accent5" w:themeShade="80"/>
                <w:sz w:val="18"/>
                <w:szCs w:val="20"/>
              </w:rPr>
              <w:t>$</w:t>
            </w:r>
            <w:r w:rsidR="009D7889">
              <w:rPr>
                <w:rFonts w:ascii="Arial" w:hAnsi="Arial" w:cs="Arial"/>
                <w:color w:val="215868" w:themeColor="accent5" w:themeShade="80"/>
                <w:sz w:val="18"/>
                <w:szCs w:val="20"/>
              </w:rPr>
              <w:t>1.408</w:t>
            </w:r>
            <w:r w:rsidRPr="00182DC8">
              <w:rPr>
                <w:rFonts w:ascii="Arial" w:hAnsi="Arial" w:cs="Arial"/>
                <w:color w:val="215868" w:themeColor="accent5" w:themeShade="80"/>
                <w:sz w:val="18"/>
                <w:szCs w:val="20"/>
              </w:rPr>
              <w:t>B</w:t>
            </w:r>
          </w:p>
        </w:tc>
        <w:tc>
          <w:tcPr>
            <w:tcW w:w="1291" w:type="dxa"/>
            <w:vAlign w:val="center"/>
          </w:tcPr>
          <w:p w14:paraId="1CCD1820" w14:textId="44424A36" w:rsidR="00112E9A" w:rsidRPr="00E736B9" w:rsidRDefault="00112E9A" w:rsidP="00112E9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9D7889">
              <w:rPr>
                <w:rFonts w:ascii="Arial" w:hAnsi="Arial" w:cs="Arial"/>
                <w:color w:val="215868" w:themeColor="accent5" w:themeShade="80"/>
                <w:sz w:val="18"/>
                <w:szCs w:val="20"/>
              </w:rPr>
              <w:t>5.7</w:t>
            </w:r>
            <w:r>
              <w:rPr>
                <w:rFonts w:ascii="Arial" w:hAnsi="Arial" w:cs="Arial"/>
                <w:color w:val="215868" w:themeColor="accent5" w:themeShade="80"/>
                <w:sz w:val="18"/>
                <w:szCs w:val="20"/>
              </w:rPr>
              <w:t>%</w:t>
            </w:r>
          </w:p>
        </w:tc>
        <w:tc>
          <w:tcPr>
            <w:tcW w:w="1291" w:type="dxa"/>
            <w:vAlign w:val="center"/>
          </w:tcPr>
          <w:p w14:paraId="03233681" w14:textId="1F4BF601" w:rsidR="00112E9A" w:rsidRPr="00E736B9" w:rsidRDefault="009D7889" w:rsidP="00112E9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-3.2</w:t>
            </w:r>
            <w:r w:rsidR="00112E9A">
              <w:rPr>
                <w:rFonts w:ascii="Arial" w:hAnsi="Arial" w:cs="Arial"/>
                <w:color w:val="215868" w:themeColor="accent5" w:themeShade="80"/>
                <w:sz w:val="18"/>
                <w:szCs w:val="20"/>
              </w:rPr>
              <w:t>%</w:t>
            </w:r>
          </w:p>
        </w:tc>
      </w:tr>
    </w:tbl>
    <w:p w14:paraId="0C85A19E" w14:textId="74B2A4A6" w:rsidR="003B4FA0" w:rsidRDefault="009D7889" w:rsidP="00A225AD">
      <w:pPr>
        <w:spacing w:after="0" w:line="240" w:lineRule="auto"/>
        <w:rPr>
          <w:rFonts w:ascii="Arial" w:hAnsi="Arial" w:cs="Arial"/>
          <w:sz w:val="20"/>
          <w:szCs w:val="20"/>
        </w:rPr>
      </w:pPr>
      <w:r>
        <w:rPr>
          <w:rFonts w:ascii="Arial" w:hAnsi="Arial" w:cs="Arial"/>
          <w:sz w:val="20"/>
          <w:szCs w:val="20"/>
        </w:rPr>
        <w:t xml:space="preserve">Each of the five January </w:t>
      </w:r>
      <w:r w:rsidR="0047723D">
        <w:rPr>
          <w:rFonts w:ascii="Arial" w:hAnsi="Arial" w:cs="Arial"/>
          <w:sz w:val="20"/>
          <w:szCs w:val="20"/>
        </w:rPr>
        <w:t>weeks generated $1.</w:t>
      </w:r>
      <w:r>
        <w:rPr>
          <w:rFonts w:ascii="Arial" w:hAnsi="Arial" w:cs="Arial"/>
          <w:sz w:val="20"/>
          <w:szCs w:val="20"/>
        </w:rPr>
        <w:t>3</w:t>
      </w:r>
      <w:r w:rsidR="0047723D">
        <w:rPr>
          <w:rFonts w:ascii="Arial" w:hAnsi="Arial" w:cs="Arial"/>
          <w:sz w:val="20"/>
          <w:szCs w:val="20"/>
        </w:rPr>
        <w:t xml:space="preserve"> billion</w:t>
      </w:r>
      <w:r w:rsidR="003B4FA0">
        <w:rPr>
          <w:rFonts w:ascii="Arial" w:hAnsi="Arial" w:cs="Arial"/>
          <w:sz w:val="20"/>
          <w:szCs w:val="20"/>
        </w:rPr>
        <w:t xml:space="preserve"> or more</w:t>
      </w:r>
      <w:r w:rsidR="0047723D">
        <w:rPr>
          <w:rFonts w:ascii="Arial" w:hAnsi="Arial" w:cs="Arial"/>
          <w:sz w:val="20"/>
          <w:szCs w:val="20"/>
        </w:rPr>
        <w:t xml:space="preserve">, with the </w:t>
      </w:r>
      <w:r w:rsidR="003B4FA0">
        <w:rPr>
          <w:rFonts w:ascii="Arial" w:hAnsi="Arial" w:cs="Arial"/>
          <w:sz w:val="20"/>
          <w:szCs w:val="20"/>
        </w:rPr>
        <w:t>week ending January 16 being the biggest, at $1.43 billion. While year-on-year dollar sales were higher each week, volume sales were down. Year-on-year decreases varied from -1.7% the week ending January 16</w:t>
      </w:r>
      <w:r w:rsidR="003B4FA0" w:rsidRPr="003B4FA0">
        <w:rPr>
          <w:rFonts w:ascii="Arial" w:hAnsi="Arial" w:cs="Arial"/>
          <w:sz w:val="20"/>
          <w:szCs w:val="20"/>
          <w:vertAlign w:val="superscript"/>
        </w:rPr>
        <w:t>th</w:t>
      </w:r>
      <w:r w:rsidR="003B4FA0">
        <w:rPr>
          <w:rFonts w:ascii="Arial" w:hAnsi="Arial" w:cs="Arial"/>
          <w:sz w:val="20"/>
          <w:szCs w:val="20"/>
        </w:rPr>
        <w:t xml:space="preserve"> to -6.2% the first week of the year. </w:t>
      </w:r>
    </w:p>
    <w:p w14:paraId="7AA9DDD1" w14:textId="77777777" w:rsidR="003B4FA0" w:rsidRDefault="003B4FA0" w:rsidP="00A225AD">
      <w:pPr>
        <w:spacing w:after="0" w:line="240" w:lineRule="auto"/>
        <w:rPr>
          <w:rFonts w:ascii="Arial" w:hAnsi="Arial" w:cs="Arial"/>
          <w:sz w:val="20"/>
          <w:szCs w:val="20"/>
        </w:rPr>
      </w:pPr>
    </w:p>
    <w:p w14:paraId="2A5AD534" w14:textId="7E70DB00" w:rsidR="009759B0" w:rsidRDefault="000F45C4" w:rsidP="00151CCC">
      <w:pPr>
        <w:pStyle w:val="NoSpacing"/>
        <w:rPr>
          <w:noProof/>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521DE452" wp14:editId="5B26E6CB">
                <wp:simplePos x="0" y="0"/>
                <wp:positionH relativeFrom="column">
                  <wp:posOffset>3203575</wp:posOffset>
                </wp:positionH>
                <wp:positionV relativeFrom="paragraph">
                  <wp:posOffset>368300</wp:posOffset>
                </wp:positionV>
                <wp:extent cx="3547745" cy="20066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200660"/>
                        </a:xfrm>
                        <a:prstGeom prst="rect">
                          <a:avLst/>
                        </a:prstGeom>
                        <a:solidFill>
                          <a:srgbClr val="FFFFFF"/>
                        </a:solidFill>
                        <a:ln>
                          <a:noFill/>
                        </a:ln>
                      </wps:spPr>
                      <wps:txbx>
                        <w:txbxContent>
                          <w:p w14:paraId="61B6AA1E" w14:textId="77777777" w:rsidR="00112E9A" w:rsidRDefault="00112E9A" w:rsidP="0053257C">
                            <w:pPr>
                              <w:pStyle w:val="NoSpacing"/>
                            </w:pPr>
                            <w:r>
                              <w:rPr>
                                <w:rFonts w:ascii="Arial" w:hAnsi="Arial" w:cs="Arial"/>
                                <w:sz w:val="16"/>
                                <w:szCs w:val="16"/>
                              </w:rPr>
                              <w:t>Source: IRI, Integrated Fresh, Total US, MULO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DE452" id="_x0000_t202" coordsize="21600,21600" o:spt="202" path="m,l,21600r21600,l21600,xe">
                <v:stroke joinstyle="miter"/>
                <v:path gradientshapeok="t" o:connecttype="rect"/>
              </v:shapetype>
              <v:shape id="Text Box 7" o:spid="_x0000_s1026" type="#_x0000_t202" style="position:absolute;margin-left:252.25pt;margin-top:29pt;width:279.35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" stroked="f">
                <v:textbox>
                  <w:txbxContent>
                    <w:p w14:paraId="61B6AA1E" w14:textId="77777777" w:rsidR="00112E9A" w:rsidRDefault="00112E9A" w:rsidP="0053257C">
                      <w:pPr>
                        <w:pStyle w:val="NoSpacing"/>
                      </w:pPr>
                      <w:r>
                        <w:rPr>
                          <w:rFonts w:ascii="Arial" w:hAnsi="Arial" w:cs="Arial"/>
                          <w:sz w:val="16"/>
                          <w:szCs w:val="16"/>
                        </w:rPr>
                        <w:t>Source: IRI, Integrated Fresh, Total US, MULO</w:t>
                      </w:r>
                    </w:p>
                  </w:txbxContent>
                </v:textbox>
                <w10:wrap type="square"/>
              </v:shape>
            </w:pict>
          </mc:Fallback>
        </mc:AlternateContent>
      </w:r>
      <w:r w:rsidR="005C201D">
        <w:rPr>
          <w:rFonts w:ascii="Arial" w:hAnsi="Arial" w:cs="Arial"/>
          <w:sz w:val="20"/>
          <w:szCs w:val="20"/>
        </w:rPr>
        <w:t>“</w:t>
      </w:r>
      <w:r w:rsidR="0047723D">
        <w:rPr>
          <w:rFonts w:ascii="Arial" w:hAnsi="Arial" w:cs="Arial"/>
          <w:sz w:val="20"/>
          <w:szCs w:val="20"/>
        </w:rPr>
        <w:t xml:space="preserve">Our </w:t>
      </w:r>
      <w:r w:rsidR="003B4FA0">
        <w:rPr>
          <w:rFonts w:ascii="Arial" w:hAnsi="Arial" w:cs="Arial"/>
          <w:sz w:val="20"/>
          <w:szCs w:val="20"/>
        </w:rPr>
        <w:t xml:space="preserve">monthly </w:t>
      </w:r>
      <w:r w:rsidR="00551D01">
        <w:rPr>
          <w:rFonts w:ascii="Arial" w:hAnsi="Arial" w:cs="Arial"/>
          <w:sz w:val="20"/>
          <w:szCs w:val="20"/>
        </w:rPr>
        <w:t xml:space="preserve">shopper </w:t>
      </w:r>
      <w:r w:rsidR="003B4FA0">
        <w:rPr>
          <w:rFonts w:ascii="Arial" w:hAnsi="Arial" w:cs="Arial"/>
          <w:sz w:val="20"/>
          <w:szCs w:val="20"/>
        </w:rPr>
        <w:t>surveys are finding that consumers are hyper aware of inflation and are trying to mitigate the increases as much as possible</w:t>
      </w:r>
      <w:r w:rsidR="005C201D">
        <w:rPr>
          <w:rFonts w:ascii="Arial" w:hAnsi="Arial" w:cs="Arial"/>
          <w:sz w:val="20"/>
          <w:szCs w:val="20"/>
        </w:rPr>
        <w:t>,” said</w:t>
      </w:r>
      <w:r w:rsidR="0047723D">
        <w:rPr>
          <w:rFonts w:ascii="Arial" w:hAnsi="Arial" w:cs="Arial"/>
          <w:sz w:val="20"/>
          <w:szCs w:val="20"/>
        </w:rPr>
        <w:t xml:space="preserve"> Parker</w:t>
      </w:r>
      <w:r w:rsidR="000A543A">
        <w:rPr>
          <w:rFonts w:ascii="Arial" w:hAnsi="Arial" w:cs="Arial"/>
          <w:sz w:val="20"/>
          <w:szCs w:val="20"/>
        </w:rPr>
        <w:t>. “</w:t>
      </w:r>
      <w:r w:rsidR="002C2F4F">
        <w:rPr>
          <w:rFonts w:ascii="Arial" w:hAnsi="Arial" w:cs="Arial"/>
          <w:sz w:val="20"/>
          <w:szCs w:val="20"/>
        </w:rPr>
        <w:t xml:space="preserve">And that is exactly </w:t>
      </w:r>
      <w:r w:rsidR="003B4FA0">
        <w:rPr>
          <w:rFonts w:ascii="Arial" w:hAnsi="Arial" w:cs="Arial"/>
          <w:sz w:val="20"/>
          <w:szCs w:val="20"/>
        </w:rPr>
        <w:t>what we are seeing in recent trip baskets</w:t>
      </w:r>
      <w:r w:rsidR="007D58E6">
        <w:rPr>
          <w:rFonts w:ascii="Arial" w:hAnsi="Arial" w:cs="Arial"/>
          <w:sz w:val="20"/>
          <w:szCs w:val="20"/>
        </w:rPr>
        <w:t>.</w:t>
      </w:r>
      <w:r w:rsidR="003B4FA0">
        <w:rPr>
          <w:rFonts w:ascii="Arial" w:hAnsi="Arial" w:cs="Arial"/>
          <w:sz w:val="20"/>
          <w:szCs w:val="20"/>
        </w:rPr>
        <w:t xml:space="preserve"> </w:t>
      </w:r>
      <w:r w:rsidR="008D032E">
        <w:rPr>
          <w:rFonts w:ascii="Arial" w:hAnsi="Arial" w:cs="Arial"/>
          <w:sz w:val="20"/>
          <w:szCs w:val="20"/>
        </w:rPr>
        <w:t>On average, p</w:t>
      </w:r>
      <w:r w:rsidR="003B4FA0">
        <w:rPr>
          <w:rFonts w:ascii="Arial" w:hAnsi="Arial" w:cs="Arial"/>
          <w:sz w:val="20"/>
          <w:szCs w:val="20"/>
        </w:rPr>
        <w:t>eople are spending roughly the same amount of money</w:t>
      </w:r>
      <w:r w:rsidR="003E1441">
        <w:rPr>
          <w:rFonts w:ascii="Arial" w:hAnsi="Arial" w:cs="Arial"/>
          <w:sz w:val="20"/>
          <w:szCs w:val="20"/>
        </w:rPr>
        <w:t xml:space="preserve"> per trip</w:t>
      </w:r>
      <w:r w:rsidR="003B4FA0">
        <w:rPr>
          <w:rFonts w:ascii="Arial" w:hAnsi="Arial" w:cs="Arial"/>
          <w:sz w:val="20"/>
          <w:szCs w:val="20"/>
        </w:rPr>
        <w:t>, but they have many fewer items in the</w:t>
      </w:r>
      <w:r w:rsidR="003E1441">
        <w:rPr>
          <w:rFonts w:ascii="Arial" w:hAnsi="Arial" w:cs="Arial"/>
          <w:sz w:val="20"/>
          <w:szCs w:val="20"/>
        </w:rPr>
        <w:t>ir baskets. Saving by buying less is typically one of the later money-saving measures during periods of high inflation</w:t>
      </w:r>
      <w:r w:rsidR="00551D01">
        <w:rPr>
          <w:rFonts w:ascii="Arial" w:hAnsi="Arial" w:cs="Arial"/>
          <w:sz w:val="20"/>
          <w:szCs w:val="20"/>
        </w:rPr>
        <w:t>;</w:t>
      </w:r>
      <w:r w:rsidR="003E1441">
        <w:rPr>
          <w:rFonts w:ascii="Arial" w:hAnsi="Arial" w:cs="Arial"/>
          <w:sz w:val="20"/>
          <w:szCs w:val="20"/>
        </w:rPr>
        <w:t xml:space="preserve"> but</w:t>
      </w:r>
      <w:r w:rsidR="00551D01">
        <w:rPr>
          <w:rFonts w:ascii="Arial" w:hAnsi="Arial" w:cs="Arial"/>
          <w:sz w:val="20"/>
          <w:szCs w:val="20"/>
        </w:rPr>
        <w:t>,</w:t>
      </w:r>
      <w:r w:rsidR="003E1441">
        <w:rPr>
          <w:rFonts w:ascii="Arial" w:hAnsi="Arial" w:cs="Arial"/>
          <w:sz w:val="20"/>
          <w:szCs w:val="20"/>
        </w:rPr>
        <w:t xml:space="preserve"> with the lack of promotions and already cooking a lot more at home, consumers are drawing on the lessons they learned and fine-turned during the Great Recession. For many that means buying less</w:t>
      </w:r>
      <w:r w:rsidR="00551D01">
        <w:rPr>
          <w:rFonts w:ascii="Arial" w:hAnsi="Arial" w:cs="Arial"/>
          <w:sz w:val="20"/>
          <w:szCs w:val="20"/>
        </w:rPr>
        <w:t xml:space="preserve"> quantity</w:t>
      </w:r>
      <w:r w:rsidR="003E1441">
        <w:rPr>
          <w:rFonts w:ascii="Arial" w:hAnsi="Arial" w:cs="Arial"/>
          <w:sz w:val="20"/>
          <w:szCs w:val="20"/>
        </w:rPr>
        <w:t xml:space="preserve"> and we are seeing that very clearly in fresh produce.</w:t>
      </w:r>
      <w:r w:rsidR="00BA7456">
        <w:rPr>
          <w:rFonts w:ascii="Arial" w:hAnsi="Arial" w:cs="Arial"/>
          <w:sz w:val="20"/>
          <w:szCs w:val="20"/>
        </w:rPr>
        <w:t>”</w:t>
      </w:r>
      <w:r w:rsidR="0068309E">
        <w:rPr>
          <w:rFonts w:ascii="Arial" w:hAnsi="Arial" w:cs="Arial"/>
          <w:sz w:val="20"/>
          <w:szCs w:val="20"/>
        </w:rPr>
        <w:br/>
      </w:r>
      <w:r w:rsidR="0068309E">
        <w:rPr>
          <w:rFonts w:ascii="Arial" w:hAnsi="Arial" w:cs="Arial"/>
          <w:sz w:val="20"/>
          <w:szCs w:val="20"/>
        </w:rPr>
        <w:br/>
      </w:r>
      <w:r w:rsidR="008D032E">
        <w:rPr>
          <w:rFonts w:ascii="Arial" w:hAnsi="Arial" w:cs="Arial"/>
          <w:sz w:val="20"/>
          <w:szCs w:val="20"/>
        </w:rPr>
        <w:t xml:space="preserve">January 2022 gains </w:t>
      </w:r>
      <w:r w:rsidR="00D00A24">
        <w:rPr>
          <w:rFonts w:ascii="Arial" w:hAnsi="Arial" w:cs="Arial"/>
          <w:sz w:val="20"/>
          <w:szCs w:val="20"/>
        </w:rPr>
        <w:t>were down from the fourth quarter growth numbers across the board. Year-on-year, vegetables dropped into the negative</w:t>
      </w:r>
      <w:r w:rsidR="00D2690A">
        <w:rPr>
          <w:rFonts w:ascii="Arial" w:hAnsi="Arial" w:cs="Arial"/>
          <w:sz w:val="20"/>
          <w:szCs w:val="20"/>
        </w:rPr>
        <w:t xml:space="preserve">. </w:t>
      </w:r>
    </w:p>
    <w:p w14:paraId="15CF0133" w14:textId="2A62BB0F" w:rsidR="003E1441" w:rsidRDefault="003E1441" w:rsidP="00151CCC">
      <w:pPr>
        <w:pStyle w:val="NoSpacing"/>
        <w:rPr>
          <w:rFonts w:ascii="Arial" w:hAnsi="Arial" w:cs="Arial"/>
          <w:sz w:val="20"/>
          <w:szCs w:val="20"/>
        </w:rPr>
      </w:pPr>
      <w:r>
        <w:rPr>
          <w:noProof/>
        </w:rPr>
        <w:drawing>
          <wp:inline distT="0" distB="0" distL="0" distR="0" wp14:anchorId="28AEEF90" wp14:editId="33FB8826">
            <wp:extent cx="6750685" cy="2768600"/>
            <wp:effectExtent l="0" t="0" r="0" b="0"/>
            <wp:docPr id="10" name="Chart 10">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B2008E" w14:textId="77777777" w:rsidR="0068309E" w:rsidRDefault="0068309E" w:rsidP="0068309E">
      <w:pPr>
        <w:pStyle w:val="NoSpacing"/>
        <w:rPr>
          <w:rFonts w:ascii="Arial" w:hAnsi="Arial" w:cs="Arial"/>
          <w:sz w:val="16"/>
          <w:szCs w:val="16"/>
        </w:rPr>
      </w:pPr>
      <w:r w:rsidRPr="00B35CE9">
        <w:rPr>
          <w:rFonts w:ascii="Arial" w:hAnsi="Arial" w:cs="Arial"/>
          <w:sz w:val="16"/>
          <w:szCs w:val="16"/>
        </w:rPr>
        <w:t>Source</w:t>
      </w:r>
      <w:r>
        <w:rPr>
          <w:rFonts w:ascii="Arial" w:hAnsi="Arial" w:cs="Arial"/>
          <w:sz w:val="16"/>
          <w:szCs w:val="16"/>
        </w:rPr>
        <w:t>: IRI Integrated Fresh, Total U.S., MULO</w:t>
      </w:r>
    </w:p>
    <w:p w14:paraId="3CCC5188" w14:textId="77777777" w:rsidR="0068309E" w:rsidRDefault="0068309E" w:rsidP="00151CCC">
      <w:pPr>
        <w:pStyle w:val="NoSpacing"/>
        <w:rPr>
          <w:rFonts w:ascii="Arial" w:hAnsi="Arial" w:cs="Arial"/>
          <w:sz w:val="20"/>
          <w:szCs w:val="20"/>
        </w:rPr>
      </w:pPr>
    </w:p>
    <w:p w14:paraId="05609152" w14:textId="77777777" w:rsidR="000A543A" w:rsidRDefault="000A543A" w:rsidP="00160D1A">
      <w:pPr>
        <w:pStyle w:val="NoSpacing"/>
        <w:rPr>
          <w:rFonts w:ascii="Arial" w:hAnsi="Arial" w:cs="Arial"/>
          <w:b/>
          <w:color w:val="595959" w:themeColor="text1" w:themeTint="A6"/>
          <w:sz w:val="24"/>
          <w:szCs w:val="24"/>
        </w:rPr>
      </w:pPr>
    </w:p>
    <w:p w14:paraId="64B3B221" w14:textId="77777777" w:rsidR="00C573F6" w:rsidRPr="00507D74" w:rsidRDefault="00043B43" w:rsidP="00160D1A">
      <w:pPr>
        <w:pStyle w:val="NoSpacing"/>
        <w:rPr>
          <w:rFonts w:ascii="Arial" w:hAnsi="Arial" w:cs="Arial"/>
          <w:b/>
          <w:color w:val="595959" w:themeColor="text1" w:themeTint="A6"/>
          <w:sz w:val="24"/>
          <w:szCs w:val="24"/>
        </w:rPr>
      </w:pPr>
      <w:r w:rsidRPr="00507D74">
        <w:rPr>
          <w:rFonts w:ascii="Arial" w:hAnsi="Arial" w:cs="Arial"/>
          <w:b/>
          <w:color w:val="595959" w:themeColor="text1" w:themeTint="A6"/>
          <w:sz w:val="24"/>
          <w:szCs w:val="24"/>
        </w:rPr>
        <w:t>Fresh Share</w:t>
      </w:r>
      <w:r w:rsidR="00EB33CE">
        <w:rPr>
          <w:rFonts w:ascii="Arial" w:hAnsi="Arial" w:cs="Arial"/>
          <w:b/>
          <w:color w:val="595959" w:themeColor="text1" w:themeTint="A6"/>
          <w:sz w:val="24"/>
          <w:szCs w:val="24"/>
        </w:rPr>
        <w:t xml:space="preserve"> </w:t>
      </w:r>
    </w:p>
    <w:p w14:paraId="5CC596CB" w14:textId="4800AE2D" w:rsidR="00AC0CDA" w:rsidRDefault="00AC0CDA" w:rsidP="00AC0CDA">
      <w:pPr>
        <w:pStyle w:val="NoSpacing"/>
        <w:rPr>
          <w:rFonts w:ascii="Arial" w:hAnsi="Arial" w:cs="Arial"/>
          <w:sz w:val="20"/>
          <w:szCs w:val="20"/>
        </w:rPr>
      </w:pPr>
      <w:r>
        <w:rPr>
          <w:rFonts w:ascii="Arial" w:hAnsi="Arial" w:cs="Arial"/>
          <w:sz w:val="20"/>
          <w:szCs w:val="20"/>
        </w:rPr>
        <w:t>Despite above-average inflation for fresh produce, its share of dollars</w:t>
      </w:r>
      <w:r w:rsidR="00AB0D40">
        <w:rPr>
          <w:rFonts w:ascii="Arial" w:hAnsi="Arial" w:cs="Arial"/>
          <w:sz w:val="20"/>
          <w:szCs w:val="20"/>
        </w:rPr>
        <w:t xml:space="preserve"> remained below average in January 2022</w:t>
      </w:r>
      <w:r>
        <w:rPr>
          <w:rFonts w:ascii="Arial" w:hAnsi="Arial" w:cs="Arial"/>
          <w:sz w:val="20"/>
          <w:szCs w:val="20"/>
        </w:rPr>
        <w:t>.</w:t>
      </w:r>
      <w:r w:rsidR="00770809">
        <w:rPr>
          <w:rFonts w:ascii="Arial" w:hAnsi="Arial" w:cs="Arial"/>
          <w:sz w:val="20"/>
          <w:szCs w:val="20"/>
        </w:rPr>
        <w:t xml:space="preserve"> Shelf-stable fruits</w:t>
      </w:r>
      <w:r w:rsidR="00551D01">
        <w:rPr>
          <w:rFonts w:ascii="Arial" w:hAnsi="Arial" w:cs="Arial"/>
          <w:sz w:val="20"/>
          <w:szCs w:val="20"/>
        </w:rPr>
        <w:t xml:space="preserve"> </w:t>
      </w:r>
      <w:r w:rsidR="00770809">
        <w:rPr>
          <w:rFonts w:ascii="Arial" w:hAnsi="Arial" w:cs="Arial"/>
          <w:sz w:val="20"/>
          <w:szCs w:val="20"/>
        </w:rPr>
        <w:t xml:space="preserve">had a very strong </w:t>
      </w:r>
      <w:r w:rsidR="00AB0D40">
        <w:rPr>
          <w:rFonts w:ascii="Arial" w:hAnsi="Arial" w:cs="Arial"/>
          <w:sz w:val="20"/>
          <w:szCs w:val="20"/>
        </w:rPr>
        <w:t xml:space="preserve">January </w:t>
      </w:r>
      <w:r w:rsidR="00770809">
        <w:rPr>
          <w:rFonts w:ascii="Arial" w:hAnsi="Arial" w:cs="Arial"/>
          <w:sz w:val="20"/>
          <w:szCs w:val="20"/>
        </w:rPr>
        <w:t xml:space="preserve">with sales gains of </w:t>
      </w:r>
      <w:r w:rsidR="00AB0D40">
        <w:rPr>
          <w:rFonts w:ascii="Arial" w:hAnsi="Arial" w:cs="Arial"/>
          <w:sz w:val="20"/>
          <w:szCs w:val="20"/>
        </w:rPr>
        <w:t>7.5</w:t>
      </w:r>
      <w:r w:rsidR="00770809">
        <w:rPr>
          <w:rFonts w:ascii="Arial" w:hAnsi="Arial" w:cs="Arial"/>
          <w:sz w:val="20"/>
          <w:szCs w:val="20"/>
        </w:rPr>
        <w:t xml:space="preserve">% year-on-year. </w:t>
      </w:r>
      <w:r w:rsidR="00334F5C">
        <w:rPr>
          <w:rFonts w:ascii="Arial" w:hAnsi="Arial" w:cs="Arial"/>
          <w:sz w:val="20"/>
          <w:szCs w:val="20"/>
        </w:rPr>
        <w:t xml:space="preserve">Both frozen and shelf-stable are heavily impacted by supply chain disruptions and assortment as well as inventory levels have been down significantly over recent months. </w:t>
      </w:r>
    </w:p>
    <w:p w14:paraId="2336DEC9" w14:textId="77777777" w:rsidR="00770809" w:rsidRPr="00B265F0" w:rsidRDefault="00770809" w:rsidP="00770809">
      <w:pPr>
        <w:pStyle w:val="NoSpacing"/>
        <w:rPr>
          <w:rFonts w:ascii="Arial" w:hAnsi="Arial" w:cs="Arial"/>
          <w:sz w:val="16"/>
          <w:szCs w:val="16"/>
        </w:rPr>
      </w:pPr>
    </w:p>
    <w:tbl>
      <w:tblPr>
        <w:tblStyle w:val="LightShading-Accent5"/>
        <w:tblW w:w="10847" w:type="dxa"/>
        <w:tblBorders>
          <w:top w:val="none" w:sz="0" w:space="0" w:color="auto"/>
          <w:bottom w:val="none" w:sz="0" w:space="0" w:color="auto"/>
        </w:tblBorders>
        <w:tblLook w:val="04A0" w:firstRow="1" w:lastRow="0" w:firstColumn="1" w:lastColumn="0" w:noHBand="0" w:noVBand="1"/>
      </w:tblPr>
      <w:tblGrid>
        <w:gridCol w:w="4312"/>
        <w:gridCol w:w="1279"/>
        <w:gridCol w:w="1339"/>
        <w:gridCol w:w="1417"/>
        <w:gridCol w:w="1250"/>
        <w:gridCol w:w="1250"/>
      </w:tblGrid>
      <w:tr w:rsidR="00770809" w:rsidRPr="00B265F0" w14:paraId="6403B5CC" w14:textId="77777777" w:rsidTr="0045675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12"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0B0D9439" w14:textId="77777777" w:rsidR="00770809" w:rsidRPr="00B265F0" w:rsidRDefault="00112E9A" w:rsidP="001F29DC">
            <w:pPr>
              <w:pStyle w:val="NoSpacing"/>
              <w:rPr>
                <w:rFonts w:ascii="Arial" w:hAnsi="Arial" w:cs="Arial"/>
                <w:color w:val="FFFFFF" w:themeColor="background1"/>
                <w:sz w:val="18"/>
                <w:szCs w:val="20"/>
              </w:rPr>
            </w:pPr>
            <w:r>
              <w:rPr>
                <w:rFonts w:ascii="Arial" w:hAnsi="Arial" w:cs="Arial"/>
                <w:color w:val="FFFFFF" w:themeColor="background1"/>
                <w:sz w:val="18"/>
                <w:szCs w:val="20"/>
              </w:rPr>
              <w:t>January 2022</w:t>
            </w:r>
          </w:p>
        </w:tc>
        <w:tc>
          <w:tcPr>
            <w:tcW w:w="127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22FC01F6"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Dollar</w:t>
            </w:r>
            <w:r>
              <w:rPr>
                <w:rFonts w:ascii="Arial" w:hAnsi="Arial" w:cs="Arial"/>
                <w:color w:val="FFFFFF" w:themeColor="background1"/>
                <w:sz w:val="18"/>
                <w:szCs w:val="20"/>
              </w:rPr>
              <w:br/>
              <w:t>sales</w:t>
            </w:r>
          </w:p>
        </w:tc>
        <w:tc>
          <w:tcPr>
            <w:tcW w:w="1339"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38E3F723"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B265F0">
              <w:rPr>
                <w:rFonts w:ascii="Arial" w:hAnsi="Arial" w:cs="Arial"/>
                <w:color w:val="FFFFFF" w:themeColor="background1"/>
                <w:sz w:val="18"/>
                <w:szCs w:val="20"/>
              </w:rPr>
              <w:t>Dollar sales gains v</w:t>
            </w:r>
            <w:r>
              <w:rPr>
                <w:rFonts w:ascii="Arial" w:hAnsi="Arial" w:cs="Arial"/>
                <w:color w:val="FFFFFF" w:themeColor="background1"/>
                <w:sz w:val="18"/>
                <w:szCs w:val="20"/>
              </w:rPr>
              <w:t>s. 202</w:t>
            </w:r>
            <w:r w:rsidR="00112E9A">
              <w:rPr>
                <w:rFonts w:ascii="Arial" w:hAnsi="Arial" w:cs="Arial"/>
                <w:color w:val="FFFFFF" w:themeColor="background1"/>
                <w:sz w:val="18"/>
                <w:szCs w:val="20"/>
              </w:rPr>
              <w:t>1</w:t>
            </w:r>
          </w:p>
        </w:tc>
        <w:tc>
          <w:tcPr>
            <w:tcW w:w="1417"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1C8CB91B"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B265F0">
              <w:rPr>
                <w:rFonts w:ascii="Arial" w:hAnsi="Arial" w:cs="Arial"/>
                <w:color w:val="FFFFFF" w:themeColor="background1"/>
                <w:sz w:val="18"/>
                <w:szCs w:val="20"/>
              </w:rPr>
              <w:t>Dollar sales</w:t>
            </w:r>
            <w:r>
              <w:rPr>
                <w:rFonts w:ascii="Arial" w:hAnsi="Arial" w:cs="Arial"/>
                <w:color w:val="FFFFFF" w:themeColor="background1"/>
                <w:sz w:val="18"/>
                <w:szCs w:val="20"/>
              </w:rPr>
              <w:br/>
            </w:r>
            <w:r w:rsidRPr="00B265F0">
              <w:rPr>
                <w:rFonts w:ascii="Arial" w:hAnsi="Arial" w:cs="Arial"/>
                <w:color w:val="FFFFFF" w:themeColor="background1"/>
                <w:sz w:val="18"/>
                <w:szCs w:val="20"/>
              </w:rPr>
              <w:t xml:space="preserve"> gains v</w:t>
            </w:r>
            <w:r>
              <w:rPr>
                <w:rFonts w:ascii="Arial" w:hAnsi="Arial" w:cs="Arial"/>
                <w:color w:val="FFFFFF" w:themeColor="background1"/>
                <w:sz w:val="18"/>
                <w:szCs w:val="20"/>
              </w:rPr>
              <w:t>s. 20</w:t>
            </w:r>
            <w:r w:rsidR="00112E9A">
              <w:rPr>
                <w:rFonts w:ascii="Arial" w:hAnsi="Arial" w:cs="Arial"/>
                <w:color w:val="FFFFFF" w:themeColor="background1"/>
                <w:sz w:val="18"/>
                <w:szCs w:val="20"/>
              </w:rPr>
              <w:t>20</w:t>
            </w:r>
          </w:p>
        </w:tc>
        <w:tc>
          <w:tcPr>
            <w:tcW w:w="125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5DA60DE9"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Average price per unit</w:t>
            </w:r>
          </w:p>
        </w:tc>
        <w:tc>
          <w:tcPr>
            <w:tcW w:w="125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467079F6" w14:textId="77777777" w:rsidR="00770809" w:rsidRPr="00B265F0" w:rsidRDefault="0077080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Increase price vs. YA</w:t>
            </w:r>
          </w:p>
        </w:tc>
      </w:tr>
      <w:tr w:rsidR="00770809" w:rsidRPr="00E43E81" w14:paraId="5658F647" w14:textId="77777777" w:rsidTr="004567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12" w:type="dxa"/>
            <w:tcBorders>
              <w:left w:val="none" w:sz="0" w:space="0" w:color="auto"/>
              <w:right w:val="none" w:sz="0" w:space="0" w:color="auto"/>
            </w:tcBorders>
          </w:tcPr>
          <w:p w14:paraId="7D622E5E" w14:textId="77777777" w:rsidR="00770809" w:rsidRPr="000D5031" w:rsidRDefault="00770809" w:rsidP="001F29DC">
            <w:pPr>
              <w:pStyle w:val="NoSpacing"/>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Fresh produce department</w:t>
            </w:r>
          </w:p>
        </w:tc>
        <w:tc>
          <w:tcPr>
            <w:tcW w:w="1279" w:type="dxa"/>
            <w:tcBorders>
              <w:left w:val="none" w:sz="0" w:space="0" w:color="auto"/>
              <w:right w:val="none" w:sz="0" w:space="0" w:color="auto"/>
            </w:tcBorders>
            <w:vAlign w:val="center"/>
          </w:tcPr>
          <w:p w14:paraId="3A99D57E" w14:textId="1FE8BDF9" w:rsidR="00770809" w:rsidRPr="000D5031" w:rsidRDefault="00770809"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361BCC">
              <w:rPr>
                <w:rFonts w:ascii="Arial" w:hAnsi="Arial" w:cs="Arial"/>
                <w:b/>
                <w:bCs/>
                <w:color w:val="215868" w:themeColor="accent5" w:themeShade="80"/>
                <w:sz w:val="18"/>
                <w:szCs w:val="20"/>
              </w:rPr>
              <w:t>$</w:t>
            </w:r>
            <w:r w:rsidR="00D00A24">
              <w:rPr>
                <w:rFonts w:ascii="Arial" w:hAnsi="Arial" w:cs="Arial"/>
                <w:b/>
                <w:bCs/>
                <w:color w:val="215868" w:themeColor="accent5" w:themeShade="80"/>
                <w:sz w:val="18"/>
                <w:szCs w:val="20"/>
              </w:rPr>
              <w:t>6.9</w:t>
            </w:r>
            <w:r w:rsidRPr="00361BCC">
              <w:rPr>
                <w:rFonts w:ascii="Arial" w:hAnsi="Arial" w:cs="Arial"/>
                <w:b/>
                <w:bCs/>
                <w:color w:val="215868" w:themeColor="accent5" w:themeShade="80"/>
                <w:sz w:val="18"/>
                <w:szCs w:val="20"/>
              </w:rPr>
              <w:t>B</w:t>
            </w:r>
          </w:p>
        </w:tc>
        <w:tc>
          <w:tcPr>
            <w:tcW w:w="1339" w:type="dxa"/>
            <w:tcBorders>
              <w:left w:val="none" w:sz="0" w:space="0" w:color="auto"/>
              <w:right w:val="none" w:sz="0" w:space="0" w:color="auto"/>
            </w:tcBorders>
            <w:vAlign w:val="center"/>
          </w:tcPr>
          <w:p w14:paraId="3AA01AAA" w14:textId="5F500750" w:rsidR="00770809" w:rsidRPr="000D5031" w:rsidRDefault="00570D2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b/>
                <w:bCs/>
                <w:color w:val="215868" w:themeColor="accent5" w:themeShade="80"/>
                <w:sz w:val="18"/>
                <w:szCs w:val="20"/>
              </w:rPr>
              <w:t>+</w:t>
            </w:r>
            <w:r w:rsidR="00D00A24">
              <w:rPr>
                <w:rFonts w:ascii="Arial" w:hAnsi="Arial" w:cs="Arial"/>
                <w:b/>
                <w:bCs/>
                <w:color w:val="215868" w:themeColor="accent5" w:themeShade="80"/>
                <w:sz w:val="18"/>
                <w:szCs w:val="20"/>
              </w:rPr>
              <w:t>4.4</w:t>
            </w:r>
            <w:r w:rsidR="00770809" w:rsidRPr="00361BCC">
              <w:rPr>
                <w:rFonts w:ascii="Arial" w:hAnsi="Arial" w:cs="Arial"/>
                <w:b/>
                <w:bCs/>
                <w:color w:val="215868" w:themeColor="accent5" w:themeShade="80"/>
                <w:sz w:val="18"/>
                <w:szCs w:val="20"/>
              </w:rPr>
              <w:t>%</w:t>
            </w:r>
          </w:p>
        </w:tc>
        <w:tc>
          <w:tcPr>
            <w:tcW w:w="1417" w:type="dxa"/>
            <w:tcBorders>
              <w:left w:val="none" w:sz="0" w:space="0" w:color="auto"/>
              <w:right w:val="none" w:sz="0" w:space="0" w:color="auto"/>
            </w:tcBorders>
            <w:vAlign w:val="center"/>
          </w:tcPr>
          <w:p w14:paraId="2B2BC812" w14:textId="1C4E2C8B" w:rsidR="00770809" w:rsidRPr="000D5031" w:rsidRDefault="00770809"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rPr>
            </w:pPr>
            <w:r w:rsidRPr="00361BCC">
              <w:rPr>
                <w:rFonts w:ascii="Arial" w:hAnsi="Arial" w:cs="Arial"/>
                <w:b/>
                <w:bCs/>
                <w:color w:val="215868" w:themeColor="accent5" w:themeShade="80"/>
                <w:sz w:val="18"/>
                <w:szCs w:val="20"/>
              </w:rPr>
              <w:t>+</w:t>
            </w:r>
            <w:r w:rsidR="00D00A24">
              <w:rPr>
                <w:rFonts w:ascii="Arial" w:hAnsi="Arial" w:cs="Arial"/>
                <w:b/>
                <w:bCs/>
                <w:color w:val="215868" w:themeColor="accent5" w:themeShade="80"/>
                <w:sz w:val="18"/>
                <w:szCs w:val="20"/>
              </w:rPr>
              <w:t>15.6</w:t>
            </w:r>
            <w:r w:rsidRPr="00361BCC">
              <w:rPr>
                <w:rFonts w:ascii="Arial" w:hAnsi="Arial" w:cs="Arial"/>
                <w:b/>
                <w:bCs/>
                <w:color w:val="215868" w:themeColor="accent5" w:themeShade="80"/>
                <w:sz w:val="18"/>
                <w:szCs w:val="20"/>
              </w:rPr>
              <w:t>%</w:t>
            </w:r>
          </w:p>
        </w:tc>
        <w:tc>
          <w:tcPr>
            <w:tcW w:w="1250" w:type="dxa"/>
            <w:tcBorders>
              <w:left w:val="none" w:sz="0" w:space="0" w:color="auto"/>
              <w:right w:val="none" w:sz="0" w:space="0" w:color="auto"/>
            </w:tcBorders>
          </w:tcPr>
          <w:p w14:paraId="49A72BFC" w14:textId="0888114F" w:rsidR="00770809" w:rsidRPr="00361BCC" w:rsidRDefault="00770809"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D00A24">
              <w:rPr>
                <w:rFonts w:ascii="Arial" w:hAnsi="Arial" w:cs="Arial"/>
                <w:b/>
                <w:bCs/>
                <w:color w:val="215868" w:themeColor="accent5" w:themeShade="80"/>
                <w:sz w:val="18"/>
                <w:szCs w:val="20"/>
              </w:rPr>
              <w:t>2.50</w:t>
            </w:r>
          </w:p>
        </w:tc>
        <w:tc>
          <w:tcPr>
            <w:tcW w:w="1250" w:type="dxa"/>
            <w:tcBorders>
              <w:left w:val="none" w:sz="0" w:space="0" w:color="auto"/>
              <w:right w:val="none" w:sz="0" w:space="0" w:color="auto"/>
            </w:tcBorders>
          </w:tcPr>
          <w:p w14:paraId="2D4F4D65" w14:textId="1F5672E8" w:rsidR="00770809" w:rsidRPr="00361BCC" w:rsidRDefault="00570D2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themeColor="accent5" w:themeShade="80"/>
                <w:sz w:val="18"/>
                <w:szCs w:val="20"/>
              </w:rPr>
            </w:pPr>
            <w:r>
              <w:rPr>
                <w:rFonts w:ascii="Arial" w:hAnsi="Arial" w:cs="Arial"/>
                <w:b/>
                <w:bCs/>
                <w:color w:val="215868" w:themeColor="accent5" w:themeShade="80"/>
                <w:sz w:val="18"/>
                <w:szCs w:val="20"/>
              </w:rPr>
              <w:t>+</w:t>
            </w:r>
            <w:r w:rsidR="00D00A24">
              <w:rPr>
                <w:rFonts w:ascii="Arial" w:hAnsi="Arial" w:cs="Arial"/>
                <w:b/>
                <w:bCs/>
                <w:color w:val="215868" w:themeColor="accent5" w:themeShade="80"/>
                <w:sz w:val="18"/>
                <w:szCs w:val="20"/>
              </w:rPr>
              <w:t>9.0</w:t>
            </w:r>
            <w:r w:rsidR="00770809">
              <w:rPr>
                <w:rFonts w:ascii="Arial" w:hAnsi="Arial" w:cs="Arial"/>
                <w:b/>
                <w:bCs/>
                <w:color w:val="215868" w:themeColor="accent5" w:themeShade="80"/>
                <w:sz w:val="18"/>
                <w:szCs w:val="20"/>
              </w:rPr>
              <w:t>%</w:t>
            </w:r>
          </w:p>
        </w:tc>
      </w:tr>
      <w:tr w:rsidR="00770809" w:rsidRPr="00E43E81" w14:paraId="6436AB32" w14:textId="77777777" w:rsidTr="001F29DC">
        <w:trPr>
          <w:trHeight w:val="227"/>
        </w:trPr>
        <w:tc>
          <w:tcPr>
            <w:cnfStyle w:val="001000000000" w:firstRow="0" w:lastRow="0" w:firstColumn="1" w:lastColumn="0" w:oddVBand="0" w:evenVBand="0" w:oddHBand="0" w:evenHBand="0" w:firstRowFirstColumn="0" w:firstRowLastColumn="0" w:lastRowFirstColumn="0" w:lastRowLastColumn="0"/>
            <w:tcW w:w="4312" w:type="dxa"/>
          </w:tcPr>
          <w:p w14:paraId="2DECF2C9" w14:textId="77777777" w:rsidR="00770809" w:rsidRPr="000D5031" w:rsidRDefault="00770809" w:rsidP="001F29DC">
            <w:pPr>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 xml:space="preserve">Shelf stable fruits </w:t>
            </w:r>
          </w:p>
        </w:tc>
        <w:tc>
          <w:tcPr>
            <w:tcW w:w="1279" w:type="dxa"/>
          </w:tcPr>
          <w:p w14:paraId="762ADF8F" w14:textId="295E2AE3"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0B62E2">
              <w:rPr>
                <w:rFonts w:ascii="Arial" w:hAnsi="Arial" w:cs="Arial"/>
                <w:color w:val="215868" w:themeColor="accent5" w:themeShade="80"/>
                <w:sz w:val="18"/>
                <w:szCs w:val="20"/>
              </w:rPr>
              <w:t>418</w:t>
            </w:r>
            <w:r w:rsidR="00770809">
              <w:rPr>
                <w:rFonts w:ascii="Arial" w:hAnsi="Arial" w:cs="Arial"/>
                <w:color w:val="215868" w:themeColor="accent5" w:themeShade="80"/>
                <w:sz w:val="18"/>
                <w:szCs w:val="20"/>
              </w:rPr>
              <w:t>M</w:t>
            </w:r>
          </w:p>
        </w:tc>
        <w:tc>
          <w:tcPr>
            <w:tcW w:w="1339" w:type="dxa"/>
          </w:tcPr>
          <w:p w14:paraId="65CF6948" w14:textId="2B05034E"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0B62E2">
              <w:rPr>
                <w:rFonts w:ascii="Arial" w:hAnsi="Arial" w:cs="Arial"/>
                <w:color w:val="215868" w:themeColor="accent5" w:themeShade="80"/>
                <w:sz w:val="18"/>
                <w:szCs w:val="20"/>
              </w:rPr>
              <w:t>7.5</w:t>
            </w:r>
            <w:r w:rsidR="00770809" w:rsidRPr="000D5031">
              <w:rPr>
                <w:rFonts w:ascii="Arial" w:hAnsi="Arial" w:cs="Arial"/>
                <w:color w:val="215868" w:themeColor="accent5" w:themeShade="80"/>
                <w:sz w:val="18"/>
                <w:szCs w:val="20"/>
              </w:rPr>
              <w:t>%</w:t>
            </w:r>
          </w:p>
        </w:tc>
        <w:tc>
          <w:tcPr>
            <w:tcW w:w="1417" w:type="dxa"/>
          </w:tcPr>
          <w:p w14:paraId="6106E491" w14:textId="632A573A"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highlight w:val="red"/>
              </w:rPr>
            </w:pPr>
            <w:r>
              <w:rPr>
                <w:rFonts w:ascii="Arial" w:hAnsi="Arial" w:cs="Arial"/>
                <w:color w:val="215868" w:themeColor="accent5" w:themeShade="80"/>
                <w:sz w:val="18"/>
                <w:szCs w:val="20"/>
              </w:rPr>
              <w:t>+</w:t>
            </w:r>
            <w:r w:rsidR="000B62E2">
              <w:rPr>
                <w:rFonts w:ascii="Arial" w:hAnsi="Arial" w:cs="Arial"/>
                <w:color w:val="215868" w:themeColor="accent5" w:themeShade="80"/>
                <w:sz w:val="18"/>
                <w:szCs w:val="20"/>
              </w:rPr>
              <w:t>17.0</w:t>
            </w:r>
            <w:r w:rsidR="00770809" w:rsidRPr="000D5031">
              <w:rPr>
                <w:rFonts w:ascii="Arial" w:hAnsi="Arial" w:cs="Arial"/>
                <w:color w:val="215868" w:themeColor="accent5" w:themeShade="80"/>
                <w:sz w:val="18"/>
                <w:szCs w:val="20"/>
              </w:rPr>
              <w:t>%</w:t>
            </w:r>
          </w:p>
        </w:tc>
        <w:tc>
          <w:tcPr>
            <w:tcW w:w="1250" w:type="dxa"/>
          </w:tcPr>
          <w:p w14:paraId="607B80B7" w14:textId="213E214E" w:rsidR="00770809"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0B62E2">
              <w:rPr>
                <w:rFonts w:ascii="Arial" w:hAnsi="Arial" w:cs="Arial"/>
                <w:color w:val="215868" w:themeColor="accent5" w:themeShade="80"/>
                <w:sz w:val="18"/>
                <w:szCs w:val="20"/>
              </w:rPr>
              <w:t>2.81</w:t>
            </w:r>
          </w:p>
        </w:tc>
        <w:tc>
          <w:tcPr>
            <w:tcW w:w="1250" w:type="dxa"/>
          </w:tcPr>
          <w:p w14:paraId="7D05D7D9" w14:textId="2B7380A9" w:rsidR="00770809"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0B62E2">
              <w:rPr>
                <w:rFonts w:ascii="Arial" w:hAnsi="Arial" w:cs="Arial"/>
                <w:color w:val="215868" w:themeColor="accent5" w:themeShade="80"/>
                <w:sz w:val="18"/>
                <w:szCs w:val="20"/>
              </w:rPr>
              <w:t>9.8</w:t>
            </w:r>
            <w:r w:rsidR="00770809">
              <w:rPr>
                <w:rFonts w:ascii="Arial" w:hAnsi="Arial" w:cs="Arial"/>
                <w:color w:val="215868" w:themeColor="accent5" w:themeShade="80"/>
                <w:sz w:val="18"/>
                <w:szCs w:val="20"/>
              </w:rPr>
              <w:t>%</w:t>
            </w:r>
          </w:p>
        </w:tc>
      </w:tr>
      <w:tr w:rsidR="00770809" w:rsidRPr="00E43E81" w14:paraId="136DBAD7" w14:textId="77777777" w:rsidTr="0045675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12" w:type="dxa"/>
            <w:tcBorders>
              <w:left w:val="none" w:sz="0" w:space="0" w:color="auto"/>
              <w:right w:val="none" w:sz="0" w:space="0" w:color="auto"/>
            </w:tcBorders>
          </w:tcPr>
          <w:p w14:paraId="205297AD" w14:textId="77777777" w:rsidR="00770809" w:rsidRPr="000D5031" w:rsidRDefault="00770809" w:rsidP="001F29DC">
            <w:pPr>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Shelf stable vegetables</w:t>
            </w:r>
          </w:p>
        </w:tc>
        <w:tc>
          <w:tcPr>
            <w:tcW w:w="1279" w:type="dxa"/>
            <w:tcBorders>
              <w:left w:val="none" w:sz="0" w:space="0" w:color="auto"/>
              <w:right w:val="none" w:sz="0" w:space="0" w:color="auto"/>
            </w:tcBorders>
          </w:tcPr>
          <w:p w14:paraId="1B917AA7" w14:textId="79396FF0" w:rsidR="00770809" w:rsidRPr="000D5031" w:rsidRDefault="00570D2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0B62E2">
              <w:rPr>
                <w:rFonts w:ascii="Arial" w:hAnsi="Arial" w:cs="Arial"/>
                <w:color w:val="215868" w:themeColor="accent5" w:themeShade="80"/>
                <w:sz w:val="18"/>
                <w:szCs w:val="20"/>
              </w:rPr>
              <w:t>689</w:t>
            </w:r>
            <w:r w:rsidR="00770809" w:rsidRPr="000D5031">
              <w:rPr>
                <w:rFonts w:ascii="Arial" w:hAnsi="Arial" w:cs="Arial"/>
                <w:color w:val="215868" w:themeColor="accent5" w:themeShade="80"/>
                <w:sz w:val="18"/>
                <w:szCs w:val="20"/>
              </w:rPr>
              <w:t>M</w:t>
            </w:r>
          </w:p>
        </w:tc>
        <w:tc>
          <w:tcPr>
            <w:tcW w:w="1339" w:type="dxa"/>
            <w:tcBorders>
              <w:left w:val="none" w:sz="0" w:space="0" w:color="auto"/>
              <w:right w:val="none" w:sz="0" w:space="0" w:color="auto"/>
            </w:tcBorders>
          </w:tcPr>
          <w:p w14:paraId="371B11FD" w14:textId="75464FEB" w:rsidR="00770809" w:rsidRPr="000D5031" w:rsidRDefault="000B62E2"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+2.2</w:t>
            </w:r>
            <w:r w:rsidR="00770809" w:rsidRPr="000D5031">
              <w:rPr>
                <w:rFonts w:ascii="Arial" w:hAnsi="Arial" w:cs="Arial"/>
                <w:color w:val="215868" w:themeColor="accent5" w:themeShade="80"/>
                <w:sz w:val="18"/>
                <w:szCs w:val="20"/>
              </w:rPr>
              <w:t>%</w:t>
            </w:r>
          </w:p>
        </w:tc>
        <w:tc>
          <w:tcPr>
            <w:tcW w:w="1417" w:type="dxa"/>
            <w:tcBorders>
              <w:left w:val="none" w:sz="0" w:space="0" w:color="auto"/>
              <w:right w:val="none" w:sz="0" w:space="0" w:color="auto"/>
            </w:tcBorders>
          </w:tcPr>
          <w:p w14:paraId="248DEF07" w14:textId="4854535D" w:rsidR="00770809" w:rsidRPr="000D5031" w:rsidRDefault="00570D2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highlight w:val="red"/>
              </w:rPr>
            </w:pPr>
            <w:r>
              <w:rPr>
                <w:rFonts w:ascii="Arial" w:hAnsi="Arial" w:cs="Arial"/>
                <w:color w:val="215868" w:themeColor="accent5" w:themeShade="80"/>
                <w:sz w:val="18"/>
                <w:szCs w:val="20"/>
              </w:rPr>
              <w:t>+</w:t>
            </w:r>
            <w:r w:rsidR="000B62E2">
              <w:rPr>
                <w:rFonts w:ascii="Arial" w:hAnsi="Arial" w:cs="Arial"/>
                <w:color w:val="215868" w:themeColor="accent5" w:themeShade="80"/>
                <w:sz w:val="18"/>
                <w:szCs w:val="20"/>
              </w:rPr>
              <w:t>14.4</w:t>
            </w:r>
            <w:r w:rsidR="00770809" w:rsidRPr="000D5031">
              <w:rPr>
                <w:rFonts w:ascii="Arial" w:hAnsi="Arial" w:cs="Arial"/>
                <w:color w:val="215868" w:themeColor="accent5" w:themeShade="80"/>
                <w:sz w:val="18"/>
                <w:szCs w:val="20"/>
              </w:rPr>
              <w:t>%</w:t>
            </w:r>
          </w:p>
        </w:tc>
        <w:tc>
          <w:tcPr>
            <w:tcW w:w="1250" w:type="dxa"/>
            <w:tcBorders>
              <w:left w:val="none" w:sz="0" w:space="0" w:color="auto"/>
              <w:right w:val="none" w:sz="0" w:space="0" w:color="auto"/>
            </w:tcBorders>
          </w:tcPr>
          <w:p w14:paraId="7417AA65" w14:textId="6F5D8287" w:rsidR="00770809" w:rsidRDefault="00570D2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0B62E2">
              <w:rPr>
                <w:rFonts w:ascii="Arial" w:hAnsi="Arial" w:cs="Arial"/>
                <w:color w:val="215868" w:themeColor="accent5" w:themeShade="80"/>
                <w:sz w:val="18"/>
                <w:szCs w:val="20"/>
              </w:rPr>
              <w:t>1.26</w:t>
            </w:r>
          </w:p>
        </w:tc>
        <w:tc>
          <w:tcPr>
            <w:tcW w:w="1250" w:type="dxa"/>
            <w:tcBorders>
              <w:left w:val="none" w:sz="0" w:space="0" w:color="auto"/>
              <w:right w:val="none" w:sz="0" w:space="0" w:color="auto"/>
            </w:tcBorders>
          </w:tcPr>
          <w:p w14:paraId="4AF0D023" w14:textId="585880B5" w:rsidR="00770809" w:rsidRDefault="00570D2C" w:rsidP="001F29D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hAnsi="Arial" w:cs="Arial"/>
                <w:color w:val="215868" w:themeColor="accent5" w:themeShade="80"/>
                <w:sz w:val="18"/>
                <w:szCs w:val="20"/>
              </w:rPr>
              <w:t>+</w:t>
            </w:r>
            <w:r w:rsidR="000B62E2">
              <w:rPr>
                <w:rFonts w:ascii="Arial" w:hAnsi="Arial" w:cs="Arial"/>
                <w:color w:val="215868" w:themeColor="accent5" w:themeShade="80"/>
                <w:sz w:val="18"/>
                <w:szCs w:val="20"/>
              </w:rPr>
              <w:t>6.8</w:t>
            </w:r>
            <w:r w:rsidR="00770809">
              <w:rPr>
                <w:rFonts w:ascii="Arial" w:hAnsi="Arial" w:cs="Arial"/>
                <w:color w:val="215868" w:themeColor="accent5" w:themeShade="80"/>
                <w:sz w:val="18"/>
                <w:szCs w:val="20"/>
              </w:rPr>
              <w:t>%</w:t>
            </w:r>
          </w:p>
        </w:tc>
      </w:tr>
      <w:tr w:rsidR="00770809" w:rsidRPr="00E43E81" w14:paraId="5F847BCF" w14:textId="77777777" w:rsidTr="001F29DC">
        <w:trPr>
          <w:trHeight w:val="227"/>
        </w:trPr>
        <w:tc>
          <w:tcPr>
            <w:cnfStyle w:val="001000000000" w:firstRow="0" w:lastRow="0" w:firstColumn="1" w:lastColumn="0" w:oddVBand="0" w:evenVBand="0" w:oddHBand="0" w:evenHBand="0" w:firstRowFirstColumn="0" w:firstRowLastColumn="0" w:lastRowFirstColumn="0" w:lastRowLastColumn="0"/>
            <w:tcW w:w="4312" w:type="dxa"/>
          </w:tcPr>
          <w:p w14:paraId="73A581B3" w14:textId="77777777" w:rsidR="00770809" w:rsidRPr="000D5031" w:rsidRDefault="00770809" w:rsidP="001F29DC">
            <w:pPr>
              <w:rPr>
                <w:rFonts w:ascii="Arial" w:hAnsi="Arial" w:cs="Arial"/>
                <w:b w:val="0"/>
                <w:color w:val="215868" w:themeColor="accent5" w:themeShade="80"/>
                <w:sz w:val="18"/>
                <w:szCs w:val="20"/>
              </w:rPr>
            </w:pPr>
            <w:r w:rsidRPr="000D5031">
              <w:rPr>
                <w:rFonts w:ascii="Arial" w:hAnsi="Arial" w:cs="Arial"/>
                <w:b w:val="0"/>
                <w:color w:val="215868" w:themeColor="accent5" w:themeShade="80"/>
                <w:sz w:val="18"/>
                <w:szCs w:val="20"/>
              </w:rPr>
              <w:t>Frozen fruits and vegetables</w:t>
            </w:r>
          </w:p>
        </w:tc>
        <w:tc>
          <w:tcPr>
            <w:tcW w:w="1279" w:type="dxa"/>
          </w:tcPr>
          <w:p w14:paraId="2F6DA7B0" w14:textId="595F0456"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0B62E2">
              <w:rPr>
                <w:rFonts w:ascii="Arial" w:eastAsia="Times New Roman" w:hAnsi="Arial" w:cs="Arial"/>
                <w:color w:val="215868" w:themeColor="accent5" w:themeShade="80"/>
                <w:sz w:val="18"/>
                <w:szCs w:val="18"/>
              </w:rPr>
              <w:t>745</w:t>
            </w:r>
            <w:r w:rsidR="00770809" w:rsidRPr="000D5031">
              <w:rPr>
                <w:rFonts w:ascii="Arial" w:eastAsia="Times New Roman" w:hAnsi="Arial" w:cs="Arial"/>
                <w:color w:val="215868" w:themeColor="accent5" w:themeShade="80"/>
                <w:sz w:val="18"/>
                <w:szCs w:val="18"/>
              </w:rPr>
              <w:t>M</w:t>
            </w:r>
          </w:p>
        </w:tc>
        <w:tc>
          <w:tcPr>
            <w:tcW w:w="1339" w:type="dxa"/>
          </w:tcPr>
          <w:p w14:paraId="1CC6E7ED" w14:textId="7EEDFB73"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0B62E2">
              <w:rPr>
                <w:rFonts w:ascii="Arial" w:eastAsia="Times New Roman" w:hAnsi="Arial" w:cs="Arial"/>
                <w:color w:val="215868" w:themeColor="accent5" w:themeShade="80"/>
                <w:sz w:val="18"/>
                <w:szCs w:val="18"/>
              </w:rPr>
              <w:t>2.2</w:t>
            </w:r>
            <w:r w:rsidR="00770809" w:rsidRPr="000D5031">
              <w:rPr>
                <w:rFonts w:ascii="Arial" w:eastAsia="Times New Roman" w:hAnsi="Arial" w:cs="Arial"/>
                <w:color w:val="215868" w:themeColor="accent5" w:themeShade="80"/>
                <w:sz w:val="18"/>
                <w:szCs w:val="18"/>
              </w:rPr>
              <w:t>%</w:t>
            </w:r>
          </w:p>
        </w:tc>
        <w:tc>
          <w:tcPr>
            <w:tcW w:w="1417" w:type="dxa"/>
          </w:tcPr>
          <w:p w14:paraId="15BC3289" w14:textId="22752BA6" w:rsidR="00770809" w:rsidRPr="000D5031" w:rsidRDefault="00770809" w:rsidP="001F29D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sidRPr="000D5031">
              <w:rPr>
                <w:rFonts w:ascii="Arial" w:eastAsia="Times New Roman" w:hAnsi="Arial" w:cs="Arial"/>
                <w:color w:val="215868" w:themeColor="accent5" w:themeShade="80"/>
                <w:sz w:val="18"/>
                <w:szCs w:val="18"/>
              </w:rPr>
              <w:t>+</w:t>
            </w:r>
            <w:r w:rsidR="000B62E2">
              <w:rPr>
                <w:rFonts w:ascii="Arial" w:eastAsia="Times New Roman" w:hAnsi="Arial" w:cs="Arial"/>
                <w:color w:val="215868" w:themeColor="accent5" w:themeShade="80"/>
                <w:sz w:val="18"/>
                <w:szCs w:val="18"/>
              </w:rPr>
              <w:t>14.9</w:t>
            </w:r>
            <w:r w:rsidRPr="000D5031">
              <w:rPr>
                <w:rFonts w:ascii="Arial" w:eastAsia="Times New Roman" w:hAnsi="Arial" w:cs="Arial"/>
                <w:color w:val="215868" w:themeColor="accent5" w:themeShade="80"/>
                <w:sz w:val="18"/>
                <w:szCs w:val="18"/>
              </w:rPr>
              <w:t>%</w:t>
            </w:r>
          </w:p>
        </w:tc>
        <w:tc>
          <w:tcPr>
            <w:tcW w:w="1250" w:type="dxa"/>
          </w:tcPr>
          <w:p w14:paraId="6FEB7786" w14:textId="0F4D89BF" w:rsidR="00770809" w:rsidRPr="000D5031" w:rsidRDefault="00770809" w:rsidP="001F29D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0B62E2">
              <w:rPr>
                <w:rFonts w:ascii="Arial" w:eastAsia="Times New Roman" w:hAnsi="Arial" w:cs="Arial"/>
                <w:color w:val="215868" w:themeColor="accent5" w:themeShade="80"/>
                <w:sz w:val="18"/>
                <w:szCs w:val="18"/>
              </w:rPr>
              <w:t>2.60</w:t>
            </w:r>
          </w:p>
        </w:tc>
        <w:tc>
          <w:tcPr>
            <w:tcW w:w="1250" w:type="dxa"/>
          </w:tcPr>
          <w:p w14:paraId="37555401" w14:textId="5485A6B3" w:rsidR="00770809" w:rsidRPr="000D5031" w:rsidRDefault="00570D2C" w:rsidP="001F29D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0B62E2">
              <w:rPr>
                <w:rFonts w:ascii="Arial" w:eastAsia="Times New Roman" w:hAnsi="Arial" w:cs="Arial"/>
                <w:color w:val="215868" w:themeColor="accent5" w:themeShade="80"/>
                <w:sz w:val="18"/>
                <w:szCs w:val="18"/>
              </w:rPr>
              <w:t>5.8</w:t>
            </w:r>
            <w:r w:rsidR="00770809">
              <w:rPr>
                <w:rFonts w:ascii="Arial" w:eastAsia="Times New Roman" w:hAnsi="Arial" w:cs="Arial"/>
                <w:color w:val="215868" w:themeColor="accent5" w:themeShade="80"/>
                <w:sz w:val="18"/>
                <w:szCs w:val="18"/>
              </w:rPr>
              <w:t>%</w:t>
            </w:r>
          </w:p>
        </w:tc>
      </w:tr>
    </w:tbl>
    <w:p w14:paraId="788E9F0B" w14:textId="77777777" w:rsidR="00770809" w:rsidRPr="00B265F0" w:rsidRDefault="00770809" w:rsidP="00770809">
      <w:pPr>
        <w:pStyle w:val="NoSpacing"/>
        <w:rPr>
          <w:rFonts w:ascii="Arial" w:hAnsi="Arial" w:cs="Arial"/>
          <w:sz w:val="10"/>
          <w:szCs w:val="10"/>
        </w:rPr>
      </w:pPr>
    </w:p>
    <w:p w14:paraId="127869F3" w14:textId="77777777" w:rsidR="00770809" w:rsidRPr="00B35CE9" w:rsidRDefault="00770809" w:rsidP="00770809">
      <w:pPr>
        <w:pStyle w:val="NoSpacing"/>
        <w:rPr>
          <w:rFonts w:ascii="Arial" w:hAnsi="Arial" w:cs="Arial"/>
          <w:sz w:val="16"/>
          <w:szCs w:val="16"/>
        </w:rPr>
      </w:pPr>
      <w:r w:rsidRPr="00B265F0">
        <w:rPr>
          <w:rFonts w:ascii="Arial" w:hAnsi="Arial" w:cs="Arial"/>
          <w:sz w:val="16"/>
          <w:szCs w:val="16"/>
        </w:rPr>
        <w:t>Source: IRI</w:t>
      </w:r>
      <w:r>
        <w:rPr>
          <w:rFonts w:ascii="Arial" w:hAnsi="Arial" w:cs="Arial"/>
          <w:sz w:val="16"/>
          <w:szCs w:val="16"/>
        </w:rPr>
        <w:t xml:space="preserve"> Integrated Fresh, </w:t>
      </w:r>
      <w:r w:rsidRPr="00B265F0">
        <w:rPr>
          <w:rFonts w:ascii="Arial" w:hAnsi="Arial" w:cs="Arial"/>
          <w:sz w:val="16"/>
          <w:szCs w:val="16"/>
        </w:rPr>
        <w:t>Total US, MULO</w:t>
      </w:r>
    </w:p>
    <w:p w14:paraId="308559FB" w14:textId="77777777" w:rsidR="00770809" w:rsidRDefault="00770809" w:rsidP="00770809">
      <w:pPr>
        <w:pStyle w:val="NoSpacing"/>
        <w:rPr>
          <w:rFonts w:ascii="Arial" w:hAnsi="Arial" w:cs="Arial"/>
          <w:sz w:val="20"/>
          <w:szCs w:val="20"/>
        </w:rPr>
      </w:pPr>
    </w:p>
    <w:p w14:paraId="6D01AD83" w14:textId="7280809D" w:rsidR="00C05AA1" w:rsidRDefault="00C05AA1" w:rsidP="00770809">
      <w:pPr>
        <w:pStyle w:val="NoSpacing"/>
        <w:rPr>
          <w:rFonts w:ascii="Arial" w:hAnsi="Arial" w:cs="Arial"/>
          <w:sz w:val="20"/>
          <w:szCs w:val="20"/>
        </w:rPr>
      </w:pPr>
      <w:r>
        <w:rPr>
          <w:rFonts w:ascii="Arial" w:hAnsi="Arial" w:cs="Arial"/>
          <w:sz w:val="20"/>
          <w:szCs w:val="20"/>
        </w:rPr>
        <w:lastRenderedPageBreak/>
        <w:t xml:space="preserve">The </w:t>
      </w:r>
      <w:r w:rsidR="00C54548">
        <w:rPr>
          <w:rFonts w:ascii="Arial" w:hAnsi="Arial" w:cs="Arial"/>
          <w:sz w:val="20"/>
          <w:szCs w:val="20"/>
        </w:rPr>
        <w:t xml:space="preserve">January 2022 </w:t>
      </w:r>
      <w:r>
        <w:rPr>
          <w:rFonts w:ascii="Arial" w:hAnsi="Arial" w:cs="Arial"/>
          <w:sz w:val="20"/>
          <w:szCs w:val="20"/>
        </w:rPr>
        <w:t xml:space="preserve">share of dollars for fresh produce was 78.8%, </w:t>
      </w:r>
      <w:r w:rsidR="00C54548">
        <w:rPr>
          <w:rFonts w:ascii="Arial" w:hAnsi="Arial" w:cs="Arial"/>
          <w:sz w:val="20"/>
          <w:szCs w:val="20"/>
        </w:rPr>
        <w:t xml:space="preserve">unchanged from December 2021. The fresh share peaked in the summer of 2021, at around </w:t>
      </w:r>
      <w:r>
        <w:rPr>
          <w:rFonts w:ascii="Arial" w:hAnsi="Arial" w:cs="Arial"/>
          <w:sz w:val="20"/>
          <w:szCs w:val="20"/>
        </w:rPr>
        <w:t xml:space="preserve">84%. </w:t>
      </w:r>
    </w:p>
    <w:p w14:paraId="17D2A6B3" w14:textId="7C90AC5B" w:rsidR="00983F3F" w:rsidRDefault="00983F3F" w:rsidP="00983F3F">
      <w:pPr>
        <w:spacing w:after="0" w:line="240" w:lineRule="auto"/>
        <w:rPr>
          <w:rFonts w:ascii="Arial" w:hAnsi="Arial" w:cs="Arial"/>
          <w:color w:val="000000" w:themeColor="text1"/>
          <w:sz w:val="10"/>
          <w:szCs w:val="10"/>
          <w:shd w:val="clear" w:color="auto" w:fill="FFFFFF"/>
        </w:rPr>
      </w:pPr>
    </w:p>
    <w:p w14:paraId="55311572" w14:textId="7317EDF9" w:rsidR="003508FD" w:rsidRPr="00983F3F" w:rsidRDefault="003508FD" w:rsidP="00983F3F">
      <w:pPr>
        <w:spacing w:after="0" w:line="240" w:lineRule="auto"/>
        <w:rPr>
          <w:rFonts w:ascii="Arial" w:hAnsi="Arial" w:cs="Arial"/>
          <w:color w:val="000000" w:themeColor="text1"/>
          <w:sz w:val="10"/>
          <w:szCs w:val="10"/>
          <w:shd w:val="clear" w:color="auto" w:fill="FFFFFF"/>
        </w:rPr>
      </w:pPr>
      <w:r>
        <w:rPr>
          <w:noProof/>
        </w:rPr>
        <w:drawing>
          <wp:inline distT="0" distB="0" distL="0" distR="0" wp14:anchorId="78115E0B" wp14:editId="538861B6">
            <wp:extent cx="4724400" cy="2425700"/>
            <wp:effectExtent l="0" t="0" r="0" b="0"/>
            <wp:docPr id="11" name="Chart 11">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51DC13" w14:textId="77777777" w:rsidR="008111C0" w:rsidRDefault="008111C0" w:rsidP="00983F3F">
      <w:pPr>
        <w:spacing w:after="0" w:line="240" w:lineRule="auto"/>
        <w:rPr>
          <w:rFonts w:ascii="Arial" w:hAnsi="Arial" w:cs="Arial"/>
          <w:sz w:val="16"/>
          <w:szCs w:val="16"/>
        </w:rPr>
      </w:pPr>
      <w:r w:rsidRPr="00507D74">
        <w:rPr>
          <w:rFonts w:ascii="Arial" w:hAnsi="Arial" w:cs="Arial"/>
          <w:sz w:val="16"/>
          <w:szCs w:val="16"/>
        </w:rPr>
        <w:t>Source: Source: IRI Integrated Fresh, Total U.S., MULO</w:t>
      </w:r>
    </w:p>
    <w:p w14:paraId="6A747D79" w14:textId="77777777" w:rsidR="008111C0" w:rsidRDefault="008111C0" w:rsidP="0053257C">
      <w:pPr>
        <w:spacing w:after="0" w:line="240" w:lineRule="auto"/>
        <w:rPr>
          <w:rFonts w:ascii="Arial" w:hAnsi="Arial" w:cs="Arial"/>
          <w:sz w:val="20"/>
          <w:shd w:val="clear" w:color="auto" w:fill="FFFFFF"/>
        </w:rPr>
      </w:pPr>
    </w:p>
    <w:p w14:paraId="11FE6A1E" w14:textId="77777777" w:rsidR="00FA1373" w:rsidRDefault="00FA1373" w:rsidP="006069A6">
      <w:pPr>
        <w:pStyle w:val="NoSpacing"/>
        <w:rPr>
          <w:rFonts w:ascii="Arial" w:hAnsi="Arial" w:cs="Arial"/>
          <w:b/>
          <w:color w:val="595959" w:themeColor="text1" w:themeTint="A6"/>
          <w:sz w:val="24"/>
          <w:szCs w:val="24"/>
        </w:rPr>
      </w:pPr>
    </w:p>
    <w:p w14:paraId="6839CE99" w14:textId="77777777" w:rsidR="002137F5" w:rsidRPr="00CF309B" w:rsidRDefault="006C3FCE" w:rsidP="006069A6">
      <w:pPr>
        <w:pStyle w:val="NoSpacing"/>
        <w:rPr>
          <w:rFonts w:ascii="Arial" w:hAnsi="Arial" w:cs="Arial"/>
          <w:b/>
          <w:color w:val="595959" w:themeColor="text1" w:themeTint="A6"/>
          <w:sz w:val="24"/>
          <w:szCs w:val="24"/>
        </w:rPr>
      </w:pPr>
      <w:r w:rsidRPr="00CF309B">
        <w:rPr>
          <w:rFonts w:ascii="Arial" w:hAnsi="Arial" w:cs="Arial"/>
          <w:b/>
          <w:color w:val="595959" w:themeColor="text1" w:themeTint="A6"/>
          <w:sz w:val="24"/>
          <w:szCs w:val="24"/>
        </w:rPr>
        <w:t xml:space="preserve">Fresh Produce </w:t>
      </w:r>
      <w:r w:rsidR="002137F5" w:rsidRPr="00CF309B">
        <w:rPr>
          <w:rFonts w:ascii="Arial" w:hAnsi="Arial" w:cs="Arial"/>
          <w:b/>
          <w:color w:val="595959" w:themeColor="text1" w:themeTint="A6"/>
          <w:sz w:val="24"/>
          <w:szCs w:val="24"/>
        </w:rPr>
        <w:t>Dollars versus Volume</w:t>
      </w:r>
    </w:p>
    <w:p w14:paraId="0CB7AB49" w14:textId="325A6745" w:rsidR="0005157F" w:rsidRDefault="00223410" w:rsidP="006069A6">
      <w:pPr>
        <w:pStyle w:val="NoSpacing"/>
        <w:rPr>
          <w:rFonts w:ascii="Arial" w:hAnsi="Arial" w:cs="Arial"/>
          <w:sz w:val="20"/>
          <w:szCs w:val="20"/>
        </w:rPr>
      </w:pPr>
      <w:r>
        <w:rPr>
          <w:rFonts w:ascii="Arial" w:hAnsi="Arial" w:cs="Arial"/>
          <w:sz w:val="20"/>
          <w:szCs w:val="20"/>
        </w:rPr>
        <w:t xml:space="preserve">Fresh produce pound sales trailed behind year ago levels all throughout 2021. In January 2022, pound growth dropped to </w:t>
      </w:r>
      <w:r w:rsidR="00AB0D40">
        <w:rPr>
          <w:rFonts w:ascii="Arial" w:hAnsi="Arial" w:cs="Arial"/>
          <w:sz w:val="20"/>
          <w:szCs w:val="20"/>
        </w:rPr>
        <w:t xml:space="preserve">its </w:t>
      </w:r>
      <w:r>
        <w:rPr>
          <w:rFonts w:ascii="Arial" w:hAnsi="Arial" w:cs="Arial"/>
          <w:sz w:val="20"/>
          <w:szCs w:val="20"/>
        </w:rPr>
        <w:t xml:space="preserve">lowest level since the second quarter of 2021. Additionally, the gap between dollars (+15.6%) and pound growth (+3.3%) when compared with 2020 remained more than 12 points. </w:t>
      </w:r>
    </w:p>
    <w:p w14:paraId="7D32D1FA" w14:textId="77777777" w:rsidR="00CB76FB" w:rsidRDefault="00CB76FB" w:rsidP="006069A6">
      <w:pPr>
        <w:pStyle w:val="NoSpacing"/>
        <w:rPr>
          <w:rFonts w:ascii="Arial" w:hAnsi="Arial" w:cs="Arial"/>
          <w:sz w:val="20"/>
          <w:szCs w:val="20"/>
        </w:rPr>
      </w:pPr>
    </w:p>
    <w:p w14:paraId="21AE6872" w14:textId="401AF9CF" w:rsidR="00AC478B" w:rsidRPr="009D1A60" w:rsidRDefault="00223410" w:rsidP="009D1A60">
      <w:pPr>
        <w:pStyle w:val="NoSpacing"/>
      </w:pPr>
      <w:r>
        <w:rPr>
          <w:noProof/>
        </w:rPr>
        <w:drawing>
          <wp:inline distT="0" distB="0" distL="0" distR="0" wp14:anchorId="65EE41FB" wp14:editId="1A4C2EF5">
            <wp:extent cx="6750685" cy="2936875"/>
            <wp:effectExtent l="0" t="0" r="0" b="0"/>
            <wp:docPr id="12" name="Chart 12">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E9A45F" w14:textId="77777777" w:rsidR="00441E8F" w:rsidRPr="00CF309B" w:rsidRDefault="00441E8F" w:rsidP="00441E8F">
      <w:pPr>
        <w:pStyle w:val="NoSpacing"/>
        <w:rPr>
          <w:rFonts w:ascii="Arial" w:hAnsi="Arial" w:cs="Arial"/>
          <w:sz w:val="16"/>
          <w:szCs w:val="16"/>
        </w:rPr>
      </w:pPr>
      <w:r w:rsidRPr="00CF309B">
        <w:rPr>
          <w:rFonts w:ascii="Arial" w:hAnsi="Arial" w:cs="Arial"/>
          <w:sz w:val="16"/>
          <w:szCs w:val="16"/>
        </w:rPr>
        <w:t>Source: Source: IRI</w:t>
      </w:r>
      <w:r w:rsidR="00906C46">
        <w:rPr>
          <w:rFonts w:ascii="Arial" w:hAnsi="Arial" w:cs="Arial"/>
          <w:sz w:val="16"/>
          <w:szCs w:val="16"/>
        </w:rPr>
        <w:t xml:space="preserve"> Integrated Fresh</w:t>
      </w:r>
      <w:r w:rsidRPr="00CF309B">
        <w:rPr>
          <w:rFonts w:ascii="Arial" w:hAnsi="Arial" w:cs="Arial"/>
          <w:sz w:val="16"/>
          <w:szCs w:val="16"/>
        </w:rPr>
        <w:t>, Total U.S., MULO</w:t>
      </w:r>
      <w:r w:rsidR="00AA6AEB">
        <w:rPr>
          <w:rFonts w:ascii="Arial" w:hAnsi="Arial" w:cs="Arial"/>
          <w:sz w:val="16"/>
          <w:szCs w:val="16"/>
        </w:rPr>
        <w:t xml:space="preserve"> </w:t>
      </w:r>
    </w:p>
    <w:p w14:paraId="3053AAE0" w14:textId="77777777" w:rsidR="00043B43" w:rsidRPr="00CF309B" w:rsidRDefault="00043B43" w:rsidP="006069A6">
      <w:pPr>
        <w:pStyle w:val="NoSpacing"/>
        <w:rPr>
          <w:rFonts w:ascii="Arial" w:hAnsi="Arial" w:cs="Arial"/>
          <w:sz w:val="20"/>
          <w:szCs w:val="20"/>
        </w:rPr>
      </w:pPr>
    </w:p>
    <w:p w14:paraId="14CF2F77" w14:textId="79E3AC79" w:rsidR="00EF524A" w:rsidRDefault="00200C0F" w:rsidP="007C430F">
      <w:pPr>
        <w:pStyle w:val="NoSpacing"/>
        <w:rPr>
          <w:rFonts w:ascii="Arial" w:hAnsi="Arial" w:cs="Arial"/>
          <w:color w:val="000000" w:themeColor="text1"/>
          <w:sz w:val="20"/>
          <w:szCs w:val="18"/>
          <w:shd w:val="clear" w:color="auto" w:fill="FFFFFF"/>
        </w:rPr>
      </w:pPr>
      <w:r>
        <w:rPr>
          <w:rFonts w:ascii="Arial" w:hAnsi="Arial" w:cs="Arial"/>
          <w:color w:val="000000" w:themeColor="text1"/>
          <w:sz w:val="20"/>
          <w:szCs w:val="18"/>
          <w:shd w:val="clear" w:color="auto" w:fill="FFFFFF"/>
        </w:rPr>
        <w:t xml:space="preserve">Comparing </w:t>
      </w:r>
      <w:r w:rsidR="00AB0D40">
        <w:rPr>
          <w:rFonts w:ascii="Arial" w:hAnsi="Arial" w:cs="Arial"/>
          <w:color w:val="000000" w:themeColor="text1"/>
          <w:sz w:val="20"/>
          <w:szCs w:val="18"/>
          <w:shd w:val="clear" w:color="auto" w:fill="FFFFFF"/>
        </w:rPr>
        <w:t xml:space="preserve">January </w:t>
      </w:r>
      <w:r w:rsidR="001946FE">
        <w:rPr>
          <w:rFonts w:ascii="Arial" w:hAnsi="Arial" w:cs="Arial"/>
          <w:color w:val="000000" w:themeColor="text1"/>
          <w:sz w:val="20"/>
          <w:szCs w:val="18"/>
          <w:shd w:val="clear" w:color="auto" w:fill="FFFFFF"/>
        </w:rPr>
        <w:t xml:space="preserve">fruit </w:t>
      </w:r>
      <w:r>
        <w:rPr>
          <w:rFonts w:ascii="Arial" w:hAnsi="Arial" w:cs="Arial"/>
          <w:color w:val="000000" w:themeColor="text1"/>
          <w:sz w:val="20"/>
          <w:szCs w:val="18"/>
          <w:shd w:val="clear" w:color="auto" w:fill="FFFFFF"/>
        </w:rPr>
        <w:t xml:space="preserve">pound </w:t>
      </w:r>
      <w:r w:rsidR="00EF524A">
        <w:rPr>
          <w:rFonts w:ascii="Arial" w:hAnsi="Arial" w:cs="Arial"/>
          <w:color w:val="000000" w:themeColor="text1"/>
          <w:sz w:val="20"/>
          <w:szCs w:val="18"/>
          <w:shd w:val="clear" w:color="auto" w:fill="FFFFFF"/>
        </w:rPr>
        <w:t xml:space="preserve">to dollar sales </w:t>
      </w:r>
      <w:r w:rsidR="00551D01">
        <w:rPr>
          <w:rFonts w:ascii="Arial" w:hAnsi="Arial" w:cs="Arial"/>
          <w:color w:val="000000" w:themeColor="text1"/>
          <w:sz w:val="20"/>
          <w:szCs w:val="18"/>
          <w:shd w:val="clear" w:color="auto" w:fill="FFFFFF"/>
        </w:rPr>
        <w:t xml:space="preserve">growth </w:t>
      </w:r>
      <w:r w:rsidR="00EF524A">
        <w:rPr>
          <w:rFonts w:ascii="Arial" w:hAnsi="Arial" w:cs="Arial"/>
          <w:color w:val="000000" w:themeColor="text1"/>
          <w:sz w:val="20"/>
          <w:szCs w:val="18"/>
          <w:shd w:val="clear" w:color="auto" w:fill="FFFFFF"/>
        </w:rPr>
        <w:t xml:space="preserve">very clearly shows the impact of inflation. While </w:t>
      </w:r>
      <w:r w:rsidR="00AB0D40">
        <w:rPr>
          <w:rFonts w:ascii="Arial" w:hAnsi="Arial" w:cs="Arial"/>
          <w:color w:val="000000" w:themeColor="text1"/>
          <w:sz w:val="20"/>
          <w:szCs w:val="18"/>
          <w:shd w:val="clear" w:color="auto" w:fill="FFFFFF"/>
        </w:rPr>
        <w:t xml:space="preserve">January </w:t>
      </w:r>
      <w:r w:rsidR="00EF524A">
        <w:rPr>
          <w:rFonts w:ascii="Arial" w:hAnsi="Arial" w:cs="Arial"/>
          <w:color w:val="000000" w:themeColor="text1"/>
          <w:sz w:val="20"/>
          <w:szCs w:val="18"/>
          <w:shd w:val="clear" w:color="auto" w:fill="FFFFFF"/>
        </w:rPr>
        <w:t xml:space="preserve">fruit dollars gained </w:t>
      </w:r>
      <w:r w:rsidR="00AB0D40">
        <w:rPr>
          <w:rFonts w:ascii="Arial" w:hAnsi="Arial" w:cs="Arial"/>
          <w:color w:val="000000" w:themeColor="text1"/>
          <w:sz w:val="20"/>
          <w:szCs w:val="18"/>
          <w:shd w:val="clear" w:color="auto" w:fill="FFFFFF"/>
        </w:rPr>
        <w:t>10.1</w:t>
      </w:r>
      <w:r w:rsidR="00EF524A">
        <w:rPr>
          <w:rFonts w:ascii="Arial" w:hAnsi="Arial" w:cs="Arial"/>
          <w:color w:val="000000" w:themeColor="text1"/>
          <w:sz w:val="20"/>
          <w:szCs w:val="18"/>
          <w:shd w:val="clear" w:color="auto" w:fill="FFFFFF"/>
        </w:rPr>
        <w:t xml:space="preserve">% over </w:t>
      </w:r>
      <w:r w:rsidR="00AB0D40">
        <w:rPr>
          <w:rFonts w:ascii="Arial" w:hAnsi="Arial" w:cs="Arial"/>
          <w:color w:val="000000" w:themeColor="text1"/>
          <w:sz w:val="20"/>
          <w:szCs w:val="18"/>
          <w:shd w:val="clear" w:color="auto" w:fill="FFFFFF"/>
        </w:rPr>
        <w:t xml:space="preserve">January </w:t>
      </w:r>
      <w:r w:rsidR="00EF524A">
        <w:rPr>
          <w:rFonts w:ascii="Arial" w:hAnsi="Arial" w:cs="Arial"/>
          <w:color w:val="000000" w:themeColor="text1"/>
          <w:sz w:val="20"/>
          <w:szCs w:val="18"/>
          <w:shd w:val="clear" w:color="auto" w:fill="FFFFFF"/>
        </w:rPr>
        <w:t>202</w:t>
      </w:r>
      <w:r w:rsidR="00AB0D40">
        <w:rPr>
          <w:rFonts w:ascii="Arial" w:hAnsi="Arial" w:cs="Arial"/>
          <w:color w:val="000000" w:themeColor="text1"/>
          <w:sz w:val="20"/>
          <w:szCs w:val="18"/>
          <w:shd w:val="clear" w:color="auto" w:fill="FFFFFF"/>
        </w:rPr>
        <w:t>1</w:t>
      </w:r>
      <w:r w:rsidR="00EF524A">
        <w:rPr>
          <w:rFonts w:ascii="Arial" w:hAnsi="Arial" w:cs="Arial"/>
          <w:color w:val="000000" w:themeColor="text1"/>
          <w:sz w:val="20"/>
          <w:szCs w:val="18"/>
          <w:shd w:val="clear" w:color="auto" w:fill="FFFFFF"/>
        </w:rPr>
        <w:t xml:space="preserve"> levels, pounds were down </w:t>
      </w:r>
      <w:r w:rsidR="00AB0D40">
        <w:rPr>
          <w:rFonts w:ascii="Arial" w:hAnsi="Arial" w:cs="Arial"/>
          <w:color w:val="000000" w:themeColor="text1"/>
          <w:sz w:val="20"/>
          <w:szCs w:val="18"/>
          <w:shd w:val="clear" w:color="auto" w:fill="FFFFFF"/>
        </w:rPr>
        <w:t>3.3</w:t>
      </w:r>
      <w:r w:rsidR="00EF524A">
        <w:rPr>
          <w:rFonts w:ascii="Arial" w:hAnsi="Arial" w:cs="Arial"/>
          <w:color w:val="000000" w:themeColor="text1"/>
          <w:sz w:val="20"/>
          <w:szCs w:val="18"/>
          <w:shd w:val="clear" w:color="auto" w:fill="FFFFFF"/>
        </w:rPr>
        <w:t>%. The differences in the dollar versus pound performance were a little less pronounced for vegetables, but also shows the significant</w:t>
      </w:r>
      <w:r w:rsidR="00AB0D40">
        <w:rPr>
          <w:rFonts w:ascii="Arial" w:hAnsi="Arial" w:cs="Arial"/>
          <w:color w:val="000000" w:themeColor="text1"/>
          <w:sz w:val="20"/>
          <w:szCs w:val="18"/>
          <w:shd w:val="clear" w:color="auto" w:fill="FFFFFF"/>
        </w:rPr>
        <w:t xml:space="preserve"> inflationary impact</w:t>
      </w:r>
      <w:r w:rsidR="00EF524A">
        <w:rPr>
          <w:rFonts w:ascii="Arial" w:hAnsi="Arial" w:cs="Arial"/>
          <w:color w:val="000000" w:themeColor="text1"/>
          <w:sz w:val="20"/>
          <w:szCs w:val="18"/>
          <w:shd w:val="clear" w:color="auto" w:fill="FFFFFF"/>
        </w:rPr>
        <w:t xml:space="preserve">. The fourth quarter </w:t>
      </w:r>
      <w:r w:rsidR="00AB0D40">
        <w:rPr>
          <w:rFonts w:ascii="Arial" w:hAnsi="Arial" w:cs="Arial"/>
          <w:color w:val="000000" w:themeColor="text1"/>
          <w:sz w:val="20"/>
          <w:szCs w:val="18"/>
          <w:shd w:val="clear" w:color="auto" w:fill="FFFFFF"/>
        </w:rPr>
        <w:t xml:space="preserve">2021 </w:t>
      </w:r>
      <w:r w:rsidR="00EF524A">
        <w:rPr>
          <w:rFonts w:ascii="Arial" w:hAnsi="Arial" w:cs="Arial"/>
          <w:color w:val="000000" w:themeColor="text1"/>
          <w:sz w:val="20"/>
          <w:szCs w:val="18"/>
          <w:shd w:val="clear" w:color="auto" w:fill="FFFFFF"/>
        </w:rPr>
        <w:t>numbers were similar to the ones seen in</w:t>
      </w:r>
      <w:r w:rsidR="00AB0D40">
        <w:rPr>
          <w:rFonts w:ascii="Arial" w:hAnsi="Arial" w:cs="Arial"/>
          <w:color w:val="000000" w:themeColor="text1"/>
          <w:sz w:val="20"/>
          <w:szCs w:val="18"/>
          <w:shd w:val="clear" w:color="auto" w:fill="FFFFFF"/>
        </w:rPr>
        <w:t xml:space="preserve"> January 2022</w:t>
      </w:r>
      <w:r w:rsidR="00EF524A">
        <w:rPr>
          <w:rFonts w:ascii="Arial" w:hAnsi="Arial" w:cs="Arial"/>
          <w:color w:val="000000" w:themeColor="text1"/>
          <w:sz w:val="20"/>
          <w:szCs w:val="18"/>
          <w:shd w:val="clear" w:color="auto" w:fill="FFFFFF"/>
        </w:rPr>
        <w:t>.</w:t>
      </w:r>
    </w:p>
    <w:p w14:paraId="6B5CA4C5" w14:textId="77777777" w:rsidR="000F7932" w:rsidRPr="002E09F5" w:rsidRDefault="000F7932" w:rsidP="006069A6">
      <w:pPr>
        <w:pStyle w:val="NoSpacing"/>
        <w:rPr>
          <w:rFonts w:ascii="Arial" w:hAnsi="Arial" w:cs="Arial"/>
          <w:sz w:val="16"/>
          <w:szCs w:val="16"/>
        </w:rPr>
      </w:pPr>
    </w:p>
    <w:p w14:paraId="7FCE9EC9" w14:textId="77777777" w:rsidR="00223410" w:rsidRDefault="00223410">
      <w:r>
        <w:rPr>
          <w:b/>
          <w:bCs/>
        </w:rPr>
        <w:br w:type="page"/>
      </w:r>
    </w:p>
    <w:tbl>
      <w:tblPr>
        <w:tblStyle w:val="LightShading-Accent5"/>
        <w:tblW w:w="10440" w:type="dxa"/>
        <w:tblInd w:w="108" w:type="dxa"/>
        <w:tblBorders>
          <w:top w:val="none" w:sz="0" w:space="0" w:color="auto"/>
          <w:bottom w:val="none" w:sz="0" w:space="0" w:color="auto"/>
        </w:tblBorders>
        <w:tblLook w:val="04A0" w:firstRow="1" w:lastRow="0" w:firstColumn="1" w:lastColumn="0" w:noHBand="0" w:noVBand="1"/>
      </w:tblPr>
      <w:tblGrid>
        <w:gridCol w:w="1321"/>
        <w:gridCol w:w="993"/>
        <w:gridCol w:w="993"/>
        <w:gridCol w:w="993"/>
        <w:gridCol w:w="993"/>
        <w:gridCol w:w="994"/>
        <w:gridCol w:w="993"/>
        <w:gridCol w:w="993"/>
        <w:gridCol w:w="993"/>
        <w:gridCol w:w="1174"/>
      </w:tblGrid>
      <w:tr w:rsidR="00A74177" w:rsidRPr="00CF309B" w14:paraId="54D27BD5" w14:textId="77777777" w:rsidTr="00223410">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440" w:type="dxa"/>
            <w:gridSpan w:val="10"/>
            <w:tcBorders>
              <w:top w:val="none" w:sz="0" w:space="0" w:color="auto"/>
              <w:left w:val="none" w:sz="0" w:space="0" w:color="auto"/>
              <w:bottom w:val="none" w:sz="0" w:space="0" w:color="auto"/>
              <w:right w:val="none" w:sz="0" w:space="0" w:color="auto"/>
            </w:tcBorders>
            <w:shd w:val="clear" w:color="auto" w:fill="17365D" w:themeFill="text2" w:themeFillShade="BF"/>
          </w:tcPr>
          <w:p w14:paraId="5C2A10C7" w14:textId="23B2074B" w:rsidR="00A74177" w:rsidRPr="00CF309B" w:rsidRDefault="00A74177" w:rsidP="00EC62BA">
            <w:pPr>
              <w:pStyle w:val="NoSpacing"/>
              <w:jc w:val="center"/>
              <w:rPr>
                <w:rFonts w:ascii="Arial" w:hAnsi="Arial" w:cs="Arial"/>
                <w:color w:val="FFFFFF" w:themeColor="background1"/>
                <w:sz w:val="18"/>
                <w:szCs w:val="18"/>
              </w:rPr>
            </w:pPr>
            <w:r w:rsidRPr="00CF309B">
              <w:rPr>
                <w:rFonts w:ascii="Arial" w:hAnsi="Arial" w:cs="Arial"/>
                <w:color w:val="FFFFFF" w:themeColor="background1"/>
                <w:sz w:val="18"/>
                <w:szCs w:val="18"/>
              </w:rPr>
              <w:lastRenderedPageBreak/>
              <w:t>Growth over comparable period</w:t>
            </w:r>
          </w:p>
        </w:tc>
      </w:tr>
      <w:tr w:rsidR="00AD6170" w:rsidRPr="00CF309B" w14:paraId="2188E4FF" w14:textId="77777777" w:rsidTr="0022341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21" w:type="dxa"/>
            <w:shd w:val="clear" w:color="auto" w:fill="17365D" w:themeFill="text2" w:themeFillShade="BF"/>
          </w:tcPr>
          <w:p w14:paraId="29E5768B" w14:textId="77777777" w:rsidR="00AD6170" w:rsidRPr="00CF309B" w:rsidRDefault="00AD6170" w:rsidP="00CF61E8">
            <w:pPr>
              <w:pStyle w:val="NoSpacing"/>
              <w:rPr>
                <w:rFonts w:ascii="Arial" w:hAnsi="Arial" w:cs="Arial"/>
                <w:color w:val="FFFFFF" w:themeColor="background1"/>
                <w:sz w:val="18"/>
                <w:szCs w:val="18"/>
              </w:rPr>
            </w:pPr>
          </w:p>
        </w:tc>
        <w:tc>
          <w:tcPr>
            <w:tcW w:w="993" w:type="dxa"/>
            <w:shd w:val="clear" w:color="auto" w:fill="17365D" w:themeFill="text2" w:themeFillShade="BF"/>
            <w:vAlign w:val="bottom"/>
          </w:tcPr>
          <w:p w14:paraId="63017601" w14:textId="77777777" w:rsidR="00AD6170" w:rsidRPr="003C245B" w:rsidRDefault="00AD6170" w:rsidP="00B6316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993" w:type="dxa"/>
            <w:shd w:val="clear" w:color="auto" w:fill="17365D" w:themeFill="text2" w:themeFillShade="BF"/>
            <w:vAlign w:val="bottom"/>
          </w:tcPr>
          <w:p w14:paraId="4A18F774" w14:textId="77777777" w:rsidR="00AD6170" w:rsidRPr="003C245B" w:rsidRDefault="00AD6170" w:rsidP="00B6316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2020</w:t>
            </w:r>
          </w:p>
        </w:tc>
        <w:tc>
          <w:tcPr>
            <w:tcW w:w="993" w:type="dxa"/>
            <w:shd w:val="clear" w:color="auto" w:fill="17365D" w:themeFill="text2" w:themeFillShade="BF"/>
            <w:vAlign w:val="bottom"/>
          </w:tcPr>
          <w:p w14:paraId="3AD9F6FB" w14:textId="77777777" w:rsidR="00AD6170" w:rsidRDefault="00AD6170" w:rsidP="00317B8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‘21</w:t>
            </w:r>
          </w:p>
        </w:tc>
        <w:tc>
          <w:tcPr>
            <w:tcW w:w="993" w:type="dxa"/>
            <w:shd w:val="clear" w:color="auto" w:fill="17365D" w:themeFill="text2" w:themeFillShade="BF"/>
            <w:vAlign w:val="bottom"/>
          </w:tcPr>
          <w:p w14:paraId="56E4CCDB" w14:textId="77777777" w:rsidR="00AD6170" w:rsidRDefault="00AD6170" w:rsidP="00317B8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‘21</w:t>
            </w:r>
          </w:p>
        </w:tc>
        <w:tc>
          <w:tcPr>
            <w:tcW w:w="994" w:type="dxa"/>
            <w:shd w:val="clear" w:color="auto" w:fill="17365D" w:themeFill="text2" w:themeFillShade="BF"/>
            <w:vAlign w:val="bottom"/>
          </w:tcPr>
          <w:p w14:paraId="2293C6F3" w14:textId="77777777" w:rsidR="00AD6170" w:rsidRDefault="00AD6170" w:rsidP="00317B8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‘21</w:t>
            </w:r>
          </w:p>
        </w:tc>
        <w:tc>
          <w:tcPr>
            <w:tcW w:w="993" w:type="dxa"/>
            <w:shd w:val="clear" w:color="auto" w:fill="17365D" w:themeFill="text2" w:themeFillShade="BF"/>
            <w:vAlign w:val="bottom"/>
          </w:tcPr>
          <w:p w14:paraId="1A442681" w14:textId="77777777" w:rsidR="00AD6170" w:rsidRDefault="00AD6170" w:rsidP="00317B8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‘21</w:t>
            </w:r>
          </w:p>
        </w:tc>
        <w:tc>
          <w:tcPr>
            <w:tcW w:w="993" w:type="dxa"/>
            <w:shd w:val="clear" w:color="auto" w:fill="17365D" w:themeFill="text2" w:themeFillShade="BF"/>
            <w:vAlign w:val="bottom"/>
          </w:tcPr>
          <w:p w14:paraId="4385EE9E" w14:textId="77777777" w:rsidR="00AD6170" w:rsidRDefault="00AD6170" w:rsidP="00A7417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Jan ‘22</w:t>
            </w:r>
          </w:p>
        </w:tc>
        <w:tc>
          <w:tcPr>
            <w:tcW w:w="993" w:type="dxa"/>
            <w:shd w:val="clear" w:color="auto" w:fill="17365D" w:themeFill="text2" w:themeFillShade="BF"/>
            <w:vAlign w:val="bottom"/>
          </w:tcPr>
          <w:p w14:paraId="041FEF61" w14:textId="72EA9221" w:rsidR="00AD6170" w:rsidRDefault="00AD6170" w:rsidP="00B6316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YA</w:t>
            </w:r>
          </w:p>
        </w:tc>
        <w:tc>
          <w:tcPr>
            <w:tcW w:w="1174" w:type="dxa"/>
            <w:shd w:val="clear" w:color="auto" w:fill="17365D" w:themeFill="text2" w:themeFillShade="BF"/>
            <w:vAlign w:val="bottom"/>
          </w:tcPr>
          <w:p w14:paraId="582F16C2" w14:textId="3F0D6A1F" w:rsidR="00AD6170" w:rsidRDefault="00921B41" w:rsidP="00B6316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2YA</w:t>
            </w:r>
          </w:p>
        </w:tc>
      </w:tr>
      <w:tr w:rsidR="00AD6170" w:rsidRPr="00E43E81" w14:paraId="63E25688" w14:textId="77777777" w:rsidTr="00223410">
        <w:trPr>
          <w:trHeight w:val="140"/>
        </w:trPr>
        <w:tc>
          <w:tcPr>
            <w:cnfStyle w:val="001000000000" w:firstRow="0" w:lastRow="0" w:firstColumn="1" w:lastColumn="0" w:oddVBand="0" w:evenVBand="0" w:oddHBand="0" w:evenHBand="0" w:firstRowFirstColumn="0" w:firstRowLastColumn="0" w:lastRowFirstColumn="0" w:lastRowLastColumn="0"/>
            <w:tcW w:w="1321" w:type="dxa"/>
            <w:vAlign w:val="center"/>
          </w:tcPr>
          <w:p w14:paraId="1BC5E048" w14:textId="77777777" w:rsidR="00AD6170" w:rsidRPr="00E43E81" w:rsidRDefault="00AD6170" w:rsidP="003A7E92">
            <w:pPr>
              <w:rPr>
                <w:rFonts w:ascii="Arial" w:hAnsi="Arial" w:cs="Arial"/>
                <w:color w:val="215868" w:themeColor="accent5" w:themeShade="80"/>
                <w:sz w:val="18"/>
                <w:szCs w:val="18"/>
              </w:rPr>
            </w:pPr>
            <w:r w:rsidRPr="00E43E81">
              <w:rPr>
                <w:rFonts w:ascii="Arial" w:hAnsi="Arial" w:cs="Arial"/>
                <w:color w:val="215868" w:themeColor="accent5" w:themeShade="80"/>
                <w:sz w:val="18"/>
                <w:szCs w:val="18"/>
              </w:rPr>
              <w:t>Fruit</w:t>
            </w:r>
          </w:p>
        </w:tc>
        <w:tc>
          <w:tcPr>
            <w:tcW w:w="993" w:type="dxa"/>
            <w:vAlign w:val="center"/>
          </w:tcPr>
          <w:p w14:paraId="1139F53D" w14:textId="77777777" w:rsidR="00AD6170" w:rsidRPr="00E43E81" w:rsidRDefault="00AD617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93" w:type="dxa"/>
            <w:vAlign w:val="center"/>
          </w:tcPr>
          <w:p w14:paraId="7781D8C8" w14:textId="77777777" w:rsidR="00AD6170" w:rsidRPr="00E43E81" w:rsidRDefault="00AD617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93" w:type="dxa"/>
            <w:vAlign w:val="center"/>
          </w:tcPr>
          <w:p w14:paraId="4B6676A1" w14:textId="77777777" w:rsidR="00AD6170" w:rsidRPr="00E43E81"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93" w:type="dxa"/>
          </w:tcPr>
          <w:p w14:paraId="34E1CFA3" w14:textId="77777777" w:rsidR="00AD6170" w:rsidRPr="00E43E81"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94" w:type="dxa"/>
          </w:tcPr>
          <w:p w14:paraId="55E76F30" w14:textId="77777777" w:rsidR="00AD6170" w:rsidRPr="00E43E81"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93" w:type="dxa"/>
          </w:tcPr>
          <w:p w14:paraId="2AA16F83" w14:textId="77777777" w:rsidR="00AD6170" w:rsidRPr="00E43E81"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93" w:type="dxa"/>
          </w:tcPr>
          <w:p w14:paraId="0E3FBDB9" w14:textId="77777777" w:rsidR="00AD6170" w:rsidRPr="00E43E81" w:rsidRDefault="00AD617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993" w:type="dxa"/>
          </w:tcPr>
          <w:p w14:paraId="3E5E2079" w14:textId="77777777" w:rsidR="00AD6170" w:rsidRPr="00E43E81" w:rsidRDefault="00AD617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c>
          <w:tcPr>
            <w:tcW w:w="1174" w:type="dxa"/>
          </w:tcPr>
          <w:p w14:paraId="3C1099A0" w14:textId="77777777" w:rsidR="00AD6170" w:rsidRPr="00E43E81" w:rsidRDefault="00AD617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p>
        </w:tc>
      </w:tr>
      <w:tr w:rsidR="00AD6170" w:rsidRPr="00EF524A" w14:paraId="5AEC7600" w14:textId="77777777" w:rsidTr="00223410">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321" w:type="dxa"/>
            <w:vAlign w:val="center"/>
          </w:tcPr>
          <w:p w14:paraId="7D1E7D37" w14:textId="77777777" w:rsidR="00AD6170" w:rsidRPr="00EF524A" w:rsidRDefault="00AD6170" w:rsidP="003A7E92">
            <w:pPr>
              <w:pStyle w:val="NoSpacing"/>
              <w:jc w:val="right"/>
              <w:rPr>
                <w:rFonts w:ascii="Arial" w:hAnsi="Arial" w:cs="Arial"/>
                <w:b w:val="0"/>
                <w:color w:val="215868" w:themeColor="accent5" w:themeShade="80"/>
                <w:sz w:val="18"/>
                <w:szCs w:val="18"/>
              </w:rPr>
            </w:pPr>
            <w:r w:rsidRPr="00EF524A">
              <w:rPr>
                <w:rFonts w:ascii="Arial" w:hAnsi="Arial" w:cs="Arial"/>
                <w:b w:val="0"/>
                <w:color w:val="215868" w:themeColor="accent5" w:themeShade="80"/>
                <w:sz w:val="18"/>
                <w:szCs w:val="18"/>
              </w:rPr>
              <w:t xml:space="preserve">   Dollars</w:t>
            </w:r>
          </w:p>
        </w:tc>
        <w:tc>
          <w:tcPr>
            <w:tcW w:w="993" w:type="dxa"/>
            <w:vAlign w:val="bottom"/>
          </w:tcPr>
          <w:p w14:paraId="15B690B5" w14:textId="2D5E8518" w:rsidR="00AD6170" w:rsidRPr="00EF524A" w:rsidRDefault="00921B41">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-0.2</w:t>
            </w:r>
            <w:r w:rsidR="00AD6170" w:rsidRPr="00EF524A">
              <w:rPr>
                <w:rFonts w:ascii="Arial" w:hAnsi="Arial" w:cs="Arial"/>
                <w:bCs/>
                <w:color w:val="215868"/>
                <w:sz w:val="18"/>
                <w:szCs w:val="18"/>
              </w:rPr>
              <w:t>%</w:t>
            </w:r>
          </w:p>
        </w:tc>
        <w:tc>
          <w:tcPr>
            <w:tcW w:w="993" w:type="dxa"/>
            <w:vAlign w:val="bottom"/>
          </w:tcPr>
          <w:p w14:paraId="17DA2E9F" w14:textId="31E8E4EC" w:rsidR="00AD6170" w:rsidRPr="00EF524A" w:rsidRDefault="00AD617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sidRPr="00EF524A">
              <w:rPr>
                <w:rFonts w:ascii="Arial" w:hAnsi="Arial" w:cs="Arial"/>
                <w:bCs/>
                <w:color w:val="215868"/>
                <w:sz w:val="18"/>
                <w:szCs w:val="18"/>
              </w:rPr>
              <w:t>+</w:t>
            </w:r>
            <w:r w:rsidR="00921B41">
              <w:rPr>
                <w:rFonts w:ascii="Arial" w:hAnsi="Arial" w:cs="Arial"/>
                <w:bCs/>
                <w:color w:val="215868"/>
                <w:sz w:val="18"/>
                <w:szCs w:val="18"/>
              </w:rPr>
              <w:t>8.7</w:t>
            </w:r>
            <w:r w:rsidRPr="00EF524A">
              <w:rPr>
                <w:rFonts w:ascii="Arial" w:hAnsi="Arial" w:cs="Arial"/>
                <w:bCs/>
                <w:color w:val="215868"/>
                <w:sz w:val="18"/>
                <w:szCs w:val="18"/>
              </w:rPr>
              <w:t>%</w:t>
            </w:r>
          </w:p>
        </w:tc>
        <w:tc>
          <w:tcPr>
            <w:tcW w:w="993" w:type="dxa"/>
            <w:vAlign w:val="bottom"/>
          </w:tcPr>
          <w:p w14:paraId="283B4C73" w14:textId="4E5BDF02" w:rsidR="00AD6170" w:rsidRPr="00EF524A" w:rsidRDefault="00AD6170"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w:t>
            </w:r>
            <w:r w:rsidR="00921B41">
              <w:rPr>
                <w:rFonts w:ascii="Arial" w:hAnsi="Arial" w:cs="Arial"/>
                <w:bCs/>
                <w:color w:val="215868"/>
                <w:sz w:val="18"/>
                <w:szCs w:val="18"/>
              </w:rPr>
              <w:t>5.1</w:t>
            </w:r>
            <w:r w:rsidRPr="00EF524A">
              <w:rPr>
                <w:rFonts w:ascii="Arial" w:hAnsi="Arial" w:cs="Arial"/>
                <w:bCs/>
                <w:color w:val="215868"/>
                <w:sz w:val="18"/>
                <w:szCs w:val="18"/>
              </w:rPr>
              <w:t>%</w:t>
            </w:r>
          </w:p>
        </w:tc>
        <w:tc>
          <w:tcPr>
            <w:tcW w:w="993" w:type="dxa"/>
          </w:tcPr>
          <w:p w14:paraId="05F0A495" w14:textId="76FC154B" w:rsidR="00AD6170" w:rsidRPr="00EF524A" w:rsidRDefault="00AD6170"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w:t>
            </w:r>
            <w:r w:rsidR="00921B41">
              <w:rPr>
                <w:rFonts w:ascii="Arial" w:hAnsi="Arial" w:cs="Arial"/>
                <w:bCs/>
                <w:color w:val="215868"/>
                <w:sz w:val="18"/>
                <w:szCs w:val="18"/>
              </w:rPr>
              <w:t>4.5</w:t>
            </w:r>
            <w:r w:rsidRPr="00EF524A">
              <w:rPr>
                <w:rFonts w:ascii="Arial" w:hAnsi="Arial" w:cs="Arial"/>
                <w:bCs/>
                <w:color w:val="215868"/>
                <w:sz w:val="18"/>
                <w:szCs w:val="18"/>
              </w:rPr>
              <w:t>%</w:t>
            </w:r>
          </w:p>
        </w:tc>
        <w:tc>
          <w:tcPr>
            <w:tcW w:w="994" w:type="dxa"/>
          </w:tcPr>
          <w:p w14:paraId="7BE6A292" w14:textId="269A829D" w:rsidR="00AD6170" w:rsidRPr="00EF524A" w:rsidRDefault="00AD6170"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sz w:val="18"/>
                <w:szCs w:val="18"/>
              </w:rPr>
            </w:pPr>
            <w:r>
              <w:rPr>
                <w:rFonts w:ascii="Arial" w:hAnsi="Arial" w:cs="Arial"/>
                <w:bCs/>
                <w:color w:val="215868"/>
                <w:sz w:val="18"/>
                <w:szCs w:val="18"/>
              </w:rPr>
              <w:t>+</w:t>
            </w:r>
            <w:r w:rsidR="00921B41">
              <w:rPr>
                <w:rFonts w:ascii="Arial" w:hAnsi="Arial" w:cs="Arial"/>
                <w:bCs/>
                <w:color w:val="215868"/>
                <w:sz w:val="18"/>
                <w:szCs w:val="18"/>
              </w:rPr>
              <w:t>6.2</w:t>
            </w:r>
            <w:r w:rsidRPr="00EF524A">
              <w:rPr>
                <w:rFonts w:ascii="Arial" w:hAnsi="Arial" w:cs="Arial"/>
                <w:bCs/>
                <w:color w:val="215868"/>
                <w:sz w:val="18"/>
                <w:szCs w:val="18"/>
              </w:rPr>
              <w:t>%</w:t>
            </w:r>
          </w:p>
        </w:tc>
        <w:tc>
          <w:tcPr>
            <w:tcW w:w="993" w:type="dxa"/>
          </w:tcPr>
          <w:p w14:paraId="59F7AEF4" w14:textId="14B767C5" w:rsidR="00AD6170" w:rsidRPr="00EF524A" w:rsidRDefault="00AD6170"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EF524A">
              <w:rPr>
                <w:rFonts w:ascii="Arial" w:hAnsi="Arial" w:cs="Arial"/>
                <w:bCs/>
                <w:color w:val="215868" w:themeColor="accent5" w:themeShade="80"/>
                <w:sz w:val="18"/>
                <w:szCs w:val="18"/>
              </w:rPr>
              <w:t>+</w:t>
            </w:r>
            <w:r w:rsidR="00921B41">
              <w:rPr>
                <w:rFonts w:ascii="Arial" w:hAnsi="Arial" w:cs="Arial"/>
                <w:bCs/>
                <w:color w:val="215868" w:themeColor="accent5" w:themeShade="80"/>
                <w:sz w:val="18"/>
                <w:szCs w:val="18"/>
              </w:rPr>
              <w:t>10.9</w:t>
            </w:r>
            <w:r w:rsidRPr="00EF524A">
              <w:rPr>
                <w:rFonts w:ascii="Arial" w:hAnsi="Arial" w:cs="Arial"/>
                <w:bCs/>
                <w:color w:val="215868" w:themeColor="accent5" w:themeShade="80"/>
                <w:sz w:val="18"/>
                <w:szCs w:val="18"/>
              </w:rPr>
              <w:t>%</w:t>
            </w:r>
          </w:p>
        </w:tc>
        <w:tc>
          <w:tcPr>
            <w:tcW w:w="993" w:type="dxa"/>
          </w:tcPr>
          <w:p w14:paraId="0DFFA07C" w14:textId="17D59975" w:rsidR="00AD6170" w:rsidRPr="00EF524A" w:rsidRDefault="00AD6170" w:rsidP="00AA6AE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EF524A">
              <w:rPr>
                <w:rFonts w:ascii="Arial" w:hAnsi="Arial" w:cs="Arial"/>
                <w:bCs/>
                <w:color w:val="215868" w:themeColor="accent5" w:themeShade="80"/>
                <w:sz w:val="18"/>
                <w:szCs w:val="18"/>
              </w:rPr>
              <w:t>$</w:t>
            </w:r>
            <w:r w:rsidR="00921B41">
              <w:rPr>
                <w:rFonts w:ascii="Arial" w:hAnsi="Arial" w:cs="Arial"/>
                <w:bCs/>
                <w:color w:val="215868" w:themeColor="accent5" w:themeShade="80"/>
                <w:sz w:val="18"/>
                <w:szCs w:val="18"/>
              </w:rPr>
              <w:t>3.3</w:t>
            </w:r>
            <w:r w:rsidRPr="00EF524A">
              <w:rPr>
                <w:rFonts w:ascii="Arial" w:hAnsi="Arial" w:cs="Arial"/>
                <w:bCs/>
                <w:color w:val="215868" w:themeColor="accent5" w:themeShade="80"/>
                <w:sz w:val="18"/>
                <w:szCs w:val="18"/>
              </w:rPr>
              <w:t>B</w:t>
            </w:r>
          </w:p>
        </w:tc>
        <w:tc>
          <w:tcPr>
            <w:tcW w:w="993" w:type="dxa"/>
          </w:tcPr>
          <w:p w14:paraId="22BC605C" w14:textId="2B24AF4A" w:rsidR="00AD6170" w:rsidRPr="00EF524A" w:rsidRDefault="00AD6170" w:rsidP="00AA6AEB">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sidRPr="00EF524A">
              <w:rPr>
                <w:rFonts w:ascii="Arial" w:hAnsi="Arial" w:cs="Arial"/>
                <w:bCs/>
                <w:color w:val="215868" w:themeColor="accent5" w:themeShade="80"/>
                <w:sz w:val="18"/>
                <w:szCs w:val="18"/>
              </w:rPr>
              <w:t>+</w:t>
            </w:r>
            <w:r w:rsidR="00921B41">
              <w:rPr>
                <w:rFonts w:ascii="Arial" w:hAnsi="Arial" w:cs="Arial"/>
                <w:bCs/>
                <w:color w:val="215868" w:themeColor="accent5" w:themeShade="80"/>
                <w:sz w:val="18"/>
                <w:szCs w:val="18"/>
              </w:rPr>
              <w:t>10.1</w:t>
            </w:r>
            <w:r w:rsidRPr="00EF524A">
              <w:rPr>
                <w:rFonts w:ascii="Arial" w:hAnsi="Arial" w:cs="Arial"/>
                <w:bCs/>
                <w:color w:val="215868" w:themeColor="accent5" w:themeShade="80"/>
                <w:sz w:val="18"/>
                <w:szCs w:val="18"/>
              </w:rPr>
              <w:t>%</w:t>
            </w:r>
          </w:p>
        </w:tc>
        <w:tc>
          <w:tcPr>
            <w:tcW w:w="1174" w:type="dxa"/>
          </w:tcPr>
          <w:p w14:paraId="2FC95C73" w14:textId="7AD128B3" w:rsidR="00AD6170" w:rsidRPr="00EF524A" w:rsidRDefault="00921B41" w:rsidP="00A128EA">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+20.0</w:t>
            </w:r>
            <w:r w:rsidR="00AD6170" w:rsidRPr="00EF524A">
              <w:rPr>
                <w:rFonts w:ascii="Arial" w:hAnsi="Arial" w:cs="Arial"/>
                <w:bCs/>
                <w:color w:val="215868" w:themeColor="accent5" w:themeShade="80"/>
                <w:sz w:val="18"/>
                <w:szCs w:val="18"/>
              </w:rPr>
              <w:t>%</w:t>
            </w:r>
          </w:p>
        </w:tc>
      </w:tr>
      <w:tr w:rsidR="00AD6170" w:rsidRPr="00E43E81" w14:paraId="3476271B" w14:textId="77777777" w:rsidTr="00223410">
        <w:trPr>
          <w:trHeight w:val="140"/>
        </w:trPr>
        <w:tc>
          <w:tcPr>
            <w:cnfStyle w:val="001000000000" w:firstRow="0" w:lastRow="0" w:firstColumn="1" w:lastColumn="0" w:oddVBand="0" w:evenVBand="0" w:oddHBand="0" w:evenHBand="0" w:firstRowFirstColumn="0" w:firstRowLastColumn="0" w:lastRowFirstColumn="0" w:lastRowLastColumn="0"/>
            <w:tcW w:w="1321" w:type="dxa"/>
            <w:vAlign w:val="center"/>
          </w:tcPr>
          <w:p w14:paraId="3C77D01E" w14:textId="77777777" w:rsidR="00AD6170" w:rsidRPr="00E43E81" w:rsidRDefault="00AD6170" w:rsidP="003A7E92">
            <w:pPr>
              <w:pStyle w:val="NoSpacing"/>
              <w:jc w:val="right"/>
              <w:rPr>
                <w:rFonts w:ascii="Arial" w:hAnsi="Arial" w:cs="Arial"/>
                <w:b w:val="0"/>
                <w:color w:val="215868" w:themeColor="accent5" w:themeShade="80"/>
                <w:sz w:val="18"/>
                <w:szCs w:val="18"/>
              </w:rPr>
            </w:pPr>
            <w:r w:rsidRPr="00E43E81">
              <w:rPr>
                <w:rFonts w:ascii="Arial" w:hAnsi="Arial" w:cs="Arial"/>
                <w:b w:val="0"/>
                <w:color w:val="215868" w:themeColor="accent5" w:themeShade="80"/>
                <w:sz w:val="18"/>
                <w:szCs w:val="18"/>
              </w:rPr>
              <w:t xml:space="preserve">   Volume</w:t>
            </w:r>
          </w:p>
        </w:tc>
        <w:tc>
          <w:tcPr>
            <w:tcW w:w="993" w:type="dxa"/>
            <w:vAlign w:val="bottom"/>
          </w:tcPr>
          <w:p w14:paraId="5B77DAE0" w14:textId="4B2A03E1" w:rsidR="00AD6170" w:rsidRPr="00EF524A" w:rsidRDefault="00921B4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-0.6</w:t>
            </w:r>
            <w:r w:rsidR="00AD6170" w:rsidRPr="00EF524A">
              <w:rPr>
                <w:rFonts w:ascii="Arial" w:hAnsi="Arial" w:cs="Arial"/>
                <w:color w:val="215868"/>
                <w:sz w:val="18"/>
                <w:szCs w:val="18"/>
              </w:rPr>
              <w:t>%</w:t>
            </w:r>
          </w:p>
        </w:tc>
        <w:tc>
          <w:tcPr>
            <w:tcW w:w="993" w:type="dxa"/>
            <w:vAlign w:val="bottom"/>
          </w:tcPr>
          <w:p w14:paraId="2014A442" w14:textId="08B1A478" w:rsidR="00AD6170" w:rsidRDefault="00AD61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8.8</w:t>
            </w:r>
            <w:r>
              <w:rPr>
                <w:rFonts w:ascii="Arial" w:hAnsi="Arial" w:cs="Arial"/>
                <w:color w:val="215868"/>
                <w:sz w:val="18"/>
                <w:szCs w:val="18"/>
              </w:rPr>
              <w:t>%</w:t>
            </w:r>
          </w:p>
        </w:tc>
        <w:tc>
          <w:tcPr>
            <w:tcW w:w="993" w:type="dxa"/>
            <w:vAlign w:val="bottom"/>
          </w:tcPr>
          <w:p w14:paraId="52EE4C7F" w14:textId="31CCBE58" w:rsidR="00AD6170"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0.5</w:t>
            </w:r>
            <w:r>
              <w:rPr>
                <w:rFonts w:ascii="Arial" w:hAnsi="Arial" w:cs="Arial"/>
                <w:color w:val="215868"/>
                <w:sz w:val="18"/>
                <w:szCs w:val="18"/>
              </w:rPr>
              <w:t>%</w:t>
            </w:r>
          </w:p>
        </w:tc>
        <w:tc>
          <w:tcPr>
            <w:tcW w:w="993" w:type="dxa"/>
          </w:tcPr>
          <w:p w14:paraId="1AF979C8" w14:textId="3295E934" w:rsidR="00AD6170"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5.1</w:t>
            </w:r>
            <w:r>
              <w:rPr>
                <w:rFonts w:ascii="Arial" w:hAnsi="Arial" w:cs="Arial"/>
                <w:color w:val="215868"/>
                <w:sz w:val="18"/>
                <w:szCs w:val="18"/>
              </w:rPr>
              <w:t>%</w:t>
            </w:r>
          </w:p>
        </w:tc>
        <w:tc>
          <w:tcPr>
            <w:tcW w:w="994" w:type="dxa"/>
          </w:tcPr>
          <w:p w14:paraId="6FC1B8BB" w14:textId="0D832A70" w:rsidR="00AD6170"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0.6</w:t>
            </w:r>
            <w:r>
              <w:rPr>
                <w:rFonts w:ascii="Arial" w:hAnsi="Arial" w:cs="Arial"/>
                <w:color w:val="215868"/>
                <w:sz w:val="18"/>
                <w:szCs w:val="18"/>
              </w:rPr>
              <w:t>%</w:t>
            </w:r>
          </w:p>
        </w:tc>
        <w:tc>
          <w:tcPr>
            <w:tcW w:w="993" w:type="dxa"/>
          </w:tcPr>
          <w:p w14:paraId="75D8DE48" w14:textId="3904B9C4" w:rsidR="00AD6170"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921B41">
              <w:rPr>
                <w:rFonts w:ascii="Arial" w:hAnsi="Arial" w:cs="Arial"/>
                <w:color w:val="215868" w:themeColor="accent5" w:themeShade="80"/>
                <w:sz w:val="18"/>
                <w:szCs w:val="18"/>
              </w:rPr>
              <w:t>1.1</w:t>
            </w:r>
            <w:r>
              <w:rPr>
                <w:rFonts w:ascii="Arial" w:hAnsi="Arial" w:cs="Arial"/>
                <w:color w:val="215868" w:themeColor="accent5" w:themeShade="80"/>
                <w:sz w:val="18"/>
                <w:szCs w:val="18"/>
              </w:rPr>
              <w:t>%</w:t>
            </w:r>
          </w:p>
        </w:tc>
        <w:tc>
          <w:tcPr>
            <w:tcW w:w="993" w:type="dxa"/>
          </w:tcPr>
          <w:p w14:paraId="1BD47635" w14:textId="23A34959" w:rsidR="00AD6170" w:rsidRDefault="00921B41" w:rsidP="00AA6AE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1.8</w:t>
            </w:r>
            <w:r w:rsidR="00AD6170">
              <w:rPr>
                <w:rFonts w:ascii="Arial" w:hAnsi="Arial" w:cs="Arial"/>
                <w:color w:val="215868" w:themeColor="accent5" w:themeShade="80"/>
                <w:sz w:val="18"/>
                <w:szCs w:val="18"/>
              </w:rPr>
              <w:t>B</w:t>
            </w:r>
          </w:p>
        </w:tc>
        <w:tc>
          <w:tcPr>
            <w:tcW w:w="993" w:type="dxa"/>
          </w:tcPr>
          <w:p w14:paraId="40C78115" w14:textId="45ADC4EF" w:rsidR="00AD6170" w:rsidRPr="00E43E81" w:rsidRDefault="00AD6170" w:rsidP="00AA6AE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921B41">
              <w:rPr>
                <w:rFonts w:ascii="Arial" w:hAnsi="Arial" w:cs="Arial"/>
                <w:color w:val="215868" w:themeColor="accent5" w:themeShade="80"/>
                <w:sz w:val="18"/>
                <w:szCs w:val="18"/>
              </w:rPr>
              <w:t>3.3</w:t>
            </w:r>
            <w:r w:rsidRPr="00E43E81">
              <w:rPr>
                <w:rFonts w:ascii="Arial" w:hAnsi="Arial" w:cs="Arial"/>
                <w:color w:val="215868" w:themeColor="accent5" w:themeShade="80"/>
                <w:sz w:val="18"/>
                <w:szCs w:val="18"/>
              </w:rPr>
              <w:t>%</w:t>
            </w:r>
          </w:p>
        </w:tc>
        <w:tc>
          <w:tcPr>
            <w:tcW w:w="1174" w:type="dxa"/>
          </w:tcPr>
          <w:p w14:paraId="40AFD473" w14:textId="38593DB7" w:rsidR="00AD6170" w:rsidRPr="00E43E81" w:rsidRDefault="00AD617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921B41">
              <w:rPr>
                <w:rFonts w:ascii="Arial" w:hAnsi="Arial" w:cs="Arial"/>
                <w:color w:val="215868" w:themeColor="accent5" w:themeShade="80"/>
                <w:sz w:val="18"/>
                <w:szCs w:val="18"/>
              </w:rPr>
              <w:t>1.5</w:t>
            </w:r>
            <w:r w:rsidRPr="00E43E81">
              <w:rPr>
                <w:rFonts w:ascii="Arial" w:hAnsi="Arial" w:cs="Arial"/>
                <w:color w:val="215868" w:themeColor="accent5" w:themeShade="80"/>
                <w:sz w:val="18"/>
                <w:szCs w:val="18"/>
              </w:rPr>
              <w:t>%</w:t>
            </w:r>
          </w:p>
        </w:tc>
      </w:tr>
      <w:tr w:rsidR="00AD6170" w:rsidRPr="00E43E81" w14:paraId="086B8DCB" w14:textId="77777777" w:rsidTr="00223410">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321" w:type="dxa"/>
            <w:vAlign w:val="center"/>
          </w:tcPr>
          <w:p w14:paraId="33C6FCCB" w14:textId="77777777" w:rsidR="00AD6170" w:rsidRPr="00E43E81" w:rsidRDefault="00AD6170" w:rsidP="003A7E92">
            <w:pPr>
              <w:pStyle w:val="NoSpacing"/>
              <w:rPr>
                <w:rFonts w:ascii="Arial" w:hAnsi="Arial" w:cs="Arial"/>
                <w:color w:val="215868" w:themeColor="accent5" w:themeShade="80"/>
                <w:sz w:val="18"/>
                <w:szCs w:val="18"/>
              </w:rPr>
            </w:pPr>
            <w:r w:rsidRPr="00E43E81">
              <w:rPr>
                <w:rFonts w:ascii="Arial" w:hAnsi="Arial" w:cs="Arial"/>
                <w:color w:val="215868" w:themeColor="accent5" w:themeShade="80"/>
                <w:sz w:val="18"/>
                <w:szCs w:val="18"/>
              </w:rPr>
              <w:t>Vegetables</w:t>
            </w:r>
          </w:p>
        </w:tc>
        <w:tc>
          <w:tcPr>
            <w:tcW w:w="993" w:type="dxa"/>
            <w:vAlign w:val="bottom"/>
          </w:tcPr>
          <w:p w14:paraId="73DCC43F" w14:textId="77777777" w:rsidR="00AD6170" w:rsidRPr="00EF524A" w:rsidRDefault="00AD61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993" w:type="dxa"/>
            <w:vAlign w:val="bottom"/>
          </w:tcPr>
          <w:p w14:paraId="7761902E" w14:textId="77777777" w:rsidR="00AD6170" w:rsidRDefault="00AD61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993" w:type="dxa"/>
            <w:vAlign w:val="bottom"/>
          </w:tcPr>
          <w:p w14:paraId="74E5391B" w14:textId="77777777" w:rsidR="00AD6170" w:rsidRDefault="00AD6170"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993" w:type="dxa"/>
          </w:tcPr>
          <w:p w14:paraId="18CCBF84" w14:textId="77777777" w:rsidR="00AD6170" w:rsidRDefault="00AD6170" w:rsidP="00317B8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994" w:type="dxa"/>
          </w:tcPr>
          <w:p w14:paraId="01DBE46D" w14:textId="77777777" w:rsidR="00AD6170" w:rsidRDefault="00AD6170" w:rsidP="00317B8E">
            <w:pPr>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p>
        </w:tc>
        <w:tc>
          <w:tcPr>
            <w:tcW w:w="993" w:type="dxa"/>
          </w:tcPr>
          <w:p w14:paraId="6BD6E949" w14:textId="77777777" w:rsidR="00AD6170" w:rsidRPr="00E43E81" w:rsidRDefault="00AD6170" w:rsidP="00317B8E">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993" w:type="dxa"/>
          </w:tcPr>
          <w:p w14:paraId="2EC07E7F" w14:textId="77777777" w:rsidR="00AD6170" w:rsidRPr="00E43E81" w:rsidRDefault="00AD6170" w:rsidP="00CD25A6">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993" w:type="dxa"/>
          </w:tcPr>
          <w:p w14:paraId="29C1AAF9" w14:textId="77777777" w:rsidR="00AD6170" w:rsidRPr="00E43E81" w:rsidRDefault="00AD6170" w:rsidP="00CD25A6">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c>
          <w:tcPr>
            <w:tcW w:w="1174" w:type="dxa"/>
          </w:tcPr>
          <w:p w14:paraId="05C8EE53" w14:textId="77777777" w:rsidR="00AD6170" w:rsidRPr="00E43E81" w:rsidRDefault="00AD6170" w:rsidP="00B63160">
            <w:pPr>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p>
        </w:tc>
      </w:tr>
      <w:tr w:rsidR="00AD6170" w:rsidRPr="00E43E81" w14:paraId="21073A7E" w14:textId="77777777" w:rsidTr="00223410">
        <w:trPr>
          <w:trHeight w:val="140"/>
        </w:trPr>
        <w:tc>
          <w:tcPr>
            <w:cnfStyle w:val="001000000000" w:firstRow="0" w:lastRow="0" w:firstColumn="1" w:lastColumn="0" w:oddVBand="0" w:evenVBand="0" w:oddHBand="0" w:evenHBand="0" w:firstRowFirstColumn="0" w:firstRowLastColumn="0" w:lastRowFirstColumn="0" w:lastRowLastColumn="0"/>
            <w:tcW w:w="1321" w:type="dxa"/>
            <w:vAlign w:val="center"/>
          </w:tcPr>
          <w:p w14:paraId="212B5B99" w14:textId="77777777" w:rsidR="00AD6170" w:rsidRPr="00E43E81" w:rsidRDefault="00AD6170" w:rsidP="003A7E92">
            <w:pPr>
              <w:pStyle w:val="NoSpacing"/>
              <w:jc w:val="right"/>
              <w:rPr>
                <w:rFonts w:ascii="Arial" w:hAnsi="Arial" w:cs="Arial"/>
                <w:b w:val="0"/>
                <w:color w:val="215868" w:themeColor="accent5" w:themeShade="80"/>
                <w:sz w:val="18"/>
                <w:szCs w:val="18"/>
              </w:rPr>
            </w:pPr>
            <w:r w:rsidRPr="00E43E81">
              <w:rPr>
                <w:rFonts w:ascii="Arial" w:hAnsi="Arial" w:cs="Arial"/>
                <w:b w:val="0"/>
                <w:color w:val="215868" w:themeColor="accent5" w:themeShade="80"/>
                <w:sz w:val="18"/>
                <w:szCs w:val="18"/>
              </w:rPr>
              <w:t xml:space="preserve">   Dollars</w:t>
            </w:r>
          </w:p>
        </w:tc>
        <w:tc>
          <w:tcPr>
            <w:tcW w:w="993" w:type="dxa"/>
            <w:vAlign w:val="bottom"/>
          </w:tcPr>
          <w:p w14:paraId="1765AE90" w14:textId="72591C81" w:rsidR="00AD6170" w:rsidRPr="00EF524A" w:rsidRDefault="00AD61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sidRPr="00EF524A">
              <w:rPr>
                <w:rFonts w:ascii="Arial" w:hAnsi="Arial" w:cs="Arial"/>
                <w:color w:val="215868"/>
                <w:sz w:val="18"/>
                <w:szCs w:val="18"/>
              </w:rPr>
              <w:t>+</w:t>
            </w:r>
            <w:r w:rsidR="00921B41">
              <w:rPr>
                <w:rFonts w:ascii="Arial" w:hAnsi="Arial" w:cs="Arial"/>
                <w:color w:val="215868"/>
                <w:sz w:val="18"/>
                <w:szCs w:val="18"/>
              </w:rPr>
              <w:t>3.9</w:t>
            </w:r>
            <w:r w:rsidRPr="00EF524A">
              <w:rPr>
                <w:rFonts w:ascii="Arial" w:hAnsi="Arial" w:cs="Arial"/>
                <w:color w:val="215868"/>
                <w:sz w:val="18"/>
                <w:szCs w:val="18"/>
              </w:rPr>
              <w:t>%</w:t>
            </w:r>
          </w:p>
        </w:tc>
        <w:tc>
          <w:tcPr>
            <w:tcW w:w="993" w:type="dxa"/>
            <w:vAlign w:val="bottom"/>
          </w:tcPr>
          <w:p w14:paraId="32E683B5" w14:textId="21A20A32" w:rsidR="00AD6170" w:rsidRDefault="00AD617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14.8</w:t>
            </w:r>
            <w:r>
              <w:rPr>
                <w:rFonts w:ascii="Arial" w:hAnsi="Arial" w:cs="Arial"/>
                <w:color w:val="215868"/>
                <w:sz w:val="18"/>
                <w:szCs w:val="18"/>
              </w:rPr>
              <w:t>%</w:t>
            </w:r>
          </w:p>
        </w:tc>
        <w:tc>
          <w:tcPr>
            <w:tcW w:w="993" w:type="dxa"/>
            <w:vAlign w:val="bottom"/>
          </w:tcPr>
          <w:p w14:paraId="505795D6" w14:textId="430CA0F4" w:rsidR="00AD6170"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4.7</w:t>
            </w:r>
            <w:r>
              <w:rPr>
                <w:rFonts w:ascii="Arial" w:hAnsi="Arial" w:cs="Arial"/>
                <w:color w:val="215868"/>
                <w:sz w:val="18"/>
                <w:szCs w:val="18"/>
              </w:rPr>
              <w:t>%</w:t>
            </w:r>
          </w:p>
        </w:tc>
        <w:tc>
          <w:tcPr>
            <w:tcW w:w="993" w:type="dxa"/>
          </w:tcPr>
          <w:p w14:paraId="4B1C1FD6" w14:textId="16BEDA07" w:rsidR="00AD6170"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7.1</w:t>
            </w:r>
            <w:r>
              <w:rPr>
                <w:rFonts w:ascii="Arial" w:hAnsi="Arial" w:cs="Arial"/>
                <w:color w:val="215868"/>
                <w:sz w:val="18"/>
                <w:szCs w:val="18"/>
              </w:rPr>
              <w:t>%</w:t>
            </w:r>
          </w:p>
        </w:tc>
        <w:tc>
          <w:tcPr>
            <w:tcW w:w="994" w:type="dxa"/>
          </w:tcPr>
          <w:p w14:paraId="10FE4091" w14:textId="07896E09" w:rsidR="00AD6170"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2.3</w:t>
            </w:r>
            <w:r>
              <w:rPr>
                <w:rFonts w:ascii="Arial" w:hAnsi="Arial" w:cs="Arial"/>
                <w:color w:val="215868"/>
                <w:sz w:val="18"/>
                <w:szCs w:val="18"/>
              </w:rPr>
              <w:t>%</w:t>
            </w:r>
          </w:p>
        </w:tc>
        <w:tc>
          <w:tcPr>
            <w:tcW w:w="993" w:type="dxa"/>
          </w:tcPr>
          <w:p w14:paraId="04FFBCC4" w14:textId="7AC5FC90" w:rsidR="00AD6170" w:rsidRDefault="00AD6170"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w:t>
            </w:r>
            <w:r w:rsidR="00921B41">
              <w:rPr>
                <w:rFonts w:ascii="Arial" w:hAnsi="Arial" w:cs="Arial"/>
                <w:color w:val="215868" w:themeColor="accent5" w:themeShade="80"/>
                <w:sz w:val="18"/>
              </w:rPr>
              <w:t>0.1</w:t>
            </w:r>
            <w:r>
              <w:rPr>
                <w:rFonts w:ascii="Arial" w:hAnsi="Arial" w:cs="Arial"/>
                <w:color w:val="215868" w:themeColor="accent5" w:themeShade="80"/>
                <w:sz w:val="18"/>
              </w:rPr>
              <w:t>%</w:t>
            </w:r>
          </w:p>
        </w:tc>
        <w:tc>
          <w:tcPr>
            <w:tcW w:w="993" w:type="dxa"/>
          </w:tcPr>
          <w:p w14:paraId="61F9669F" w14:textId="71FD6204" w:rsidR="00AD6170" w:rsidRDefault="00AD6170" w:rsidP="00AA6AE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w:t>
            </w:r>
            <w:r w:rsidR="00921B41">
              <w:rPr>
                <w:rFonts w:ascii="Arial" w:hAnsi="Arial" w:cs="Arial"/>
                <w:color w:val="215868" w:themeColor="accent5" w:themeShade="80"/>
                <w:sz w:val="18"/>
              </w:rPr>
              <w:t>3.5</w:t>
            </w:r>
            <w:r>
              <w:rPr>
                <w:rFonts w:ascii="Arial" w:hAnsi="Arial" w:cs="Arial"/>
                <w:color w:val="215868" w:themeColor="accent5" w:themeShade="80"/>
                <w:sz w:val="18"/>
              </w:rPr>
              <w:t>B</w:t>
            </w:r>
          </w:p>
        </w:tc>
        <w:tc>
          <w:tcPr>
            <w:tcW w:w="993" w:type="dxa"/>
          </w:tcPr>
          <w:p w14:paraId="37E2BD2D" w14:textId="1B63AB6E" w:rsidR="00AD6170" w:rsidRPr="00E43E81" w:rsidRDefault="00921B41" w:rsidP="00AA6AE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-0.5</w:t>
            </w:r>
            <w:r w:rsidR="00AD6170" w:rsidRPr="00E43E81">
              <w:rPr>
                <w:rFonts w:ascii="Arial" w:hAnsi="Arial" w:cs="Arial"/>
                <w:color w:val="215868" w:themeColor="accent5" w:themeShade="80"/>
                <w:sz w:val="18"/>
              </w:rPr>
              <w:t>%</w:t>
            </w:r>
          </w:p>
        </w:tc>
        <w:tc>
          <w:tcPr>
            <w:tcW w:w="1174" w:type="dxa"/>
          </w:tcPr>
          <w:p w14:paraId="108031E8" w14:textId="4629F152" w:rsidR="00AD6170" w:rsidRPr="00E43E81" w:rsidRDefault="00AD617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w:t>
            </w:r>
            <w:r w:rsidR="00921B41">
              <w:rPr>
                <w:rFonts w:ascii="Arial" w:hAnsi="Arial" w:cs="Arial"/>
                <w:color w:val="215868" w:themeColor="accent5" w:themeShade="80"/>
                <w:sz w:val="18"/>
              </w:rPr>
              <w:t>12.2</w:t>
            </w:r>
            <w:r w:rsidRPr="00E43E81">
              <w:rPr>
                <w:rFonts w:ascii="Arial" w:hAnsi="Arial" w:cs="Arial"/>
                <w:color w:val="215868" w:themeColor="accent5" w:themeShade="80"/>
                <w:sz w:val="18"/>
              </w:rPr>
              <w:t>%</w:t>
            </w:r>
          </w:p>
        </w:tc>
      </w:tr>
      <w:tr w:rsidR="00AD6170" w:rsidRPr="00E43E81" w14:paraId="43A744ED" w14:textId="77777777" w:rsidTr="00223410">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321" w:type="dxa"/>
            <w:vAlign w:val="center"/>
          </w:tcPr>
          <w:p w14:paraId="2D5BC9DE" w14:textId="77777777" w:rsidR="00AD6170" w:rsidRPr="00E43E81" w:rsidRDefault="00AD6170" w:rsidP="003A7E92">
            <w:pPr>
              <w:pStyle w:val="NoSpacing"/>
              <w:jc w:val="right"/>
              <w:rPr>
                <w:rFonts w:ascii="Arial" w:hAnsi="Arial" w:cs="Arial"/>
                <w:b w:val="0"/>
                <w:color w:val="215868" w:themeColor="accent5" w:themeShade="80"/>
                <w:sz w:val="18"/>
                <w:szCs w:val="18"/>
              </w:rPr>
            </w:pPr>
            <w:r w:rsidRPr="00E43E81">
              <w:rPr>
                <w:rFonts w:ascii="Arial" w:hAnsi="Arial" w:cs="Arial"/>
                <w:b w:val="0"/>
                <w:color w:val="215868" w:themeColor="accent5" w:themeShade="80"/>
                <w:sz w:val="18"/>
                <w:szCs w:val="18"/>
              </w:rPr>
              <w:t xml:space="preserve">   Volume</w:t>
            </w:r>
          </w:p>
        </w:tc>
        <w:tc>
          <w:tcPr>
            <w:tcW w:w="993" w:type="dxa"/>
            <w:vAlign w:val="bottom"/>
          </w:tcPr>
          <w:p w14:paraId="355C182D" w14:textId="3C9BCCA6" w:rsidR="00AD6170" w:rsidRPr="00EF524A" w:rsidRDefault="00AD61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1.7</w:t>
            </w:r>
            <w:r w:rsidRPr="00EF524A">
              <w:rPr>
                <w:rFonts w:ascii="Arial" w:hAnsi="Arial" w:cs="Arial"/>
                <w:color w:val="215868"/>
                <w:sz w:val="18"/>
                <w:szCs w:val="18"/>
              </w:rPr>
              <w:t>%</w:t>
            </w:r>
          </w:p>
        </w:tc>
        <w:tc>
          <w:tcPr>
            <w:tcW w:w="993" w:type="dxa"/>
            <w:vAlign w:val="bottom"/>
          </w:tcPr>
          <w:p w14:paraId="2918379D" w14:textId="51CBC7BE" w:rsidR="00AD6170" w:rsidRDefault="00AD617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14.2</w:t>
            </w:r>
            <w:r>
              <w:rPr>
                <w:rFonts w:ascii="Arial" w:hAnsi="Arial" w:cs="Arial"/>
                <w:color w:val="215868"/>
                <w:sz w:val="18"/>
                <w:szCs w:val="18"/>
              </w:rPr>
              <w:t>%</w:t>
            </w:r>
          </w:p>
        </w:tc>
        <w:tc>
          <w:tcPr>
            <w:tcW w:w="993" w:type="dxa"/>
            <w:vAlign w:val="bottom"/>
          </w:tcPr>
          <w:p w14:paraId="211A3D88" w14:textId="2EC2143F" w:rsidR="00AD6170" w:rsidRDefault="00921B41"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+13.5</w:t>
            </w:r>
            <w:r w:rsidR="00AD6170">
              <w:rPr>
                <w:rFonts w:ascii="Arial" w:hAnsi="Arial" w:cs="Arial"/>
                <w:color w:val="215868"/>
                <w:sz w:val="18"/>
                <w:szCs w:val="18"/>
              </w:rPr>
              <w:t>%</w:t>
            </w:r>
          </w:p>
        </w:tc>
        <w:tc>
          <w:tcPr>
            <w:tcW w:w="993" w:type="dxa"/>
          </w:tcPr>
          <w:p w14:paraId="06B7466D" w14:textId="6D80E197" w:rsidR="00AD6170" w:rsidRDefault="00AD6170"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11.7%</w:t>
            </w:r>
          </w:p>
        </w:tc>
        <w:tc>
          <w:tcPr>
            <w:tcW w:w="994" w:type="dxa"/>
          </w:tcPr>
          <w:p w14:paraId="40158A08" w14:textId="77463885" w:rsidR="00AD6170" w:rsidRDefault="00AD6170"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21B41">
              <w:rPr>
                <w:rFonts w:ascii="Arial" w:hAnsi="Arial" w:cs="Arial"/>
                <w:color w:val="215868"/>
                <w:sz w:val="18"/>
                <w:szCs w:val="18"/>
              </w:rPr>
              <w:t>5.1</w:t>
            </w:r>
            <w:r>
              <w:rPr>
                <w:rFonts w:ascii="Arial" w:hAnsi="Arial" w:cs="Arial"/>
                <w:color w:val="215868"/>
                <w:sz w:val="18"/>
                <w:szCs w:val="18"/>
              </w:rPr>
              <w:t>%</w:t>
            </w:r>
          </w:p>
        </w:tc>
        <w:tc>
          <w:tcPr>
            <w:tcW w:w="993" w:type="dxa"/>
          </w:tcPr>
          <w:p w14:paraId="155D24DC" w14:textId="6F0E25FC" w:rsidR="00AD6170" w:rsidRDefault="00AD6170"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w:t>
            </w:r>
            <w:r w:rsidR="00921B41">
              <w:rPr>
                <w:rFonts w:ascii="Arial" w:hAnsi="Arial" w:cs="Arial"/>
                <w:color w:val="215868" w:themeColor="accent5" w:themeShade="80"/>
                <w:sz w:val="18"/>
              </w:rPr>
              <w:t>5.7</w:t>
            </w:r>
            <w:r>
              <w:rPr>
                <w:rFonts w:ascii="Arial" w:hAnsi="Arial" w:cs="Arial"/>
                <w:color w:val="215868" w:themeColor="accent5" w:themeShade="80"/>
                <w:sz w:val="18"/>
              </w:rPr>
              <w:t>%</w:t>
            </w:r>
          </w:p>
        </w:tc>
        <w:tc>
          <w:tcPr>
            <w:tcW w:w="993" w:type="dxa"/>
          </w:tcPr>
          <w:p w14:paraId="315BB821" w14:textId="1A9CBC64" w:rsidR="00AD6170" w:rsidRDefault="00921B41" w:rsidP="00A128E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1.9</w:t>
            </w:r>
            <w:r w:rsidR="00AD6170">
              <w:rPr>
                <w:rFonts w:ascii="Arial" w:hAnsi="Arial" w:cs="Arial"/>
                <w:color w:val="215868" w:themeColor="accent5" w:themeShade="80"/>
                <w:sz w:val="18"/>
              </w:rPr>
              <w:t>B</w:t>
            </w:r>
          </w:p>
        </w:tc>
        <w:tc>
          <w:tcPr>
            <w:tcW w:w="993" w:type="dxa"/>
          </w:tcPr>
          <w:p w14:paraId="26B3AA46" w14:textId="299AFF20" w:rsidR="00AD6170" w:rsidRPr="00E43E81" w:rsidRDefault="00AD6170" w:rsidP="00A128E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w:t>
            </w:r>
            <w:r w:rsidR="00921B41">
              <w:rPr>
                <w:rFonts w:ascii="Arial" w:hAnsi="Arial" w:cs="Arial"/>
                <w:color w:val="215868" w:themeColor="accent5" w:themeShade="80"/>
                <w:sz w:val="18"/>
              </w:rPr>
              <w:t>5.2</w:t>
            </w:r>
            <w:r w:rsidRPr="00E43E81">
              <w:rPr>
                <w:rFonts w:ascii="Arial" w:hAnsi="Arial" w:cs="Arial"/>
                <w:color w:val="215868" w:themeColor="accent5" w:themeShade="80"/>
                <w:sz w:val="18"/>
              </w:rPr>
              <w:t>%</w:t>
            </w:r>
          </w:p>
        </w:tc>
        <w:tc>
          <w:tcPr>
            <w:tcW w:w="1174" w:type="dxa"/>
          </w:tcPr>
          <w:p w14:paraId="55980290" w14:textId="7CEC4FA5" w:rsidR="00AD6170" w:rsidRPr="00E43E81" w:rsidRDefault="00AD6170" w:rsidP="00A128E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rPr>
            </w:pPr>
            <w:r>
              <w:rPr>
                <w:rFonts w:ascii="Arial" w:hAnsi="Arial" w:cs="Arial"/>
                <w:color w:val="215868" w:themeColor="accent5" w:themeShade="80"/>
                <w:sz w:val="18"/>
              </w:rPr>
              <w:t>+</w:t>
            </w:r>
            <w:r w:rsidR="00921B41">
              <w:rPr>
                <w:rFonts w:ascii="Arial" w:hAnsi="Arial" w:cs="Arial"/>
                <w:color w:val="215868" w:themeColor="accent5" w:themeShade="80"/>
                <w:sz w:val="18"/>
              </w:rPr>
              <w:t>5.3</w:t>
            </w:r>
            <w:r w:rsidRPr="00E43E81">
              <w:rPr>
                <w:rFonts w:ascii="Arial" w:hAnsi="Arial" w:cs="Arial"/>
                <w:color w:val="215868" w:themeColor="accent5" w:themeShade="80"/>
                <w:sz w:val="18"/>
              </w:rPr>
              <w:t>%</w:t>
            </w:r>
          </w:p>
        </w:tc>
      </w:tr>
    </w:tbl>
    <w:p w14:paraId="030C002F" w14:textId="77777777" w:rsidR="00315642" w:rsidRPr="002E09F5" w:rsidRDefault="00FE5D0F" w:rsidP="006069A6">
      <w:pPr>
        <w:pStyle w:val="NoSpacing"/>
        <w:rPr>
          <w:rFonts w:ascii="Arial" w:hAnsi="Arial" w:cs="Arial"/>
          <w:sz w:val="6"/>
          <w:szCs w:val="10"/>
        </w:rPr>
      </w:pPr>
      <w:r w:rsidRPr="002E09F5">
        <w:rPr>
          <w:rFonts w:ascii="Arial" w:hAnsi="Arial" w:cs="Arial"/>
          <w:sz w:val="6"/>
          <w:szCs w:val="10"/>
        </w:rPr>
        <w:t xml:space="preserve"> </w:t>
      </w:r>
    </w:p>
    <w:p w14:paraId="7E6FB482" w14:textId="77777777" w:rsidR="00441E8F" w:rsidRDefault="00441E8F" w:rsidP="00441E8F">
      <w:pPr>
        <w:pStyle w:val="NoSpacing"/>
        <w:rPr>
          <w:rFonts w:ascii="Arial" w:hAnsi="Arial" w:cs="Arial"/>
          <w:sz w:val="16"/>
          <w:szCs w:val="16"/>
        </w:rPr>
      </w:pPr>
      <w:r w:rsidRPr="00CF309B">
        <w:rPr>
          <w:rFonts w:ascii="Arial" w:hAnsi="Arial" w:cs="Arial"/>
          <w:sz w:val="16"/>
          <w:szCs w:val="16"/>
        </w:rPr>
        <w:t>Source:</w:t>
      </w:r>
      <w:r w:rsidR="00BA516E" w:rsidRPr="00CF309B">
        <w:rPr>
          <w:rFonts w:ascii="Arial" w:hAnsi="Arial" w:cs="Arial"/>
          <w:sz w:val="16"/>
          <w:szCs w:val="16"/>
        </w:rPr>
        <w:t xml:space="preserve"> IRI</w:t>
      </w:r>
      <w:r w:rsidR="00906C46">
        <w:rPr>
          <w:rFonts w:ascii="Arial" w:hAnsi="Arial" w:cs="Arial"/>
          <w:sz w:val="16"/>
          <w:szCs w:val="16"/>
        </w:rPr>
        <w:t xml:space="preserve"> Integrated Fresh,</w:t>
      </w:r>
      <w:r w:rsidR="00BA516E" w:rsidRPr="00CF309B">
        <w:rPr>
          <w:rFonts w:ascii="Arial" w:hAnsi="Arial" w:cs="Arial"/>
          <w:sz w:val="16"/>
          <w:szCs w:val="16"/>
        </w:rPr>
        <w:t xml:space="preserve"> Total U.S., MULO</w:t>
      </w:r>
    </w:p>
    <w:p w14:paraId="1E6CCA3B" w14:textId="3D862E78" w:rsidR="00517D7F" w:rsidRDefault="00517D7F" w:rsidP="00CB6454">
      <w:pPr>
        <w:pStyle w:val="NoSpacing"/>
        <w:rPr>
          <w:rFonts w:ascii="Arial" w:hAnsi="Arial" w:cs="Arial"/>
          <w:b/>
          <w:color w:val="595959" w:themeColor="text1" w:themeTint="A6"/>
          <w:sz w:val="24"/>
          <w:szCs w:val="24"/>
        </w:rPr>
      </w:pPr>
    </w:p>
    <w:p w14:paraId="5FB188E2" w14:textId="77777777" w:rsidR="009F5C6A" w:rsidRDefault="009F5C6A" w:rsidP="00CB6454">
      <w:pPr>
        <w:pStyle w:val="NoSpacing"/>
        <w:rPr>
          <w:rFonts w:ascii="Arial" w:hAnsi="Arial" w:cs="Arial"/>
          <w:b/>
          <w:color w:val="595959" w:themeColor="text1" w:themeTint="A6"/>
          <w:sz w:val="24"/>
          <w:szCs w:val="24"/>
        </w:rPr>
      </w:pPr>
    </w:p>
    <w:p w14:paraId="7EA9214F" w14:textId="53BA0019" w:rsidR="00CB6454" w:rsidRPr="00B34F5D" w:rsidRDefault="00CB6454" w:rsidP="009F5C6A">
      <w:pPr>
        <w:spacing w:after="0"/>
        <w:rPr>
          <w:rFonts w:ascii="Arial" w:hAnsi="Arial" w:cs="Arial"/>
          <w:b/>
          <w:color w:val="595959" w:themeColor="text1" w:themeTint="A6"/>
          <w:sz w:val="24"/>
          <w:szCs w:val="24"/>
        </w:rPr>
      </w:pPr>
      <w:r w:rsidRPr="00B34F5D">
        <w:rPr>
          <w:rFonts w:ascii="Arial" w:hAnsi="Arial" w:cs="Arial"/>
          <w:b/>
          <w:color w:val="595959" w:themeColor="text1" w:themeTint="A6"/>
          <w:sz w:val="24"/>
          <w:szCs w:val="24"/>
        </w:rPr>
        <w:t>Fresh Fruit</w:t>
      </w:r>
      <w:r w:rsidR="00EB33CE">
        <w:rPr>
          <w:rFonts w:ascii="Arial" w:hAnsi="Arial" w:cs="Arial"/>
          <w:b/>
          <w:color w:val="595959" w:themeColor="text1" w:themeTint="A6"/>
          <w:sz w:val="24"/>
          <w:szCs w:val="24"/>
        </w:rPr>
        <w:t xml:space="preserve"> Sales in </w:t>
      </w:r>
      <w:r w:rsidR="00280853">
        <w:rPr>
          <w:rFonts w:ascii="Arial" w:hAnsi="Arial" w:cs="Arial"/>
          <w:b/>
          <w:color w:val="595959" w:themeColor="text1" w:themeTint="A6"/>
          <w:sz w:val="24"/>
          <w:szCs w:val="24"/>
        </w:rPr>
        <w:t>January</w:t>
      </w:r>
    </w:p>
    <w:p w14:paraId="396FCE6F" w14:textId="0529900C" w:rsidR="0006645D" w:rsidRDefault="00CB6454" w:rsidP="00CB6454">
      <w:pPr>
        <w:pStyle w:val="NoSpacing"/>
        <w:rPr>
          <w:rFonts w:ascii="Arial" w:hAnsi="Arial" w:cs="Arial"/>
          <w:sz w:val="20"/>
          <w:szCs w:val="20"/>
        </w:rPr>
      </w:pPr>
      <w:r>
        <w:rPr>
          <w:rFonts w:ascii="Arial" w:hAnsi="Arial" w:cs="Arial"/>
          <w:sz w:val="20"/>
          <w:szCs w:val="20"/>
        </w:rPr>
        <w:t>“</w:t>
      </w:r>
      <w:r w:rsidR="00576207">
        <w:rPr>
          <w:rFonts w:ascii="Arial" w:hAnsi="Arial" w:cs="Arial"/>
          <w:sz w:val="20"/>
          <w:szCs w:val="20"/>
        </w:rPr>
        <w:t xml:space="preserve">On the fruit side, </w:t>
      </w:r>
      <w:r w:rsidR="00946FA4">
        <w:rPr>
          <w:rFonts w:ascii="Arial" w:hAnsi="Arial" w:cs="Arial"/>
          <w:sz w:val="20"/>
          <w:szCs w:val="20"/>
        </w:rPr>
        <w:t xml:space="preserve">all top 10 </w:t>
      </w:r>
      <w:r w:rsidR="00D94AC7">
        <w:rPr>
          <w:rFonts w:ascii="Arial" w:hAnsi="Arial" w:cs="Arial"/>
          <w:sz w:val="20"/>
          <w:szCs w:val="20"/>
        </w:rPr>
        <w:t xml:space="preserve">sellers </w:t>
      </w:r>
      <w:r w:rsidR="00946FA4">
        <w:rPr>
          <w:rFonts w:ascii="Arial" w:hAnsi="Arial" w:cs="Arial"/>
          <w:sz w:val="20"/>
          <w:szCs w:val="20"/>
        </w:rPr>
        <w:t>gained versus year ago</w:t>
      </w:r>
      <w:r w:rsidR="00D94AC7">
        <w:rPr>
          <w:rFonts w:ascii="Arial" w:hAnsi="Arial" w:cs="Arial"/>
          <w:sz w:val="20"/>
          <w:szCs w:val="20"/>
        </w:rPr>
        <w:t xml:space="preserve"> with the exception of bananas</w:t>
      </w:r>
      <w:r w:rsidRPr="00B35CE9">
        <w:rPr>
          <w:rFonts w:ascii="Arial" w:hAnsi="Arial" w:cs="Arial"/>
          <w:sz w:val="20"/>
          <w:szCs w:val="20"/>
        </w:rPr>
        <w:t>,” said</w:t>
      </w:r>
      <w:r w:rsidR="00EB33CE">
        <w:rPr>
          <w:rFonts w:ascii="Arial" w:hAnsi="Arial" w:cs="Arial"/>
          <w:sz w:val="20"/>
          <w:szCs w:val="20"/>
        </w:rPr>
        <w:t xml:space="preserve"> Parker</w:t>
      </w:r>
      <w:r w:rsidRPr="00B35CE9">
        <w:rPr>
          <w:rFonts w:ascii="Arial" w:hAnsi="Arial" w:cs="Arial"/>
          <w:sz w:val="20"/>
          <w:szCs w:val="20"/>
        </w:rPr>
        <w:t>. “</w:t>
      </w:r>
      <w:r w:rsidR="00D94AC7">
        <w:rPr>
          <w:rFonts w:ascii="Arial" w:hAnsi="Arial" w:cs="Arial"/>
          <w:sz w:val="20"/>
          <w:szCs w:val="20"/>
        </w:rPr>
        <w:t>In a change from our reporting last year, we will now be showing the increase in dollars and the increase in volume versus year ago in the columns to the far right. The difference between the two percentages is a close match for inflation on a per pound basis</w:t>
      </w:r>
      <w:r w:rsidR="005A5A01">
        <w:rPr>
          <w:rFonts w:ascii="Arial" w:hAnsi="Arial" w:cs="Arial"/>
          <w:sz w:val="20"/>
          <w:szCs w:val="20"/>
        </w:rPr>
        <w:t xml:space="preserve">, though lower promotional levels also play into higher dollar gains. </w:t>
      </w:r>
      <w:r w:rsidR="00D94AC7">
        <w:rPr>
          <w:rFonts w:ascii="Arial" w:hAnsi="Arial" w:cs="Arial"/>
          <w:sz w:val="20"/>
          <w:szCs w:val="20"/>
        </w:rPr>
        <w:t>For instance, while January 2022 avocado dollar sales were up 13.3%, pound sales were down 12.4%</w:t>
      </w:r>
      <w:r w:rsidR="005A5A01">
        <w:rPr>
          <w:rFonts w:ascii="Arial" w:hAnsi="Arial" w:cs="Arial"/>
          <w:sz w:val="20"/>
          <w:szCs w:val="20"/>
        </w:rPr>
        <w:t>, which would translate into inflation of about 26% on a per pound basis. In looking at the actual numbers, the average price per pound for avocados in January 2022 was up 29.4% versus year ago while promotional levels were down by 15.4%. This new reporting will help provide a better look at the effects of inflation</w:t>
      </w:r>
      <w:r w:rsidR="00AB0D40">
        <w:rPr>
          <w:rFonts w:ascii="Arial" w:hAnsi="Arial" w:cs="Arial"/>
          <w:sz w:val="20"/>
          <w:szCs w:val="20"/>
        </w:rPr>
        <w:t xml:space="preserve"> plus less promoting</w:t>
      </w:r>
      <w:r w:rsidR="005A5A01">
        <w:rPr>
          <w:rFonts w:ascii="Arial" w:hAnsi="Arial" w:cs="Arial"/>
          <w:sz w:val="20"/>
          <w:szCs w:val="20"/>
        </w:rPr>
        <w:t xml:space="preserve"> on the dollar performance.</w:t>
      </w:r>
      <w:r w:rsidRPr="00B35CE9">
        <w:rPr>
          <w:rFonts w:ascii="Arial" w:hAnsi="Arial" w:cs="Arial"/>
          <w:sz w:val="20"/>
          <w:szCs w:val="20"/>
        </w:rPr>
        <w:t>”</w:t>
      </w:r>
      <w:r w:rsidR="00E407FC">
        <w:rPr>
          <w:rFonts w:ascii="Arial" w:hAnsi="Arial" w:cs="Arial"/>
          <w:sz w:val="20"/>
          <w:szCs w:val="20"/>
        </w:rPr>
        <w:t xml:space="preserve"> </w:t>
      </w:r>
      <w:r w:rsidRPr="00B35CE9">
        <w:rPr>
          <w:rFonts w:ascii="Arial" w:hAnsi="Arial" w:cs="Arial"/>
          <w:sz w:val="20"/>
          <w:szCs w:val="20"/>
        </w:rPr>
        <w:t xml:space="preserve"> </w:t>
      </w:r>
    </w:p>
    <w:p w14:paraId="114F402F" w14:textId="77777777" w:rsidR="005E2F61" w:rsidRDefault="005E2F61" w:rsidP="00CB6454">
      <w:pPr>
        <w:pStyle w:val="NoSpacing"/>
        <w:rPr>
          <w:rFonts w:ascii="Arial" w:hAnsi="Arial" w:cs="Arial"/>
          <w:sz w:val="20"/>
          <w:szCs w:val="20"/>
        </w:rPr>
      </w:pPr>
    </w:p>
    <w:tbl>
      <w:tblPr>
        <w:tblStyle w:val="LightShading-Accent5"/>
        <w:tblW w:w="10260" w:type="dxa"/>
        <w:tblInd w:w="108" w:type="dxa"/>
        <w:tblBorders>
          <w:top w:val="none" w:sz="0" w:space="0" w:color="auto"/>
          <w:bottom w:val="none" w:sz="0" w:space="0" w:color="auto"/>
        </w:tblBorders>
        <w:tblLayout w:type="fixed"/>
        <w:tblLook w:val="04A0" w:firstRow="1" w:lastRow="0" w:firstColumn="1" w:lastColumn="0" w:noHBand="0" w:noVBand="1"/>
      </w:tblPr>
      <w:tblGrid>
        <w:gridCol w:w="1467"/>
        <w:gridCol w:w="843"/>
        <w:gridCol w:w="134"/>
        <w:gridCol w:w="977"/>
        <w:gridCol w:w="977"/>
        <w:gridCol w:w="977"/>
        <w:gridCol w:w="977"/>
        <w:gridCol w:w="977"/>
        <w:gridCol w:w="977"/>
        <w:gridCol w:w="977"/>
        <w:gridCol w:w="977"/>
      </w:tblGrid>
      <w:tr w:rsidR="00422C9B" w:rsidRPr="0003007F" w14:paraId="3DFD75C2" w14:textId="77777777" w:rsidTr="00452431">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310" w:type="dxa"/>
            <w:gridSpan w:val="2"/>
            <w:tcBorders>
              <w:top w:val="none" w:sz="0" w:space="0" w:color="auto"/>
              <w:left w:val="none" w:sz="0" w:space="0" w:color="auto"/>
              <w:bottom w:val="none" w:sz="0" w:space="0" w:color="auto"/>
              <w:right w:val="none" w:sz="0" w:space="0" w:color="auto"/>
            </w:tcBorders>
            <w:shd w:val="clear" w:color="auto" w:fill="17365D" w:themeFill="text2" w:themeFillShade="BF"/>
          </w:tcPr>
          <w:p w14:paraId="285E05F8" w14:textId="77777777" w:rsidR="00422C9B" w:rsidRPr="00AB1306" w:rsidRDefault="00422C9B" w:rsidP="00422C9B">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7950" w:type="dxa"/>
            <w:gridSpan w:val="9"/>
            <w:tcBorders>
              <w:top w:val="none" w:sz="0" w:space="0" w:color="auto"/>
              <w:left w:val="none" w:sz="0" w:space="0" w:color="auto"/>
              <w:bottom w:val="none" w:sz="0" w:space="0" w:color="auto"/>
              <w:right w:val="none" w:sz="0" w:space="0" w:color="auto"/>
            </w:tcBorders>
            <w:shd w:val="clear" w:color="auto" w:fill="17365D" w:themeFill="text2" w:themeFillShade="BF"/>
          </w:tcPr>
          <w:p w14:paraId="3A17CC18" w14:textId="77777777" w:rsidR="00422C9B" w:rsidRPr="0003007F" w:rsidRDefault="00422C9B" w:rsidP="00F103B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1306">
              <w:rPr>
                <w:rFonts w:ascii="Arial" w:hAnsi="Arial" w:cs="Arial"/>
                <w:color w:val="FFFFFF" w:themeColor="background1"/>
                <w:sz w:val="18"/>
                <w:szCs w:val="18"/>
              </w:rPr>
              <w:t>Dollar sal</w:t>
            </w:r>
            <w:r>
              <w:rPr>
                <w:rFonts w:ascii="Arial" w:hAnsi="Arial" w:cs="Arial"/>
                <w:color w:val="FFFFFF" w:themeColor="background1"/>
                <w:sz w:val="18"/>
                <w:szCs w:val="18"/>
              </w:rPr>
              <w:t>es increase over comparable perio</w:t>
            </w:r>
            <w:r w:rsidR="00A3789A">
              <w:rPr>
                <w:rFonts w:ascii="Arial" w:hAnsi="Arial" w:cs="Arial"/>
                <w:color w:val="FFFFFF" w:themeColor="background1"/>
                <w:sz w:val="18"/>
                <w:szCs w:val="18"/>
              </w:rPr>
              <w:t>d YA</w:t>
            </w:r>
          </w:p>
        </w:tc>
      </w:tr>
      <w:tr w:rsidR="00A3789A" w:rsidRPr="0003007F" w14:paraId="74BF3700" w14:textId="77777777" w:rsidTr="00A3789A">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67" w:type="dxa"/>
            <w:shd w:val="clear" w:color="auto" w:fill="17365D" w:themeFill="text2" w:themeFillShade="BF"/>
          </w:tcPr>
          <w:p w14:paraId="3F9B606E" w14:textId="77777777" w:rsidR="00A3789A" w:rsidRPr="000F7932" w:rsidRDefault="00A3789A" w:rsidP="00F103B9">
            <w:pPr>
              <w:pStyle w:val="NoSpacing"/>
              <w:rPr>
                <w:rFonts w:ascii="Arial" w:hAnsi="Arial" w:cs="Arial"/>
                <w:color w:val="FFFFFF" w:themeColor="background1"/>
                <w:sz w:val="18"/>
                <w:szCs w:val="18"/>
              </w:rPr>
            </w:pPr>
          </w:p>
        </w:tc>
        <w:tc>
          <w:tcPr>
            <w:tcW w:w="977" w:type="dxa"/>
            <w:gridSpan w:val="2"/>
            <w:shd w:val="clear" w:color="auto" w:fill="17365D" w:themeFill="text2" w:themeFillShade="BF"/>
            <w:vAlign w:val="bottom"/>
          </w:tcPr>
          <w:p w14:paraId="46CF2457" w14:textId="77777777" w:rsidR="00A3789A" w:rsidRPr="000F7932" w:rsidRDefault="00A3789A" w:rsidP="00470A5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977" w:type="dxa"/>
            <w:shd w:val="clear" w:color="auto" w:fill="17365D" w:themeFill="text2" w:themeFillShade="BF"/>
            <w:vAlign w:val="bottom"/>
          </w:tcPr>
          <w:p w14:paraId="13B20948" w14:textId="77777777" w:rsidR="00A3789A" w:rsidRPr="000F7932" w:rsidRDefault="00A3789A" w:rsidP="00470A5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w:t>
            </w:r>
            <w:r w:rsidRPr="000F7932">
              <w:rPr>
                <w:rFonts w:ascii="Arial" w:hAnsi="Arial" w:cs="Arial"/>
                <w:b/>
                <w:color w:val="FFFFFF" w:themeColor="background1"/>
                <w:sz w:val="18"/>
                <w:szCs w:val="18"/>
              </w:rPr>
              <w:t>20</w:t>
            </w:r>
          </w:p>
        </w:tc>
        <w:tc>
          <w:tcPr>
            <w:tcW w:w="977" w:type="dxa"/>
            <w:shd w:val="clear" w:color="auto" w:fill="17365D" w:themeFill="text2" w:themeFillShade="BF"/>
            <w:vAlign w:val="bottom"/>
          </w:tcPr>
          <w:p w14:paraId="301AC34F" w14:textId="77777777" w:rsidR="00A3789A" w:rsidRPr="000F7932" w:rsidRDefault="00A3789A"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0F7932">
              <w:rPr>
                <w:rFonts w:ascii="Arial" w:hAnsi="Arial" w:cs="Arial"/>
                <w:b/>
                <w:color w:val="FFFFFF" w:themeColor="background1"/>
                <w:sz w:val="18"/>
                <w:szCs w:val="18"/>
              </w:rPr>
              <w:t>Q1 ‘21</w:t>
            </w:r>
          </w:p>
        </w:tc>
        <w:tc>
          <w:tcPr>
            <w:tcW w:w="977" w:type="dxa"/>
            <w:shd w:val="clear" w:color="auto" w:fill="17365D" w:themeFill="text2" w:themeFillShade="BF"/>
            <w:vAlign w:val="bottom"/>
          </w:tcPr>
          <w:p w14:paraId="0DC3715D" w14:textId="77777777" w:rsidR="00A3789A" w:rsidRPr="000F7932" w:rsidRDefault="00A3789A"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w:t>
            </w:r>
            <w:r w:rsidRPr="000F7932">
              <w:rPr>
                <w:rFonts w:ascii="Arial" w:hAnsi="Arial" w:cs="Arial"/>
                <w:b/>
                <w:color w:val="FFFFFF" w:themeColor="background1"/>
                <w:sz w:val="18"/>
                <w:szCs w:val="18"/>
              </w:rPr>
              <w:t xml:space="preserve"> ‘21</w:t>
            </w:r>
          </w:p>
        </w:tc>
        <w:tc>
          <w:tcPr>
            <w:tcW w:w="977" w:type="dxa"/>
            <w:shd w:val="clear" w:color="auto" w:fill="17365D" w:themeFill="text2" w:themeFillShade="BF"/>
            <w:vAlign w:val="bottom"/>
          </w:tcPr>
          <w:p w14:paraId="1DE0B116" w14:textId="77777777" w:rsidR="00A3789A" w:rsidRDefault="00A3789A"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‘21</w:t>
            </w:r>
          </w:p>
        </w:tc>
        <w:tc>
          <w:tcPr>
            <w:tcW w:w="977" w:type="dxa"/>
            <w:shd w:val="clear" w:color="auto" w:fill="17365D" w:themeFill="text2" w:themeFillShade="BF"/>
            <w:vAlign w:val="bottom"/>
          </w:tcPr>
          <w:p w14:paraId="4FF66A97" w14:textId="77777777" w:rsidR="00A3789A" w:rsidRDefault="00A3789A"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21</w:t>
            </w:r>
          </w:p>
        </w:tc>
        <w:tc>
          <w:tcPr>
            <w:tcW w:w="977" w:type="dxa"/>
            <w:shd w:val="clear" w:color="auto" w:fill="17365D" w:themeFill="text2" w:themeFillShade="BF"/>
            <w:vAlign w:val="bottom"/>
          </w:tcPr>
          <w:p w14:paraId="3B63F547" w14:textId="77777777" w:rsidR="00A3789A" w:rsidRPr="000F7932" w:rsidRDefault="00A3789A" w:rsidP="00470A5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Jan ‘22</w:t>
            </w:r>
          </w:p>
        </w:tc>
        <w:tc>
          <w:tcPr>
            <w:tcW w:w="977" w:type="dxa"/>
            <w:shd w:val="clear" w:color="auto" w:fill="17365D" w:themeFill="text2" w:themeFillShade="BF"/>
            <w:vAlign w:val="bottom"/>
          </w:tcPr>
          <w:p w14:paraId="04C57725" w14:textId="5C847B3A" w:rsidR="00A3789A" w:rsidRPr="000F7932" w:rsidRDefault="006C11E5" w:rsidP="00470A5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w:t>
            </w:r>
            <w:r w:rsidR="00A3789A" w:rsidRPr="000F7932">
              <w:rPr>
                <w:rFonts w:ascii="Arial" w:hAnsi="Arial" w:cs="Arial"/>
                <w:b/>
                <w:color w:val="FFFFFF" w:themeColor="background1"/>
                <w:sz w:val="18"/>
                <w:szCs w:val="18"/>
              </w:rPr>
              <w:t xml:space="preserve"> </w:t>
            </w:r>
            <w:r>
              <w:rPr>
                <w:rFonts w:ascii="Arial" w:hAnsi="Arial" w:cs="Arial"/>
                <w:b/>
                <w:color w:val="FFFFFF" w:themeColor="background1"/>
                <w:sz w:val="18"/>
                <w:szCs w:val="18"/>
              </w:rPr>
              <w:br/>
            </w:r>
            <w:r w:rsidR="00A3789A" w:rsidRPr="000F7932">
              <w:rPr>
                <w:rFonts w:ascii="Arial" w:hAnsi="Arial" w:cs="Arial"/>
                <w:b/>
                <w:color w:val="FFFFFF" w:themeColor="background1"/>
                <w:sz w:val="18"/>
                <w:szCs w:val="18"/>
              </w:rPr>
              <w:t xml:space="preserve">vs </w:t>
            </w:r>
            <w:r w:rsidR="00A3789A">
              <w:rPr>
                <w:rFonts w:ascii="Arial" w:hAnsi="Arial" w:cs="Arial"/>
                <w:b/>
                <w:color w:val="FFFFFF" w:themeColor="background1"/>
                <w:sz w:val="18"/>
                <w:szCs w:val="18"/>
              </w:rPr>
              <w:t>YA</w:t>
            </w:r>
          </w:p>
        </w:tc>
        <w:tc>
          <w:tcPr>
            <w:tcW w:w="977" w:type="dxa"/>
            <w:shd w:val="clear" w:color="auto" w:fill="17365D" w:themeFill="text2" w:themeFillShade="BF"/>
            <w:vAlign w:val="bottom"/>
          </w:tcPr>
          <w:p w14:paraId="26786B75" w14:textId="46025FBA" w:rsidR="00A3789A" w:rsidRPr="000F7932" w:rsidRDefault="00A3789A" w:rsidP="00470A5F">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roofErr w:type="spellStart"/>
            <w:r>
              <w:rPr>
                <w:rFonts w:ascii="Arial" w:hAnsi="Arial" w:cs="Arial"/>
                <w:b/>
                <w:color w:val="FFFFFF" w:themeColor="background1"/>
                <w:sz w:val="18"/>
                <w:szCs w:val="18"/>
              </w:rPr>
              <w:t>lb</w:t>
            </w:r>
            <w:r w:rsidR="006C11E5">
              <w:rPr>
                <w:rFonts w:ascii="Arial" w:hAnsi="Arial" w:cs="Arial"/>
                <w:b/>
                <w:color w:val="FFFFFF" w:themeColor="background1"/>
                <w:sz w:val="18"/>
                <w:szCs w:val="18"/>
              </w:rPr>
              <w:t>s</w:t>
            </w:r>
            <w:proofErr w:type="spellEnd"/>
            <w:r>
              <w:rPr>
                <w:rFonts w:ascii="Arial" w:hAnsi="Arial" w:cs="Arial"/>
                <w:b/>
                <w:color w:val="FFFFFF" w:themeColor="background1"/>
                <w:sz w:val="18"/>
                <w:szCs w:val="18"/>
              </w:rPr>
              <w:t xml:space="preserve"> vs YA</w:t>
            </w:r>
          </w:p>
        </w:tc>
      </w:tr>
      <w:tr w:rsidR="00A3789A" w:rsidRPr="00091E61" w14:paraId="0CA2F74A" w14:textId="77777777" w:rsidTr="00A3789A">
        <w:trPr>
          <w:trHeight w:val="298"/>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66ADF07C" w14:textId="77777777" w:rsidR="00A3789A" w:rsidRPr="00091E61" w:rsidRDefault="00A3789A" w:rsidP="00576207">
            <w:pPr>
              <w:pStyle w:val="NoSpacing"/>
              <w:jc w:val="right"/>
              <w:rPr>
                <w:rFonts w:ascii="Arial" w:hAnsi="Arial" w:cs="Arial"/>
                <w:color w:val="17365D" w:themeColor="text2" w:themeShade="BF"/>
                <w:sz w:val="18"/>
                <w:szCs w:val="18"/>
              </w:rPr>
            </w:pPr>
            <w:r w:rsidRPr="00091E61">
              <w:rPr>
                <w:rFonts w:ascii="Arial" w:hAnsi="Arial" w:cs="Arial"/>
                <w:color w:val="17365D" w:themeColor="text2" w:themeShade="BF"/>
                <w:sz w:val="18"/>
                <w:szCs w:val="18"/>
              </w:rPr>
              <w:t>Fresh fruit</w:t>
            </w:r>
          </w:p>
        </w:tc>
        <w:tc>
          <w:tcPr>
            <w:tcW w:w="977" w:type="dxa"/>
            <w:gridSpan w:val="2"/>
            <w:vAlign w:val="center"/>
          </w:tcPr>
          <w:p w14:paraId="39EFBE0F" w14:textId="79A27A34" w:rsidR="00A3789A" w:rsidRPr="00091E61" w:rsidRDefault="00D94AC7" w:rsidP="0003610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-0.2</w:t>
            </w:r>
            <w:r w:rsidR="00A3789A" w:rsidRPr="00091E61">
              <w:rPr>
                <w:rFonts w:ascii="Arial" w:hAnsi="Arial" w:cs="Arial"/>
                <w:b/>
                <w:bCs/>
                <w:color w:val="17365D" w:themeColor="text2" w:themeShade="BF"/>
                <w:sz w:val="18"/>
                <w:szCs w:val="18"/>
              </w:rPr>
              <w:t>%</w:t>
            </w:r>
          </w:p>
        </w:tc>
        <w:tc>
          <w:tcPr>
            <w:tcW w:w="977" w:type="dxa"/>
            <w:vAlign w:val="center"/>
          </w:tcPr>
          <w:p w14:paraId="3D5B0656" w14:textId="639FCB0F" w:rsidR="00A3789A" w:rsidRPr="00091E61" w:rsidRDefault="00A3789A" w:rsidP="0003610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w:t>
            </w:r>
            <w:r w:rsidR="00D94AC7">
              <w:rPr>
                <w:rFonts w:ascii="Arial" w:hAnsi="Arial" w:cs="Arial"/>
                <w:b/>
                <w:bCs/>
                <w:color w:val="17365D" w:themeColor="text2" w:themeShade="BF"/>
                <w:sz w:val="18"/>
                <w:szCs w:val="18"/>
              </w:rPr>
              <w:t>8.7</w:t>
            </w:r>
            <w:r w:rsidRPr="00091E61">
              <w:rPr>
                <w:rFonts w:ascii="Arial" w:hAnsi="Arial" w:cs="Arial"/>
                <w:b/>
                <w:bCs/>
                <w:color w:val="17365D" w:themeColor="text2" w:themeShade="BF"/>
                <w:sz w:val="18"/>
                <w:szCs w:val="18"/>
              </w:rPr>
              <w:t>%</w:t>
            </w:r>
          </w:p>
        </w:tc>
        <w:tc>
          <w:tcPr>
            <w:tcW w:w="977" w:type="dxa"/>
            <w:vAlign w:val="center"/>
          </w:tcPr>
          <w:p w14:paraId="680EF69E" w14:textId="6178A30E" w:rsidR="00A3789A" w:rsidRPr="00091E61" w:rsidRDefault="00A3789A"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w:t>
            </w:r>
            <w:r w:rsidR="00D94AC7">
              <w:rPr>
                <w:rFonts w:ascii="Arial" w:hAnsi="Arial" w:cs="Arial"/>
                <w:b/>
                <w:bCs/>
                <w:color w:val="17365D" w:themeColor="text2" w:themeShade="BF"/>
                <w:sz w:val="18"/>
                <w:szCs w:val="18"/>
              </w:rPr>
              <w:t>5.1</w:t>
            </w:r>
            <w:r w:rsidRPr="00091E61">
              <w:rPr>
                <w:rFonts w:ascii="Arial" w:hAnsi="Arial" w:cs="Arial"/>
                <w:b/>
                <w:bCs/>
                <w:color w:val="17365D" w:themeColor="text2" w:themeShade="BF"/>
                <w:sz w:val="18"/>
                <w:szCs w:val="18"/>
              </w:rPr>
              <w:t>%</w:t>
            </w:r>
          </w:p>
        </w:tc>
        <w:tc>
          <w:tcPr>
            <w:tcW w:w="977" w:type="dxa"/>
            <w:vAlign w:val="center"/>
          </w:tcPr>
          <w:p w14:paraId="21180263" w14:textId="2CD779D7" w:rsidR="00A3789A" w:rsidRPr="00091E61" w:rsidRDefault="00A3789A"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w:t>
            </w:r>
            <w:r w:rsidR="00D94AC7">
              <w:rPr>
                <w:rFonts w:ascii="Arial" w:hAnsi="Arial" w:cs="Arial"/>
                <w:b/>
                <w:bCs/>
                <w:color w:val="17365D" w:themeColor="text2" w:themeShade="BF"/>
                <w:sz w:val="18"/>
                <w:szCs w:val="18"/>
              </w:rPr>
              <w:t>4.5</w:t>
            </w:r>
            <w:r w:rsidRPr="00091E61">
              <w:rPr>
                <w:rFonts w:ascii="Arial" w:hAnsi="Arial" w:cs="Arial"/>
                <w:b/>
                <w:bCs/>
                <w:color w:val="17365D" w:themeColor="text2" w:themeShade="BF"/>
                <w:sz w:val="18"/>
                <w:szCs w:val="18"/>
              </w:rPr>
              <w:t>%</w:t>
            </w:r>
          </w:p>
        </w:tc>
        <w:tc>
          <w:tcPr>
            <w:tcW w:w="977" w:type="dxa"/>
            <w:vAlign w:val="center"/>
          </w:tcPr>
          <w:p w14:paraId="31205487" w14:textId="3715B793" w:rsidR="00A3789A" w:rsidRPr="00091E61" w:rsidRDefault="00A3789A"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w:t>
            </w:r>
            <w:r w:rsidRPr="00091E61">
              <w:rPr>
                <w:rFonts w:ascii="Arial" w:hAnsi="Arial" w:cs="Arial"/>
                <w:b/>
                <w:bCs/>
                <w:color w:val="17365D" w:themeColor="text2" w:themeShade="BF"/>
                <w:sz w:val="18"/>
                <w:szCs w:val="18"/>
              </w:rPr>
              <w:t>6</w:t>
            </w:r>
            <w:r w:rsidR="00D94AC7">
              <w:rPr>
                <w:rFonts w:ascii="Arial" w:hAnsi="Arial" w:cs="Arial"/>
                <w:b/>
                <w:bCs/>
                <w:color w:val="17365D" w:themeColor="text2" w:themeShade="BF"/>
                <w:sz w:val="18"/>
                <w:szCs w:val="18"/>
              </w:rPr>
              <w:t>.2</w:t>
            </w:r>
            <w:r w:rsidRPr="00091E61">
              <w:rPr>
                <w:rFonts w:ascii="Arial" w:hAnsi="Arial" w:cs="Arial"/>
                <w:b/>
                <w:bCs/>
                <w:color w:val="17365D" w:themeColor="text2" w:themeShade="BF"/>
                <w:sz w:val="18"/>
                <w:szCs w:val="18"/>
              </w:rPr>
              <w:t>%</w:t>
            </w:r>
          </w:p>
        </w:tc>
        <w:tc>
          <w:tcPr>
            <w:tcW w:w="977" w:type="dxa"/>
            <w:vAlign w:val="center"/>
          </w:tcPr>
          <w:p w14:paraId="40577A3D" w14:textId="764C7CD0" w:rsidR="00A3789A" w:rsidRPr="00091E61" w:rsidRDefault="00A3789A"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sidRPr="00091E61">
              <w:rPr>
                <w:rFonts w:ascii="Arial" w:hAnsi="Arial" w:cs="Arial"/>
                <w:b/>
                <w:bCs/>
                <w:color w:val="17365D" w:themeColor="text2" w:themeShade="BF"/>
                <w:sz w:val="18"/>
                <w:szCs w:val="18"/>
              </w:rPr>
              <w:t>+10.</w:t>
            </w:r>
            <w:r w:rsidR="00D94AC7">
              <w:rPr>
                <w:rFonts w:ascii="Arial" w:hAnsi="Arial" w:cs="Arial"/>
                <w:b/>
                <w:bCs/>
                <w:color w:val="17365D" w:themeColor="text2" w:themeShade="BF"/>
                <w:sz w:val="18"/>
                <w:szCs w:val="18"/>
              </w:rPr>
              <w:t>9</w:t>
            </w:r>
            <w:r w:rsidRPr="00091E61">
              <w:rPr>
                <w:rFonts w:ascii="Arial" w:hAnsi="Arial" w:cs="Arial"/>
                <w:b/>
                <w:bCs/>
                <w:color w:val="17365D" w:themeColor="text2" w:themeShade="BF"/>
                <w:sz w:val="18"/>
                <w:szCs w:val="18"/>
              </w:rPr>
              <w:t>%</w:t>
            </w:r>
          </w:p>
        </w:tc>
        <w:tc>
          <w:tcPr>
            <w:tcW w:w="977" w:type="dxa"/>
            <w:vAlign w:val="center"/>
          </w:tcPr>
          <w:p w14:paraId="76F93CAA" w14:textId="2F5E77E4" w:rsidR="00A3789A" w:rsidRPr="00091E61" w:rsidRDefault="00A3789A" w:rsidP="0003610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sidRPr="00091E61">
              <w:rPr>
                <w:rFonts w:ascii="Arial" w:hAnsi="Arial" w:cs="Arial"/>
                <w:b/>
                <w:bCs/>
                <w:color w:val="17365D" w:themeColor="text2" w:themeShade="BF"/>
                <w:sz w:val="18"/>
                <w:szCs w:val="18"/>
              </w:rPr>
              <w:t>$</w:t>
            </w:r>
            <w:r w:rsidR="006C11E5">
              <w:rPr>
                <w:rFonts w:ascii="Arial" w:hAnsi="Arial" w:cs="Arial"/>
                <w:b/>
                <w:bCs/>
                <w:color w:val="17365D" w:themeColor="text2" w:themeShade="BF"/>
                <w:sz w:val="18"/>
                <w:szCs w:val="18"/>
              </w:rPr>
              <w:t>3.3</w:t>
            </w:r>
            <w:r w:rsidRPr="00091E61">
              <w:rPr>
                <w:rFonts w:ascii="Arial" w:hAnsi="Arial" w:cs="Arial"/>
                <w:b/>
                <w:bCs/>
                <w:color w:val="17365D" w:themeColor="text2" w:themeShade="BF"/>
                <w:sz w:val="18"/>
                <w:szCs w:val="18"/>
              </w:rPr>
              <w:t>B</w:t>
            </w:r>
          </w:p>
        </w:tc>
        <w:tc>
          <w:tcPr>
            <w:tcW w:w="977" w:type="dxa"/>
            <w:vAlign w:val="center"/>
          </w:tcPr>
          <w:p w14:paraId="52994309" w14:textId="2A622CA7" w:rsidR="00A3789A" w:rsidRPr="00091E61" w:rsidRDefault="00A3789A" w:rsidP="0003610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sidRPr="00091E61">
              <w:rPr>
                <w:rFonts w:ascii="Arial" w:hAnsi="Arial" w:cs="Arial"/>
                <w:b/>
                <w:bCs/>
                <w:color w:val="17365D" w:themeColor="text2" w:themeShade="BF"/>
                <w:sz w:val="18"/>
                <w:szCs w:val="18"/>
              </w:rPr>
              <w:t>+</w:t>
            </w:r>
            <w:r w:rsidR="006C11E5">
              <w:rPr>
                <w:rFonts w:ascii="Arial" w:hAnsi="Arial" w:cs="Arial"/>
                <w:b/>
                <w:bCs/>
                <w:color w:val="17365D" w:themeColor="text2" w:themeShade="BF"/>
                <w:sz w:val="18"/>
                <w:szCs w:val="18"/>
              </w:rPr>
              <w:t>10.1</w:t>
            </w:r>
            <w:r w:rsidRPr="00091E61">
              <w:rPr>
                <w:rFonts w:ascii="Arial" w:hAnsi="Arial" w:cs="Arial"/>
                <w:b/>
                <w:bCs/>
                <w:color w:val="17365D" w:themeColor="text2" w:themeShade="BF"/>
                <w:sz w:val="18"/>
                <w:szCs w:val="18"/>
              </w:rPr>
              <w:t>%</w:t>
            </w:r>
          </w:p>
        </w:tc>
        <w:tc>
          <w:tcPr>
            <w:tcW w:w="977" w:type="dxa"/>
            <w:vAlign w:val="center"/>
          </w:tcPr>
          <w:p w14:paraId="5CADA515" w14:textId="0F6931FE" w:rsidR="00A3789A" w:rsidRPr="00091E61" w:rsidRDefault="00D94AC7" w:rsidP="0003610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8"/>
                <w:szCs w:val="18"/>
              </w:rPr>
            </w:pPr>
            <w:r>
              <w:rPr>
                <w:rFonts w:ascii="Arial" w:hAnsi="Arial" w:cs="Arial"/>
                <w:b/>
                <w:bCs/>
                <w:color w:val="17365D" w:themeColor="text2" w:themeShade="BF"/>
                <w:sz w:val="18"/>
                <w:szCs w:val="18"/>
              </w:rPr>
              <w:t>-3.3</w:t>
            </w:r>
            <w:r w:rsidR="00A3789A" w:rsidRPr="00091E61">
              <w:rPr>
                <w:rFonts w:ascii="Arial" w:hAnsi="Arial" w:cs="Arial"/>
                <w:b/>
                <w:bCs/>
                <w:color w:val="17365D" w:themeColor="text2" w:themeShade="BF"/>
                <w:sz w:val="18"/>
                <w:szCs w:val="18"/>
              </w:rPr>
              <w:t>%</w:t>
            </w:r>
          </w:p>
        </w:tc>
      </w:tr>
      <w:tr w:rsidR="00D94AC7" w:rsidRPr="00E407FC" w14:paraId="5BEE13FC" w14:textId="77777777" w:rsidTr="002B673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62F5917F" w14:textId="77777777" w:rsidR="00D94AC7" w:rsidRPr="00E407FC" w:rsidRDefault="00D94AC7" w:rsidP="00D94AC7">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Berries</w:t>
            </w:r>
          </w:p>
        </w:tc>
        <w:tc>
          <w:tcPr>
            <w:tcW w:w="977" w:type="dxa"/>
            <w:gridSpan w:val="2"/>
            <w:vAlign w:val="center"/>
          </w:tcPr>
          <w:p w14:paraId="01DB9726" w14:textId="56BD2298" w:rsidR="00D94AC7" w:rsidRPr="00091E61"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+4.4</w:t>
            </w:r>
            <w:r w:rsidRPr="00091E61">
              <w:rPr>
                <w:rFonts w:ascii="Arial" w:hAnsi="Arial" w:cs="Arial"/>
                <w:color w:val="17365D" w:themeColor="text2" w:themeShade="BF"/>
                <w:sz w:val="18"/>
                <w:szCs w:val="18"/>
              </w:rPr>
              <w:t>%</w:t>
            </w:r>
          </w:p>
        </w:tc>
        <w:tc>
          <w:tcPr>
            <w:tcW w:w="977" w:type="dxa"/>
            <w:vAlign w:val="center"/>
          </w:tcPr>
          <w:p w14:paraId="60423065" w14:textId="60466D34"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+14.2</w:t>
            </w:r>
            <w:r w:rsidRPr="00E407FC">
              <w:rPr>
                <w:rFonts w:ascii="Arial" w:hAnsi="Arial" w:cs="Arial"/>
                <w:color w:val="17365D" w:themeColor="text2" w:themeShade="BF"/>
                <w:sz w:val="18"/>
                <w:szCs w:val="18"/>
              </w:rPr>
              <w:t>%</w:t>
            </w:r>
          </w:p>
        </w:tc>
        <w:tc>
          <w:tcPr>
            <w:tcW w:w="977" w:type="dxa"/>
            <w:vAlign w:val="center"/>
          </w:tcPr>
          <w:p w14:paraId="6647773F" w14:textId="5F9ECFE7"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+10.9</w:t>
            </w:r>
            <w:r w:rsidRPr="00E407FC">
              <w:rPr>
                <w:rFonts w:ascii="Arial" w:hAnsi="Arial" w:cs="Arial"/>
                <w:color w:val="17365D" w:themeColor="text2" w:themeShade="BF"/>
                <w:sz w:val="18"/>
                <w:szCs w:val="18"/>
              </w:rPr>
              <w:t>%</w:t>
            </w:r>
          </w:p>
        </w:tc>
        <w:tc>
          <w:tcPr>
            <w:tcW w:w="977" w:type="dxa"/>
            <w:vAlign w:val="center"/>
          </w:tcPr>
          <w:p w14:paraId="5EB69396" w14:textId="308C31B0"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+9.2</w:t>
            </w:r>
            <w:r w:rsidRPr="00E407FC">
              <w:rPr>
                <w:rFonts w:ascii="Arial" w:hAnsi="Arial" w:cs="Arial"/>
                <w:color w:val="17365D" w:themeColor="text2" w:themeShade="BF"/>
                <w:sz w:val="18"/>
                <w:szCs w:val="18"/>
              </w:rPr>
              <w:t>%</w:t>
            </w:r>
          </w:p>
        </w:tc>
        <w:tc>
          <w:tcPr>
            <w:tcW w:w="977" w:type="dxa"/>
            <w:vAlign w:val="center"/>
          </w:tcPr>
          <w:p w14:paraId="1D48CA52" w14:textId="11267B6E"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+11.2</w:t>
            </w:r>
            <w:r w:rsidRPr="00E407FC">
              <w:rPr>
                <w:rFonts w:ascii="Arial" w:hAnsi="Arial" w:cs="Arial"/>
                <w:color w:val="17365D" w:themeColor="text2" w:themeShade="BF"/>
                <w:sz w:val="18"/>
                <w:szCs w:val="18"/>
              </w:rPr>
              <w:t>%</w:t>
            </w:r>
          </w:p>
        </w:tc>
        <w:tc>
          <w:tcPr>
            <w:tcW w:w="977" w:type="dxa"/>
            <w:vAlign w:val="center"/>
          </w:tcPr>
          <w:p w14:paraId="0C8663B0" w14:textId="6F63B899"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+16.</w:t>
            </w:r>
            <w:r>
              <w:rPr>
                <w:rFonts w:ascii="Arial" w:hAnsi="Arial" w:cs="Arial"/>
                <w:bCs/>
                <w:color w:val="17365D" w:themeColor="text2" w:themeShade="BF"/>
                <w:sz w:val="18"/>
                <w:szCs w:val="18"/>
              </w:rPr>
              <w:t>5</w:t>
            </w:r>
            <w:r w:rsidRPr="00E407FC">
              <w:rPr>
                <w:rFonts w:ascii="Arial" w:hAnsi="Arial" w:cs="Arial"/>
                <w:bCs/>
                <w:color w:val="17365D" w:themeColor="text2" w:themeShade="BF"/>
                <w:sz w:val="18"/>
                <w:szCs w:val="18"/>
              </w:rPr>
              <w:t>%</w:t>
            </w:r>
          </w:p>
        </w:tc>
        <w:tc>
          <w:tcPr>
            <w:tcW w:w="977" w:type="dxa"/>
            <w:vAlign w:val="center"/>
          </w:tcPr>
          <w:p w14:paraId="1AAB1DBF" w14:textId="2E5AC3BB"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809</w:t>
            </w:r>
            <w:r w:rsidRPr="00E407FC">
              <w:rPr>
                <w:rFonts w:ascii="Arial" w:hAnsi="Arial" w:cs="Arial"/>
                <w:bCs/>
                <w:color w:val="17365D" w:themeColor="text2" w:themeShade="BF"/>
                <w:sz w:val="18"/>
                <w:szCs w:val="18"/>
              </w:rPr>
              <w:t>M</w:t>
            </w:r>
          </w:p>
        </w:tc>
        <w:tc>
          <w:tcPr>
            <w:tcW w:w="977" w:type="dxa"/>
            <w:vAlign w:val="center"/>
          </w:tcPr>
          <w:p w14:paraId="31A0F4D1" w14:textId="410138FD"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14.8</w:t>
            </w:r>
            <w:r w:rsidRPr="00E407FC">
              <w:rPr>
                <w:rFonts w:ascii="Arial" w:hAnsi="Arial" w:cs="Arial"/>
                <w:bCs/>
                <w:color w:val="17365D" w:themeColor="text2" w:themeShade="BF"/>
                <w:sz w:val="18"/>
                <w:szCs w:val="18"/>
              </w:rPr>
              <w:t>%</w:t>
            </w:r>
          </w:p>
        </w:tc>
        <w:tc>
          <w:tcPr>
            <w:tcW w:w="977" w:type="dxa"/>
          </w:tcPr>
          <w:p w14:paraId="06DCB3E5" w14:textId="0B2DB3F2" w:rsidR="00D94AC7" w:rsidRDefault="00D94AC7" w:rsidP="00D94AC7">
            <w:pPr>
              <w:jc w:val="right"/>
              <w:cnfStyle w:val="000000100000" w:firstRow="0" w:lastRow="0" w:firstColumn="0" w:lastColumn="0" w:oddVBand="0" w:evenVBand="0" w:oddHBand="1" w:evenHBand="0" w:firstRowFirstColumn="0" w:firstRowLastColumn="0" w:lastRowFirstColumn="0" w:lastRowLastColumn="0"/>
            </w:pPr>
            <w:r w:rsidRPr="003708BA">
              <w:rPr>
                <w:rFonts w:ascii="Arial" w:hAnsi="Arial" w:cs="Arial"/>
                <w:bCs/>
                <w:color w:val="17365D" w:themeColor="text2" w:themeShade="BF"/>
                <w:sz w:val="18"/>
                <w:szCs w:val="18"/>
              </w:rPr>
              <w:t>+</w:t>
            </w:r>
            <w:r>
              <w:rPr>
                <w:rFonts w:ascii="Arial" w:hAnsi="Arial" w:cs="Arial"/>
                <w:bCs/>
                <w:color w:val="17365D" w:themeColor="text2" w:themeShade="BF"/>
                <w:sz w:val="18"/>
                <w:szCs w:val="18"/>
              </w:rPr>
              <w:t>9.0</w:t>
            </w:r>
            <w:r w:rsidRPr="003708BA">
              <w:rPr>
                <w:rFonts w:ascii="Arial" w:hAnsi="Arial" w:cs="Arial"/>
                <w:bCs/>
                <w:color w:val="17365D" w:themeColor="text2" w:themeShade="BF"/>
                <w:sz w:val="18"/>
                <w:szCs w:val="18"/>
              </w:rPr>
              <w:t>%</w:t>
            </w:r>
          </w:p>
        </w:tc>
      </w:tr>
      <w:tr w:rsidR="00D94AC7" w:rsidRPr="00E407FC" w14:paraId="16006628" w14:textId="77777777" w:rsidTr="002B6736">
        <w:trPr>
          <w:trHeight w:val="253"/>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57818270" w14:textId="77777777" w:rsidR="00D94AC7" w:rsidRPr="00E407FC" w:rsidRDefault="00D94AC7" w:rsidP="00D94AC7">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Apples</w:t>
            </w:r>
          </w:p>
        </w:tc>
        <w:tc>
          <w:tcPr>
            <w:tcW w:w="977" w:type="dxa"/>
            <w:gridSpan w:val="2"/>
            <w:vAlign w:val="center"/>
          </w:tcPr>
          <w:p w14:paraId="1E75DF00" w14:textId="5FDD376F" w:rsidR="00D94AC7" w:rsidRPr="00091E61"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+0.0</w:t>
            </w:r>
            <w:r w:rsidRPr="00091E61">
              <w:rPr>
                <w:rFonts w:ascii="Arial" w:hAnsi="Arial" w:cs="Arial"/>
                <w:color w:val="17365D" w:themeColor="text2" w:themeShade="BF"/>
                <w:sz w:val="18"/>
                <w:szCs w:val="18"/>
              </w:rPr>
              <w:t>%</w:t>
            </w:r>
          </w:p>
        </w:tc>
        <w:tc>
          <w:tcPr>
            <w:tcW w:w="977" w:type="dxa"/>
            <w:vAlign w:val="center"/>
          </w:tcPr>
          <w:p w14:paraId="2AF8D473" w14:textId="0867F618"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+1.8</w:t>
            </w:r>
            <w:r w:rsidRPr="00E407FC">
              <w:rPr>
                <w:rFonts w:ascii="Arial" w:hAnsi="Arial" w:cs="Arial"/>
                <w:color w:val="17365D" w:themeColor="text2" w:themeShade="BF"/>
                <w:sz w:val="18"/>
                <w:szCs w:val="18"/>
              </w:rPr>
              <w:t>%</w:t>
            </w:r>
          </w:p>
        </w:tc>
        <w:tc>
          <w:tcPr>
            <w:tcW w:w="977" w:type="dxa"/>
            <w:vAlign w:val="center"/>
          </w:tcPr>
          <w:p w14:paraId="26FB0443" w14:textId="49782033"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0.7</w:t>
            </w:r>
            <w:r w:rsidRPr="00E407FC">
              <w:rPr>
                <w:rFonts w:ascii="Arial" w:hAnsi="Arial" w:cs="Arial"/>
                <w:color w:val="17365D" w:themeColor="text2" w:themeShade="BF"/>
                <w:sz w:val="18"/>
                <w:szCs w:val="18"/>
              </w:rPr>
              <w:t>%</w:t>
            </w:r>
          </w:p>
        </w:tc>
        <w:tc>
          <w:tcPr>
            <w:tcW w:w="977" w:type="dxa"/>
            <w:vAlign w:val="center"/>
          </w:tcPr>
          <w:p w14:paraId="06DF58EF" w14:textId="1438F8E5"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+3.4</w:t>
            </w:r>
            <w:r w:rsidRPr="00E407FC">
              <w:rPr>
                <w:rFonts w:ascii="Arial" w:hAnsi="Arial" w:cs="Arial"/>
                <w:color w:val="17365D" w:themeColor="text2" w:themeShade="BF"/>
                <w:sz w:val="18"/>
                <w:szCs w:val="18"/>
              </w:rPr>
              <w:t>%</w:t>
            </w:r>
          </w:p>
        </w:tc>
        <w:tc>
          <w:tcPr>
            <w:tcW w:w="977" w:type="dxa"/>
            <w:vAlign w:val="center"/>
          </w:tcPr>
          <w:p w14:paraId="41636D17" w14:textId="12FA8D32"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+8.9</w:t>
            </w:r>
            <w:r w:rsidRPr="00E407FC">
              <w:rPr>
                <w:rFonts w:ascii="Arial" w:hAnsi="Arial" w:cs="Arial"/>
                <w:color w:val="17365D" w:themeColor="text2" w:themeShade="BF"/>
                <w:sz w:val="18"/>
                <w:szCs w:val="18"/>
              </w:rPr>
              <w:t>%</w:t>
            </w:r>
          </w:p>
        </w:tc>
        <w:tc>
          <w:tcPr>
            <w:tcW w:w="977" w:type="dxa"/>
            <w:vAlign w:val="center"/>
          </w:tcPr>
          <w:p w14:paraId="1E5CE1E6" w14:textId="02F7D9BF"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+7.</w:t>
            </w:r>
            <w:r>
              <w:rPr>
                <w:rFonts w:ascii="Arial" w:hAnsi="Arial" w:cs="Arial"/>
                <w:bCs/>
                <w:color w:val="17365D" w:themeColor="text2" w:themeShade="BF"/>
                <w:sz w:val="18"/>
                <w:szCs w:val="18"/>
              </w:rPr>
              <w:t>5</w:t>
            </w:r>
            <w:r w:rsidRPr="00E407FC">
              <w:rPr>
                <w:rFonts w:ascii="Arial" w:hAnsi="Arial" w:cs="Arial"/>
                <w:bCs/>
                <w:color w:val="17365D" w:themeColor="text2" w:themeShade="BF"/>
                <w:sz w:val="18"/>
                <w:szCs w:val="18"/>
              </w:rPr>
              <w:t>%</w:t>
            </w:r>
          </w:p>
        </w:tc>
        <w:tc>
          <w:tcPr>
            <w:tcW w:w="977" w:type="dxa"/>
            <w:vAlign w:val="center"/>
          </w:tcPr>
          <w:p w14:paraId="6C530686" w14:textId="6143AAAB"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451</w:t>
            </w:r>
            <w:r w:rsidRPr="00E407FC">
              <w:rPr>
                <w:rFonts w:ascii="Arial" w:hAnsi="Arial" w:cs="Arial"/>
                <w:bCs/>
                <w:color w:val="17365D" w:themeColor="text2" w:themeShade="BF"/>
                <w:sz w:val="18"/>
                <w:szCs w:val="18"/>
              </w:rPr>
              <w:t>M</w:t>
            </w:r>
          </w:p>
        </w:tc>
        <w:tc>
          <w:tcPr>
            <w:tcW w:w="977" w:type="dxa"/>
          </w:tcPr>
          <w:p w14:paraId="482E37F1" w14:textId="1B53A6F0" w:rsidR="00D94AC7" w:rsidRDefault="00D94AC7" w:rsidP="00D94AC7">
            <w:pPr>
              <w:jc w:val="right"/>
              <w:cnfStyle w:val="000000000000" w:firstRow="0" w:lastRow="0" w:firstColumn="0" w:lastColumn="0" w:oddVBand="0" w:evenVBand="0" w:oddHBand="0" w:evenHBand="0" w:firstRowFirstColumn="0" w:firstRowLastColumn="0" w:lastRowFirstColumn="0" w:lastRowLastColumn="0"/>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7.5</w:t>
            </w:r>
            <w:r w:rsidRPr="006C65D2">
              <w:rPr>
                <w:rFonts w:ascii="Arial" w:hAnsi="Arial" w:cs="Arial"/>
                <w:bCs/>
                <w:color w:val="17365D" w:themeColor="text2" w:themeShade="BF"/>
                <w:sz w:val="18"/>
                <w:szCs w:val="18"/>
              </w:rPr>
              <w:t>%</w:t>
            </w:r>
          </w:p>
        </w:tc>
        <w:tc>
          <w:tcPr>
            <w:tcW w:w="977" w:type="dxa"/>
          </w:tcPr>
          <w:p w14:paraId="3024FCBB" w14:textId="145FF4C1" w:rsidR="00D94AC7" w:rsidRDefault="00D94AC7" w:rsidP="00D94AC7">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-4.4</w:t>
            </w:r>
            <w:r w:rsidRPr="003708BA">
              <w:rPr>
                <w:rFonts w:ascii="Arial" w:hAnsi="Arial" w:cs="Arial"/>
                <w:bCs/>
                <w:color w:val="17365D" w:themeColor="text2" w:themeShade="BF"/>
                <w:sz w:val="18"/>
                <w:szCs w:val="18"/>
              </w:rPr>
              <w:t>%</w:t>
            </w:r>
          </w:p>
        </w:tc>
      </w:tr>
      <w:tr w:rsidR="00D94AC7" w:rsidRPr="00E407FC" w14:paraId="4EFFBEEF" w14:textId="77777777" w:rsidTr="006E628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22A79EC8" w14:textId="77777777" w:rsidR="00D94AC7" w:rsidRPr="00E407FC" w:rsidRDefault="00D94AC7" w:rsidP="00D94AC7">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Bananas</w:t>
            </w:r>
          </w:p>
        </w:tc>
        <w:tc>
          <w:tcPr>
            <w:tcW w:w="977" w:type="dxa"/>
            <w:gridSpan w:val="2"/>
            <w:vAlign w:val="center"/>
          </w:tcPr>
          <w:p w14:paraId="13832FBB" w14:textId="113F58C3" w:rsidR="00D94AC7" w:rsidRPr="00091E61"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-0.9</w:t>
            </w:r>
            <w:r w:rsidRPr="00091E61">
              <w:rPr>
                <w:rFonts w:ascii="Arial" w:hAnsi="Arial" w:cs="Arial"/>
                <w:color w:val="17365D" w:themeColor="text2" w:themeShade="BF"/>
                <w:sz w:val="18"/>
                <w:szCs w:val="18"/>
              </w:rPr>
              <w:t>%</w:t>
            </w:r>
          </w:p>
        </w:tc>
        <w:tc>
          <w:tcPr>
            <w:tcW w:w="977" w:type="dxa"/>
            <w:vAlign w:val="center"/>
          </w:tcPr>
          <w:p w14:paraId="2ACAE0F1" w14:textId="6B8E6B73"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+3.6</w:t>
            </w:r>
            <w:r w:rsidRPr="00E407FC">
              <w:rPr>
                <w:rFonts w:ascii="Arial" w:hAnsi="Arial" w:cs="Arial"/>
                <w:color w:val="17365D" w:themeColor="text2" w:themeShade="BF"/>
                <w:sz w:val="18"/>
                <w:szCs w:val="18"/>
              </w:rPr>
              <w:t>%</w:t>
            </w:r>
          </w:p>
        </w:tc>
        <w:tc>
          <w:tcPr>
            <w:tcW w:w="977" w:type="dxa"/>
            <w:vAlign w:val="center"/>
          </w:tcPr>
          <w:p w14:paraId="44244662" w14:textId="00B7C2C6"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0.6</w:t>
            </w:r>
            <w:r w:rsidRPr="00E407FC">
              <w:rPr>
                <w:rFonts w:ascii="Arial" w:hAnsi="Arial" w:cs="Arial"/>
                <w:color w:val="17365D" w:themeColor="text2" w:themeShade="BF"/>
                <w:sz w:val="18"/>
                <w:szCs w:val="18"/>
              </w:rPr>
              <w:t>%</w:t>
            </w:r>
          </w:p>
        </w:tc>
        <w:tc>
          <w:tcPr>
            <w:tcW w:w="977" w:type="dxa"/>
            <w:vAlign w:val="center"/>
          </w:tcPr>
          <w:p w14:paraId="3EACE65B" w14:textId="3E976DE0"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1.8</w:t>
            </w:r>
            <w:r w:rsidRPr="00E407FC">
              <w:rPr>
                <w:rFonts w:ascii="Arial" w:hAnsi="Arial" w:cs="Arial"/>
                <w:color w:val="17365D" w:themeColor="text2" w:themeShade="BF"/>
                <w:sz w:val="18"/>
                <w:szCs w:val="18"/>
              </w:rPr>
              <w:t>%</w:t>
            </w:r>
          </w:p>
        </w:tc>
        <w:tc>
          <w:tcPr>
            <w:tcW w:w="977" w:type="dxa"/>
            <w:vAlign w:val="center"/>
          </w:tcPr>
          <w:p w14:paraId="0A0E1936" w14:textId="241FED69"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r w:rsidRPr="00E407FC">
              <w:rPr>
                <w:rFonts w:ascii="Arial" w:hAnsi="Arial" w:cs="Arial"/>
                <w:color w:val="17365D" w:themeColor="text2" w:themeShade="BF"/>
                <w:sz w:val="18"/>
                <w:szCs w:val="18"/>
              </w:rPr>
              <w:t>4</w:t>
            </w:r>
            <w:r>
              <w:rPr>
                <w:rFonts w:ascii="Arial" w:hAnsi="Arial" w:cs="Arial"/>
                <w:color w:val="17365D" w:themeColor="text2" w:themeShade="BF"/>
                <w:sz w:val="18"/>
                <w:szCs w:val="18"/>
              </w:rPr>
              <w:t>.2</w:t>
            </w:r>
            <w:r w:rsidRPr="00E407FC">
              <w:rPr>
                <w:rFonts w:ascii="Arial" w:hAnsi="Arial" w:cs="Arial"/>
                <w:color w:val="17365D" w:themeColor="text2" w:themeShade="BF"/>
                <w:sz w:val="18"/>
                <w:szCs w:val="18"/>
              </w:rPr>
              <w:t>%</w:t>
            </w:r>
          </w:p>
        </w:tc>
        <w:tc>
          <w:tcPr>
            <w:tcW w:w="977" w:type="dxa"/>
            <w:vAlign w:val="center"/>
          </w:tcPr>
          <w:p w14:paraId="59E9F286" w14:textId="77777777"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+3.0%</w:t>
            </w:r>
          </w:p>
        </w:tc>
        <w:tc>
          <w:tcPr>
            <w:tcW w:w="977" w:type="dxa"/>
            <w:vAlign w:val="center"/>
          </w:tcPr>
          <w:p w14:paraId="7F09EA93" w14:textId="135B2C8D"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315</w:t>
            </w:r>
            <w:r w:rsidRPr="00E407FC">
              <w:rPr>
                <w:rFonts w:ascii="Arial" w:hAnsi="Arial" w:cs="Arial"/>
                <w:bCs/>
                <w:color w:val="17365D" w:themeColor="text2" w:themeShade="BF"/>
                <w:sz w:val="18"/>
                <w:szCs w:val="18"/>
              </w:rPr>
              <w:t>M</w:t>
            </w:r>
          </w:p>
        </w:tc>
        <w:tc>
          <w:tcPr>
            <w:tcW w:w="977" w:type="dxa"/>
          </w:tcPr>
          <w:p w14:paraId="3A78F8D2" w14:textId="6625C7E3" w:rsidR="00D94AC7" w:rsidRDefault="00D94AC7" w:rsidP="00D94AC7">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bCs/>
                <w:color w:val="17365D" w:themeColor="text2" w:themeShade="BF"/>
                <w:sz w:val="18"/>
                <w:szCs w:val="18"/>
              </w:rPr>
              <w:t>-1.0</w:t>
            </w:r>
            <w:r w:rsidRPr="006C65D2">
              <w:rPr>
                <w:rFonts w:ascii="Arial" w:hAnsi="Arial" w:cs="Arial"/>
                <w:bCs/>
                <w:color w:val="17365D" w:themeColor="text2" w:themeShade="BF"/>
                <w:sz w:val="18"/>
                <w:szCs w:val="18"/>
              </w:rPr>
              <w:t>%</w:t>
            </w:r>
          </w:p>
        </w:tc>
        <w:tc>
          <w:tcPr>
            <w:tcW w:w="977" w:type="dxa"/>
          </w:tcPr>
          <w:p w14:paraId="4DEE6E06" w14:textId="40F009A0" w:rsidR="00D94AC7" w:rsidRDefault="00D94AC7" w:rsidP="00D94AC7">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bCs/>
                <w:color w:val="17365D" w:themeColor="text2" w:themeShade="BF"/>
                <w:sz w:val="18"/>
                <w:szCs w:val="18"/>
              </w:rPr>
              <w:t>-4.5</w:t>
            </w:r>
            <w:r w:rsidRPr="003708BA">
              <w:rPr>
                <w:rFonts w:ascii="Arial" w:hAnsi="Arial" w:cs="Arial"/>
                <w:bCs/>
                <w:color w:val="17365D" w:themeColor="text2" w:themeShade="BF"/>
                <w:sz w:val="18"/>
                <w:szCs w:val="18"/>
              </w:rPr>
              <w:t>%</w:t>
            </w:r>
          </w:p>
        </w:tc>
      </w:tr>
      <w:tr w:rsidR="00D94AC7" w:rsidRPr="00E407FC" w14:paraId="4D93060B" w14:textId="77777777" w:rsidTr="002B6736">
        <w:trPr>
          <w:trHeight w:val="253"/>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285BC64E" w14:textId="77777777" w:rsidR="00D94AC7" w:rsidRPr="00E407FC" w:rsidRDefault="00D94AC7" w:rsidP="00D94AC7">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Grapes</w:t>
            </w:r>
          </w:p>
        </w:tc>
        <w:tc>
          <w:tcPr>
            <w:tcW w:w="977" w:type="dxa"/>
            <w:gridSpan w:val="2"/>
            <w:vAlign w:val="center"/>
          </w:tcPr>
          <w:p w14:paraId="63D35388" w14:textId="210E1C0E" w:rsidR="00D94AC7" w:rsidRPr="00091E61"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-3.1</w:t>
            </w:r>
            <w:r w:rsidRPr="00091E61">
              <w:rPr>
                <w:rFonts w:ascii="Arial" w:hAnsi="Arial" w:cs="Arial"/>
                <w:color w:val="17365D" w:themeColor="text2" w:themeShade="BF"/>
                <w:sz w:val="18"/>
                <w:szCs w:val="18"/>
              </w:rPr>
              <w:t>%</w:t>
            </w:r>
          </w:p>
        </w:tc>
        <w:tc>
          <w:tcPr>
            <w:tcW w:w="977" w:type="dxa"/>
            <w:vAlign w:val="center"/>
          </w:tcPr>
          <w:p w14:paraId="3D388743" w14:textId="3C737706"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+0.1</w:t>
            </w:r>
            <w:r w:rsidRPr="00E407FC">
              <w:rPr>
                <w:rFonts w:ascii="Arial" w:hAnsi="Arial" w:cs="Arial"/>
                <w:color w:val="17365D" w:themeColor="text2" w:themeShade="BF"/>
                <w:sz w:val="18"/>
                <w:szCs w:val="18"/>
              </w:rPr>
              <w:t>%</w:t>
            </w:r>
          </w:p>
        </w:tc>
        <w:tc>
          <w:tcPr>
            <w:tcW w:w="977" w:type="dxa"/>
            <w:vAlign w:val="center"/>
          </w:tcPr>
          <w:p w14:paraId="3CA9DCAC" w14:textId="6407FADE"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+2.9</w:t>
            </w:r>
            <w:r w:rsidRPr="00E407FC">
              <w:rPr>
                <w:rFonts w:ascii="Arial" w:hAnsi="Arial" w:cs="Arial"/>
                <w:color w:val="17365D" w:themeColor="text2" w:themeShade="BF"/>
                <w:sz w:val="18"/>
                <w:szCs w:val="18"/>
              </w:rPr>
              <w:t>%</w:t>
            </w:r>
          </w:p>
        </w:tc>
        <w:tc>
          <w:tcPr>
            <w:tcW w:w="977" w:type="dxa"/>
            <w:vAlign w:val="center"/>
          </w:tcPr>
          <w:p w14:paraId="5B838953" w14:textId="2CFC5436"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+3.5</w:t>
            </w:r>
            <w:r w:rsidRPr="00E407FC">
              <w:rPr>
                <w:rFonts w:ascii="Arial" w:hAnsi="Arial" w:cs="Arial"/>
                <w:color w:val="17365D" w:themeColor="text2" w:themeShade="BF"/>
                <w:sz w:val="18"/>
                <w:szCs w:val="18"/>
              </w:rPr>
              <w:t>%</w:t>
            </w:r>
          </w:p>
        </w:tc>
        <w:tc>
          <w:tcPr>
            <w:tcW w:w="977" w:type="dxa"/>
            <w:vAlign w:val="center"/>
          </w:tcPr>
          <w:p w14:paraId="603822FF" w14:textId="56992522"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+6.9</w:t>
            </w:r>
            <w:r w:rsidRPr="00E407FC">
              <w:rPr>
                <w:rFonts w:ascii="Arial" w:hAnsi="Arial" w:cs="Arial"/>
                <w:color w:val="17365D" w:themeColor="text2" w:themeShade="BF"/>
                <w:sz w:val="18"/>
                <w:szCs w:val="18"/>
              </w:rPr>
              <w:t>%</w:t>
            </w:r>
          </w:p>
        </w:tc>
        <w:tc>
          <w:tcPr>
            <w:tcW w:w="977" w:type="dxa"/>
            <w:vAlign w:val="center"/>
          </w:tcPr>
          <w:p w14:paraId="64A3756A" w14:textId="45C06D34"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+11.</w:t>
            </w:r>
            <w:r>
              <w:rPr>
                <w:rFonts w:ascii="Arial" w:hAnsi="Arial" w:cs="Arial"/>
                <w:bCs/>
                <w:color w:val="17365D" w:themeColor="text2" w:themeShade="BF"/>
                <w:sz w:val="18"/>
                <w:szCs w:val="18"/>
              </w:rPr>
              <w:t>8</w:t>
            </w:r>
            <w:r w:rsidRPr="00E407FC">
              <w:rPr>
                <w:rFonts w:ascii="Arial" w:hAnsi="Arial" w:cs="Arial"/>
                <w:bCs/>
                <w:color w:val="17365D" w:themeColor="text2" w:themeShade="BF"/>
                <w:sz w:val="18"/>
                <w:szCs w:val="18"/>
              </w:rPr>
              <w:t>%</w:t>
            </w:r>
          </w:p>
        </w:tc>
        <w:tc>
          <w:tcPr>
            <w:tcW w:w="977" w:type="dxa"/>
            <w:vAlign w:val="center"/>
          </w:tcPr>
          <w:p w14:paraId="6DDC491C" w14:textId="38AA05E8"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311</w:t>
            </w:r>
            <w:r w:rsidRPr="00E407FC">
              <w:rPr>
                <w:rFonts w:ascii="Arial" w:hAnsi="Arial" w:cs="Arial"/>
                <w:bCs/>
                <w:color w:val="17365D" w:themeColor="text2" w:themeShade="BF"/>
                <w:sz w:val="18"/>
                <w:szCs w:val="18"/>
              </w:rPr>
              <w:t>M</w:t>
            </w:r>
          </w:p>
        </w:tc>
        <w:tc>
          <w:tcPr>
            <w:tcW w:w="977" w:type="dxa"/>
          </w:tcPr>
          <w:p w14:paraId="36ED9CB3" w14:textId="1A882CEB" w:rsidR="00D94AC7" w:rsidRDefault="00D94AC7" w:rsidP="00D94AC7">
            <w:pPr>
              <w:jc w:val="right"/>
              <w:cnfStyle w:val="000000000000" w:firstRow="0" w:lastRow="0" w:firstColumn="0" w:lastColumn="0" w:oddVBand="0" w:evenVBand="0" w:oddHBand="0" w:evenHBand="0" w:firstRowFirstColumn="0" w:firstRowLastColumn="0" w:lastRowFirstColumn="0" w:lastRowLastColumn="0"/>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0.1</w:t>
            </w:r>
            <w:r w:rsidRPr="006C65D2">
              <w:rPr>
                <w:rFonts w:ascii="Arial" w:hAnsi="Arial" w:cs="Arial"/>
                <w:bCs/>
                <w:color w:val="17365D" w:themeColor="text2" w:themeShade="BF"/>
                <w:sz w:val="18"/>
                <w:szCs w:val="18"/>
              </w:rPr>
              <w:t>%</w:t>
            </w:r>
          </w:p>
        </w:tc>
        <w:tc>
          <w:tcPr>
            <w:tcW w:w="977" w:type="dxa"/>
          </w:tcPr>
          <w:p w14:paraId="54A15DA9" w14:textId="3BF76733" w:rsidR="00D94AC7" w:rsidRDefault="00D94AC7" w:rsidP="00D94AC7">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-12.9</w:t>
            </w:r>
            <w:r w:rsidRPr="003708BA">
              <w:rPr>
                <w:rFonts w:ascii="Arial" w:hAnsi="Arial" w:cs="Arial"/>
                <w:bCs/>
                <w:color w:val="17365D" w:themeColor="text2" w:themeShade="BF"/>
                <w:sz w:val="18"/>
                <w:szCs w:val="18"/>
              </w:rPr>
              <w:t>%</w:t>
            </w:r>
          </w:p>
        </w:tc>
      </w:tr>
      <w:tr w:rsidR="00D94AC7" w:rsidRPr="00E407FC" w14:paraId="6E6D51B4" w14:textId="77777777" w:rsidTr="006E628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380D2903" w14:textId="77777777" w:rsidR="00D94AC7" w:rsidRPr="00E407FC" w:rsidRDefault="00D94AC7" w:rsidP="00D94AC7">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Avocados</w:t>
            </w:r>
          </w:p>
        </w:tc>
        <w:tc>
          <w:tcPr>
            <w:tcW w:w="977" w:type="dxa"/>
            <w:gridSpan w:val="2"/>
            <w:vAlign w:val="center"/>
          </w:tcPr>
          <w:p w14:paraId="6BEB378C" w14:textId="0D9D5AB0" w:rsidR="00D94AC7" w:rsidRPr="00091E61"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+6.8</w:t>
            </w:r>
            <w:r w:rsidRPr="00091E61">
              <w:rPr>
                <w:rFonts w:ascii="Arial" w:hAnsi="Arial" w:cs="Arial"/>
                <w:color w:val="17365D" w:themeColor="text2" w:themeShade="BF"/>
                <w:sz w:val="18"/>
                <w:szCs w:val="18"/>
              </w:rPr>
              <w:t>%</w:t>
            </w:r>
          </w:p>
        </w:tc>
        <w:tc>
          <w:tcPr>
            <w:tcW w:w="977" w:type="dxa"/>
            <w:vAlign w:val="center"/>
          </w:tcPr>
          <w:p w14:paraId="39BEDF6F" w14:textId="06BF1168"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+7.6</w:t>
            </w:r>
            <w:r w:rsidRPr="00E407FC">
              <w:rPr>
                <w:rFonts w:ascii="Arial" w:hAnsi="Arial" w:cs="Arial"/>
                <w:color w:val="17365D" w:themeColor="text2" w:themeShade="BF"/>
                <w:sz w:val="18"/>
                <w:szCs w:val="18"/>
              </w:rPr>
              <w:t>%</w:t>
            </w:r>
          </w:p>
        </w:tc>
        <w:tc>
          <w:tcPr>
            <w:tcW w:w="977" w:type="dxa"/>
            <w:vAlign w:val="center"/>
          </w:tcPr>
          <w:p w14:paraId="6A8E7C9D" w14:textId="3EDC7FDE"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0.7</w:t>
            </w:r>
            <w:r w:rsidRPr="00E407FC">
              <w:rPr>
                <w:rFonts w:ascii="Arial" w:hAnsi="Arial" w:cs="Arial"/>
                <w:color w:val="17365D" w:themeColor="text2" w:themeShade="BF"/>
                <w:sz w:val="18"/>
                <w:szCs w:val="18"/>
              </w:rPr>
              <w:t>%</w:t>
            </w:r>
          </w:p>
        </w:tc>
        <w:tc>
          <w:tcPr>
            <w:tcW w:w="977" w:type="dxa"/>
            <w:vAlign w:val="center"/>
          </w:tcPr>
          <w:p w14:paraId="774F8453" w14:textId="65D8C5F3"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9.4</w:t>
            </w:r>
            <w:r w:rsidRPr="00E407FC">
              <w:rPr>
                <w:rFonts w:ascii="Arial" w:hAnsi="Arial" w:cs="Arial"/>
                <w:color w:val="17365D" w:themeColor="text2" w:themeShade="BF"/>
                <w:sz w:val="18"/>
                <w:szCs w:val="18"/>
              </w:rPr>
              <w:t>%</w:t>
            </w:r>
          </w:p>
        </w:tc>
        <w:tc>
          <w:tcPr>
            <w:tcW w:w="977" w:type="dxa"/>
            <w:vAlign w:val="center"/>
          </w:tcPr>
          <w:p w14:paraId="40945691" w14:textId="344D2164"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2.8</w:t>
            </w:r>
            <w:r w:rsidRPr="00E407FC">
              <w:rPr>
                <w:rFonts w:ascii="Arial" w:hAnsi="Arial" w:cs="Arial"/>
                <w:color w:val="17365D" w:themeColor="text2" w:themeShade="BF"/>
                <w:sz w:val="18"/>
                <w:szCs w:val="18"/>
              </w:rPr>
              <w:t>%</w:t>
            </w:r>
          </w:p>
        </w:tc>
        <w:tc>
          <w:tcPr>
            <w:tcW w:w="977" w:type="dxa"/>
            <w:vAlign w:val="center"/>
          </w:tcPr>
          <w:p w14:paraId="15C9E09B" w14:textId="34B24362"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+9.</w:t>
            </w:r>
            <w:r>
              <w:rPr>
                <w:rFonts w:ascii="Arial" w:hAnsi="Arial" w:cs="Arial"/>
                <w:bCs/>
                <w:color w:val="17365D" w:themeColor="text2" w:themeShade="BF"/>
                <w:sz w:val="18"/>
                <w:szCs w:val="18"/>
              </w:rPr>
              <w:t>5</w:t>
            </w:r>
            <w:r w:rsidRPr="00E407FC">
              <w:rPr>
                <w:rFonts w:ascii="Arial" w:hAnsi="Arial" w:cs="Arial"/>
                <w:bCs/>
                <w:color w:val="17365D" w:themeColor="text2" w:themeShade="BF"/>
                <w:sz w:val="18"/>
                <w:szCs w:val="18"/>
              </w:rPr>
              <w:t>%</w:t>
            </w:r>
          </w:p>
        </w:tc>
        <w:tc>
          <w:tcPr>
            <w:tcW w:w="977" w:type="dxa"/>
            <w:vAlign w:val="center"/>
          </w:tcPr>
          <w:p w14:paraId="7CBA4B4F" w14:textId="608415BD"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260</w:t>
            </w:r>
            <w:r w:rsidRPr="00E407FC">
              <w:rPr>
                <w:rFonts w:ascii="Arial" w:hAnsi="Arial" w:cs="Arial"/>
                <w:bCs/>
                <w:color w:val="17365D" w:themeColor="text2" w:themeShade="BF"/>
                <w:sz w:val="18"/>
                <w:szCs w:val="18"/>
              </w:rPr>
              <w:t>M</w:t>
            </w:r>
          </w:p>
        </w:tc>
        <w:tc>
          <w:tcPr>
            <w:tcW w:w="977" w:type="dxa"/>
          </w:tcPr>
          <w:p w14:paraId="11E80DF6" w14:textId="37BB2020" w:rsidR="00D94AC7" w:rsidRDefault="00D94AC7" w:rsidP="00D94AC7">
            <w:pPr>
              <w:jc w:val="right"/>
              <w:cnfStyle w:val="000000100000" w:firstRow="0" w:lastRow="0" w:firstColumn="0" w:lastColumn="0" w:oddVBand="0" w:evenVBand="0" w:oddHBand="1" w:evenHBand="0" w:firstRowFirstColumn="0" w:firstRowLastColumn="0" w:lastRowFirstColumn="0" w:lastRowLastColumn="0"/>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13.3</w:t>
            </w:r>
            <w:r w:rsidRPr="006C65D2">
              <w:rPr>
                <w:rFonts w:ascii="Arial" w:hAnsi="Arial" w:cs="Arial"/>
                <w:bCs/>
                <w:color w:val="17365D" w:themeColor="text2" w:themeShade="BF"/>
                <w:sz w:val="18"/>
                <w:szCs w:val="18"/>
              </w:rPr>
              <w:t>%</w:t>
            </w:r>
          </w:p>
        </w:tc>
        <w:tc>
          <w:tcPr>
            <w:tcW w:w="977" w:type="dxa"/>
          </w:tcPr>
          <w:p w14:paraId="0E6C5E60" w14:textId="1C51E06F" w:rsidR="00D94AC7" w:rsidRDefault="00D94AC7" w:rsidP="00D94AC7">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bCs/>
                <w:color w:val="17365D" w:themeColor="text2" w:themeShade="BF"/>
                <w:sz w:val="18"/>
                <w:szCs w:val="18"/>
              </w:rPr>
              <w:t>-12.4</w:t>
            </w:r>
            <w:r w:rsidRPr="003708BA">
              <w:rPr>
                <w:rFonts w:ascii="Arial" w:hAnsi="Arial" w:cs="Arial"/>
                <w:bCs/>
                <w:color w:val="17365D" w:themeColor="text2" w:themeShade="BF"/>
                <w:sz w:val="18"/>
                <w:szCs w:val="18"/>
              </w:rPr>
              <w:t>%</w:t>
            </w:r>
          </w:p>
        </w:tc>
      </w:tr>
      <w:tr w:rsidR="00D94AC7" w:rsidRPr="00E407FC" w14:paraId="0DE45880" w14:textId="77777777" w:rsidTr="002B6736">
        <w:trPr>
          <w:trHeight w:val="253"/>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58C361AE" w14:textId="77777777" w:rsidR="00D94AC7" w:rsidRPr="00E407FC" w:rsidRDefault="00D94AC7" w:rsidP="00D94AC7">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Mandarins</w:t>
            </w:r>
          </w:p>
        </w:tc>
        <w:tc>
          <w:tcPr>
            <w:tcW w:w="977" w:type="dxa"/>
            <w:gridSpan w:val="2"/>
            <w:vAlign w:val="center"/>
          </w:tcPr>
          <w:p w14:paraId="5A874014" w14:textId="49AE107C" w:rsidR="00D94AC7" w:rsidRPr="00091E61"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-4.6</w:t>
            </w:r>
            <w:r w:rsidRPr="00091E61">
              <w:rPr>
                <w:rFonts w:ascii="Arial" w:hAnsi="Arial" w:cs="Arial"/>
                <w:color w:val="17365D" w:themeColor="text2" w:themeShade="BF"/>
                <w:sz w:val="18"/>
                <w:szCs w:val="18"/>
              </w:rPr>
              <w:t>%</w:t>
            </w:r>
          </w:p>
        </w:tc>
        <w:tc>
          <w:tcPr>
            <w:tcW w:w="977" w:type="dxa"/>
            <w:vAlign w:val="center"/>
          </w:tcPr>
          <w:p w14:paraId="11B22060" w14:textId="3F6E0679"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+9.9</w:t>
            </w:r>
            <w:r w:rsidRPr="00E407FC">
              <w:rPr>
                <w:rFonts w:ascii="Arial" w:hAnsi="Arial" w:cs="Arial"/>
                <w:color w:val="17365D" w:themeColor="text2" w:themeShade="BF"/>
                <w:sz w:val="18"/>
                <w:szCs w:val="18"/>
              </w:rPr>
              <w:t>%</w:t>
            </w:r>
          </w:p>
        </w:tc>
        <w:tc>
          <w:tcPr>
            <w:tcW w:w="977" w:type="dxa"/>
            <w:vAlign w:val="center"/>
          </w:tcPr>
          <w:p w14:paraId="7990C5EF" w14:textId="10D2A509"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-1</w:t>
            </w:r>
            <w:r>
              <w:rPr>
                <w:rFonts w:ascii="Arial" w:hAnsi="Arial" w:cs="Arial"/>
                <w:color w:val="17365D" w:themeColor="text2" w:themeShade="BF"/>
                <w:sz w:val="18"/>
                <w:szCs w:val="18"/>
              </w:rPr>
              <w:t>.1</w:t>
            </w:r>
            <w:r w:rsidRPr="00E407FC">
              <w:rPr>
                <w:rFonts w:ascii="Arial" w:hAnsi="Arial" w:cs="Arial"/>
                <w:color w:val="17365D" w:themeColor="text2" w:themeShade="BF"/>
                <w:sz w:val="18"/>
                <w:szCs w:val="18"/>
              </w:rPr>
              <w:t>%</w:t>
            </w:r>
          </w:p>
        </w:tc>
        <w:tc>
          <w:tcPr>
            <w:tcW w:w="977" w:type="dxa"/>
            <w:vAlign w:val="center"/>
          </w:tcPr>
          <w:p w14:paraId="42065178" w14:textId="58886256"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r w:rsidRPr="00E407FC">
              <w:rPr>
                <w:rFonts w:ascii="Arial" w:hAnsi="Arial" w:cs="Arial"/>
                <w:color w:val="17365D" w:themeColor="text2" w:themeShade="BF"/>
                <w:sz w:val="18"/>
                <w:szCs w:val="18"/>
              </w:rPr>
              <w:t>14</w:t>
            </w:r>
            <w:r>
              <w:rPr>
                <w:rFonts w:ascii="Arial" w:hAnsi="Arial" w:cs="Arial"/>
                <w:color w:val="17365D" w:themeColor="text2" w:themeShade="BF"/>
                <w:sz w:val="18"/>
                <w:szCs w:val="18"/>
              </w:rPr>
              <w:t>.3</w:t>
            </w:r>
            <w:r w:rsidRPr="00E407FC">
              <w:rPr>
                <w:rFonts w:ascii="Arial" w:hAnsi="Arial" w:cs="Arial"/>
                <w:color w:val="17365D" w:themeColor="text2" w:themeShade="BF"/>
                <w:sz w:val="18"/>
                <w:szCs w:val="18"/>
              </w:rPr>
              <w:t>%</w:t>
            </w:r>
          </w:p>
        </w:tc>
        <w:tc>
          <w:tcPr>
            <w:tcW w:w="977" w:type="dxa"/>
            <w:vAlign w:val="center"/>
          </w:tcPr>
          <w:p w14:paraId="077034F3" w14:textId="54362039"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r w:rsidRPr="00E407FC">
              <w:rPr>
                <w:rFonts w:ascii="Arial" w:hAnsi="Arial" w:cs="Arial"/>
                <w:color w:val="17365D" w:themeColor="text2" w:themeShade="BF"/>
                <w:sz w:val="18"/>
                <w:szCs w:val="18"/>
              </w:rPr>
              <w:t>12</w:t>
            </w:r>
            <w:r>
              <w:rPr>
                <w:rFonts w:ascii="Arial" w:hAnsi="Arial" w:cs="Arial"/>
                <w:color w:val="17365D" w:themeColor="text2" w:themeShade="BF"/>
                <w:sz w:val="18"/>
                <w:szCs w:val="18"/>
              </w:rPr>
              <w:t>.0</w:t>
            </w:r>
            <w:r w:rsidRPr="00E407FC">
              <w:rPr>
                <w:rFonts w:ascii="Arial" w:hAnsi="Arial" w:cs="Arial"/>
                <w:color w:val="17365D" w:themeColor="text2" w:themeShade="BF"/>
                <w:sz w:val="18"/>
                <w:szCs w:val="18"/>
              </w:rPr>
              <w:t>%</w:t>
            </w:r>
          </w:p>
        </w:tc>
        <w:tc>
          <w:tcPr>
            <w:tcW w:w="977" w:type="dxa"/>
            <w:vAlign w:val="center"/>
          </w:tcPr>
          <w:p w14:paraId="76AC0546" w14:textId="77777777"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+4.9%</w:t>
            </w:r>
          </w:p>
        </w:tc>
        <w:tc>
          <w:tcPr>
            <w:tcW w:w="977" w:type="dxa"/>
            <w:vAlign w:val="center"/>
          </w:tcPr>
          <w:p w14:paraId="405334B5" w14:textId="080C38E1"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bCs/>
                <w:color w:val="17365D" w:themeColor="text2" w:themeShade="BF"/>
                <w:sz w:val="18"/>
                <w:szCs w:val="18"/>
              </w:rPr>
              <w:t>$219</w:t>
            </w:r>
            <w:r w:rsidRPr="00E407FC">
              <w:rPr>
                <w:rFonts w:ascii="Arial" w:hAnsi="Arial" w:cs="Arial"/>
                <w:bCs/>
                <w:color w:val="17365D" w:themeColor="text2" w:themeShade="BF"/>
                <w:sz w:val="18"/>
                <w:szCs w:val="18"/>
              </w:rPr>
              <w:t>M</w:t>
            </w:r>
          </w:p>
        </w:tc>
        <w:tc>
          <w:tcPr>
            <w:tcW w:w="977" w:type="dxa"/>
          </w:tcPr>
          <w:p w14:paraId="5319DB58" w14:textId="5D2E337E" w:rsidR="00D94AC7" w:rsidRDefault="00D94AC7" w:rsidP="00D94AC7">
            <w:pPr>
              <w:jc w:val="right"/>
              <w:cnfStyle w:val="000000000000" w:firstRow="0" w:lastRow="0" w:firstColumn="0" w:lastColumn="0" w:oddVBand="0" w:evenVBand="0" w:oddHBand="0" w:evenHBand="0" w:firstRowFirstColumn="0" w:firstRowLastColumn="0" w:lastRowFirstColumn="0" w:lastRowLastColumn="0"/>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3.7</w:t>
            </w:r>
            <w:r w:rsidRPr="006C65D2">
              <w:rPr>
                <w:rFonts w:ascii="Arial" w:hAnsi="Arial" w:cs="Arial"/>
                <w:bCs/>
                <w:color w:val="17365D" w:themeColor="text2" w:themeShade="BF"/>
                <w:sz w:val="18"/>
                <w:szCs w:val="18"/>
              </w:rPr>
              <w:t>%</w:t>
            </w:r>
          </w:p>
        </w:tc>
        <w:tc>
          <w:tcPr>
            <w:tcW w:w="977" w:type="dxa"/>
          </w:tcPr>
          <w:p w14:paraId="2200A5C6" w14:textId="6C16EA45" w:rsidR="00D94AC7" w:rsidRDefault="00D94AC7" w:rsidP="00D94AC7">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bCs/>
                <w:color w:val="17365D" w:themeColor="text2" w:themeShade="BF"/>
                <w:sz w:val="18"/>
                <w:szCs w:val="18"/>
              </w:rPr>
              <w:t>-12.6</w:t>
            </w:r>
            <w:r w:rsidRPr="003708BA">
              <w:rPr>
                <w:rFonts w:ascii="Arial" w:hAnsi="Arial" w:cs="Arial"/>
                <w:bCs/>
                <w:color w:val="17365D" w:themeColor="text2" w:themeShade="BF"/>
                <w:sz w:val="18"/>
                <w:szCs w:val="18"/>
              </w:rPr>
              <w:t>%</w:t>
            </w:r>
          </w:p>
        </w:tc>
      </w:tr>
      <w:tr w:rsidR="00D94AC7" w:rsidRPr="00E407FC" w14:paraId="50132B6D" w14:textId="77777777" w:rsidTr="006E628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593A824F" w14:textId="77777777" w:rsidR="00D94AC7" w:rsidRPr="00E407FC" w:rsidRDefault="00D94AC7" w:rsidP="00D94AC7">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Oranges</w:t>
            </w:r>
          </w:p>
        </w:tc>
        <w:tc>
          <w:tcPr>
            <w:tcW w:w="977" w:type="dxa"/>
            <w:gridSpan w:val="2"/>
            <w:vAlign w:val="center"/>
          </w:tcPr>
          <w:p w14:paraId="34A5F853" w14:textId="3CCE72A8" w:rsidR="00D94AC7" w:rsidRPr="00091E61"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-9.6</w:t>
            </w:r>
            <w:r w:rsidRPr="00091E61">
              <w:rPr>
                <w:rFonts w:ascii="Arial" w:hAnsi="Arial" w:cs="Arial"/>
                <w:color w:val="17365D" w:themeColor="text2" w:themeShade="BF"/>
                <w:sz w:val="18"/>
                <w:szCs w:val="18"/>
              </w:rPr>
              <w:t>%</w:t>
            </w:r>
          </w:p>
        </w:tc>
        <w:tc>
          <w:tcPr>
            <w:tcW w:w="977" w:type="dxa"/>
            <w:vAlign w:val="center"/>
          </w:tcPr>
          <w:p w14:paraId="5E346A02" w14:textId="2C18485D"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+32.1</w:t>
            </w:r>
            <w:r w:rsidRPr="00E407FC">
              <w:rPr>
                <w:rFonts w:ascii="Arial" w:hAnsi="Arial" w:cs="Arial"/>
                <w:color w:val="17365D" w:themeColor="text2" w:themeShade="BF"/>
                <w:sz w:val="18"/>
                <w:szCs w:val="18"/>
              </w:rPr>
              <w:t>%</w:t>
            </w:r>
          </w:p>
        </w:tc>
        <w:tc>
          <w:tcPr>
            <w:tcW w:w="977" w:type="dxa"/>
            <w:vAlign w:val="center"/>
          </w:tcPr>
          <w:p w14:paraId="1BD3B11C" w14:textId="3C09A8D4"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+2.5</w:t>
            </w:r>
            <w:r w:rsidRPr="00E407FC">
              <w:rPr>
                <w:rFonts w:ascii="Arial" w:hAnsi="Arial" w:cs="Arial"/>
                <w:color w:val="17365D" w:themeColor="text2" w:themeShade="BF"/>
                <w:sz w:val="18"/>
                <w:szCs w:val="18"/>
              </w:rPr>
              <w:t>%</w:t>
            </w:r>
          </w:p>
        </w:tc>
        <w:tc>
          <w:tcPr>
            <w:tcW w:w="977" w:type="dxa"/>
            <w:vAlign w:val="center"/>
          </w:tcPr>
          <w:p w14:paraId="233E459B" w14:textId="6C24053D"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24.5</w:t>
            </w:r>
            <w:r w:rsidRPr="00E407FC">
              <w:rPr>
                <w:rFonts w:ascii="Arial" w:hAnsi="Arial" w:cs="Arial"/>
                <w:color w:val="17365D" w:themeColor="text2" w:themeShade="BF"/>
                <w:sz w:val="18"/>
                <w:szCs w:val="18"/>
              </w:rPr>
              <w:t>%</w:t>
            </w:r>
          </w:p>
        </w:tc>
        <w:tc>
          <w:tcPr>
            <w:tcW w:w="977" w:type="dxa"/>
            <w:vAlign w:val="center"/>
          </w:tcPr>
          <w:p w14:paraId="27011B42" w14:textId="4C63D982"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color w:val="17365D" w:themeColor="text2" w:themeShade="BF"/>
                <w:sz w:val="18"/>
                <w:szCs w:val="18"/>
              </w:rPr>
              <w:t>-</w:t>
            </w:r>
            <w:r>
              <w:rPr>
                <w:rFonts w:ascii="Arial" w:hAnsi="Arial" w:cs="Arial"/>
                <w:color w:val="17365D" w:themeColor="text2" w:themeShade="BF"/>
                <w:sz w:val="18"/>
                <w:szCs w:val="18"/>
              </w:rPr>
              <w:t>10.4</w:t>
            </w:r>
            <w:r w:rsidRPr="00E407FC">
              <w:rPr>
                <w:rFonts w:ascii="Arial" w:hAnsi="Arial" w:cs="Arial"/>
                <w:color w:val="17365D" w:themeColor="text2" w:themeShade="BF"/>
                <w:sz w:val="18"/>
                <w:szCs w:val="18"/>
              </w:rPr>
              <w:t>%</w:t>
            </w:r>
          </w:p>
        </w:tc>
        <w:tc>
          <w:tcPr>
            <w:tcW w:w="977" w:type="dxa"/>
            <w:vAlign w:val="center"/>
          </w:tcPr>
          <w:p w14:paraId="707F858B" w14:textId="5472B770"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3.7</w:t>
            </w:r>
            <w:r w:rsidRPr="00E407FC">
              <w:rPr>
                <w:rFonts w:ascii="Arial" w:hAnsi="Arial" w:cs="Arial"/>
                <w:bCs/>
                <w:color w:val="17365D" w:themeColor="text2" w:themeShade="BF"/>
                <w:sz w:val="18"/>
                <w:szCs w:val="18"/>
              </w:rPr>
              <w:t>%</w:t>
            </w:r>
          </w:p>
        </w:tc>
        <w:tc>
          <w:tcPr>
            <w:tcW w:w="977" w:type="dxa"/>
            <w:vAlign w:val="center"/>
          </w:tcPr>
          <w:p w14:paraId="67332C24" w14:textId="59434D70"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169</w:t>
            </w:r>
            <w:r w:rsidRPr="00E407FC">
              <w:rPr>
                <w:rFonts w:ascii="Arial" w:hAnsi="Arial" w:cs="Arial"/>
                <w:bCs/>
                <w:color w:val="17365D" w:themeColor="text2" w:themeShade="BF"/>
                <w:sz w:val="18"/>
                <w:szCs w:val="18"/>
              </w:rPr>
              <w:t>M</w:t>
            </w:r>
          </w:p>
        </w:tc>
        <w:tc>
          <w:tcPr>
            <w:tcW w:w="977" w:type="dxa"/>
          </w:tcPr>
          <w:p w14:paraId="31314AA7" w14:textId="603A740A" w:rsidR="00D94AC7" w:rsidRDefault="00D94AC7" w:rsidP="00D94AC7">
            <w:pPr>
              <w:jc w:val="right"/>
              <w:cnfStyle w:val="000000100000" w:firstRow="0" w:lastRow="0" w:firstColumn="0" w:lastColumn="0" w:oddVBand="0" w:evenVBand="0" w:oddHBand="1" w:evenHBand="0" w:firstRowFirstColumn="0" w:firstRowLastColumn="0" w:lastRowFirstColumn="0" w:lastRowLastColumn="0"/>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15.3</w:t>
            </w:r>
            <w:r w:rsidRPr="006C65D2">
              <w:rPr>
                <w:rFonts w:ascii="Arial" w:hAnsi="Arial" w:cs="Arial"/>
                <w:bCs/>
                <w:color w:val="17365D" w:themeColor="text2" w:themeShade="BF"/>
                <w:sz w:val="18"/>
                <w:szCs w:val="18"/>
              </w:rPr>
              <w:t>%</w:t>
            </w:r>
          </w:p>
        </w:tc>
        <w:tc>
          <w:tcPr>
            <w:tcW w:w="977" w:type="dxa"/>
          </w:tcPr>
          <w:p w14:paraId="4B09BFE2" w14:textId="7B40C7C9" w:rsidR="00D94AC7" w:rsidRDefault="00D94AC7" w:rsidP="00D94AC7">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bCs/>
                <w:color w:val="17365D" w:themeColor="text2" w:themeShade="BF"/>
                <w:sz w:val="18"/>
                <w:szCs w:val="18"/>
              </w:rPr>
              <w:t>+1.4</w:t>
            </w:r>
            <w:r w:rsidRPr="003708BA">
              <w:rPr>
                <w:rFonts w:ascii="Arial" w:hAnsi="Arial" w:cs="Arial"/>
                <w:bCs/>
                <w:color w:val="17365D" w:themeColor="text2" w:themeShade="BF"/>
                <w:sz w:val="18"/>
                <w:szCs w:val="18"/>
              </w:rPr>
              <w:t>%</w:t>
            </w:r>
          </w:p>
        </w:tc>
      </w:tr>
      <w:tr w:rsidR="00D94AC7" w:rsidRPr="00E407FC" w14:paraId="4B0EF8B7" w14:textId="77777777" w:rsidTr="002B6736">
        <w:trPr>
          <w:trHeight w:val="253"/>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379FC5CF" w14:textId="77777777" w:rsidR="00D94AC7" w:rsidRPr="00E407FC" w:rsidRDefault="00D94AC7" w:rsidP="00D94AC7">
            <w:pPr>
              <w:pStyle w:val="NoSpacing"/>
              <w:jc w:val="right"/>
              <w:rPr>
                <w:rFonts w:ascii="Arial" w:hAnsi="Arial" w:cs="Arial"/>
                <w:b w:val="0"/>
                <w:color w:val="17365D" w:themeColor="text2" w:themeShade="BF"/>
                <w:sz w:val="18"/>
                <w:szCs w:val="18"/>
              </w:rPr>
            </w:pPr>
            <w:r w:rsidRPr="00E407FC">
              <w:rPr>
                <w:rFonts w:ascii="Arial" w:hAnsi="Arial" w:cs="Arial"/>
                <w:b w:val="0"/>
                <w:color w:val="17365D" w:themeColor="text2" w:themeShade="BF"/>
                <w:sz w:val="18"/>
                <w:szCs w:val="18"/>
              </w:rPr>
              <w:t xml:space="preserve">  Melons</w:t>
            </w:r>
          </w:p>
        </w:tc>
        <w:tc>
          <w:tcPr>
            <w:tcW w:w="977" w:type="dxa"/>
            <w:gridSpan w:val="2"/>
            <w:vAlign w:val="center"/>
          </w:tcPr>
          <w:p w14:paraId="077454EB" w14:textId="2A4C5C64" w:rsidR="00D94AC7" w:rsidRPr="00091E61"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w:t>
            </w:r>
            <w:r w:rsidRPr="00091E61">
              <w:rPr>
                <w:rFonts w:ascii="Arial" w:hAnsi="Arial" w:cs="Arial"/>
                <w:color w:val="17365D" w:themeColor="text2" w:themeShade="BF"/>
                <w:sz w:val="18"/>
                <w:szCs w:val="18"/>
              </w:rPr>
              <w:t>%</w:t>
            </w:r>
          </w:p>
        </w:tc>
        <w:tc>
          <w:tcPr>
            <w:tcW w:w="977" w:type="dxa"/>
            <w:vAlign w:val="center"/>
          </w:tcPr>
          <w:p w14:paraId="14EA7020" w14:textId="192D2627"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+9.5</w:t>
            </w:r>
            <w:r w:rsidRPr="00E407FC">
              <w:rPr>
                <w:rFonts w:ascii="Arial" w:hAnsi="Arial" w:cs="Arial"/>
                <w:color w:val="17365D" w:themeColor="text2" w:themeShade="BF"/>
                <w:sz w:val="18"/>
                <w:szCs w:val="18"/>
              </w:rPr>
              <w:t>%</w:t>
            </w:r>
          </w:p>
        </w:tc>
        <w:tc>
          <w:tcPr>
            <w:tcW w:w="977" w:type="dxa"/>
            <w:vAlign w:val="center"/>
          </w:tcPr>
          <w:p w14:paraId="00DC2A4F" w14:textId="2615F454"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w:t>
            </w:r>
            <w:r w:rsidRPr="00E407FC">
              <w:rPr>
                <w:rFonts w:ascii="Arial" w:hAnsi="Arial" w:cs="Arial"/>
                <w:color w:val="17365D" w:themeColor="text2" w:themeShade="BF"/>
                <w:sz w:val="18"/>
                <w:szCs w:val="18"/>
              </w:rPr>
              <w:t>10</w:t>
            </w:r>
            <w:r>
              <w:rPr>
                <w:rFonts w:ascii="Arial" w:hAnsi="Arial" w:cs="Arial"/>
                <w:color w:val="17365D" w:themeColor="text2" w:themeShade="BF"/>
                <w:sz w:val="18"/>
                <w:szCs w:val="18"/>
              </w:rPr>
              <w:t>.0</w:t>
            </w:r>
            <w:r w:rsidRPr="00E407FC">
              <w:rPr>
                <w:rFonts w:ascii="Arial" w:hAnsi="Arial" w:cs="Arial"/>
                <w:color w:val="17365D" w:themeColor="text2" w:themeShade="BF"/>
                <w:sz w:val="18"/>
                <w:szCs w:val="18"/>
              </w:rPr>
              <w:t>%</w:t>
            </w:r>
          </w:p>
        </w:tc>
        <w:tc>
          <w:tcPr>
            <w:tcW w:w="977" w:type="dxa"/>
            <w:vAlign w:val="center"/>
          </w:tcPr>
          <w:p w14:paraId="194FD266" w14:textId="51B9E18B"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+14.1</w:t>
            </w:r>
            <w:r w:rsidRPr="00E407FC">
              <w:rPr>
                <w:rFonts w:ascii="Arial" w:hAnsi="Arial" w:cs="Arial"/>
                <w:color w:val="17365D" w:themeColor="text2" w:themeShade="BF"/>
                <w:sz w:val="18"/>
                <w:szCs w:val="18"/>
              </w:rPr>
              <w:t>%</w:t>
            </w:r>
          </w:p>
        </w:tc>
        <w:tc>
          <w:tcPr>
            <w:tcW w:w="977" w:type="dxa"/>
            <w:vAlign w:val="center"/>
          </w:tcPr>
          <w:p w14:paraId="2647414A" w14:textId="4C9470D0"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+5.8</w:t>
            </w:r>
            <w:r w:rsidRPr="00E407FC">
              <w:rPr>
                <w:rFonts w:ascii="Arial" w:hAnsi="Arial" w:cs="Arial"/>
                <w:color w:val="17365D" w:themeColor="text2" w:themeShade="BF"/>
                <w:sz w:val="18"/>
                <w:szCs w:val="18"/>
              </w:rPr>
              <w:t>%</w:t>
            </w:r>
          </w:p>
        </w:tc>
        <w:tc>
          <w:tcPr>
            <w:tcW w:w="977" w:type="dxa"/>
            <w:vAlign w:val="center"/>
          </w:tcPr>
          <w:p w14:paraId="16A075A3" w14:textId="4CA3649A"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+23.</w:t>
            </w:r>
            <w:r>
              <w:rPr>
                <w:rFonts w:ascii="Arial" w:hAnsi="Arial" w:cs="Arial"/>
                <w:bCs/>
                <w:color w:val="17365D" w:themeColor="text2" w:themeShade="BF"/>
                <w:sz w:val="18"/>
                <w:szCs w:val="18"/>
              </w:rPr>
              <w:t>2</w:t>
            </w:r>
            <w:r w:rsidRPr="00E407FC">
              <w:rPr>
                <w:rFonts w:ascii="Arial" w:hAnsi="Arial" w:cs="Arial"/>
                <w:bCs/>
                <w:color w:val="17365D" w:themeColor="text2" w:themeShade="BF"/>
                <w:sz w:val="18"/>
                <w:szCs w:val="18"/>
              </w:rPr>
              <w:t>%</w:t>
            </w:r>
          </w:p>
        </w:tc>
        <w:tc>
          <w:tcPr>
            <w:tcW w:w="977" w:type="dxa"/>
            <w:vAlign w:val="center"/>
          </w:tcPr>
          <w:p w14:paraId="24CD9D76" w14:textId="2E233698"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166</w:t>
            </w:r>
            <w:r w:rsidRPr="00E407FC">
              <w:rPr>
                <w:rFonts w:ascii="Arial" w:hAnsi="Arial" w:cs="Arial"/>
                <w:bCs/>
                <w:color w:val="17365D" w:themeColor="text2" w:themeShade="BF"/>
                <w:sz w:val="18"/>
                <w:szCs w:val="18"/>
              </w:rPr>
              <w:t>M</w:t>
            </w:r>
          </w:p>
        </w:tc>
        <w:tc>
          <w:tcPr>
            <w:tcW w:w="977" w:type="dxa"/>
          </w:tcPr>
          <w:p w14:paraId="7F1E6C47" w14:textId="366C37DE" w:rsidR="00D94AC7" w:rsidRDefault="00D94AC7" w:rsidP="00D94AC7">
            <w:pPr>
              <w:jc w:val="right"/>
              <w:cnfStyle w:val="000000000000" w:firstRow="0" w:lastRow="0" w:firstColumn="0" w:lastColumn="0" w:oddVBand="0" w:evenVBand="0" w:oddHBand="0" w:evenHBand="0" w:firstRowFirstColumn="0" w:firstRowLastColumn="0" w:lastRowFirstColumn="0" w:lastRowLastColumn="0"/>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35.0</w:t>
            </w:r>
            <w:r w:rsidRPr="006C65D2">
              <w:rPr>
                <w:rFonts w:ascii="Arial" w:hAnsi="Arial" w:cs="Arial"/>
                <w:bCs/>
                <w:color w:val="17365D" w:themeColor="text2" w:themeShade="BF"/>
                <w:sz w:val="18"/>
                <w:szCs w:val="18"/>
              </w:rPr>
              <w:t>%</w:t>
            </w:r>
          </w:p>
        </w:tc>
        <w:tc>
          <w:tcPr>
            <w:tcW w:w="977" w:type="dxa"/>
          </w:tcPr>
          <w:p w14:paraId="4D2CCF06" w14:textId="4BF826F7" w:rsidR="00D94AC7" w:rsidRDefault="00D94AC7" w:rsidP="00D94AC7">
            <w:pPr>
              <w:jc w:val="right"/>
              <w:cnfStyle w:val="000000000000" w:firstRow="0" w:lastRow="0" w:firstColumn="0" w:lastColumn="0" w:oddVBand="0" w:evenVBand="0" w:oddHBand="0" w:evenHBand="0" w:firstRowFirstColumn="0" w:firstRowLastColumn="0" w:lastRowFirstColumn="0" w:lastRowLastColumn="0"/>
            </w:pPr>
            <w:r w:rsidRPr="003708BA">
              <w:rPr>
                <w:rFonts w:ascii="Arial" w:hAnsi="Arial" w:cs="Arial"/>
                <w:bCs/>
                <w:color w:val="17365D" w:themeColor="text2" w:themeShade="BF"/>
                <w:sz w:val="18"/>
                <w:szCs w:val="18"/>
              </w:rPr>
              <w:t>+</w:t>
            </w:r>
            <w:r>
              <w:rPr>
                <w:rFonts w:ascii="Arial" w:hAnsi="Arial" w:cs="Arial"/>
                <w:bCs/>
                <w:color w:val="17365D" w:themeColor="text2" w:themeShade="BF"/>
                <w:sz w:val="18"/>
                <w:szCs w:val="18"/>
              </w:rPr>
              <w:t>22.8</w:t>
            </w:r>
            <w:r w:rsidRPr="003708BA">
              <w:rPr>
                <w:rFonts w:ascii="Arial" w:hAnsi="Arial" w:cs="Arial"/>
                <w:bCs/>
                <w:color w:val="17365D" w:themeColor="text2" w:themeShade="BF"/>
                <w:sz w:val="18"/>
                <w:szCs w:val="18"/>
              </w:rPr>
              <w:t>%</w:t>
            </w:r>
          </w:p>
        </w:tc>
      </w:tr>
      <w:tr w:rsidR="00D94AC7" w:rsidRPr="00E407FC" w14:paraId="59D6DB3F" w14:textId="77777777" w:rsidTr="002B673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017C4C30" w14:textId="42299F7B" w:rsidR="00D94AC7" w:rsidRPr="00E407FC" w:rsidRDefault="00D94AC7" w:rsidP="00D94AC7">
            <w:pPr>
              <w:pStyle w:val="NoSpacing"/>
              <w:jc w:val="right"/>
              <w:rPr>
                <w:rFonts w:ascii="Arial" w:hAnsi="Arial" w:cs="Arial"/>
                <w:b w:val="0"/>
                <w:color w:val="17365D" w:themeColor="text2" w:themeShade="BF"/>
                <w:sz w:val="18"/>
                <w:szCs w:val="18"/>
              </w:rPr>
            </w:pPr>
            <w:r>
              <w:rPr>
                <w:rFonts w:ascii="Arial" w:hAnsi="Arial" w:cs="Arial"/>
                <w:b w:val="0"/>
                <w:color w:val="17365D" w:themeColor="text2" w:themeShade="BF"/>
                <w:sz w:val="18"/>
                <w:szCs w:val="18"/>
              </w:rPr>
              <w:t>Lemons</w:t>
            </w:r>
          </w:p>
        </w:tc>
        <w:tc>
          <w:tcPr>
            <w:tcW w:w="977" w:type="dxa"/>
            <w:gridSpan w:val="2"/>
            <w:vAlign w:val="center"/>
          </w:tcPr>
          <w:p w14:paraId="1883912D" w14:textId="59497CB3" w:rsidR="00D94AC7" w:rsidRPr="00091E61"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-6.5</w:t>
            </w:r>
            <w:r w:rsidRPr="00091E61">
              <w:rPr>
                <w:rFonts w:ascii="Arial" w:hAnsi="Arial" w:cs="Arial"/>
                <w:color w:val="17365D" w:themeColor="text2" w:themeShade="BF"/>
                <w:sz w:val="18"/>
                <w:szCs w:val="18"/>
              </w:rPr>
              <w:t>%</w:t>
            </w:r>
          </w:p>
        </w:tc>
        <w:tc>
          <w:tcPr>
            <w:tcW w:w="977" w:type="dxa"/>
            <w:vAlign w:val="center"/>
          </w:tcPr>
          <w:p w14:paraId="0A65269F" w14:textId="6D7FD848"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+22.4</w:t>
            </w:r>
            <w:r w:rsidRPr="00E407FC">
              <w:rPr>
                <w:rFonts w:ascii="Arial" w:hAnsi="Arial" w:cs="Arial"/>
                <w:color w:val="17365D" w:themeColor="text2" w:themeShade="BF"/>
                <w:sz w:val="18"/>
                <w:szCs w:val="18"/>
              </w:rPr>
              <w:t>%</w:t>
            </w:r>
          </w:p>
        </w:tc>
        <w:tc>
          <w:tcPr>
            <w:tcW w:w="977" w:type="dxa"/>
            <w:vAlign w:val="center"/>
          </w:tcPr>
          <w:p w14:paraId="65875460" w14:textId="040281BE"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+11.3</w:t>
            </w:r>
            <w:r w:rsidRPr="00E407FC">
              <w:rPr>
                <w:rFonts w:ascii="Arial" w:hAnsi="Arial" w:cs="Arial"/>
                <w:color w:val="17365D" w:themeColor="text2" w:themeShade="BF"/>
                <w:sz w:val="18"/>
                <w:szCs w:val="18"/>
              </w:rPr>
              <w:t>%</w:t>
            </w:r>
          </w:p>
        </w:tc>
        <w:tc>
          <w:tcPr>
            <w:tcW w:w="977" w:type="dxa"/>
            <w:vAlign w:val="center"/>
          </w:tcPr>
          <w:p w14:paraId="13BCC853" w14:textId="75794DE4"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-9.7</w:t>
            </w:r>
            <w:r w:rsidRPr="00E407FC">
              <w:rPr>
                <w:rFonts w:ascii="Arial" w:hAnsi="Arial" w:cs="Arial"/>
                <w:color w:val="17365D" w:themeColor="text2" w:themeShade="BF"/>
                <w:sz w:val="18"/>
                <w:szCs w:val="18"/>
              </w:rPr>
              <w:t>%</w:t>
            </w:r>
          </w:p>
        </w:tc>
        <w:tc>
          <w:tcPr>
            <w:tcW w:w="977" w:type="dxa"/>
            <w:vAlign w:val="center"/>
          </w:tcPr>
          <w:p w14:paraId="4C5DC110" w14:textId="27573875"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-4.0</w:t>
            </w:r>
            <w:r w:rsidRPr="00E407FC">
              <w:rPr>
                <w:rFonts w:ascii="Arial" w:hAnsi="Arial" w:cs="Arial"/>
                <w:color w:val="17365D" w:themeColor="text2" w:themeShade="BF"/>
                <w:sz w:val="18"/>
                <w:szCs w:val="18"/>
              </w:rPr>
              <w:t>%</w:t>
            </w:r>
          </w:p>
        </w:tc>
        <w:tc>
          <w:tcPr>
            <w:tcW w:w="977" w:type="dxa"/>
            <w:vAlign w:val="center"/>
          </w:tcPr>
          <w:p w14:paraId="43C46365" w14:textId="0E652134"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3.6</w:t>
            </w:r>
            <w:r w:rsidRPr="00E407FC">
              <w:rPr>
                <w:rFonts w:ascii="Arial" w:hAnsi="Arial" w:cs="Arial"/>
                <w:bCs/>
                <w:color w:val="17365D" w:themeColor="text2" w:themeShade="BF"/>
                <w:sz w:val="18"/>
                <w:szCs w:val="18"/>
              </w:rPr>
              <w:t>%</w:t>
            </w:r>
          </w:p>
        </w:tc>
        <w:tc>
          <w:tcPr>
            <w:tcW w:w="977" w:type="dxa"/>
            <w:vAlign w:val="center"/>
          </w:tcPr>
          <w:p w14:paraId="6025F8B3" w14:textId="4133AD99" w:rsidR="00D94AC7" w:rsidRPr="00E407FC" w:rsidRDefault="00D94AC7" w:rsidP="00D94AC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87</w:t>
            </w:r>
            <w:r w:rsidRPr="00E407FC">
              <w:rPr>
                <w:rFonts w:ascii="Arial" w:hAnsi="Arial" w:cs="Arial"/>
                <w:bCs/>
                <w:color w:val="17365D" w:themeColor="text2" w:themeShade="BF"/>
                <w:sz w:val="18"/>
                <w:szCs w:val="18"/>
              </w:rPr>
              <w:t>M</w:t>
            </w:r>
          </w:p>
        </w:tc>
        <w:tc>
          <w:tcPr>
            <w:tcW w:w="977" w:type="dxa"/>
          </w:tcPr>
          <w:p w14:paraId="2BC2D128" w14:textId="24B816C4" w:rsidR="00D94AC7" w:rsidRDefault="00D94AC7" w:rsidP="00D94AC7">
            <w:pPr>
              <w:jc w:val="right"/>
              <w:cnfStyle w:val="000000100000" w:firstRow="0" w:lastRow="0" w:firstColumn="0" w:lastColumn="0" w:oddVBand="0" w:evenVBand="0" w:oddHBand="1" w:evenHBand="0" w:firstRowFirstColumn="0" w:firstRowLastColumn="0" w:lastRowFirstColumn="0" w:lastRowLastColumn="0"/>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9.6</w:t>
            </w:r>
            <w:r w:rsidRPr="006C65D2">
              <w:rPr>
                <w:rFonts w:ascii="Arial" w:hAnsi="Arial" w:cs="Arial"/>
                <w:bCs/>
                <w:color w:val="17365D" w:themeColor="text2" w:themeShade="BF"/>
                <w:sz w:val="18"/>
                <w:szCs w:val="18"/>
              </w:rPr>
              <w:t>%</w:t>
            </w:r>
          </w:p>
        </w:tc>
        <w:tc>
          <w:tcPr>
            <w:tcW w:w="977" w:type="dxa"/>
          </w:tcPr>
          <w:p w14:paraId="6BDEB51C" w14:textId="620BF66C" w:rsidR="00D94AC7" w:rsidRDefault="00D94AC7" w:rsidP="00D94AC7">
            <w:pPr>
              <w:jc w:val="right"/>
              <w:cnfStyle w:val="000000100000" w:firstRow="0" w:lastRow="0" w:firstColumn="0" w:lastColumn="0" w:oddVBand="0" w:evenVBand="0" w:oddHBand="1" w:evenHBand="0" w:firstRowFirstColumn="0" w:firstRowLastColumn="0" w:lastRowFirstColumn="0" w:lastRowLastColumn="0"/>
            </w:pPr>
            <w:r w:rsidRPr="003708BA">
              <w:rPr>
                <w:rFonts w:ascii="Arial" w:hAnsi="Arial" w:cs="Arial"/>
                <w:bCs/>
                <w:color w:val="17365D" w:themeColor="text2" w:themeShade="BF"/>
                <w:sz w:val="18"/>
                <w:szCs w:val="18"/>
              </w:rPr>
              <w:t>+</w:t>
            </w:r>
            <w:r>
              <w:rPr>
                <w:rFonts w:ascii="Arial" w:hAnsi="Arial" w:cs="Arial"/>
                <w:bCs/>
                <w:color w:val="17365D" w:themeColor="text2" w:themeShade="BF"/>
                <w:sz w:val="18"/>
                <w:szCs w:val="18"/>
              </w:rPr>
              <w:t>3.1</w:t>
            </w:r>
            <w:r w:rsidRPr="003708BA">
              <w:rPr>
                <w:rFonts w:ascii="Arial" w:hAnsi="Arial" w:cs="Arial"/>
                <w:bCs/>
                <w:color w:val="17365D" w:themeColor="text2" w:themeShade="BF"/>
                <w:sz w:val="18"/>
                <w:szCs w:val="18"/>
              </w:rPr>
              <w:t>%</w:t>
            </w:r>
          </w:p>
        </w:tc>
      </w:tr>
      <w:tr w:rsidR="00D94AC7" w:rsidRPr="00E407FC" w14:paraId="70E12F49" w14:textId="77777777" w:rsidTr="002B6736">
        <w:trPr>
          <w:trHeight w:val="253"/>
        </w:trPr>
        <w:tc>
          <w:tcPr>
            <w:cnfStyle w:val="001000000000" w:firstRow="0" w:lastRow="0" w:firstColumn="1" w:lastColumn="0" w:oddVBand="0" w:evenVBand="0" w:oddHBand="0" w:evenHBand="0" w:firstRowFirstColumn="0" w:firstRowLastColumn="0" w:lastRowFirstColumn="0" w:lastRowLastColumn="0"/>
            <w:tcW w:w="1467" w:type="dxa"/>
            <w:vAlign w:val="center"/>
          </w:tcPr>
          <w:p w14:paraId="22A5E544" w14:textId="10338AB0" w:rsidR="00D94AC7" w:rsidRPr="00E407FC" w:rsidRDefault="00D94AC7" w:rsidP="00D94AC7">
            <w:pPr>
              <w:pStyle w:val="NoSpacing"/>
              <w:jc w:val="right"/>
              <w:rPr>
                <w:rFonts w:ascii="Arial" w:hAnsi="Arial" w:cs="Arial"/>
                <w:b w:val="0"/>
                <w:color w:val="17365D" w:themeColor="text2" w:themeShade="BF"/>
                <w:sz w:val="18"/>
                <w:szCs w:val="18"/>
              </w:rPr>
            </w:pPr>
            <w:r>
              <w:rPr>
                <w:rFonts w:ascii="Arial" w:hAnsi="Arial" w:cs="Arial"/>
                <w:b w:val="0"/>
                <w:color w:val="17365D" w:themeColor="text2" w:themeShade="BF"/>
                <w:sz w:val="18"/>
                <w:szCs w:val="18"/>
              </w:rPr>
              <w:t>Mixed fruit</w:t>
            </w:r>
          </w:p>
        </w:tc>
        <w:tc>
          <w:tcPr>
            <w:tcW w:w="977" w:type="dxa"/>
            <w:gridSpan w:val="2"/>
            <w:vAlign w:val="center"/>
          </w:tcPr>
          <w:p w14:paraId="51593253" w14:textId="7687FAB9" w:rsidR="00D94AC7" w:rsidRPr="00091E61"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w:t>
            </w:r>
            <w:r w:rsidRPr="00091E61">
              <w:rPr>
                <w:rFonts w:ascii="Arial" w:hAnsi="Arial" w:cs="Arial"/>
                <w:color w:val="17365D" w:themeColor="text2" w:themeShade="BF"/>
                <w:sz w:val="18"/>
                <w:szCs w:val="18"/>
              </w:rPr>
              <w:t>%</w:t>
            </w:r>
          </w:p>
        </w:tc>
        <w:tc>
          <w:tcPr>
            <w:tcW w:w="977" w:type="dxa"/>
            <w:vAlign w:val="center"/>
          </w:tcPr>
          <w:p w14:paraId="65EC8513" w14:textId="442E923C"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-10.4</w:t>
            </w:r>
            <w:r w:rsidRPr="00E407FC">
              <w:rPr>
                <w:rFonts w:ascii="Arial" w:hAnsi="Arial" w:cs="Arial"/>
                <w:color w:val="17365D" w:themeColor="text2" w:themeShade="BF"/>
                <w:sz w:val="18"/>
                <w:szCs w:val="18"/>
              </w:rPr>
              <w:t>%</w:t>
            </w:r>
          </w:p>
        </w:tc>
        <w:tc>
          <w:tcPr>
            <w:tcW w:w="977" w:type="dxa"/>
            <w:vAlign w:val="center"/>
          </w:tcPr>
          <w:p w14:paraId="3DBA0B76" w14:textId="22B25B0B"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+8.4</w:t>
            </w:r>
            <w:r w:rsidRPr="00E407FC">
              <w:rPr>
                <w:rFonts w:ascii="Arial" w:hAnsi="Arial" w:cs="Arial"/>
                <w:color w:val="17365D" w:themeColor="text2" w:themeShade="BF"/>
                <w:sz w:val="18"/>
                <w:szCs w:val="18"/>
              </w:rPr>
              <w:t>%</w:t>
            </w:r>
          </w:p>
        </w:tc>
        <w:tc>
          <w:tcPr>
            <w:tcW w:w="977" w:type="dxa"/>
            <w:vAlign w:val="center"/>
          </w:tcPr>
          <w:p w14:paraId="25567460" w14:textId="6B9D16EA"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+59.2</w:t>
            </w:r>
            <w:r w:rsidRPr="00E407FC">
              <w:rPr>
                <w:rFonts w:ascii="Arial" w:hAnsi="Arial" w:cs="Arial"/>
                <w:color w:val="17365D" w:themeColor="text2" w:themeShade="BF"/>
                <w:sz w:val="18"/>
                <w:szCs w:val="18"/>
              </w:rPr>
              <w:t>%</w:t>
            </w:r>
          </w:p>
        </w:tc>
        <w:tc>
          <w:tcPr>
            <w:tcW w:w="977" w:type="dxa"/>
            <w:vAlign w:val="center"/>
          </w:tcPr>
          <w:p w14:paraId="00BB5DCC" w14:textId="66B49FB9"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Pr>
                <w:rFonts w:ascii="Arial" w:hAnsi="Arial" w:cs="Arial"/>
                <w:color w:val="17365D" w:themeColor="text2" w:themeShade="BF"/>
                <w:sz w:val="18"/>
                <w:szCs w:val="18"/>
              </w:rPr>
              <w:t>+28.6</w:t>
            </w:r>
            <w:r w:rsidRPr="00E407FC">
              <w:rPr>
                <w:rFonts w:ascii="Arial" w:hAnsi="Arial" w:cs="Arial"/>
                <w:color w:val="17365D" w:themeColor="text2" w:themeShade="BF"/>
                <w:sz w:val="18"/>
                <w:szCs w:val="18"/>
              </w:rPr>
              <w:t>%</w:t>
            </w:r>
          </w:p>
        </w:tc>
        <w:tc>
          <w:tcPr>
            <w:tcW w:w="977" w:type="dxa"/>
            <w:vAlign w:val="center"/>
          </w:tcPr>
          <w:p w14:paraId="2F0A0333" w14:textId="3574E903"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29.3</w:t>
            </w:r>
            <w:r w:rsidRPr="00E407FC">
              <w:rPr>
                <w:rFonts w:ascii="Arial" w:hAnsi="Arial" w:cs="Arial"/>
                <w:bCs/>
                <w:color w:val="17365D" w:themeColor="text2" w:themeShade="BF"/>
                <w:sz w:val="18"/>
                <w:szCs w:val="18"/>
              </w:rPr>
              <w:t>%</w:t>
            </w:r>
          </w:p>
        </w:tc>
        <w:tc>
          <w:tcPr>
            <w:tcW w:w="977" w:type="dxa"/>
            <w:vAlign w:val="center"/>
          </w:tcPr>
          <w:p w14:paraId="2E2975D3" w14:textId="32CF76F3" w:rsidR="00D94AC7" w:rsidRPr="00E407FC" w:rsidRDefault="00D94AC7" w:rsidP="00D94AC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8"/>
                <w:szCs w:val="18"/>
              </w:rPr>
            </w:pPr>
            <w:r w:rsidRPr="00E407FC">
              <w:rPr>
                <w:rFonts w:ascii="Arial" w:hAnsi="Arial" w:cs="Arial"/>
                <w:bCs/>
                <w:color w:val="17365D" w:themeColor="text2" w:themeShade="BF"/>
                <w:sz w:val="18"/>
                <w:szCs w:val="18"/>
              </w:rPr>
              <w:t>$</w:t>
            </w:r>
            <w:r>
              <w:rPr>
                <w:rFonts w:ascii="Arial" w:hAnsi="Arial" w:cs="Arial"/>
                <w:bCs/>
                <w:color w:val="17365D" w:themeColor="text2" w:themeShade="BF"/>
                <w:sz w:val="18"/>
                <w:szCs w:val="18"/>
              </w:rPr>
              <w:t>86</w:t>
            </w:r>
            <w:r w:rsidRPr="00E407FC">
              <w:rPr>
                <w:rFonts w:ascii="Arial" w:hAnsi="Arial" w:cs="Arial"/>
                <w:bCs/>
                <w:color w:val="17365D" w:themeColor="text2" w:themeShade="BF"/>
                <w:sz w:val="18"/>
                <w:szCs w:val="18"/>
              </w:rPr>
              <w:t>M</w:t>
            </w:r>
          </w:p>
        </w:tc>
        <w:tc>
          <w:tcPr>
            <w:tcW w:w="977" w:type="dxa"/>
          </w:tcPr>
          <w:p w14:paraId="0799EAC6" w14:textId="160F7D7E" w:rsidR="00D94AC7" w:rsidRDefault="00D94AC7" w:rsidP="00D94AC7">
            <w:pPr>
              <w:jc w:val="right"/>
              <w:cnfStyle w:val="000000000000" w:firstRow="0" w:lastRow="0" w:firstColumn="0" w:lastColumn="0" w:oddVBand="0" w:evenVBand="0" w:oddHBand="0" w:evenHBand="0" w:firstRowFirstColumn="0" w:firstRowLastColumn="0" w:lastRowFirstColumn="0" w:lastRowLastColumn="0"/>
            </w:pPr>
            <w:r w:rsidRPr="006C65D2">
              <w:rPr>
                <w:rFonts w:ascii="Arial" w:hAnsi="Arial" w:cs="Arial"/>
                <w:bCs/>
                <w:color w:val="17365D" w:themeColor="text2" w:themeShade="BF"/>
                <w:sz w:val="18"/>
                <w:szCs w:val="18"/>
              </w:rPr>
              <w:t>+</w:t>
            </w:r>
            <w:r>
              <w:rPr>
                <w:rFonts w:ascii="Arial" w:hAnsi="Arial" w:cs="Arial"/>
                <w:bCs/>
                <w:color w:val="17365D" w:themeColor="text2" w:themeShade="BF"/>
                <w:sz w:val="18"/>
                <w:szCs w:val="18"/>
              </w:rPr>
              <w:t>21.0</w:t>
            </w:r>
            <w:r w:rsidRPr="006C65D2">
              <w:rPr>
                <w:rFonts w:ascii="Arial" w:hAnsi="Arial" w:cs="Arial"/>
                <w:bCs/>
                <w:color w:val="17365D" w:themeColor="text2" w:themeShade="BF"/>
                <w:sz w:val="18"/>
                <w:szCs w:val="18"/>
              </w:rPr>
              <w:t>%</w:t>
            </w:r>
          </w:p>
        </w:tc>
        <w:tc>
          <w:tcPr>
            <w:tcW w:w="977" w:type="dxa"/>
          </w:tcPr>
          <w:p w14:paraId="36D051DC" w14:textId="490A8684" w:rsidR="00D94AC7" w:rsidRDefault="00D94AC7" w:rsidP="00D94AC7">
            <w:pPr>
              <w:jc w:val="right"/>
              <w:cnfStyle w:val="000000000000" w:firstRow="0" w:lastRow="0" w:firstColumn="0" w:lastColumn="0" w:oddVBand="0" w:evenVBand="0" w:oddHBand="0" w:evenHBand="0" w:firstRowFirstColumn="0" w:firstRowLastColumn="0" w:lastRowFirstColumn="0" w:lastRowLastColumn="0"/>
            </w:pPr>
            <w:r w:rsidRPr="003708BA">
              <w:rPr>
                <w:rFonts w:ascii="Arial" w:hAnsi="Arial" w:cs="Arial"/>
                <w:bCs/>
                <w:color w:val="17365D" w:themeColor="text2" w:themeShade="BF"/>
                <w:sz w:val="18"/>
                <w:szCs w:val="18"/>
              </w:rPr>
              <w:t>+</w:t>
            </w:r>
            <w:r>
              <w:rPr>
                <w:rFonts w:ascii="Arial" w:hAnsi="Arial" w:cs="Arial"/>
                <w:bCs/>
                <w:color w:val="17365D" w:themeColor="text2" w:themeShade="BF"/>
                <w:sz w:val="18"/>
                <w:szCs w:val="18"/>
              </w:rPr>
              <w:t>9.3</w:t>
            </w:r>
            <w:r w:rsidRPr="003708BA">
              <w:rPr>
                <w:rFonts w:ascii="Arial" w:hAnsi="Arial" w:cs="Arial"/>
                <w:bCs/>
                <w:color w:val="17365D" w:themeColor="text2" w:themeShade="BF"/>
                <w:sz w:val="18"/>
                <w:szCs w:val="18"/>
              </w:rPr>
              <w:t>%</w:t>
            </w:r>
          </w:p>
        </w:tc>
      </w:tr>
    </w:tbl>
    <w:p w14:paraId="09DFFB42" w14:textId="77777777" w:rsidR="00CB6454" w:rsidRPr="00EA1FE4" w:rsidRDefault="00CB6454" w:rsidP="00CB6454">
      <w:pPr>
        <w:pStyle w:val="NoSpacing"/>
        <w:rPr>
          <w:rFonts w:ascii="Arial" w:hAnsi="Arial" w:cs="Arial"/>
          <w:sz w:val="10"/>
          <w:szCs w:val="10"/>
        </w:rPr>
      </w:pPr>
    </w:p>
    <w:p w14:paraId="70B6D0A4" w14:textId="77777777" w:rsidR="00CB6454" w:rsidRPr="00B35CE9" w:rsidRDefault="00CB6454" w:rsidP="00CB6454">
      <w:pPr>
        <w:pStyle w:val="NoSpacing"/>
        <w:rPr>
          <w:rFonts w:ascii="Arial" w:hAnsi="Arial" w:cs="Arial"/>
          <w:sz w:val="16"/>
          <w:szCs w:val="16"/>
        </w:rPr>
      </w:pPr>
      <w:r>
        <w:rPr>
          <w:rFonts w:ascii="Arial" w:hAnsi="Arial" w:cs="Arial"/>
          <w:sz w:val="16"/>
          <w:szCs w:val="16"/>
        </w:rPr>
        <w:t xml:space="preserve">    </w:t>
      </w:r>
      <w:r w:rsidRPr="00B35CE9">
        <w:rPr>
          <w:rFonts w:ascii="Arial" w:hAnsi="Arial" w:cs="Arial"/>
          <w:sz w:val="16"/>
          <w:szCs w:val="16"/>
        </w:rPr>
        <w:t>Source: Source</w:t>
      </w:r>
      <w:r>
        <w:rPr>
          <w:rFonts w:ascii="Arial" w:hAnsi="Arial" w:cs="Arial"/>
          <w:sz w:val="16"/>
          <w:szCs w:val="16"/>
        </w:rPr>
        <w:t>: IRI Integrated Fresh, Total U.S., MULO</w:t>
      </w:r>
    </w:p>
    <w:p w14:paraId="306F103A" w14:textId="77777777" w:rsidR="00E43E81" w:rsidRDefault="00E43E81" w:rsidP="00E43E81">
      <w:pPr>
        <w:pStyle w:val="NoSpacing"/>
        <w:rPr>
          <w:rFonts w:ascii="Arial" w:hAnsi="Arial" w:cs="Arial"/>
          <w:sz w:val="20"/>
          <w:shd w:val="clear" w:color="auto" w:fill="FFFFFF"/>
        </w:rPr>
      </w:pPr>
    </w:p>
    <w:p w14:paraId="2FCE433C" w14:textId="77777777" w:rsidR="00DB444F" w:rsidRDefault="00DB444F" w:rsidP="00B10C22">
      <w:pPr>
        <w:pStyle w:val="NoSpacing"/>
        <w:rPr>
          <w:rFonts w:ascii="Arial" w:hAnsi="Arial" w:cs="Arial"/>
          <w:b/>
          <w:color w:val="595959" w:themeColor="text1" w:themeTint="A6"/>
          <w:sz w:val="24"/>
          <w:szCs w:val="24"/>
        </w:rPr>
      </w:pPr>
    </w:p>
    <w:p w14:paraId="16F61730" w14:textId="24BF89BC" w:rsidR="00B10C22" w:rsidRPr="00BF7B2A" w:rsidRDefault="00B10C22" w:rsidP="00B10C22">
      <w:pPr>
        <w:pStyle w:val="NoSpacing"/>
        <w:rPr>
          <w:rFonts w:ascii="Arial" w:hAnsi="Arial" w:cs="Arial"/>
          <w:b/>
          <w:color w:val="595959" w:themeColor="text1" w:themeTint="A6"/>
          <w:sz w:val="24"/>
          <w:szCs w:val="24"/>
        </w:rPr>
      </w:pPr>
      <w:r w:rsidRPr="00BF7B2A">
        <w:rPr>
          <w:rFonts w:ascii="Arial" w:hAnsi="Arial" w:cs="Arial"/>
          <w:b/>
          <w:color w:val="595959" w:themeColor="text1" w:themeTint="A6"/>
          <w:sz w:val="24"/>
          <w:szCs w:val="24"/>
        </w:rPr>
        <w:t xml:space="preserve">Fresh </w:t>
      </w:r>
      <w:r w:rsidR="00BF7B2A">
        <w:rPr>
          <w:rFonts w:ascii="Arial" w:hAnsi="Arial" w:cs="Arial"/>
          <w:b/>
          <w:color w:val="595959" w:themeColor="text1" w:themeTint="A6"/>
          <w:sz w:val="24"/>
          <w:szCs w:val="24"/>
        </w:rPr>
        <w:t>V</w:t>
      </w:r>
      <w:r w:rsidRPr="00BF7B2A">
        <w:rPr>
          <w:rFonts w:ascii="Arial" w:hAnsi="Arial" w:cs="Arial"/>
          <w:b/>
          <w:color w:val="595959" w:themeColor="text1" w:themeTint="A6"/>
          <w:sz w:val="24"/>
          <w:szCs w:val="24"/>
        </w:rPr>
        <w:t>egetables</w:t>
      </w:r>
      <w:r w:rsidR="00EB33CE">
        <w:rPr>
          <w:rFonts w:ascii="Arial" w:hAnsi="Arial" w:cs="Arial"/>
          <w:b/>
          <w:color w:val="595959" w:themeColor="text1" w:themeTint="A6"/>
          <w:sz w:val="24"/>
          <w:szCs w:val="24"/>
        </w:rPr>
        <w:t xml:space="preserve"> Sales in </w:t>
      </w:r>
      <w:r w:rsidR="00280853">
        <w:rPr>
          <w:rFonts w:ascii="Arial" w:hAnsi="Arial" w:cs="Arial"/>
          <w:b/>
          <w:color w:val="595959" w:themeColor="text1" w:themeTint="A6"/>
          <w:sz w:val="24"/>
          <w:szCs w:val="24"/>
        </w:rPr>
        <w:t>January</w:t>
      </w:r>
    </w:p>
    <w:p w14:paraId="79E43D5D" w14:textId="14AD39CF" w:rsidR="00836D73" w:rsidRDefault="007273B2" w:rsidP="00B10C22">
      <w:pPr>
        <w:pStyle w:val="NoSpacing"/>
        <w:rPr>
          <w:rFonts w:ascii="Arial" w:hAnsi="Arial" w:cs="Arial"/>
          <w:sz w:val="20"/>
          <w:szCs w:val="20"/>
        </w:rPr>
      </w:pPr>
      <w:r>
        <w:rPr>
          <w:rFonts w:ascii="Arial" w:hAnsi="Arial" w:cs="Arial"/>
          <w:sz w:val="20"/>
          <w:szCs w:val="20"/>
        </w:rPr>
        <w:t>“</w:t>
      </w:r>
      <w:r w:rsidR="00AD5C59">
        <w:rPr>
          <w:rFonts w:ascii="Arial" w:hAnsi="Arial" w:cs="Arial"/>
          <w:sz w:val="20"/>
          <w:szCs w:val="20"/>
        </w:rPr>
        <w:t>The top 10 sellers on the vegetable side had a mixed performance in terms of dollar sales growth</w:t>
      </w:r>
      <w:r w:rsidR="00DB3E36">
        <w:rPr>
          <w:rFonts w:ascii="Arial" w:hAnsi="Arial" w:cs="Arial"/>
          <w:sz w:val="20"/>
          <w:szCs w:val="20"/>
        </w:rPr>
        <w:t xml:space="preserve"> but has been very consistent in makeup</w:t>
      </w:r>
      <w:r w:rsidR="00546508">
        <w:rPr>
          <w:rFonts w:ascii="Arial" w:hAnsi="Arial" w:cs="Arial"/>
          <w:sz w:val="20"/>
          <w:szCs w:val="20"/>
        </w:rPr>
        <w:t xml:space="preserve">,” said Watson. </w:t>
      </w:r>
      <w:r w:rsidR="00084469">
        <w:rPr>
          <w:rFonts w:ascii="Arial" w:hAnsi="Arial" w:cs="Arial"/>
          <w:sz w:val="20"/>
          <w:szCs w:val="20"/>
        </w:rPr>
        <w:t>“</w:t>
      </w:r>
      <w:r w:rsidR="00DB3E36">
        <w:rPr>
          <w:rFonts w:ascii="Arial" w:hAnsi="Arial" w:cs="Arial"/>
          <w:sz w:val="20"/>
          <w:szCs w:val="20"/>
        </w:rPr>
        <w:t>Tomatoes, potatoes and packaged salads have been the top three sellers for many months running</w:t>
      </w:r>
      <w:r w:rsidR="00AD5C59">
        <w:rPr>
          <w:rFonts w:ascii="Arial" w:hAnsi="Arial" w:cs="Arial"/>
          <w:sz w:val="20"/>
          <w:szCs w:val="20"/>
        </w:rPr>
        <w:t>.</w:t>
      </w:r>
      <w:r w:rsidR="00DB3E36">
        <w:rPr>
          <w:rFonts w:ascii="Arial" w:hAnsi="Arial" w:cs="Arial"/>
          <w:sz w:val="20"/>
          <w:szCs w:val="20"/>
        </w:rPr>
        <w:t xml:space="preserve"> The importance of salads is further underscored by lettuce sales, in fourth place.</w:t>
      </w:r>
      <w:r w:rsidR="00A225C7">
        <w:rPr>
          <w:rFonts w:ascii="Arial" w:hAnsi="Arial" w:cs="Arial"/>
          <w:sz w:val="20"/>
          <w:szCs w:val="20"/>
        </w:rPr>
        <w:t>”</w:t>
      </w:r>
      <w:r w:rsidR="00DB3E36">
        <w:rPr>
          <w:rFonts w:ascii="Arial" w:hAnsi="Arial" w:cs="Arial"/>
          <w:sz w:val="20"/>
          <w:szCs w:val="20"/>
        </w:rPr>
        <w:t xml:space="preserve"> Carrots had the strongest volume growth performance, pulling even with </w:t>
      </w:r>
      <w:r w:rsidR="00061697">
        <w:rPr>
          <w:rFonts w:ascii="Arial" w:hAnsi="Arial" w:cs="Arial"/>
          <w:sz w:val="20"/>
          <w:szCs w:val="20"/>
        </w:rPr>
        <w:t xml:space="preserve">year ago levels. </w:t>
      </w:r>
      <w:r w:rsidR="00CF30D8">
        <w:rPr>
          <w:rFonts w:ascii="Arial" w:hAnsi="Arial" w:cs="Arial"/>
          <w:sz w:val="20"/>
          <w:szCs w:val="20"/>
        </w:rPr>
        <w:t xml:space="preserve"> </w:t>
      </w:r>
    </w:p>
    <w:p w14:paraId="44130A14" w14:textId="77777777" w:rsidR="001F53D3" w:rsidRPr="002E6833" w:rsidRDefault="001F53D3" w:rsidP="00B10C22">
      <w:pPr>
        <w:pStyle w:val="NoSpacing"/>
        <w:rPr>
          <w:rFonts w:ascii="Arial" w:hAnsi="Arial" w:cs="Arial"/>
          <w:sz w:val="18"/>
          <w:szCs w:val="20"/>
        </w:rPr>
      </w:pPr>
    </w:p>
    <w:tbl>
      <w:tblPr>
        <w:tblStyle w:val="LightShading-Accent5"/>
        <w:tblW w:w="10368" w:type="dxa"/>
        <w:tblBorders>
          <w:top w:val="none" w:sz="0" w:space="0" w:color="auto"/>
          <w:bottom w:val="none" w:sz="0" w:space="0" w:color="auto"/>
        </w:tblBorders>
        <w:tblLayout w:type="fixed"/>
        <w:tblLook w:val="04A0" w:firstRow="1" w:lastRow="0" w:firstColumn="1" w:lastColumn="0" w:noHBand="0" w:noVBand="1"/>
      </w:tblPr>
      <w:tblGrid>
        <w:gridCol w:w="1560"/>
        <w:gridCol w:w="800"/>
        <w:gridCol w:w="178"/>
        <w:gridCol w:w="979"/>
        <w:gridCol w:w="979"/>
        <w:gridCol w:w="978"/>
        <w:gridCol w:w="979"/>
        <w:gridCol w:w="979"/>
        <w:gridCol w:w="978"/>
        <w:gridCol w:w="979"/>
        <w:gridCol w:w="979"/>
      </w:tblGrid>
      <w:tr w:rsidR="00E623A4" w:rsidRPr="0003007F" w14:paraId="7A470830" w14:textId="77777777" w:rsidTr="003168B6">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360" w:type="dxa"/>
            <w:gridSpan w:val="2"/>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9766D52" w14:textId="77777777" w:rsidR="00E623A4" w:rsidRPr="00AB1306" w:rsidRDefault="00E623A4" w:rsidP="00CF30D8">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8008" w:type="dxa"/>
            <w:gridSpan w:val="9"/>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F4CA447" w14:textId="77777777" w:rsidR="00E623A4" w:rsidRPr="0003007F" w:rsidRDefault="00E623A4" w:rsidP="00CF30D8">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AB1306">
              <w:rPr>
                <w:rFonts w:ascii="Arial" w:hAnsi="Arial" w:cs="Arial"/>
                <w:color w:val="FFFFFF" w:themeColor="background1"/>
                <w:sz w:val="18"/>
                <w:szCs w:val="18"/>
              </w:rPr>
              <w:t>Dollar sal</w:t>
            </w:r>
            <w:r>
              <w:rPr>
                <w:rFonts w:ascii="Arial" w:hAnsi="Arial" w:cs="Arial"/>
                <w:color w:val="FFFFFF" w:themeColor="background1"/>
                <w:sz w:val="18"/>
                <w:szCs w:val="18"/>
              </w:rPr>
              <w:t>es increase over comparable period</w:t>
            </w:r>
            <w:r w:rsidRPr="00AB1306">
              <w:rPr>
                <w:rFonts w:ascii="Arial" w:hAnsi="Arial" w:cs="Arial"/>
                <w:color w:val="FFFFFF" w:themeColor="background1"/>
                <w:sz w:val="18"/>
                <w:szCs w:val="18"/>
              </w:rPr>
              <w:t xml:space="preserve"> </w:t>
            </w:r>
            <w:r w:rsidR="002C11A9">
              <w:rPr>
                <w:rFonts w:ascii="Arial" w:hAnsi="Arial" w:cs="Arial"/>
                <w:color w:val="FFFFFF" w:themeColor="background1"/>
                <w:sz w:val="18"/>
                <w:szCs w:val="18"/>
              </w:rPr>
              <w:t>YA</w:t>
            </w:r>
          </w:p>
        </w:tc>
      </w:tr>
      <w:tr w:rsidR="00452431" w:rsidRPr="0003007F" w14:paraId="1A8BBFDE" w14:textId="77777777" w:rsidTr="003168B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560" w:type="dxa"/>
            <w:shd w:val="clear" w:color="auto" w:fill="17365D" w:themeFill="text2" w:themeFillShade="BF"/>
            <w:vAlign w:val="center"/>
          </w:tcPr>
          <w:p w14:paraId="121215D2" w14:textId="77777777" w:rsidR="00452431" w:rsidRPr="0003007F" w:rsidRDefault="00452431" w:rsidP="00452431">
            <w:pPr>
              <w:pStyle w:val="NoSpacing"/>
              <w:jc w:val="right"/>
              <w:rPr>
                <w:rFonts w:ascii="Arial" w:hAnsi="Arial" w:cs="Arial"/>
                <w:color w:val="FFFFFF" w:themeColor="background1"/>
                <w:sz w:val="18"/>
                <w:szCs w:val="18"/>
              </w:rPr>
            </w:pPr>
          </w:p>
        </w:tc>
        <w:tc>
          <w:tcPr>
            <w:tcW w:w="978" w:type="dxa"/>
            <w:gridSpan w:val="2"/>
            <w:shd w:val="clear" w:color="auto" w:fill="17365D" w:themeFill="text2" w:themeFillShade="BF"/>
            <w:vAlign w:val="bottom"/>
          </w:tcPr>
          <w:p w14:paraId="5ADBE0D8" w14:textId="77777777" w:rsidR="00452431" w:rsidRPr="000F7932" w:rsidRDefault="00452431" w:rsidP="0045243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979" w:type="dxa"/>
            <w:shd w:val="clear" w:color="auto" w:fill="17365D" w:themeFill="text2" w:themeFillShade="BF"/>
            <w:vAlign w:val="bottom"/>
          </w:tcPr>
          <w:p w14:paraId="404DAA37" w14:textId="77777777" w:rsidR="00452431" w:rsidRPr="000F7932" w:rsidRDefault="00452431" w:rsidP="0045243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w:t>
            </w:r>
            <w:r w:rsidRPr="000F7932">
              <w:rPr>
                <w:rFonts w:ascii="Arial" w:hAnsi="Arial" w:cs="Arial"/>
                <w:b/>
                <w:color w:val="FFFFFF" w:themeColor="background1"/>
                <w:sz w:val="18"/>
                <w:szCs w:val="18"/>
              </w:rPr>
              <w:t>20</w:t>
            </w:r>
          </w:p>
        </w:tc>
        <w:tc>
          <w:tcPr>
            <w:tcW w:w="979" w:type="dxa"/>
            <w:shd w:val="clear" w:color="auto" w:fill="17365D" w:themeFill="text2" w:themeFillShade="BF"/>
            <w:vAlign w:val="bottom"/>
          </w:tcPr>
          <w:p w14:paraId="7E87E175" w14:textId="77777777" w:rsidR="00452431" w:rsidRPr="000F7932" w:rsidRDefault="00452431"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0F7932">
              <w:rPr>
                <w:rFonts w:ascii="Arial" w:hAnsi="Arial" w:cs="Arial"/>
                <w:b/>
                <w:color w:val="FFFFFF" w:themeColor="background1"/>
                <w:sz w:val="18"/>
                <w:szCs w:val="18"/>
              </w:rPr>
              <w:t>Q1 ‘21</w:t>
            </w:r>
          </w:p>
        </w:tc>
        <w:tc>
          <w:tcPr>
            <w:tcW w:w="978" w:type="dxa"/>
            <w:shd w:val="clear" w:color="auto" w:fill="17365D" w:themeFill="text2" w:themeFillShade="BF"/>
            <w:vAlign w:val="bottom"/>
          </w:tcPr>
          <w:p w14:paraId="3DE151C5" w14:textId="77777777" w:rsidR="00452431" w:rsidRPr="000F7932" w:rsidRDefault="00452431"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w:t>
            </w:r>
            <w:r w:rsidRPr="000F7932">
              <w:rPr>
                <w:rFonts w:ascii="Arial" w:hAnsi="Arial" w:cs="Arial"/>
                <w:b/>
                <w:color w:val="FFFFFF" w:themeColor="background1"/>
                <w:sz w:val="18"/>
                <w:szCs w:val="18"/>
              </w:rPr>
              <w:t xml:space="preserve"> ‘21</w:t>
            </w:r>
          </w:p>
        </w:tc>
        <w:tc>
          <w:tcPr>
            <w:tcW w:w="979" w:type="dxa"/>
            <w:shd w:val="clear" w:color="auto" w:fill="17365D" w:themeFill="text2" w:themeFillShade="BF"/>
            <w:vAlign w:val="bottom"/>
          </w:tcPr>
          <w:p w14:paraId="080ACD9C" w14:textId="77777777" w:rsidR="00452431" w:rsidRDefault="00452431"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‘21</w:t>
            </w:r>
          </w:p>
        </w:tc>
        <w:tc>
          <w:tcPr>
            <w:tcW w:w="979" w:type="dxa"/>
            <w:shd w:val="clear" w:color="auto" w:fill="17365D" w:themeFill="text2" w:themeFillShade="BF"/>
            <w:vAlign w:val="bottom"/>
          </w:tcPr>
          <w:p w14:paraId="217E8163" w14:textId="77777777" w:rsidR="00452431" w:rsidRDefault="00452431"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21</w:t>
            </w:r>
          </w:p>
        </w:tc>
        <w:tc>
          <w:tcPr>
            <w:tcW w:w="978" w:type="dxa"/>
            <w:shd w:val="clear" w:color="auto" w:fill="17365D" w:themeFill="text2" w:themeFillShade="BF"/>
            <w:vAlign w:val="bottom"/>
          </w:tcPr>
          <w:p w14:paraId="0D3670C9" w14:textId="77777777" w:rsidR="00452431" w:rsidRPr="000F7932" w:rsidRDefault="00452431"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Jan ‘22</w:t>
            </w:r>
          </w:p>
        </w:tc>
        <w:tc>
          <w:tcPr>
            <w:tcW w:w="979" w:type="dxa"/>
            <w:shd w:val="clear" w:color="auto" w:fill="17365D" w:themeFill="text2" w:themeFillShade="BF"/>
            <w:vAlign w:val="bottom"/>
          </w:tcPr>
          <w:p w14:paraId="7C917CDF" w14:textId="762E6DDB" w:rsidR="00452431" w:rsidRPr="000F7932" w:rsidRDefault="00452431"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w:t>
            </w:r>
            <w:r w:rsidRPr="000F7932">
              <w:rPr>
                <w:rFonts w:ascii="Arial" w:hAnsi="Arial" w:cs="Arial"/>
                <w:b/>
                <w:color w:val="FFFFFF" w:themeColor="background1"/>
                <w:sz w:val="18"/>
                <w:szCs w:val="18"/>
              </w:rPr>
              <w:t xml:space="preserve"> </w:t>
            </w:r>
            <w:r>
              <w:rPr>
                <w:rFonts w:ascii="Arial" w:hAnsi="Arial" w:cs="Arial"/>
                <w:b/>
                <w:color w:val="FFFFFF" w:themeColor="background1"/>
                <w:sz w:val="18"/>
                <w:szCs w:val="18"/>
              </w:rPr>
              <w:br/>
            </w:r>
            <w:r w:rsidRPr="000F7932">
              <w:rPr>
                <w:rFonts w:ascii="Arial" w:hAnsi="Arial" w:cs="Arial"/>
                <w:b/>
                <w:color w:val="FFFFFF" w:themeColor="background1"/>
                <w:sz w:val="18"/>
                <w:szCs w:val="18"/>
              </w:rPr>
              <w:t xml:space="preserve">vs </w:t>
            </w:r>
            <w:r>
              <w:rPr>
                <w:rFonts w:ascii="Arial" w:hAnsi="Arial" w:cs="Arial"/>
                <w:b/>
                <w:color w:val="FFFFFF" w:themeColor="background1"/>
                <w:sz w:val="18"/>
                <w:szCs w:val="18"/>
              </w:rPr>
              <w:t>YA</w:t>
            </w:r>
          </w:p>
        </w:tc>
        <w:tc>
          <w:tcPr>
            <w:tcW w:w="979" w:type="dxa"/>
            <w:shd w:val="clear" w:color="auto" w:fill="17365D" w:themeFill="text2" w:themeFillShade="BF"/>
            <w:vAlign w:val="bottom"/>
          </w:tcPr>
          <w:p w14:paraId="74707D81" w14:textId="2A37BE61" w:rsidR="00452431" w:rsidRPr="000F7932" w:rsidRDefault="00452431" w:rsidP="0045243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proofErr w:type="spellStart"/>
            <w:r>
              <w:rPr>
                <w:rFonts w:ascii="Arial" w:hAnsi="Arial" w:cs="Arial"/>
                <w:b/>
                <w:color w:val="FFFFFF" w:themeColor="background1"/>
                <w:sz w:val="18"/>
                <w:szCs w:val="18"/>
              </w:rPr>
              <w:t>lbs</w:t>
            </w:r>
            <w:proofErr w:type="spellEnd"/>
            <w:r>
              <w:rPr>
                <w:rFonts w:ascii="Arial" w:hAnsi="Arial" w:cs="Arial"/>
                <w:b/>
                <w:color w:val="FFFFFF" w:themeColor="background1"/>
                <w:sz w:val="18"/>
                <w:szCs w:val="18"/>
              </w:rPr>
              <w:t xml:space="preserve"> vs YA</w:t>
            </w:r>
          </w:p>
        </w:tc>
      </w:tr>
      <w:tr w:rsidR="003168B6" w:rsidRPr="00091E61" w14:paraId="64FEFD1E" w14:textId="77777777" w:rsidTr="003168B6">
        <w:trPr>
          <w:trHeight w:val="298"/>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7E4C60D1" w14:textId="77777777" w:rsidR="003168B6" w:rsidRPr="00091E61" w:rsidRDefault="003168B6" w:rsidP="001D0D13">
            <w:pPr>
              <w:pStyle w:val="NoSpacing"/>
              <w:jc w:val="right"/>
              <w:rPr>
                <w:rFonts w:ascii="Arial" w:hAnsi="Arial" w:cs="Arial"/>
                <w:color w:val="215868" w:themeColor="accent5" w:themeShade="80"/>
                <w:sz w:val="18"/>
                <w:szCs w:val="18"/>
              </w:rPr>
            </w:pPr>
            <w:r w:rsidRPr="00091E61">
              <w:rPr>
                <w:rFonts w:ascii="Arial" w:hAnsi="Arial" w:cs="Arial"/>
                <w:color w:val="215868" w:themeColor="accent5" w:themeShade="80"/>
                <w:sz w:val="18"/>
                <w:szCs w:val="18"/>
              </w:rPr>
              <w:t>Fresh vegetables</w:t>
            </w:r>
          </w:p>
        </w:tc>
        <w:tc>
          <w:tcPr>
            <w:tcW w:w="978" w:type="dxa"/>
            <w:gridSpan w:val="2"/>
            <w:vAlign w:val="center"/>
          </w:tcPr>
          <w:p w14:paraId="532B2278" w14:textId="1BCCC507" w:rsidR="003168B6" w:rsidRPr="00091E61" w:rsidRDefault="003168B6"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sidRPr="00091E61">
              <w:rPr>
                <w:rFonts w:ascii="Arial" w:hAnsi="Arial" w:cs="Arial"/>
                <w:b/>
                <w:bCs/>
                <w:color w:val="215868"/>
                <w:sz w:val="18"/>
                <w:szCs w:val="18"/>
              </w:rPr>
              <w:t>+</w:t>
            </w:r>
            <w:r w:rsidR="00760CA8">
              <w:rPr>
                <w:rFonts w:ascii="Arial" w:hAnsi="Arial" w:cs="Arial"/>
                <w:b/>
                <w:bCs/>
                <w:color w:val="215868"/>
                <w:sz w:val="18"/>
                <w:szCs w:val="18"/>
              </w:rPr>
              <w:t>3.9</w:t>
            </w:r>
            <w:r w:rsidRPr="00091E61">
              <w:rPr>
                <w:rFonts w:ascii="Arial" w:hAnsi="Arial" w:cs="Arial"/>
                <w:b/>
                <w:bCs/>
                <w:color w:val="215868"/>
                <w:sz w:val="18"/>
                <w:szCs w:val="18"/>
              </w:rPr>
              <w:t>%</w:t>
            </w:r>
          </w:p>
        </w:tc>
        <w:tc>
          <w:tcPr>
            <w:tcW w:w="979" w:type="dxa"/>
            <w:vAlign w:val="center"/>
          </w:tcPr>
          <w:p w14:paraId="38D628D7" w14:textId="2AB16628" w:rsidR="003168B6" w:rsidRPr="00091E61" w:rsidRDefault="003168B6"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sidRPr="00091E61">
              <w:rPr>
                <w:rFonts w:ascii="Arial" w:hAnsi="Arial" w:cs="Arial"/>
                <w:b/>
                <w:bCs/>
                <w:color w:val="215868"/>
                <w:sz w:val="18"/>
                <w:szCs w:val="18"/>
              </w:rPr>
              <w:t>+</w:t>
            </w:r>
            <w:r w:rsidR="00760CA8">
              <w:rPr>
                <w:rFonts w:ascii="Arial" w:hAnsi="Arial" w:cs="Arial"/>
                <w:b/>
                <w:bCs/>
                <w:color w:val="215868"/>
                <w:sz w:val="18"/>
                <w:szCs w:val="18"/>
              </w:rPr>
              <w:t>14.8</w:t>
            </w:r>
            <w:r w:rsidRPr="00091E61">
              <w:rPr>
                <w:rFonts w:ascii="Arial" w:hAnsi="Arial" w:cs="Arial"/>
                <w:b/>
                <w:bCs/>
                <w:color w:val="215868"/>
                <w:sz w:val="18"/>
                <w:szCs w:val="18"/>
              </w:rPr>
              <w:t>%</w:t>
            </w:r>
          </w:p>
        </w:tc>
        <w:tc>
          <w:tcPr>
            <w:tcW w:w="979" w:type="dxa"/>
            <w:vAlign w:val="center"/>
          </w:tcPr>
          <w:p w14:paraId="0AE99261" w14:textId="3F80A9FB" w:rsidR="003168B6" w:rsidRPr="00091E61" w:rsidRDefault="003168B6"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sidRPr="00091E61">
              <w:rPr>
                <w:rFonts w:ascii="Arial" w:hAnsi="Arial" w:cs="Arial"/>
                <w:b/>
                <w:bCs/>
                <w:color w:val="215868"/>
                <w:sz w:val="18"/>
                <w:szCs w:val="18"/>
              </w:rPr>
              <w:t>+</w:t>
            </w:r>
            <w:r w:rsidR="00760CA8">
              <w:rPr>
                <w:rFonts w:ascii="Arial" w:hAnsi="Arial" w:cs="Arial"/>
                <w:b/>
                <w:bCs/>
                <w:color w:val="215868"/>
                <w:sz w:val="18"/>
                <w:szCs w:val="18"/>
              </w:rPr>
              <w:t>4.7</w:t>
            </w:r>
            <w:r w:rsidRPr="00091E61">
              <w:rPr>
                <w:rFonts w:ascii="Arial" w:hAnsi="Arial" w:cs="Arial"/>
                <w:b/>
                <w:bCs/>
                <w:color w:val="215868"/>
                <w:sz w:val="18"/>
                <w:szCs w:val="18"/>
              </w:rPr>
              <w:t>%</w:t>
            </w:r>
          </w:p>
        </w:tc>
        <w:tc>
          <w:tcPr>
            <w:tcW w:w="978" w:type="dxa"/>
            <w:vAlign w:val="center"/>
          </w:tcPr>
          <w:p w14:paraId="3DA157A6" w14:textId="692137B7" w:rsidR="003168B6" w:rsidRPr="00091E61" w:rsidRDefault="003168B6"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sidRPr="00091E61">
              <w:rPr>
                <w:rFonts w:ascii="Arial" w:hAnsi="Arial" w:cs="Arial"/>
                <w:b/>
                <w:bCs/>
                <w:color w:val="215868"/>
                <w:sz w:val="18"/>
                <w:szCs w:val="18"/>
              </w:rPr>
              <w:t>-</w:t>
            </w:r>
            <w:r w:rsidR="00760CA8">
              <w:rPr>
                <w:rFonts w:ascii="Arial" w:hAnsi="Arial" w:cs="Arial"/>
                <w:b/>
                <w:bCs/>
                <w:color w:val="215868"/>
                <w:sz w:val="18"/>
                <w:szCs w:val="18"/>
              </w:rPr>
              <w:t>7.1</w:t>
            </w:r>
            <w:r w:rsidRPr="00091E61">
              <w:rPr>
                <w:rFonts w:ascii="Arial" w:hAnsi="Arial" w:cs="Arial"/>
                <w:b/>
                <w:bCs/>
                <w:color w:val="215868"/>
                <w:sz w:val="18"/>
                <w:szCs w:val="18"/>
              </w:rPr>
              <w:t>%</w:t>
            </w:r>
          </w:p>
        </w:tc>
        <w:tc>
          <w:tcPr>
            <w:tcW w:w="979" w:type="dxa"/>
            <w:vAlign w:val="center"/>
          </w:tcPr>
          <w:p w14:paraId="71AC4EEC" w14:textId="605113E5" w:rsidR="003168B6" w:rsidRPr="00091E61" w:rsidRDefault="003168B6"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sidRPr="00091E61">
              <w:rPr>
                <w:rFonts w:ascii="Arial" w:hAnsi="Arial" w:cs="Arial"/>
                <w:b/>
                <w:bCs/>
                <w:color w:val="215868"/>
                <w:sz w:val="18"/>
                <w:szCs w:val="18"/>
              </w:rPr>
              <w:t>-</w:t>
            </w:r>
            <w:r w:rsidR="00760CA8">
              <w:rPr>
                <w:rFonts w:ascii="Arial" w:hAnsi="Arial" w:cs="Arial"/>
                <w:b/>
                <w:bCs/>
                <w:color w:val="215868"/>
                <w:sz w:val="18"/>
                <w:szCs w:val="18"/>
              </w:rPr>
              <w:t>2.3</w:t>
            </w:r>
            <w:r w:rsidRPr="00091E61">
              <w:rPr>
                <w:rFonts w:ascii="Arial" w:hAnsi="Arial" w:cs="Arial"/>
                <w:b/>
                <w:bCs/>
                <w:color w:val="215868"/>
                <w:sz w:val="18"/>
                <w:szCs w:val="18"/>
              </w:rPr>
              <w:t>%</w:t>
            </w:r>
          </w:p>
        </w:tc>
        <w:tc>
          <w:tcPr>
            <w:tcW w:w="979" w:type="dxa"/>
            <w:vAlign w:val="center"/>
          </w:tcPr>
          <w:p w14:paraId="7A5CA8D8" w14:textId="77777777" w:rsidR="003168B6" w:rsidRPr="00091E61" w:rsidRDefault="003168B6"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rPr>
            </w:pPr>
            <w:r w:rsidRPr="00091E61">
              <w:rPr>
                <w:rFonts w:ascii="Arial" w:hAnsi="Arial" w:cs="Arial"/>
                <w:b/>
                <w:bCs/>
                <w:color w:val="215868" w:themeColor="accent5" w:themeShade="80"/>
                <w:sz w:val="18"/>
              </w:rPr>
              <w:t>+0.1%</w:t>
            </w:r>
          </w:p>
        </w:tc>
        <w:tc>
          <w:tcPr>
            <w:tcW w:w="978" w:type="dxa"/>
            <w:vAlign w:val="center"/>
          </w:tcPr>
          <w:p w14:paraId="4FC66313" w14:textId="5F8019A6" w:rsidR="003168B6" w:rsidRPr="00091E61" w:rsidRDefault="003168B6"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091E61">
              <w:rPr>
                <w:rFonts w:ascii="Arial" w:hAnsi="Arial" w:cs="Arial"/>
                <w:b/>
                <w:bCs/>
                <w:color w:val="215868" w:themeColor="accent5" w:themeShade="80"/>
                <w:sz w:val="18"/>
              </w:rPr>
              <w:t>$</w:t>
            </w:r>
            <w:r w:rsidR="00452431">
              <w:rPr>
                <w:rFonts w:ascii="Arial" w:hAnsi="Arial" w:cs="Arial"/>
                <w:b/>
                <w:bCs/>
                <w:color w:val="215868" w:themeColor="accent5" w:themeShade="80"/>
                <w:sz w:val="18"/>
              </w:rPr>
              <w:t>3.5</w:t>
            </w:r>
            <w:r w:rsidRPr="00091E61">
              <w:rPr>
                <w:rFonts w:ascii="Arial" w:hAnsi="Arial" w:cs="Arial"/>
                <w:b/>
                <w:bCs/>
                <w:color w:val="215868" w:themeColor="accent5" w:themeShade="80"/>
                <w:sz w:val="18"/>
              </w:rPr>
              <w:t>B</w:t>
            </w:r>
          </w:p>
        </w:tc>
        <w:tc>
          <w:tcPr>
            <w:tcW w:w="979" w:type="dxa"/>
            <w:vAlign w:val="center"/>
          </w:tcPr>
          <w:p w14:paraId="08D3AC71" w14:textId="2ACE6D50" w:rsidR="003168B6" w:rsidRPr="00DB3E36" w:rsidRDefault="00452431"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DB3E36">
              <w:rPr>
                <w:rFonts w:ascii="Arial" w:hAnsi="Arial" w:cs="Arial"/>
                <w:b/>
                <w:bCs/>
                <w:color w:val="215868" w:themeColor="accent5" w:themeShade="80"/>
                <w:sz w:val="18"/>
                <w:szCs w:val="18"/>
              </w:rPr>
              <w:t>-0.5</w:t>
            </w:r>
            <w:r w:rsidR="003168B6" w:rsidRPr="00DB3E36">
              <w:rPr>
                <w:rFonts w:ascii="Arial" w:hAnsi="Arial" w:cs="Arial"/>
                <w:b/>
                <w:bCs/>
                <w:color w:val="215868" w:themeColor="accent5" w:themeShade="80"/>
                <w:sz w:val="18"/>
                <w:szCs w:val="18"/>
              </w:rPr>
              <w:t>%</w:t>
            </w:r>
          </w:p>
        </w:tc>
        <w:tc>
          <w:tcPr>
            <w:tcW w:w="979" w:type="dxa"/>
            <w:vAlign w:val="center"/>
          </w:tcPr>
          <w:p w14:paraId="3B8B2B0A" w14:textId="137CC8FB" w:rsidR="003168B6" w:rsidRPr="00DB3E36" w:rsidRDefault="00DB3E36"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themeColor="accent5" w:themeShade="80"/>
                <w:sz w:val="18"/>
                <w:szCs w:val="18"/>
              </w:rPr>
            </w:pPr>
            <w:r w:rsidRPr="00DB3E36">
              <w:rPr>
                <w:rFonts w:ascii="Arial" w:hAnsi="Arial" w:cs="Arial"/>
                <w:b/>
                <w:bCs/>
                <w:color w:val="215868" w:themeColor="accent5" w:themeShade="80"/>
                <w:sz w:val="18"/>
                <w:szCs w:val="18"/>
              </w:rPr>
              <w:t>-5.2%</w:t>
            </w:r>
          </w:p>
        </w:tc>
      </w:tr>
      <w:tr w:rsidR="003168B6" w14:paraId="0D095983" w14:textId="77777777" w:rsidTr="003168B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2541439D" w14:textId="77777777" w:rsidR="003168B6" w:rsidRPr="00576207" w:rsidRDefault="003168B6" w:rsidP="001D0D13">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Tomatoes</w:t>
            </w:r>
          </w:p>
        </w:tc>
        <w:tc>
          <w:tcPr>
            <w:tcW w:w="978" w:type="dxa"/>
            <w:gridSpan w:val="2"/>
            <w:vAlign w:val="center"/>
          </w:tcPr>
          <w:p w14:paraId="53CB9E19" w14:textId="6C909AFF" w:rsidR="003168B6" w:rsidRPr="00091E61" w:rsidRDefault="003168B6"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sidR="00760CA8">
              <w:rPr>
                <w:rFonts w:ascii="Arial" w:hAnsi="Arial" w:cs="Arial"/>
                <w:color w:val="215868"/>
                <w:sz w:val="18"/>
                <w:szCs w:val="18"/>
              </w:rPr>
              <w:t>0.4</w:t>
            </w:r>
            <w:r w:rsidRPr="00091E61">
              <w:rPr>
                <w:rFonts w:ascii="Arial" w:hAnsi="Arial" w:cs="Arial"/>
                <w:color w:val="215868"/>
                <w:sz w:val="18"/>
                <w:szCs w:val="18"/>
              </w:rPr>
              <w:t>%</w:t>
            </w:r>
          </w:p>
        </w:tc>
        <w:tc>
          <w:tcPr>
            <w:tcW w:w="979" w:type="dxa"/>
            <w:vAlign w:val="center"/>
          </w:tcPr>
          <w:p w14:paraId="457D0A89" w14:textId="21872C3A" w:rsidR="003168B6" w:rsidRDefault="003168B6"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18.4</w:t>
            </w:r>
            <w:r>
              <w:rPr>
                <w:rFonts w:ascii="Arial" w:hAnsi="Arial" w:cs="Arial"/>
                <w:color w:val="215868"/>
                <w:sz w:val="18"/>
                <w:szCs w:val="18"/>
              </w:rPr>
              <w:t>%</w:t>
            </w:r>
          </w:p>
        </w:tc>
        <w:tc>
          <w:tcPr>
            <w:tcW w:w="979" w:type="dxa"/>
            <w:vAlign w:val="center"/>
          </w:tcPr>
          <w:p w14:paraId="690A015C" w14:textId="5E641ED0" w:rsidR="003168B6" w:rsidRDefault="003168B6"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3.7</w:t>
            </w:r>
            <w:r>
              <w:rPr>
                <w:rFonts w:ascii="Arial" w:hAnsi="Arial" w:cs="Arial"/>
                <w:color w:val="215868"/>
                <w:sz w:val="18"/>
                <w:szCs w:val="18"/>
              </w:rPr>
              <w:t>%</w:t>
            </w:r>
          </w:p>
        </w:tc>
        <w:tc>
          <w:tcPr>
            <w:tcW w:w="978" w:type="dxa"/>
            <w:vAlign w:val="center"/>
          </w:tcPr>
          <w:p w14:paraId="3FE30D39" w14:textId="0B541A84" w:rsidR="003168B6" w:rsidRDefault="003168B6"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8.5</w:t>
            </w:r>
            <w:r>
              <w:rPr>
                <w:rFonts w:ascii="Arial" w:hAnsi="Arial" w:cs="Arial"/>
                <w:color w:val="215868"/>
                <w:sz w:val="18"/>
                <w:szCs w:val="18"/>
              </w:rPr>
              <w:t>%</w:t>
            </w:r>
          </w:p>
        </w:tc>
        <w:tc>
          <w:tcPr>
            <w:tcW w:w="979" w:type="dxa"/>
            <w:vAlign w:val="center"/>
          </w:tcPr>
          <w:p w14:paraId="047F25A4" w14:textId="6B75C5D8" w:rsidR="003168B6" w:rsidRDefault="003168B6"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4.3</w:t>
            </w:r>
            <w:r>
              <w:rPr>
                <w:rFonts w:ascii="Arial" w:hAnsi="Arial" w:cs="Arial"/>
                <w:color w:val="215868"/>
                <w:sz w:val="18"/>
                <w:szCs w:val="18"/>
              </w:rPr>
              <w:t>%</w:t>
            </w:r>
          </w:p>
        </w:tc>
        <w:tc>
          <w:tcPr>
            <w:tcW w:w="979" w:type="dxa"/>
            <w:vAlign w:val="center"/>
          </w:tcPr>
          <w:p w14:paraId="1CD3C791" w14:textId="77777777" w:rsidR="003168B6" w:rsidRPr="00576207" w:rsidRDefault="003168B6"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-1.2%</w:t>
            </w:r>
          </w:p>
        </w:tc>
        <w:tc>
          <w:tcPr>
            <w:tcW w:w="978" w:type="dxa"/>
            <w:vAlign w:val="center"/>
          </w:tcPr>
          <w:p w14:paraId="039BC7FE" w14:textId="5BE029BD" w:rsidR="003168B6" w:rsidRPr="00576207" w:rsidRDefault="003168B6" w:rsidP="001D0D13">
            <w:pPr>
              <w:jc w:val="right"/>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576207">
              <w:rPr>
                <w:rFonts w:ascii="Arial" w:hAnsi="Arial" w:cs="Arial"/>
                <w:bCs/>
                <w:color w:val="215868" w:themeColor="accent5" w:themeShade="80"/>
                <w:sz w:val="18"/>
                <w:szCs w:val="18"/>
              </w:rPr>
              <w:t>$</w:t>
            </w:r>
            <w:r w:rsidR="00452431">
              <w:rPr>
                <w:rFonts w:ascii="Arial" w:hAnsi="Arial" w:cs="Arial"/>
                <w:bCs/>
                <w:color w:val="215868" w:themeColor="accent5" w:themeShade="80"/>
                <w:sz w:val="18"/>
                <w:szCs w:val="18"/>
              </w:rPr>
              <w:t>3.76</w:t>
            </w:r>
            <w:r w:rsidRPr="00576207">
              <w:rPr>
                <w:rFonts w:ascii="Arial" w:hAnsi="Arial" w:cs="Arial"/>
                <w:bCs/>
                <w:color w:val="215868" w:themeColor="accent5" w:themeShade="80"/>
                <w:sz w:val="18"/>
                <w:szCs w:val="18"/>
              </w:rPr>
              <w:t>M</w:t>
            </w:r>
          </w:p>
        </w:tc>
        <w:tc>
          <w:tcPr>
            <w:tcW w:w="979" w:type="dxa"/>
            <w:vAlign w:val="center"/>
          </w:tcPr>
          <w:p w14:paraId="0A54053D" w14:textId="4DF0FBCC" w:rsidR="003168B6" w:rsidRPr="00DB3E36" w:rsidRDefault="00452431"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-3.3</w:t>
            </w:r>
            <w:r w:rsidR="003168B6" w:rsidRPr="00DB3E36">
              <w:rPr>
                <w:rFonts w:ascii="Arial" w:hAnsi="Arial" w:cs="Arial"/>
                <w:bCs/>
                <w:color w:val="215868" w:themeColor="accent5" w:themeShade="80"/>
                <w:sz w:val="18"/>
                <w:szCs w:val="18"/>
              </w:rPr>
              <w:t>%</w:t>
            </w:r>
          </w:p>
        </w:tc>
        <w:tc>
          <w:tcPr>
            <w:tcW w:w="979" w:type="dxa"/>
            <w:vAlign w:val="center"/>
          </w:tcPr>
          <w:p w14:paraId="54599DD8" w14:textId="3D1F2E99" w:rsidR="003168B6" w:rsidRPr="00DB3E36" w:rsidRDefault="00DB3E36"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-5.4%</w:t>
            </w:r>
          </w:p>
        </w:tc>
      </w:tr>
      <w:tr w:rsidR="002C11A9" w14:paraId="0C146A1F" w14:textId="77777777" w:rsidTr="0057133E">
        <w:trPr>
          <w:trHeight w:val="253"/>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3ABBBB99" w14:textId="77777777" w:rsidR="002C11A9" w:rsidRPr="00576207" w:rsidRDefault="002C11A9" w:rsidP="001D0D13">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Potatoes</w:t>
            </w:r>
          </w:p>
        </w:tc>
        <w:tc>
          <w:tcPr>
            <w:tcW w:w="978" w:type="dxa"/>
            <w:gridSpan w:val="2"/>
            <w:vAlign w:val="center"/>
          </w:tcPr>
          <w:p w14:paraId="4F18C196" w14:textId="12743B4D" w:rsidR="002C11A9" w:rsidRPr="00091E61"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sidR="00760CA8">
              <w:rPr>
                <w:rFonts w:ascii="Arial" w:hAnsi="Arial" w:cs="Arial"/>
                <w:color w:val="215868"/>
                <w:sz w:val="18"/>
                <w:szCs w:val="18"/>
              </w:rPr>
              <w:t>1.6</w:t>
            </w:r>
            <w:r w:rsidRPr="00091E61">
              <w:rPr>
                <w:rFonts w:ascii="Arial" w:hAnsi="Arial" w:cs="Arial"/>
                <w:color w:val="215868"/>
                <w:sz w:val="18"/>
                <w:szCs w:val="18"/>
              </w:rPr>
              <w:t>%</w:t>
            </w:r>
          </w:p>
        </w:tc>
        <w:tc>
          <w:tcPr>
            <w:tcW w:w="979" w:type="dxa"/>
            <w:vAlign w:val="center"/>
          </w:tcPr>
          <w:p w14:paraId="03C76BA4" w14:textId="0A069176" w:rsidR="002C11A9"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21.0</w:t>
            </w:r>
            <w:r>
              <w:rPr>
                <w:rFonts w:ascii="Arial" w:hAnsi="Arial" w:cs="Arial"/>
                <w:color w:val="215868"/>
                <w:sz w:val="18"/>
                <w:szCs w:val="18"/>
              </w:rPr>
              <w:t>%</w:t>
            </w:r>
          </w:p>
        </w:tc>
        <w:tc>
          <w:tcPr>
            <w:tcW w:w="979" w:type="dxa"/>
            <w:vAlign w:val="center"/>
          </w:tcPr>
          <w:p w14:paraId="14792562" w14:textId="62232F43"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-4</w:t>
            </w:r>
            <w:r w:rsidR="00760CA8">
              <w:rPr>
                <w:rFonts w:ascii="Arial" w:hAnsi="Arial" w:cs="Arial"/>
                <w:color w:val="215868"/>
                <w:sz w:val="18"/>
                <w:szCs w:val="18"/>
              </w:rPr>
              <w:t>.0</w:t>
            </w:r>
            <w:r>
              <w:rPr>
                <w:rFonts w:ascii="Arial" w:hAnsi="Arial" w:cs="Arial"/>
                <w:color w:val="215868"/>
                <w:sz w:val="18"/>
                <w:szCs w:val="18"/>
              </w:rPr>
              <w:t>%</w:t>
            </w:r>
          </w:p>
        </w:tc>
        <w:tc>
          <w:tcPr>
            <w:tcW w:w="978" w:type="dxa"/>
            <w:vAlign w:val="center"/>
          </w:tcPr>
          <w:p w14:paraId="069BD9ED" w14:textId="2785887F"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19.7</w:t>
            </w:r>
            <w:r>
              <w:rPr>
                <w:rFonts w:ascii="Arial" w:hAnsi="Arial" w:cs="Arial"/>
                <w:color w:val="215868"/>
                <w:sz w:val="18"/>
                <w:szCs w:val="18"/>
              </w:rPr>
              <w:t>%</w:t>
            </w:r>
          </w:p>
        </w:tc>
        <w:tc>
          <w:tcPr>
            <w:tcW w:w="979" w:type="dxa"/>
            <w:vAlign w:val="center"/>
          </w:tcPr>
          <w:p w14:paraId="24040ADA" w14:textId="2D6FDD0B"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4.6</w:t>
            </w:r>
            <w:r>
              <w:rPr>
                <w:rFonts w:ascii="Arial" w:hAnsi="Arial" w:cs="Arial"/>
                <w:color w:val="215868"/>
                <w:sz w:val="18"/>
                <w:szCs w:val="18"/>
              </w:rPr>
              <w:t>%</w:t>
            </w:r>
          </w:p>
        </w:tc>
        <w:tc>
          <w:tcPr>
            <w:tcW w:w="979" w:type="dxa"/>
            <w:vAlign w:val="center"/>
          </w:tcPr>
          <w:p w14:paraId="4A21180C" w14:textId="3860386C" w:rsidR="002C11A9" w:rsidRPr="00576207"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+0.</w:t>
            </w:r>
            <w:r w:rsidR="00760CA8">
              <w:rPr>
                <w:rFonts w:ascii="Arial" w:hAnsi="Arial" w:cs="Arial"/>
                <w:bCs/>
                <w:color w:val="215868" w:themeColor="accent5" w:themeShade="80"/>
                <w:sz w:val="18"/>
                <w:szCs w:val="18"/>
              </w:rPr>
              <w:t>2</w:t>
            </w:r>
            <w:r>
              <w:rPr>
                <w:rFonts w:ascii="Arial" w:hAnsi="Arial" w:cs="Arial"/>
                <w:bCs/>
                <w:color w:val="215868" w:themeColor="accent5" w:themeShade="80"/>
                <w:sz w:val="18"/>
                <w:szCs w:val="18"/>
              </w:rPr>
              <w:t>%</w:t>
            </w:r>
          </w:p>
        </w:tc>
        <w:tc>
          <w:tcPr>
            <w:tcW w:w="978" w:type="dxa"/>
          </w:tcPr>
          <w:p w14:paraId="72A46FCE" w14:textId="7AF1CB8B"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756F34">
              <w:rPr>
                <w:rFonts w:ascii="Arial" w:hAnsi="Arial" w:cs="Arial"/>
                <w:bCs/>
                <w:color w:val="215868" w:themeColor="accent5" w:themeShade="80"/>
                <w:sz w:val="18"/>
                <w:szCs w:val="18"/>
              </w:rPr>
              <w:t>$</w:t>
            </w:r>
            <w:r w:rsidR="00452431">
              <w:rPr>
                <w:rFonts w:ascii="Arial" w:hAnsi="Arial" w:cs="Arial"/>
                <w:bCs/>
                <w:color w:val="215868" w:themeColor="accent5" w:themeShade="80"/>
                <w:sz w:val="18"/>
                <w:szCs w:val="18"/>
              </w:rPr>
              <w:t>348</w:t>
            </w:r>
            <w:r w:rsidRPr="00756F34">
              <w:rPr>
                <w:rFonts w:ascii="Arial" w:hAnsi="Arial" w:cs="Arial"/>
                <w:bCs/>
                <w:color w:val="215868" w:themeColor="accent5" w:themeShade="80"/>
                <w:sz w:val="18"/>
                <w:szCs w:val="18"/>
              </w:rPr>
              <w:t>M</w:t>
            </w:r>
          </w:p>
        </w:tc>
        <w:tc>
          <w:tcPr>
            <w:tcW w:w="979" w:type="dxa"/>
            <w:vAlign w:val="center"/>
          </w:tcPr>
          <w:p w14:paraId="29621DCF" w14:textId="56938760" w:rsidR="002C11A9" w:rsidRPr="00DB3E36" w:rsidRDefault="00452431"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+6.0</w:t>
            </w:r>
            <w:r w:rsidR="002C11A9" w:rsidRPr="00DB3E36">
              <w:rPr>
                <w:rFonts w:ascii="Arial" w:hAnsi="Arial" w:cs="Arial"/>
                <w:bCs/>
                <w:color w:val="215868" w:themeColor="accent5" w:themeShade="80"/>
                <w:sz w:val="18"/>
                <w:szCs w:val="18"/>
              </w:rPr>
              <w:t>%</w:t>
            </w:r>
          </w:p>
        </w:tc>
        <w:tc>
          <w:tcPr>
            <w:tcW w:w="979" w:type="dxa"/>
            <w:vAlign w:val="center"/>
          </w:tcPr>
          <w:p w14:paraId="341E5E4C" w14:textId="108594D0" w:rsidR="002C11A9" w:rsidRPr="00DB3E36" w:rsidRDefault="00DB3E36"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-3.7%</w:t>
            </w:r>
          </w:p>
        </w:tc>
      </w:tr>
      <w:tr w:rsidR="002C11A9" w14:paraId="19234AF3" w14:textId="77777777" w:rsidTr="0057133E">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0637D8F1" w14:textId="77777777" w:rsidR="002C11A9" w:rsidRPr="00576207" w:rsidRDefault="002C11A9" w:rsidP="001D0D13">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Packaged salad</w:t>
            </w:r>
          </w:p>
        </w:tc>
        <w:tc>
          <w:tcPr>
            <w:tcW w:w="978" w:type="dxa"/>
            <w:gridSpan w:val="2"/>
            <w:vAlign w:val="center"/>
          </w:tcPr>
          <w:p w14:paraId="278A5970" w14:textId="2E371186" w:rsidR="002C11A9" w:rsidRPr="00091E61" w:rsidRDefault="002C11A9"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sidR="00760CA8">
              <w:rPr>
                <w:rFonts w:ascii="Arial" w:hAnsi="Arial" w:cs="Arial"/>
                <w:color w:val="215868"/>
                <w:sz w:val="18"/>
                <w:szCs w:val="18"/>
              </w:rPr>
              <w:t>12.1</w:t>
            </w:r>
            <w:r w:rsidRPr="00091E61">
              <w:rPr>
                <w:rFonts w:ascii="Arial" w:hAnsi="Arial" w:cs="Arial"/>
                <w:color w:val="215868"/>
                <w:sz w:val="18"/>
                <w:szCs w:val="18"/>
              </w:rPr>
              <w:t>%</w:t>
            </w:r>
          </w:p>
        </w:tc>
        <w:tc>
          <w:tcPr>
            <w:tcW w:w="979" w:type="dxa"/>
            <w:vAlign w:val="center"/>
          </w:tcPr>
          <w:p w14:paraId="0195E6E6" w14:textId="415EF3BE" w:rsidR="002C11A9" w:rsidRDefault="002C11A9"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14.8</w:t>
            </w:r>
            <w:r>
              <w:rPr>
                <w:rFonts w:ascii="Arial" w:hAnsi="Arial" w:cs="Arial"/>
                <w:color w:val="215868"/>
                <w:sz w:val="18"/>
                <w:szCs w:val="18"/>
              </w:rPr>
              <w:t>%</w:t>
            </w:r>
          </w:p>
        </w:tc>
        <w:tc>
          <w:tcPr>
            <w:tcW w:w="979" w:type="dxa"/>
            <w:vAlign w:val="center"/>
          </w:tcPr>
          <w:p w14:paraId="6EC7A46C" w14:textId="2DCC9C8E"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12.6</w:t>
            </w:r>
            <w:r>
              <w:rPr>
                <w:rFonts w:ascii="Arial" w:hAnsi="Arial" w:cs="Arial"/>
                <w:color w:val="215868"/>
                <w:sz w:val="18"/>
                <w:szCs w:val="18"/>
              </w:rPr>
              <w:t>%</w:t>
            </w:r>
          </w:p>
        </w:tc>
        <w:tc>
          <w:tcPr>
            <w:tcW w:w="978" w:type="dxa"/>
            <w:vAlign w:val="center"/>
          </w:tcPr>
          <w:p w14:paraId="7BFBBD24" w14:textId="31336B90" w:rsidR="002C11A9" w:rsidRDefault="00760CA8"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14.5</w:t>
            </w:r>
            <w:r w:rsidR="002C11A9">
              <w:rPr>
                <w:rFonts w:ascii="Arial" w:hAnsi="Arial" w:cs="Arial"/>
                <w:color w:val="215868"/>
                <w:sz w:val="18"/>
                <w:szCs w:val="18"/>
              </w:rPr>
              <w:t>%</w:t>
            </w:r>
          </w:p>
        </w:tc>
        <w:tc>
          <w:tcPr>
            <w:tcW w:w="979" w:type="dxa"/>
            <w:vAlign w:val="center"/>
          </w:tcPr>
          <w:p w14:paraId="039407D7" w14:textId="211B18B4"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10.3</w:t>
            </w:r>
            <w:r>
              <w:rPr>
                <w:rFonts w:ascii="Arial" w:hAnsi="Arial" w:cs="Arial"/>
                <w:color w:val="215868"/>
                <w:sz w:val="18"/>
                <w:szCs w:val="18"/>
              </w:rPr>
              <w:t>%</w:t>
            </w:r>
          </w:p>
        </w:tc>
        <w:tc>
          <w:tcPr>
            <w:tcW w:w="979" w:type="dxa"/>
            <w:vAlign w:val="center"/>
          </w:tcPr>
          <w:p w14:paraId="60FD7D06" w14:textId="77777777"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+8.5%</w:t>
            </w:r>
          </w:p>
        </w:tc>
        <w:tc>
          <w:tcPr>
            <w:tcW w:w="978" w:type="dxa"/>
          </w:tcPr>
          <w:p w14:paraId="77B238AD" w14:textId="31C97417"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756F34">
              <w:rPr>
                <w:rFonts w:ascii="Arial" w:hAnsi="Arial" w:cs="Arial"/>
                <w:bCs/>
                <w:color w:val="215868" w:themeColor="accent5" w:themeShade="80"/>
                <w:sz w:val="18"/>
                <w:szCs w:val="18"/>
              </w:rPr>
              <w:t>$</w:t>
            </w:r>
            <w:r w:rsidR="00452431">
              <w:rPr>
                <w:rFonts w:ascii="Arial" w:hAnsi="Arial" w:cs="Arial"/>
                <w:bCs/>
                <w:color w:val="215868" w:themeColor="accent5" w:themeShade="80"/>
                <w:sz w:val="18"/>
                <w:szCs w:val="18"/>
              </w:rPr>
              <w:t>296</w:t>
            </w:r>
            <w:r w:rsidRPr="00756F34">
              <w:rPr>
                <w:rFonts w:ascii="Arial" w:hAnsi="Arial" w:cs="Arial"/>
                <w:bCs/>
                <w:color w:val="215868" w:themeColor="accent5" w:themeShade="80"/>
                <w:sz w:val="18"/>
                <w:szCs w:val="18"/>
              </w:rPr>
              <w:t>M</w:t>
            </w:r>
          </w:p>
        </w:tc>
        <w:tc>
          <w:tcPr>
            <w:tcW w:w="979" w:type="dxa"/>
            <w:vAlign w:val="center"/>
          </w:tcPr>
          <w:p w14:paraId="0B353B76" w14:textId="130B81BA" w:rsidR="002C11A9" w:rsidRPr="00DB3E36" w:rsidRDefault="00452431"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-1.9</w:t>
            </w:r>
            <w:r w:rsidR="002C11A9" w:rsidRPr="00DB3E36">
              <w:rPr>
                <w:rFonts w:ascii="Arial" w:hAnsi="Arial" w:cs="Arial"/>
                <w:bCs/>
                <w:color w:val="215868" w:themeColor="accent5" w:themeShade="80"/>
                <w:sz w:val="18"/>
                <w:szCs w:val="18"/>
              </w:rPr>
              <w:t>%</w:t>
            </w:r>
          </w:p>
        </w:tc>
        <w:tc>
          <w:tcPr>
            <w:tcW w:w="979" w:type="dxa"/>
            <w:vAlign w:val="center"/>
          </w:tcPr>
          <w:p w14:paraId="1436E607" w14:textId="7384A049" w:rsidR="002C11A9" w:rsidRPr="00DB3E36" w:rsidRDefault="00DB3E36"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-10.9%</w:t>
            </w:r>
          </w:p>
        </w:tc>
      </w:tr>
      <w:tr w:rsidR="002C11A9" w14:paraId="5FA6635F" w14:textId="77777777" w:rsidTr="0057133E">
        <w:trPr>
          <w:trHeight w:val="253"/>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79FF0CCA" w14:textId="77777777" w:rsidR="002C11A9" w:rsidRPr="00576207" w:rsidRDefault="002C11A9" w:rsidP="001D0D13">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Lettuce</w:t>
            </w:r>
          </w:p>
        </w:tc>
        <w:tc>
          <w:tcPr>
            <w:tcW w:w="978" w:type="dxa"/>
            <w:gridSpan w:val="2"/>
            <w:vAlign w:val="center"/>
          </w:tcPr>
          <w:p w14:paraId="489A8A48" w14:textId="7AAEC5E5" w:rsidR="002C11A9" w:rsidRPr="00091E61"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6.3</w:t>
            </w:r>
            <w:r w:rsidRPr="00091E61">
              <w:rPr>
                <w:rFonts w:ascii="Arial" w:hAnsi="Arial" w:cs="Arial"/>
                <w:color w:val="215868"/>
                <w:sz w:val="18"/>
                <w:szCs w:val="18"/>
              </w:rPr>
              <w:t>%</w:t>
            </w:r>
          </w:p>
        </w:tc>
        <w:tc>
          <w:tcPr>
            <w:tcW w:w="979" w:type="dxa"/>
            <w:vAlign w:val="center"/>
          </w:tcPr>
          <w:p w14:paraId="6BB7D162" w14:textId="469DF2FA" w:rsidR="002C11A9"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12.0</w:t>
            </w:r>
            <w:r>
              <w:rPr>
                <w:rFonts w:ascii="Arial" w:hAnsi="Arial" w:cs="Arial"/>
                <w:color w:val="215868"/>
                <w:sz w:val="18"/>
                <w:szCs w:val="18"/>
              </w:rPr>
              <w:t>%</w:t>
            </w:r>
          </w:p>
        </w:tc>
        <w:tc>
          <w:tcPr>
            <w:tcW w:w="979" w:type="dxa"/>
            <w:vAlign w:val="center"/>
          </w:tcPr>
          <w:p w14:paraId="05E885A8" w14:textId="42B10D4E"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9.0</w:t>
            </w:r>
            <w:r>
              <w:rPr>
                <w:rFonts w:ascii="Arial" w:hAnsi="Arial" w:cs="Arial"/>
                <w:color w:val="215868"/>
                <w:sz w:val="18"/>
                <w:szCs w:val="18"/>
              </w:rPr>
              <w:t>%</w:t>
            </w:r>
          </w:p>
        </w:tc>
        <w:tc>
          <w:tcPr>
            <w:tcW w:w="978" w:type="dxa"/>
            <w:vAlign w:val="center"/>
          </w:tcPr>
          <w:p w14:paraId="445C249F" w14:textId="4A1C3A01"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3.3</w:t>
            </w:r>
            <w:r>
              <w:rPr>
                <w:rFonts w:ascii="Arial" w:hAnsi="Arial" w:cs="Arial"/>
                <w:color w:val="215868"/>
                <w:sz w:val="18"/>
                <w:szCs w:val="18"/>
              </w:rPr>
              <w:t>%</w:t>
            </w:r>
          </w:p>
        </w:tc>
        <w:tc>
          <w:tcPr>
            <w:tcW w:w="979" w:type="dxa"/>
            <w:vAlign w:val="center"/>
          </w:tcPr>
          <w:p w14:paraId="1DF5B025" w14:textId="000AEA7E"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2.5</w:t>
            </w:r>
            <w:r>
              <w:rPr>
                <w:rFonts w:ascii="Arial" w:hAnsi="Arial" w:cs="Arial"/>
                <w:color w:val="215868"/>
                <w:sz w:val="18"/>
                <w:szCs w:val="18"/>
              </w:rPr>
              <w:t>%</w:t>
            </w:r>
          </w:p>
        </w:tc>
        <w:tc>
          <w:tcPr>
            <w:tcW w:w="979" w:type="dxa"/>
            <w:vAlign w:val="center"/>
          </w:tcPr>
          <w:p w14:paraId="757340BF" w14:textId="50EA9BFA" w:rsidR="002C11A9" w:rsidRPr="00576207"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+0.</w:t>
            </w:r>
            <w:r w:rsidR="00760CA8">
              <w:rPr>
                <w:rFonts w:ascii="Arial" w:hAnsi="Arial" w:cs="Arial"/>
                <w:bCs/>
                <w:color w:val="215868" w:themeColor="accent5" w:themeShade="80"/>
                <w:sz w:val="18"/>
                <w:szCs w:val="18"/>
              </w:rPr>
              <w:t>6</w:t>
            </w:r>
            <w:r>
              <w:rPr>
                <w:rFonts w:ascii="Arial" w:hAnsi="Arial" w:cs="Arial"/>
                <w:bCs/>
                <w:color w:val="215868" w:themeColor="accent5" w:themeShade="80"/>
                <w:sz w:val="18"/>
                <w:szCs w:val="18"/>
              </w:rPr>
              <w:t>%</w:t>
            </w:r>
          </w:p>
        </w:tc>
        <w:tc>
          <w:tcPr>
            <w:tcW w:w="978" w:type="dxa"/>
          </w:tcPr>
          <w:p w14:paraId="6187E043" w14:textId="516F68F0"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756F34">
              <w:rPr>
                <w:rFonts w:ascii="Arial" w:hAnsi="Arial" w:cs="Arial"/>
                <w:bCs/>
                <w:color w:val="215868" w:themeColor="accent5" w:themeShade="80"/>
                <w:sz w:val="18"/>
                <w:szCs w:val="18"/>
              </w:rPr>
              <w:t>$</w:t>
            </w:r>
            <w:r w:rsidR="00452431">
              <w:rPr>
                <w:rFonts w:ascii="Arial" w:hAnsi="Arial" w:cs="Arial"/>
                <w:bCs/>
                <w:color w:val="215868" w:themeColor="accent5" w:themeShade="80"/>
                <w:sz w:val="18"/>
                <w:szCs w:val="18"/>
              </w:rPr>
              <w:t>265</w:t>
            </w:r>
            <w:r w:rsidRPr="00756F34">
              <w:rPr>
                <w:rFonts w:ascii="Arial" w:hAnsi="Arial" w:cs="Arial"/>
                <w:bCs/>
                <w:color w:val="215868" w:themeColor="accent5" w:themeShade="80"/>
                <w:sz w:val="18"/>
                <w:szCs w:val="18"/>
              </w:rPr>
              <w:t>M</w:t>
            </w:r>
          </w:p>
        </w:tc>
        <w:tc>
          <w:tcPr>
            <w:tcW w:w="979" w:type="dxa"/>
            <w:vAlign w:val="center"/>
          </w:tcPr>
          <w:p w14:paraId="34B3545D" w14:textId="7ECB7D01" w:rsidR="002C11A9" w:rsidRPr="00DB3E36"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w:t>
            </w:r>
            <w:r w:rsidR="00452431" w:rsidRPr="00DB3E36">
              <w:rPr>
                <w:rFonts w:ascii="Arial" w:hAnsi="Arial" w:cs="Arial"/>
                <w:bCs/>
                <w:color w:val="215868" w:themeColor="accent5" w:themeShade="80"/>
                <w:sz w:val="18"/>
                <w:szCs w:val="18"/>
              </w:rPr>
              <w:t>1.7</w:t>
            </w:r>
            <w:r w:rsidRPr="00DB3E36">
              <w:rPr>
                <w:rFonts w:ascii="Arial" w:hAnsi="Arial" w:cs="Arial"/>
                <w:bCs/>
                <w:color w:val="215868" w:themeColor="accent5" w:themeShade="80"/>
                <w:sz w:val="18"/>
                <w:szCs w:val="18"/>
              </w:rPr>
              <w:t>%</w:t>
            </w:r>
          </w:p>
        </w:tc>
        <w:tc>
          <w:tcPr>
            <w:tcW w:w="979" w:type="dxa"/>
            <w:vAlign w:val="center"/>
          </w:tcPr>
          <w:p w14:paraId="5EB84E72" w14:textId="6F2A4C4A" w:rsidR="002C11A9" w:rsidRPr="00DB3E36" w:rsidRDefault="00DB3E36"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-6.6%</w:t>
            </w:r>
          </w:p>
        </w:tc>
      </w:tr>
      <w:tr w:rsidR="002C11A9" w14:paraId="2672CA4A" w14:textId="77777777" w:rsidTr="0057133E">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0D3F2C4D" w14:textId="77777777" w:rsidR="002C11A9" w:rsidRPr="00576207" w:rsidRDefault="002C11A9" w:rsidP="001D0D13">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Onions</w:t>
            </w:r>
          </w:p>
        </w:tc>
        <w:tc>
          <w:tcPr>
            <w:tcW w:w="978" w:type="dxa"/>
            <w:gridSpan w:val="2"/>
            <w:vAlign w:val="center"/>
          </w:tcPr>
          <w:p w14:paraId="4B9331F5" w14:textId="714F576A" w:rsidR="002C11A9" w:rsidRPr="00091E61" w:rsidRDefault="002C11A9"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sidR="00760CA8">
              <w:rPr>
                <w:rFonts w:ascii="Arial" w:hAnsi="Arial" w:cs="Arial"/>
                <w:color w:val="215868"/>
                <w:sz w:val="18"/>
                <w:szCs w:val="18"/>
              </w:rPr>
              <w:t>6.0</w:t>
            </w:r>
            <w:r w:rsidRPr="00091E61">
              <w:rPr>
                <w:rFonts w:ascii="Arial" w:hAnsi="Arial" w:cs="Arial"/>
                <w:color w:val="215868"/>
                <w:sz w:val="18"/>
                <w:szCs w:val="18"/>
              </w:rPr>
              <w:t>%</w:t>
            </w:r>
          </w:p>
        </w:tc>
        <w:tc>
          <w:tcPr>
            <w:tcW w:w="979" w:type="dxa"/>
            <w:vAlign w:val="center"/>
          </w:tcPr>
          <w:p w14:paraId="68F04F61" w14:textId="7E285D2B" w:rsidR="002C11A9" w:rsidRDefault="002C11A9"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14.5</w:t>
            </w:r>
            <w:r>
              <w:rPr>
                <w:rFonts w:ascii="Arial" w:hAnsi="Arial" w:cs="Arial"/>
                <w:color w:val="215868"/>
                <w:sz w:val="18"/>
                <w:szCs w:val="18"/>
              </w:rPr>
              <w:t>%</w:t>
            </w:r>
          </w:p>
        </w:tc>
        <w:tc>
          <w:tcPr>
            <w:tcW w:w="979" w:type="dxa"/>
            <w:vAlign w:val="center"/>
          </w:tcPr>
          <w:p w14:paraId="66223219" w14:textId="1360495B"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0.8</w:t>
            </w:r>
            <w:r>
              <w:rPr>
                <w:rFonts w:ascii="Arial" w:hAnsi="Arial" w:cs="Arial"/>
                <w:color w:val="215868"/>
                <w:sz w:val="18"/>
                <w:szCs w:val="18"/>
              </w:rPr>
              <w:t>%</w:t>
            </w:r>
          </w:p>
        </w:tc>
        <w:tc>
          <w:tcPr>
            <w:tcW w:w="978" w:type="dxa"/>
            <w:vAlign w:val="center"/>
          </w:tcPr>
          <w:p w14:paraId="48E8DE92" w14:textId="7BE40308"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14.3</w:t>
            </w:r>
            <w:r>
              <w:rPr>
                <w:rFonts w:ascii="Arial" w:hAnsi="Arial" w:cs="Arial"/>
                <w:color w:val="215868"/>
                <w:sz w:val="18"/>
                <w:szCs w:val="18"/>
              </w:rPr>
              <w:t>%</w:t>
            </w:r>
          </w:p>
        </w:tc>
        <w:tc>
          <w:tcPr>
            <w:tcW w:w="979" w:type="dxa"/>
            <w:vAlign w:val="center"/>
          </w:tcPr>
          <w:p w14:paraId="28AF59B0" w14:textId="7A4CADCE"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1.7</w:t>
            </w:r>
            <w:r>
              <w:rPr>
                <w:rFonts w:ascii="Arial" w:hAnsi="Arial" w:cs="Arial"/>
                <w:color w:val="215868"/>
                <w:sz w:val="18"/>
                <w:szCs w:val="18"/>
              </w:rPr>
              <w:t>%</w:t>
            </w:r>
          </w:p>
        </w:tc>
        <w:tc>
          <w:tcPr>
            <w:tcW w:w="979" w:type="dxa"/>
            <w:vAlign w:val="center"/>
          </w:tcPr>
          <w:p w14:paraId="6A1075D3" w14:textId="77777777" w:rsidR="002C11A9" w:rsidRPr="00576207"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+1.4%</w:t>
            </w:r>
          </w:p>
        </w:tc>
        <w:tc>
          <w:tcPr>
            <w:tcW w:w="978" w:type="dxa"/>
          </w:tcPr>
          <w:p w14:paraId="14850509" w14:textId="099A9764"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756F34">
              <w:rPr>
                <w:rFonts w:ascii="Arial" w:hAnsi="Arial" w:cs="Arial"/>
                <w:bCs/>
                <w:color w:val="215868" w:themeColor="accent5" w:themeShade="80"/>
                <w:sz w:val="18"/>
                <w:szCs w:val="18"/>
              </w:rPr>
              <w:t>$</w:t>
            </w:r>
            <w:r w:rsidR="00452431">
              <w:rPr>
                <w:rFonts w:ascii="Arial" w:hAnsi="Arial" w:cs="Arial"/>
                <w:bCs/>
                <w:color w:val="215868" w:themeColor="accent5" w:themeShade="80"/>
                <w:sz w:val="18"/>
                <w:szCs w:val="18"/>
              </w:rPr>
              <w:t>259</w:t>
            </w:r>
            <w:r w:rsidRPr="00756F34">
              <w:rPr>
                <w:rFonts w:ascii="Arial" w:hAnsi="Arial" w:cs="Arial"/>
                <w:bCs/>
                <w:color w:val="215868" w:themeColor="accent5" w:themeShade="80"/>
                <w:sz w:val="18"/>
                <w:szCs w:val="18"/>
              </w:rPr>
              <w:t>M</w:t>
            </w:r>
          </w:p>
        </w:tc>
        <w:tc>
          <w:tcPr>
            <w:tcW w:w="979" w:type="dxa"/>
            <w:vAlign w:val="center"/>
          </w:tcPr>
          <w:p w14:paraId="4E1ED487" w14:textId="0B104338" w:rsidR="002C11A9" w:rsidRPr="00DB3E36" w:rsidRDefault="00452431"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+4.9</w:t>
            </w:r>
            <w:r w:rsidR="002C11A9" w:rsidRPr="00DB3E36">
              <w:rPr>
                <w:rFonts w:ascii="Arial" w:hAnsi="Arial" w:cs="Arial"/>
                <w:bCs/>
                <w:color w:val="215868" w:themeColor="accent5" w:themeShade="80"/>
                <w:sz w:val="18"/>
                <w:szCs w:val="18"/>
              </w:rPr>
              <w:t>%</w:t>
            </w:r>
          </w:p>
        </w:tc>
        <w:tc>
          <w:tcPr>
            <w:tcW w:w="979" w:type="dxa"/>
            <w:vAlign w:val="center"/>
          </w:tcPr>
          <w:p w14:paraId="0FCC29F8" w14:textId="017B2BD3" w:rsidR="002C11A9" w:rsidRPr="00DB3E36" w:rsidRDefault="00DB3E36"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-1.7%</w:t>
            </w:r>
          </w:p>
        </w:tc>
      </w:tr>
      <w:tr w:rsidR="002C11A9" w14:paraId="39022022" w14:textId="77777777" w:rsidTr="0057133E">
        <w:trPr>
          <w:trHeight w:val="253"/>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1CC73F65" w14:textId="77777777" w:rsidR="002C11A9" w:rsidRPr="00576207" w:rsidRDefault="002C11A9" w:rsidP="001D0D13">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Peppers</w:t>
            </w:r>
          </w:p>
        </w:tc>
        <w:tc>
          <w:tcPr>
            <w:tcW w:w="978" w:type="dxa"/>
            <w:gridSpan w:val="2"/>
            <w:vAlign w:val="center"/>
          </w:tcPr>
          <w:p w14:paraId="22D7B63F" w14:textId="79B50FCE" w:rsidR="002C11A9" w:rsidRPr="00091E61"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sidR="00760CA8">
              <w:rPr>
                <w:rFonts w:ascii="Arial" w:hAnsi="Arial" w:cs="Arial"/>
                <w:color w:val="215868"/>
                <w:sz w:val="18"/>
                <w:szCs w:val="18"/>
              </w:rPr>
              <w:t>4.3</w:t>
            </w:r>
            <w:r w:rsidRPr="00091E61">
              <w:rPr>
                <w:rFonts w:ascii="Arial" w:hAnsi="Arial" w:cs="Arial"/>
                <w:color w:val="215868"/>
                <w:sz w:val="18"/>
                <w:szCs w:val="18"/>
              </w:rPr>
              <w:t>%</w:t>
            </w:r>
          </w:p>
        </w:tc>
        <w:tc>
          <w:tcPr>
            <w:tcW w:w="979" w:type="dxa"/>
            <w:vAlign w:val="center"/>
          </w:tcPr>
          <w:p w14:paraId="48775D56" w14:textId="7326300D" w:rsidR="002C11A9"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19.3</w:t>
            </w:r>
            <w:r>
              <w:rPr>
                <w:rFonts w:ascii="Arial" w:hAnsi="Arial" w:cs="Arial"/>
                <w:color w:val="215868"/>
                <w:sz w:val="18"/>
                <w:szCs w:val="18"/>
              </w:rPr>
              <w:t>%</w:t>
            </w:r>
          </w:p>
        </w:tc>
        <w:tc>
          <w:tcPr>
            <w:tcW w:w="979" w:type="dxa"/>
            <w:vAlign w:val="center"/>
          </w:tcPr>
          <w:p w14:paraId="26448CE7" w14:textId="04D57F11"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11.6</w:t>
            </w:r>
            <w:r>
              <w:rPr>
                <w:rFonts w:ascii="Arial" w:hAnsi="Arial" w:cs="Arial"/>
                <w:color w:val="215868"/>
                <w:sz w:val="18"/>
                <w:szCs w:val="18"/>
              </w:rPr>
              <w:t>%</w:t>
            </w:r>
          </w:p>
        </w:tc>
        <w:tc>
          <w:tcPr>
            <w:tcW w:w="978" w:type="dxa"/>
            <w:vAlign w:val="center"/>
          </w:tcPr>
          <w:p w14:paraId="2EDE3989" w14:textId="4F9DAEC5"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33A42">
              <w:rPr>
                <w:rFonts w:ascii="Arial" w:hAnsi="Arial" w:cs="Arial"/>
                <w:color w:val="215868"/>
                <w:sz w:val="18"/>
                <w:szCs w:val="18"/>
              </w:rPr>
              <w:t>6.9</w:t>
            </w:r>
            <w:r>
              <w:rPr>
                <w:rFonts w:ascii="Arial" w:hAnsi="Arial" w:cs="Arial"/>
                <w:color w:val="215868"/>
                <w:sz w:val="18"/>
                <w:szCs w:val="18"/>
              </w:rPr>
              <w:t>%</w:t>
            </w:r>
          </w:p>
        </w:tc>
        <w:tc>
          <w:tcPr>
            <w:tcW w:w="979" w:type="dxa"/>
            <w:vAlign w:val="center"/>
          </w:tcPr>
          <w:p w14:paraId="1E51F86A" w14:textId="54AE1FF5"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33A42">
              <w:rPr>
                <w:rFonts w:ascii="Arial" w:hAnsi="Arial" w:cs="Arial"/>
                <w:color w:val="215868"/>
                <w:sz w:val="18"/>
                <w:szCs w:val="18"/>
              </w:rPr>
              <w:t>3.3</w:t>
            </w:r>
            <w:r>
              <w:rPr>
                <w:rFonts w:ascii="Arial" w:hAnsi="Arial" w:cs="Arial"/>
                <w:color w:val="215868"/>
                <w:sz w:val="18"/>
                <w:szCs w:val="18"/>
              </w:rPr>
              <w:t>%</w:t>
            </w:r>
          </w:p>
        </w:tc>
        <w:tc>
          <w:tcPr>
            <w:tcW w:w="979" w:type="dxa"/>
            <w:vAlign w:val="center"/>
          </w:tcPr>
          <w:p w14:paraId="49B3C476" w14:textId="6BBEF922" w:rsidR="002C11A9" w:rsidRPr="00576207"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w:t>
            </w:r>
            <w:r w:rsidR="00933A42">
              <w:rPr>
                <w:rFonts w:ascii="Arial" w:hAnsi="Arial" w:cs="Arial"/>
                <w:bCs/>
                <w:color w:val="215868" w:themeColor="accent5" w:themeShade="80"/>
                <w:sz w:val="18"/>
                <w:szCs w:val="18"/>
              </w:rPr>
              <w:t>2.3</w:t>
            </w:r>
            <w:r>
              <w:rPr>
                <w:rFonts w:ascii="Arial" w:hAnsi="Arial" w:cs="Arial"/>
                <w:bCs/>
                <w:color w:val="215868" w:themeColor="accent5" w:themeShade="80"/>
                <w:sz w:val="18"/>
                <w:szCs w:val="18"/>
              </w:rPr>
              <w:t>%</w:t>
            </w:r>
          </w:p>
        </w:tc>
        <w:tc>
          <w:tcPr>
            <w:tcW w:w="978" w:type="dxa"/>
          </w:tcPr>
          <w:p w14:paraId="1084C76D" w14:textId="4C3C3AF5"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756F34">
              <w:rPr>
                <w:rFonts w:ascii="Arial" w:hAnsi="Arial" w:cs="Arial"/>
                <w:bCs/>
                <w:color w:val="215868" w:themeColor="accent5" w:themeShade="80"/>
                <w:sz w:val="18"/>
                <w:szCs w:val="18"/>
              </w:rPr>
              <w:t>$</w:t>
            </w:r>
            <w:r w:rsidR="00452431">
              <w:rPr>
                <w:rFonts w:ascii="Arial" w:hAnsi="Arial" w:cs="Arial"/>
                <w:bCs/>
                <w:color w:val="215868" w:themeColor="accent5" w:themeShade="80"/>
                <w:sz w:val="18"/>
                <w:szCs w:val="18"/>
              </w:rPr>
              <w:t>256</w:t>
            </w:r>
            <w:r w:rsidRPr="00756F34">
              <w:rPr>
                <w:rFonts w:ascii="Arial" w:hAnsi="Arial" w:cs="Arial"/>
                <w:bCs/>
                <w:color w:val="215868" w:themeColor="accent5" w:themeShade="80"/>
                <w:sz w:val="18"/>
                <w:szCs w:val="18"/>
              </w:rPr>
              <w:t>M</w:t>
            </w:r>
          </w:p>
        </w:tc>
        <w:tc>
          <w:tcPr>
            <w:tcW w:w="979" w:type="dxa"/>
            <w:vAlign w:val="center"/>
          </w:tcPr>
          <w:p w14:paraId="50E34AEE" w14:textId="14F67239" w:rsidR="002C11A9" w:rsidRPr="00DB3E36"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w:t>
            </w:r>
            <w:r w:rsidR="00452431" w:rsidRPr="00DB3E36">
              <w:rPr>
                <w:rFonts w:ascii="Arial" w:hAnsi="Arial" w:cs="Arial"/>
                <w:bCs/>
                <w:color w:val="215868" w:themeColor="accent5" w:themeShade="80"/>
                <w:sz w:val="18"/>
                <w:szCs w:val="18"/>
              </w:rPr>
              <w:t>1.6</w:t>
            </w:r>
            <w:r w:rsidRPr="00DB3E36">
              <w:rPr>
                <w:rFonts w:ascii="Arial" w:hAnsi="Arial" w:cs="Arial"/>
                <w:bCs/>
                <w:color w:val="215868" w:themeColor="accent5" w:themeShade="80"/>
                <w:sz w:val="18"/>
                <w:szCs w:val="18"/>
              </w:rPr>
              <w:t>%</w:t>
            </w:r>
          </w:p>
        </w:tc>
        <w:tc>
          <w:tcPr>
            <w:tcW w:w="979" w:type="dxa"/>
            <w:vAlign w:val="center"/>
          </w:tcPr>
          <w:p w14:paraId="3ABE7E5A" w14:textId="5A0789B7" w:rsidR="002C11A9" w:rsidRPr="00DB3E36" w:rsidRDefault="00DB3E36"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-5.0%</w:t>
            </w:r>
          </w:p>
        </w:tc>
      </w:tr>
      <w:tr w:rsidR="002C11A9" w14:paraId="0DE609D9" w14:textId="77777777" w:rsidTr="0057133E">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21977F3C" w14:textId="77777777" w:rsidR="002C11A9" w:rsidRPr="00576207" w:rsidRDefault="002C11A9" w:rsidP="001D0D13">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lastRenderedPageBreak/>
              <w:t>Carrots</w:t>
            </w:r>
          </w:p>
        </w:tc>
        <w:tc>
          <w:tcPr>
            <w:tcW w:w="978" w:type="dxa"/>
            <w:gridSpan w:val="2"/>
            <w:vAlign w:val="center"/>
          </w:tcPr>
          <w:p w14:paraId="4BF8F431" w14:textId="55B36BEF" w:rsidR="002C11A9" w:rsidRPr="00091E61" w:rsidRDefault="00760CA8"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-1.6</w:t>
            </w:r>
            <w:r w:rsidR="002C11A9" w:rsidRPr="00091E61">
              <w:rPr>
                <w:rFonts w:ascii="Arial" w:hAnsi="Arial" w:cs="Arial"/>
                <w:color w:val="215868"/>
                <w:sz w:val="18"/>
                <w:szCs w:val="18"/>
              </w:rPr>
              <w:t>%</w:t>
            </w:r>
          </w:p>
        </w:tc>
        <w:tc>
          <w:tcPr>
            <w:tcW w:w="979" w:type="dxa"/>
            <w:vAlign w:val="center"/>
          </w:tcPr>
          <w:p w14:paraId="28BCDC03" w14:textId="0964209E" w:rsidR="002C11A9" w:rsidRDefault="002C11A9"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7.3</w:t>
            </w:r>
            <w:r>
              <w:rPr>
                <w:rFonts w:ascii="Arial" w:hAnsi="Arial" w:cs="Arial"/>
                <w:color w:val="215868"/>
                <w:sz w:val="18"/>
                <w:szCs w:val="18"/>
              </w:rPr>
              <w:t>%</w:t>
            </w:r>
          </w:p>
        </w:tc>
        <w:tc>
          <w:tcPr>
            <w:tcW w:w="979" w:type="dxa"/>
            <w:vAlign w:val="center"/>
          </w:tcPr>
          <w:p w14:paraId="70511B41" w14:textId="08C2C479"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-5</w:t>
            </w:r>
            <w:r w:rsidR="00760CA8">
              <w:rPr>
                <w:rFonts w:ascii="Arial" w:hAnsi="Arial" w:cs="Arial"/>
                <w:color w:val="215868"/>
                <w:sz w:val="18"/>
                <w:szCs w:val="18"/>
              </w:rPr>
              <w:t>.1</w:t>
            </w:r>
            <w:r>
              <w:rPr>
                <w:rFonts w:ascii="Arial" w:hAnsi="Arial" w:cs="Arial"/>
                <w:color w:val="215868"/>
                <w:sz w:val="18"/>
                <w:szCs w:val="18"/>
              </w:rPr>
              <w:t>%</w:t>
            </w:r>
          </w:p>
        </w:tc>
        <w:tc>
          <w:tcPr>
            <w:tcW w:w="978" w:type="dxa"/>
            <w:vAlign w:val="center"/>
          </w:tcPr>
          <w:p w14:paraId="728F8758" w14:textId="35D06469"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7.5</w:t>
            </w:r>
            <w:r>
              <w:rPr>
                <w:rFonts w:ascii="Arial" w:hAnsi="Arial" w:cs="Arial"/>
                <w:color w:val="215868"/>
                <w:sz w:val="18"/>
                <w:szCs w:val="18"/>
              </w:rPr>
              <w:t>%</w:t>
            </w:r>
          </w:p>
        </w:tc>
        <w:tc>
          <w:tcPr>
            <w:tcW w:w="979" w:type="dxa"/>
            <w:vAlign w:val="center"/>
          </w:tcPr>
          <w:p w14:paraId="07482931" w14:textId="1405F8D3" w:rsidR="002C11A9" w:rsidRDefault="00760CA8"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0.0</w:t>
            </w:r>
            <w:r w:rsidR="002C11A9">
              <w:rPr>
                <w:rFonts w:ascii="Arial" w:hAnsi="Arial" w:cs="Arial"/>
                <w:color w:val="215868"/>
                <w:sz w:val="18"/>
                <w:szCs w:val="18"/>
              </w:rPr>
              <w:t>%</w:t>
            </w:r>
          </w:p>
        </w:tc>
        <w:tc>
          <w:tcPr>
            <w:tcW w:w="979" w:type="dxa"/>
            <w:vAlign w:val="center"/>
          </w:tcPr>
          <w:p w14:paraId="7660F7C4" w14:textId="77777777" w:rsidR="002C11A9" w:rsidRPr="00576207"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+1.0%</w:t>
            </w:r>
          </w:p>
        </w:tc>
        <w:tc>
          <w:tcPr>
            <w:tcW w:w="978" w:type="dxa"/>
          </w:tcPr>
          <w:p w14:paraId="010E1889" w14:textId="18CBF69B"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756F34">
              <w:rPr>
                <w:rFonts w:ascii="Arial" w:hAnsi="Arial" w:cs="Arial"/>
                <w:bCs/>
                <w:color w:val="215868" w:themeColor="accent5" w:themeShade="80"/>
                <w:sz w:val="18"/>
                <w:szCs w:val="18"/>
              </w:rPr>
              <w:t>$</w:t>
            </w:r>
            <w:r w:rsidR="00452431">
              <w:rPr>
                <w:rFonts w:ascii="Arial" w:hAnsi="Arial" w:cs="Arial"/>
                <w:bCs/>
                <w:color w:val="215868" w:themeColor="accent5" w:themeShade="80"/>
                <w:sz w:val="18"/>
                <w:szCs w:val="18"/>
              </w:rPr>
              <w:t>151</w:t>
            </w:r>
            <w:r w:rsidRPr="00756F34">
              <w:rPr>
                <w:rFonts w:ascii="Arial" w:hAnsi="Arial" w:cs="Arial"/>
                <w:bCs/>
                <w:color w:val="215868" w:themeColor="accent5" w:themeShade="80"/>
                <w:sz w:val="18"/>
                <w:szCs w:val="18"/>
              </w:rPr>
              <w:t>M</w:t>
            </w:r>
          </w:p>
        </w:tc>
        <w:tc>
          <w:tcPr>
            <w:tcW w:w="979" w:type="dxa"/>
            <w:vAlign w:val="center"/>
          </w:tcPr>
          <w:p w14:paraId="14CFFCD7" w14:textId="4C99FA16" w:rsidR="002C11A9" w:rsidRPr="00DB3E36" w:rsidRDefault="002C11A9"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w:t>
            </w:r>
            <w:r w:rsidR="00452431" w:rsidRPr="00DB3E36">
              <w:rPr>
                <w:rFonts w:ascii="Arial" w:hAnsi="Arial" w:cs="Arial"/>
                <w:bCs/>
                <w:color w:val="215868" w:themeColor="accent5" w:themeShade="80"/>
                <w:sz w:val="18"/>
                <w:szCs w:val="18"/>
              </w:rPr>
              <w:t>6.2</w:t>
            </w:r>
            <w:r w:rsidRPr="00DB3E36">
              <w:rPr>
                <w:rFonts w:ascii="Arial" w:hAnsi="Arial" w:cs="Arial"/>
                <w:bCs/>
                <w:color w:val="215868" w:themeColor="accent5" w:themeShade="80"/>
                <w:sz w:val="18"/>
                <w:szCs w:val="18"/>
              </w:rPr>
              <w:t>%</w:t>
            </w:r>
          </w:p>
        </w:tc>
        <w:tc>
          <w:tcPr>
            <w:tcW w:w="979" w:type="dxa"/>
            <w:vAlign w:val="center"/>
          </w:tcPr>
          <w:p w14:paraId="0A237902" w14:textId="4361532C" w:rsidR="002C11A9" w:rsidRPr="00DB3E36" w:rsidRDefault="00DB3E36"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0.0%</w:t>
            </w:r>
          </w:p>
        </w:tc>
      </w:tr>
      <w:tr w:rsidR="002C11A9" w14:paraId="14A59F91" w14:textId="77777777" w:rsidTr="0057133E">
        <w:trPr>
          <w:trHeight w:val="253"/>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4D1489EF" w14:textId="77777777" w:rsidR="002C11A9" w:rsidRPr="00576207" w:rsidRDefault="002C11A9" w:rsidP="001D0D13">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Mushrooms</w:t>
            </w:r>
          </w:p>
        </w:tc>
        <w:tc>
          <w:tcPr>
            <w:tcW w:w="978" w:type="dxa"/>
            <w:gridSpan w:val="2"/>
            <w:vAlign w:val="center"/>
          </w:tcPr>
          <w:p w14:paraId="27FC6B95" w14:textId="70A2E4DE" w:rsidR="002C11A9" w:rsidRPr="00091E61"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sidR="00933A42">
              <w:rPr>
                <w:rFonts w:ascii="Arial" w:hAnsi="Arial" w:cs="Arial"/>
                <w:color w:val="215868"/>
                <w:sz w:val="18"/>
                <w:szCs w:val="18"/>
              </w:rPr>
              <w:t>0.6</w:t>
            </w:r>
            <w:r w:rsidRPr="00091E61">
              <w:rPr>
                <w:rFonts w:ascii="Arial" w:hAnsi="Arial" w:cs="Arial"/>
                <w:color w:val="215868"/>
                <w:sz w:val="18"/>
                <w:szCs w:val="18"/>
              </w:rPr>
              <w:t>%</w:t>
            </w:r>
          </w:p>
        </w:tc>
        <w:tc>
          <w:tcPr>
            <w:tcW w:w="979" w:type="dxa"/>
            <w:vAlign w:val="center"/>
          </w:tcPr>
          <w:p w14:paraId="19B7F585" w14:textId="44F0EF22" w:rsidR="002C11A9"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33A42">
              <w:rPr>
                <w:rFonts w:ascii="Arial" w:hAnsi="Arial" w:cs="Arial"/>
                <w:color w:val="215868"/>
                <w:sz w:val="18"/>
                <w:szCs w:val="18"/>
              </w:rPr>
              <w:t>19.7</w:t>
            </w:r>
            <w:r>
              <w:rPr>
                <w:rFonts w:ascii="Arial" w:hAnsi="Arial" w:cs="Arial"/>
                <w:color w:val="215868"/>
                <w:sz w:val="18"/>
                <w:szCs w:val="18"/>
              </w:rPr>
              <w:t>%</w:t>
            </w:r>
          </w:p>
        </w:tc>
        <w:tc>
          <w:tcPr>
            <w:tcW w:w="979" w:type="dxa"/>
            <w:vAlign w:val="center"/>
          </w:tcPr>
          <w:p w14:paraId="4152A03F" w14:textId="03464084"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33A42">
              <w:rPr>
                <w:rFonts w:ascii="Arial" w:hAnsi="Arial" w:cs="Arial"/>
                <w:color w:val="215868"/>
                <w:sz w:val="18"/>
                <w:szCs w:val="18"/>
              </w:rPr>
              <w:t>8.6</w:t>
            </w:r>
            <w:r>
              <w:rPr>
                <w:rFonts w:ascii="Arial" w:hAnsi="Arial" w:cs="Arial"/>
                <w:color w:val="215868"/>
                <w:sz w:val="18"/>
                <w:szCs w:val="18"/>
              </w:rPr>
              <w:t>%</w:t>
            </w:r>
          </w:p>
        </w:tc>
        <w:tc>
          <w:tcPr>
            <w:tcW w:w="978" w:type="dxa"/>
            <w:vAlign w:val="center"/>
          </w:tcPr>
          <w:p w14:paraId="19DA5BD1" w14:textId="77127485" w:rsidR="002C11A9" w:rsidRDefault="00933A42"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-12.6</w:t>
            </w:r>
            <w:r w:rsidR="002C11A9">
              <w:rPr>
                <w:rFonts w:ascii="Arial" w:hAnsi="Arial" w:cs="Arial"/>
                <w:color w:val="215868"/>
                <w:sz w:val="18"/>
                <w:szCs w:val="18"/>
              </w:rPr>
              <w:t>%</w:t>
            </w:r>
          </w:p>
        </w:tc>
        <w:tc>
          <w:tcPr>
            <w:tcW w:w="979" w:type="dxa"/>
            <w:vAlign w:val="center"/>
          </w:tcPr>
          <w:p w14:paraId="69012CFA" w14:textId="33A36F50"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33A42">
              <w:rPr>
                <w:rFonts w:ascii="Arial" w:hAnsi="Arial" w:cs="Arial"/>
                <w:color w:val="215868"/>
                <w:sz w:val="18"/>
                <w:szCs w:val="18"/>
              </w:rPr>
              <w:t>9.2</w:t>
            </w:r>
            <w:r>
              <w:rPr>
                <w:rFonts w:ascii="Arial" w:hAnsi="Arial" w:cs="Arial"/>
                <w:color w:val="215868"/>
                <w:sz w:val="18"/>
                <w:szCs w:val="18"/>
              </w:rPr>
              <w:t>%</w:t>
            </w:r>
          </w:p>
        </w:tc>
        <w:tc>
          <w:tcPr>
            <w:tcW w:w="979" w:type="dxa"/>
            <w:vAlign w:val="center"/>
          </w:tcPr>
          <w:p w14:paraId="6D275AAB" w14:textId="49D39B9B" w:rsidR="002C11A9" w:rsidRPr="00576207"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w:t>
            </w:r>
            <w:r w:rsidR="00933A42">
              <w:rPr>
                <w:rFonts w:ascii="Arial" w:hAnsi="Arial" w:cs="Arial"/>
                <w:bCs/>
                <w:color w:val="215868" w:themeColor="accent5" w:themeShade="80"/>
                <w:sz w:val="18"/>
                <w:szCs w:val="18"/>
              </w:rPr>
              <w:t>6.4</w:t>
            </w:r>
            <w:r>
              <w:rPr>
                <w:rFonts w:ascii="Arial" w:hAnsi="Arial" w:cs="Arial"/>
                <w:bCs/>
                <w:color w:val="215868" w:themeColor="accent5" w:themeShade="80"/>
                <w:sz w:val="18"/>
                <w:szCs w:val="18"/>
              </w:rPr>
              <w:t>%</w:t>
            </w:r>
          </w:p>
        </w:tc>
        <w:tc>
          <w:tcPr>
            <w:tcW w:w="978" w:type="dxa"/>
          </w:tcPr>
          <w:p w14:paraId="19CE48E3" w14:textId="36A52824"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756F34">
              <w:rPr>
                <w:rFonts w:ascii="Arial" w:hAnsi="Arial" w:cs="Arial"/>
                <w:bCs/>
                <w:color w:val="215868" w:themeColor="accent5" w:themeShade="80"/>
                <w:sz w:val="18"/>
                <w:szCs w:val="18"/>
              </w:rPr>
              <w:t>$</w:t>
            </w:r>
            <w:r w:rsidR="00452431">
              <w:rPr>
                <w:rFonts w:ascii="Arial" w:hAnsi="Arial" w:cs="Arial"/>
                <w:bCs/>
                <w:color w:val="215868" w:themeColor="accent5" w:themeShade="80"/>
                <w:sz w:val="18"/>
                <w:szCs w:val="18"/>
              </w:rPr>
              <w:t>138</w:t>
            </w:r>
            <w:r w:rsidRPr="00756F34">
              <w:rPr>
                <w:rFonts w:ascii="Arial" w:hAnsi="Arial" w:cs="Arial"/>
                <w:bCs/>
                <w:color w:val="215868" w:themeColor="accent5" w:themeShade="80"/>
                <w:sz w:val="18"/>
                <w:szCs w:val="18"/>
              </w:rPr>
              <w:t>M</w:t>
            </w:r>
          </w:p>
        </w:tc>
        <w:tc>
          <w:tcPr>
            <w:tcW w:w="979" w:type="dxa"/>
            <w:vAlign w:val="center"/>
          </w:tcPr>
          <w:p w14:paraId="19CEDC32" w14:textId="4EC4518B" w:rsidR="002C11A9" w:rsidRPr="00DB3E36"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w:t>
            </w:r>
            <w:r w:rsidR="00452431" w:rsidRPr="00DB3E36">
              <w:rPr>
                <w:rFonts w:ascii="Arial" w:hAnsi="Arial" w:cs="Arial"/>
                <w:bCs/>
                <w:color w:val="215868" w:themeColor="accent5" w:themeShade="80"/>
                <w:sz w:val="18"/>
                <w:szCs w:val="18"/>
              </w:rPr>
              <w:t>6.1</w:t>
            </w:r>
            <w:r w:rsidRPr="00DB3E36">
              <w:rPr>
                <w:rFonts w:ascii="Arial" w:hAnsi="Arial" w:cs="Arial"/>
                <w:bCs/>
                <w:color w:val="215868" w:themeColor="accent5" w:themeShade="80"/>
                <w:sz w:val="18"/>
                <w:szCs w:val="18"/>
              </w:rPr>
              <w:t>%</w:t>
            </w:r>
          </w:p>
        </w:tc>
        <w:tc>
          <w:tcPr>
            <w:tcW w:w="979" w:type="dxa"/>
            <w:vAlign w:val="center"/>
          </w:tcPr>
          <w:p w14:paraId="2FE238B1" w14:textId="4A52AC96" w:rsidR="002C11A9" w:rsidRPr="00DB3E36" w:rsidRDefault="00DB3E36"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-10.8%</w:t>
            </w:r>
          </w:p>
        </w:tc>
      </w:tr>
      <w:tr w:rsidR="002C11A9" w14:paraId="501DBCD9" w14:textId="77777777" w:rsidTr="0057133E">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30E7392C" w14:textId="77777777" w:rsidR="002C11A9" w:rsidRPr="00576207" w:rsidRDefault="002C11A9" w:rsidP="001D0D13">
            <w:pPr>
              <w:jc w:val="right"/>
              <w:rPr>
                <w:rFonts w:ascii="Arial" w:hAnsi="Arial" w:cs="Arial"/>
                <w:b w:val="0"/>
                <w:color w:val="215868" w:themeColor="accent5" w:themeShade="80"/>
                <w:sz w:val="18"/>
                <w:szCs w:val="18"/>
              </w:rPr>
            </w:pPr>
            <w:r w:rsidRPr="00576207">
              <w:rPr>
                <w:rFonts w:ascii="Arial" w:hAnsi="Arial" w:cs="Arial"/>
                <w:b w:val="0"/>
                <w:color w:val="215868" w:themeColor="accent5" w:themeShade="80"/>
                <w:sz w:val="18"/>
                <w:szCs w:val="18"/>
              </w:rPr>
              <w:t>Broccoli</w:t>
            </w:r>
          </w:p>
        </w:tc>
        <w:tc>
          <w:tcPr>
            <w:tcW w:w="978" w:type="dxa"/>
            <w:gridSpan w:val="2"/>
            <w:vAlign w:val="center"/>
          </w:tcPr>
          <w:p w14:paraId="31890901" w14:textId="24DB6E6D" w:rsidR="002C11A9" w:rsidRPr="00091E61" w:rsidRDefault="002C11A9"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sidRPr="00091E61">
              <w:rPr>
                <w:rFonts w:ascii="Arial" w:hAnsi="Arial" w:cs="Arial"/>
                <w:color w:val="215868"/>
                <w:sz w:val="18"/>
                <w:szCs w:val="18"/>
              </w:rPr>
              <w:t>+</w:t>
            </w:r>
            <w:r w:rsidR="00760CA8">
              <w:rPr>
                <w:rFonts w:ascii="Arial" w:hAnsi="Arial" w:cs="Arial"/>
                <w:color w:val="215868"/>
                <w:sz w:val="18"/>
                <w:szCs w:val="18"/>
              </w:rPr>
              <w:t>7.3</w:t>
            </w:r>
            <w:r w:rsidRPr="00091E61">
              <w:rPr>
                <w:rFonts w:ascii="Arial" w:hAnsi="Arial" w:cs="Arial"/>
                <w:color w:val="215868"/>
                <w:sz w:val="18"/>
                <w:szCs w:val="18"/>
              </w:rPr>
              <w:t>%</w:t>
            </w:r>
          </w:p>
        </w:tc>
        <w:tc>
          <w:tcPr>
            <w:tcW w:w="979" w:type="dxa"/>
            <w:vAlign w:val="center"/>
          </w:tcPr>
          <w:p w14:paraId="712B31CB" w14:textId="4C6FAA8C" w:rsidR="002C11A9" w:rsidRDefault="002C11A9"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12.3</w:t>
            </w:r>
            <w:r>
              <w:rPr>
                <w:rFonts w:ascii="Arial" w:hAnsi="Arial" w:cs="Arial"/>
                <w:color w:val="215868"/>
                <w:sz w:val="18"/>
                <w:szCs w:val="18"/>
              </w:rPr>
              <w:t>%</w:t>
            </w:r>
          </w:p>
        </w:tc>
        <w:tc>
          <w:tcPr>
            <w:tcW w:w="979" w:type="dxa"/>
            <w:vAlign w:val="center"/>
          </w:tcPr>
          <w:p w14:paraId="21222F0F" w14:textId="46F298DF"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+5</w:t>
            </w:r>
            <w:r w:rsidR="00760CA8">
              <w:rPr>
                <w:rFonts w:ascii="Arial" w:hAnsi="Arial" w:cs="Arial"/>
                <w:color w:val="215868"/>
                <w:sz w:val="18"/>
                <w:szCs w:val="18"/>
              </w:rPr>
              <w:t>.0</w:t>
            </w:r>
            <w:r>
              <w:rPr>
                <w:rFonts w:ascii="Arial" w:hAnsi="Arial" w:cs="Arial"/>
                <w:color w:val="215868"/>
                <w:sz w:val="18"/>
                <w:szCs w:val="18"/>
              </w:rPr>
              <w:t>%</w:t>
            </w:r>
          </w:p>
        </w:tc>
        <w:tc>
          <w:tcPr>
            <w:tcW w:w="978" w:type="dxa"/>
            <w:vAlign w:val="center"/>
          </w:tcPr>
          <w:p w14:paraId="37742519" w14:textId="60876A03"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760CA8">
              <w:rPr>
                <w:rFonts w:ascii="Arial" w:hAnsi="Arial" w:cs="Arial"/>
                <w:color w:val="215868"/>
                <w:sz w:val="18"/>
                <w:szCs w:val="18"/>
              </w:rPr>
              <w:t>4.9</w:t>
            </w:r>
            <w:r>
              <w:rPr>
                <w:rFonts w:ascii="Arial" w:hAnsi="Arial" w:cs="Arial"/>
                <w:color w:val="215868"/>
                <w:sz w:val="18"/>
                <w:szCs w:val="18"/>
              </w:rPr>
              <w:t>%</w:t>
            </w:r>
          </w:p>
        </w:tc>
        <w:tc>
          <w:tcPr>
            <w:tcW w:w="979" w:type="dxa"/>
            <w:vAlign w:val="center"/>
          </w:tcPr>
          <w:p w14:paraId="7DBFF0F7" w14:textId="3CCB3B51" w:rsidR="002C11A9" w:rsidRDefault="00760CA8"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-0.2</w:t>
            </w:r>
            <w:r w:rsidR="002C11A9">
              <w:rPr>
                <w:rFonts w:ascii="Arial" w:hAnsi="Arial" w:cs="Arial"/>
                <w:color w:val="215868"/>
                <w:sz w:val="18"/>
                <w:szCs w:val="18"/>
              </w:rPr>
              <w:t>%</w:t>
            </w:r>
          </w:p>
        </w:tc>
        <w:tc>
          <w:tcPr>
            <w:tcW w:w="979" w:type="dxa"/>
            <w:vAlign w:val="center"/>
          </w:tcPr>
          <w:p w14:paraId="478C3F79" w14:textId="77777777" w:rsidR="002C11A9" w:rsidRDefault="002C11A9"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+7.3%</w:t>
            </w:r>
          </w:p>
        </w:tc>
        <w:tc>
          <w:tcPr>
            <w:tcW w:w="978" w:type="dxa"/>
          </w:tcPr>
          <w:p w14:paraId="6A6BD5A7" w14:textId="57E25099"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756F34">
              <w:rPr>
                <w:rFonts w:ascii="Arial" w:hAnsi="Arial" w:cs="Arial"/>
                <w:bCs/>
                <w:color w:val="215868" w:themeColor="accent5" w:themeShade="80"/>
                <w:sz w:val="18"/>
                <w:szCs w:val="18"/>
              </w:rPr>
              <w:t>$</w:t>
            </w:r>
            <w:r w:rsidR="00452431">
              <w:rPr>
                <w:rFonts w:ascii="Arial" w:hAnsi="Arial" w:cs="Arial"/>
                <w:bCs/>
                <w:color w:val="215868" w:themeColor="accent5" w:themeShade="80"/>
                <w:sz w:val="18"/>
                <w:szCs w:val="18"/>
              </w:rPr>
              <w:t>131</w:t>
            </w:r>
            <w:r w:rsidRPr="00756F34">
              <w:rPr>
                <w:rFonts w:ascii="Arial" w:hAnsi="Arial" w:cs="Arial"/>
                <w:bCs/>
                <w:color w:val="215868" w:themeColor="accent5" w:themeShade="80"/>
                <w:sz w:val="18"/>
                <w:szCs w:val="18"/>
              </w:rPr>
              <w:t>M</w:t>
            </w:r>
          </w:p>
        </w:tc>
        <w:tc>
          <w:tcPr>
            <w:tcW w:w="979" w:type="dxa"/>
            <w:vAlign w:val="center"/>
          </w:tcPr>
          <w:p w14:paraId="45F0598F" w14:textId="1CBB9789" w:rsidR="002C11A9" w:rsidRPr="00DB3E36" w:rsidRDefault="002C11A9"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w:t>
            </w:r>
            <w:r w:rsidR="00452431" w:rsidRPr="00DB3E36">
              <w:rPr>
                <w:rFonts w:ascii="Arial" w:hAnsi="Arial" w:cs="Arial"/>
                <w:bCs/>
                <w:color w:val="215868" w:themeColor="accent5" w:themeShade="80"/>
                <w:sz w:val="18"/>
                <w:szCs w:val="18"/>
              </w:rPr>
              <w:t>2.7</w:t>
            </w:r>
            <w:r w:rsidRPr="00DB3E36">
              <w:rPr>
                <w:rFonts w:ascii="Arial" w:hAnsi="Arial" w:cs="Arial"/>
                <w:bCs/>
                <w:color w:val="215868" w:themeColor="accent5" w:themeShade="80"/>
                <w:sz w:val="18"/>
                <w:szCs w:val="18"/>
              </w:rPr>
              <w:t>%</w:t>
            </w:r>
          </w:p>
        </w:tc>
        <w:tc>
          <w:tcPr>
            <w:tcW w:w="979" w:type="dxa"/>
            <w:vAlign w:val="center"/>
          </w:tcPr>
          <w:p w14:paraId="30A8A063" w14:textId="334DA054" w:rsidR="002C11A9" w:rsidRPr="00DB3E36" w:rsidRDefault="00DB3E36" w:rsidP="001D0D1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-6.1%</w:t>
            </w:r>
          </w:p>
        </w:tc>
      </w:tr>
      <w:tr w:rsidR="002C11A9" w14:paraId="377CA8DB" w14:textId="77777777" w:rsidTr="0057133E">
        <w:trPr>
          <w:trHeight w:val="253"/>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1FE2A43B" w14:textId="77777777" w:rsidR="002C11A9" w:rsidRPr="00576207" w:rsidRDefault="002C11A9" w:rsidP="001D0D13">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Cucumbers</w:t>
            </w:r>
          </w:p>
        </w:tc>
        <w:tc>
          <w:tcPr>
            <w:tcW w:w="978" w:type="dxa"/>
            <w:gridSpan w:val="2"/>
            <w:vAlign w:val="center"/>
          </w:tcPr>
          <w:p w14:paraId="54C32547" w14:textId="0CDA458E" w:rsidR="002C11A9" w:rsidRPr="00091E61"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33A42">
              <w:rPr>
                <w:rFonts w:ascii="Arial" w:hAnsi="Arial" w:cs="Arial"/>
                <w:color w:val="215868"/>
                <w:sz w:val="18"/>
                <w:szCs w:val="18"/>
              </w:rPr>
              <w:t>3.1</w:t>
            </w:r>
            <w:r w:rsidRPr="00091E61">
              <w:rPr>
                <w:rFonts w:ascii="Arial" w:hAnsi="Arial" w:cs="Arial"/>
                <w:color w:val="215868"/>
                <w:sz w:val="18"/>
                <w:szCs w:val="18"/>
              </w:rPr>
              <w:t>%</w:t>
            </w:r>
          </w:p>
        </w:tc>
        <w:tc>
          <w:tcPr>
            <w:tcW w:w="979" w:type="dxa"/>
            <w:vAlign w:val="center"/>
          </w:tcPr>
          <w:p w14:paraId="5D79F752" w14:textId="039437E6" w:rsidR="002C11A9"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33A42">
              <w:rPr>
                <w:rFonts w:ascii="Arial" w:hAnsi="Arial" w:cs="Arial"/>
                <w:color w:val="215868"/>
                <w:sz w:val="18"/>
                <w:szCs w:val="18"/>
              </w:rPr>
              <w:t>18.1</w:t>
            </w:r>
            <w:r>
              <w:rPr>
                <w:rFonts w:ascii="Arial" w:hAnsi="Arial" w:cs="Arial"/>
                <w:color w:val="215868"/>
                <w:sz w:val="18"/>
                <w:szCs w:val="18"/>
              </w:rPr>
              <w:t>%</w:t>
            </w:r>
          </w:p>
        </w:tc>
        <w:tc>
          <w:tcPr>
            <w:tcW w:w="979" w:type="dxa"/>
            <w:vAlign w:val="center"/>
          </w:tcPr>
          <w:p w14:paraId="2B11FF86" w14:textId="3FE61A14"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+10</w:t>
            </w:r>
            <w:r w:rsidR="00933A42">
              <w:rPr>
                <w:rFonts w:ascii="Arial" w:hAnsi="Arial" w:cs="Arial"/>
                <w:color w:val="215868"/>
                <w:sz w:val="18"/>
                <w:szCs w:val="18"/>
              </w:rPr>
              <w:t>.1</w:t>
            </w:r>
            <w:r>
              <w:rPr>
                <w:rFonts w:ascii="Arial" w:hAnsi="Arial" w:cs="Arial"/>
                <w:color w:val="215868"/>
                <w:sz w:val="18"/>
                <w:szCs w:val="18"/>
              </w:rPr>
              <w:t>%</w:t>
            </w:r>
          </w:p>
        </w:tc>
        <w:tc>
          <w:tcPr>
            <w:tcW w:w="978" w:type="dxa"/>
            <w:vAlign w:val="center"/>
          </w:tcPr>
          <w:p w14:paraId="6C847F62" w14:textId="6514A194"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33A42">
              <w:rPr>
                <w:rFonts w:ascii="Arial" w:hAnsi="Arial" w:cs="Arial"/>
                <w:color w:val="215868"/>
                <w:sz w:val="18"/>
                <w:szCs w:val="18"/>
              </w:rPr>
              <w:t>3.2</w:t>
            </w:r>
            <w:r>
              <w:rPr>
                <w:rFonts w:ascii="Arial" w:hAnsi="Arial" w:cs="Arial"/>
                <w:color w:val="215868"/>
                <w:sz w:val="18"/>
                <w:szCs w:val="18"/>
              </w:rPr>
              <w:t>%</w:t>
            </w:r>
          </w:p>
        </w:tc>
        <w:tc>
          <w:tcPr>
            <w:tcW w:w="979" w:type="dxa"/>
            <w:vAlign w:val="center"/>
          </w:tcPr>
          <w:p w14:paraId="3217CC49" w14:textId="61C5F6AB"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+4</w:t>
            </w:r>
            <w:r w:rsidR="00933A42">
              <w:rPr>
                <w:rFonts w:ascii="Arial" w:hAnsi="Arial" w:cs="Arial"/>
                <w:color w:val="215868"/>
                <w:sz w:val="18"/>
                <w:szCs w:val="18"/>
              </w:rPr>
              <w:t>.0</w:t>
            </w:r>
            <w:r>
              <w:rPr>
                <w:rFonts w:ascii="Arial" w:hAnsi="Arial" w:cs="Arial"/>
                <w:color w:val="215868"/>
                <w:sz w:val="18"/>
                <w:szCs w:val="18"/>
              </w:rPr>
              <w:t>%</w:t>
            </w:r>
          </w:p>
        </w:tc>
        <w:tc>
          <w:tcPr>
            <w:tcW w:w="979" w:type="dxa"/>
            <w:vAlign w:val="center"/>
          </w:tcPr>
          <w:p w14:paraId="5604E5C2" w14:textId="24A3793B" w:rsidR="002C11A9" w:rsidRDefault="002C11A9"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+5.</w:t>
            </w:r>
            <w:r w:rsidR="00933A42">
              <w:rPr>
                <w:rFonts w:ascii="Arial" w:hAnsi="Arial" w:cs="Arial"/>
                <w:color w:val="215868" w:themeColor="accent5" w:themeShade="80"/>
                <w:sz w:val="18"/>
                <w:szCs w:val="18"/>
              </w:rPr>
              <w:t>0</w:t>
            </w:r>
            <w:r>
              <w:rPr>
                <w:rFonts w:ascii="Arial" w:hAnsi="Arial" w:cs="Arial"/>
                <w:color w:val="215868" w:themeColor="accent5" w:themeShade="80"/>
                <w:sz w:val="18"/>
                <w:szCs w:val="18"/>
              </w:rPr>
              <w:t>%</w:t>
            </w:r>
          </w:p>
        </w:tc>
        <w:tc>
          <w:tcPr>
            <w:tcW w:w="978" w:type="dxa"/>
          </w:tcPr>
          <w:p w14:paraId="14EF2A22" w14:textId="2FC4FE27"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756F34">
              <w:rPr>
                <w:rFonts w:ascii="Arial" w:hAnsi="Arial" w:cs="Arial"/>
                <w:bCs/>
                <w:color w:val="215868" w:themeColor="accent5" w:themeShade="80"/>
                <w:sz w:val="18"/>
                <w:szCs w:val="18"/>
              </w:rPr>
              <w:t>$</w:t>
            </w:r>
            <w:r w:rsidR="00452431">
              <w:rPr>
                <w:rFonts w:ascii="Arial" w:hAnsi="Arial" w:cs="Arial"/>
                <w:bCs/>
                <w:color w:val="215868" w:themeColor="accent5" w:themeShade="80"/>
                <w:sz w:val="18"/>
                <w:szCs w:val="18"/>
              </w:rPr>
              <w:t>125</w:t>
            </w:r>
            <w:r w:rsidRPr="00756F34">
              <w:rPr>
                <w:rFonts w:ascii="Arial" w:hAnsi="Arial" w:cs="Arial"/>
                <w:bCs/>
                <w:color w:val="215868" w:themeColor="accent5" w:themeShade="80"/>
                <w:sz w:val="18"/>
                <w:szCs w:val="18"/>
              </w:rPr>
              <w:t>M</w:t>
            </w:r>
          </w:p>
        </w:tc>
        <w:tc>
          <w:tcPr>
            <w:tcW w:w="979" w:type="dxa"/>
            <w:vAlign w:val="center"/>
          </w:tcPr>
          <w:p w14:paraId="363007FC" w14:textId="6FAA6901" w:rsidR="002C11A9" w:rsidRPr="00DB3E36" w:rsidRDefault="002C11A9"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DB3E36">
              <w:rPr>
                <w:rFonts w:ascii="Arial" w:hAnsi="Arial" w:cs="Arial"/>
                <w:bCs/>
                <w:color w:val="215868" w:themeColor="accent5" w:themeShade="80"/>
                <w:sz w:val="18"/>
                <w:szCs w:val="18"/>
              </w:rPr>
              <w:t>+</w:t>
            </w:r>
            <w:r w:rsidR="00452431" w:rsidRPr="00DB3E36">
              <w:rPr>
                <w:rFonts w:ascii="Arial" w:hAnsi="Arial" w:cs="Arial"/>
                <w:bCs/>
                <w:color w:val="215868" w:themeColor="accent5" w:themeShade="80"/>
                <w:sz w:val="18"/>
                <w:szCs w:val="18"/>
              </w:rPr>
              <w:t>1.4</w:t>
            </w:r>
            <w:r w:rsidRPr="00DB3E36">
              <w:rPr>
                <w:rFonts w:ascii="Arial" w:hAnsi="Arial" w:cs="Arial"/>
                <w:bCs/>
                <w:color w:val="215868" w:themeColor="accent5" w:themeShade="80"/>
                <w:sz w:val="18"/>
                <w:szCs w:val="18"/>
              </w:rPr>
              <w:t>%</w:t>
            </w:r>
          </w:p>
        </w:tc>
        <w:tc>
          <w:tcPr>
            <w:tcW w:w="979" w:type="dxa"/>
            <w:vAlign w:val="center"/>
          </w:tcPr>
          <w:p w14:paraId="6BAF19C6" w14:textId="37225453" w:rsidR="002C11A9" w:rsidRPr="00DB3E36" w:rsidRDefault="00DB3E36" w:rsidP="001D0D1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-5.3%</w:t>
            </w:r>
          </w:p>
        </w:tc>
      </w:tr>
    </w:tbl>
    <w:p w14:paraId="4466B100" w14:textId="77777777" w:rsidR="00CB1955" w:rsidRPr="0009337A" w:rsidRDefault="00CB1955" w:rsidP="00EC2806">
      <w:pPr>
        <w:pStyle w:val="NoSpacing"/>
        <w:rPr>
          <w:rFonts w:ascii="Arial" w:hAnsi="Arial" w:cs="Arial"/>
          <w:sz w:val="14"/>
          <w:szCs w:val="4"/>
        </w:rPr>
      </w:pPr>
    </w:p>
    <w:p w14:paraId="32A125DE" w14:textId="77777777" w:rsidR="00EC2806" w:rsidRPr="00B35CE9" w:rsidRDefault="00EC2806" w:rsidP="00EC2806">
      <w:pPr>
        <w:pStyle w:val="NoSpacing"/>
        <w:rPr>
          <w:rFonts w:ascii="Arial" w:hAnsi="Arial" w:cs="Arial"/>
          <w:sz w:val="16"/>
          <w:szCs w:val="16"/>
        </w:rPr>
      </w:pPr>
      <w:r w:rsidRPr="00B35CE9">
        <w:rPr>
          <w:rFonts w:ascii="Arial" w:hAnsi="Arial" w:cs="Arial"/>
          <w:sz w:val="16"/>
          <w:szCs w:val="16"/>
        </w:rPr>
        <w:t>Source: Source:</w:t>
      </w:r>
      <w:r w:rsidR="007E5948">
        <w:rPr>
          <w:rFonts w:ascii="Arial" w:hAnsi="Arial" w:cs="Arial"/>
          <w:sz w:val="16"/>
          <w:szCs w:val="16"/>
        </w:rPr>
        <w:t xml:space="preserve"> IRI</w:t>
      </w:r>
      <w:r w:rsidR="00012355">
        <w:rPr>
          <w:rFonts w:ascii="Arial" w:hAnsi="Arial" w:cs="Arial"/>
          <w:sz w:val="16"/>
          <w:szCs w:val="16"/>
        </w:rPr>
        <w:t xml:space="preserve"> Integrated Fresh</w:t>
      </w:r>
      <w:r w:rsidR="007E5948">
        <w:rPr>
          <w:rFonts w:ascii="Arial" w:hAnsi="Arial" w:cs="Arial"/>
          <w:sz w:val="16"/>
          <w:szCs w:val="16"/>
        </w:rPr>
        <w:t>, Total U.S., MULO</w:t>
      </w:r>
    </w:p>
    <w:p w14:paraId="6B367975" w14:textId="77777777" w:rsidR="00F8382F" w:rsidRDefault="00F8382F" w:rsidP="00D77735">
      <w:pPr>
        <w:spacing w:after="0" w:line="240" w:lineRule="auto"/>
        <w:rPr>
          <w:rFonts w:ascii="Arial" w:hAnsi="Arial" w:cs="Arial"/>
          <w:b/>
          <w:color w:val="595959" w:themeColor="text1" w:themeTint="A6"/>
          <w:sz w:val="24"/>
          <w:szCs w:val="24"/>
        </w:rPr>
      </w:pPr>
    </w:p>
    <w:p w14:paraId="23DE661B" w14:textId="67671ABD" w:rsidR="009E5261" w:rsidRPr="001A4F53" w:rsidRDefault="00280853" w:rsidP="009E5261">
      <w:pPr>
        <w:pStyle w:val="NoSpacing"/>
        <w:rPr>
          <w:rFonts w:ascii="Arial" w:hAnsi="Arial" w:cs="Arial"/>
          <w:b/>
          <w:color w:val="595959" w:themeColor="text1" w:themeTint="A6"/>
          <w:sz w:val="24"/>
          <w:szCs w:val="20"/>
        </w:rPr>
      </w:pPr>
      <w:r>
        <w:rPr>
          <w:rFonts w:ascii="Arial" w:hAnsi="Arial" w:cs="Arial"/>
          <w:b/>
          <w:color w:val="595959" w:themeColor="text1" w:themeTint="A6"/>
          <w:sz w:val="24"/>
          <w:szCs w:val="20"/>
        </w:rPr>
        <w:t xml:space="preserve">Fresh Produce </w:t>
      </w:r>
      <w:r w:rsidR="009E5261" w:rsidRPr="005E2F61">
        <w:rPr>
          <w:rFonts w:ascii="Arial" w:hAnsi="Arial" w:cs="Arial"/>
          <w:b/>
          <w:color w:val="595959" w:themeColor="text1" w:themeTint="A6"/>
          <w:sz w:val="24"/>
          <w:szCs w:val="20"/>
        </w:rPr>
        <w:t xml:space="preserve">Absolute Dollar </w:t>
      </w:r>
      <w:r>
        <w:rPr>
          <w:rFonts w:ascii="Arial" w:hAnsi="Arial" w:cs="Arial"/>
          <w:b/>
          <w:color w:val="595959" w:themeColor="text1" w:themeTint="A6"/>
          <w:sz w:val="24"/>
          <w:szCs w:val="20"/>
        </w:rPr>
        <w:t>Gains</w:t>
      </w:r>
    </w:p>
    <w:p w14:paraId="25FFE32A" w14:textId="548F7910" w:rsidR="009E5261" w:rsidRPr="00B35CE9" w:rsidRDefault="009E5261" w:rsidP="009E5261">
      <w:pPr>
        <w:pStyle w:val="NoSpacing"/>
        <w:rPr>
          <w:rFonts w:ascii="Arial" w:hAnsi="Arial" w:cs="Arial"/>
          <w:sz w:val="20"/>
          <w:szCs w:val="20"/>
        </w:rPr>
      </w:pPr>
      <w:r>
        <w:rPr>
          <w:rFonts w:ascii="Arial" w:hAnsi="Arial" w:cs="Arial"/>
          <w:sz w:val="20"/>
          <w:szCs w:val="20"/>
        </w:rPr>
        <w:t>“</w:t>
      </w:r>
      <w:r w:rsidR="00E4420B">
        <w:rPr>
          <w:rFonts w:ascii="Arial" w:hAnsi="Arial" w:cs="Arial"/>
          <w:sz w:val="20"/>
          <w:szCs w:val="20"/>
        </w:rPr>
        <w:t xml:space="preserve">The top 10 </w:t>
      </w:r>
      <w:r w:rsidR="00A225C7">
        <w:rPr>
          <w:rFonts w:ascii="Arial" w:hAnsi="Arial" w:cs="Arial"/>
          <w:sz w:val="20"/>
          <w:szCs w:val="20"/>
        </w:rPr>
        <w:t xml:space="preserve">in absolute dollar gains </w:t>
      </w:r>
      <w:r w:rsidR="00E4420B">
        <w:rPr>
          <w:rFonts w:ascii="Arial" w:hAnsi="Arial" w:cs="Arial"/>
          <w:sz w:val="20"/>
          <w:szCs w:val="20"/>
        </w:rPr>
        <w:t>show</w:t>
      </w:r>
      <w:r w:rsidR="00A225C7">
        <w:rPr>
          <w:rFonts w:ascii="Arial" w:hAnsi="Arial" w:cs="Arial"/>
          <w:sz w:val="20"/>
          <w:szCs w:val="20"/>
        </w:rPr>
        <w:t>ed</w:t>
      </w:r>
      <w:r w:rsidR="00E4420B">
        <w:rPr>
          <w:rFonts w:ascii="Arial" w:hAnsi="Arial" w:cs="Arial"/>
          <w:sz w:val="20"/>
          <w:szCs w:val="20"/>
        </w:rPr>
        <w:t xml:space="preserve"> </w:t>
      </w:r>
      <w:r w:rsidR="00084469">
        <w:rPr>
          <w:rFonts w:ascii="Arial" w:hAnsi="Arial" w:cs="Arial"/>
          <w:sz w:val="20"/>
          <w:szCs w:val="20"/>
        </w:rPr>
        <w:t xml:space="preserve">both </w:t>
      </w:r>
      <w:r w:rsidR="00E4420B">
        <w:rPr>
          <w:rFonts w:ascii="Arial" w:hAnsi="Arial" w:cs="Arial"/>
          <w:sz w:val="20"/>
          <w:szCs w:val="20"/>
        </w:rPr>
        <w:t xml:space="preserve">small and large categories </w:t>
      </w:r>
      <w:r w:rsidR="001D5C1A">
        <w:rPr>
          <w:rFonts w:ascii="Arial" w:hAnsi="Arial" w:cs="Arial"/>
          <w:sz w:val="20"/>
          <w:szCs w:val="20"/>
        </w:rPr>
        <w:t>are important for department growth</w:t>
      </w:r>
      <w:r w:rsidR="004D26B3">
        <w:rPr>
          <w:rFonts w:ascii="Arial" w:hAnsi="Arial" w:cs="Arial"/>
          <w:sz w:val="20"/>
          <w:szCs w:val="20"/>
        </w:rPr>
        <w:t>,</w:t>
      </w:r>
      <w:r>
        <w:rPr>
          <w:rFonts w:ascii="Arial" w:hAnsi="Arial" w:cs="Arial"/>
          <w:sz w:val="20"/>
          <w:szCs w:val="20"/>
        </w:rPr>
        <w:t>”</w:t>
      </w:r>
      <w:r w:rsidR="004D26B3">
        <w:rPr>
          <w:rFonts w:ascii="Arial" w:hAnsi="Arial" w:cs="Arial"/>
          <w:sz w:val="20"/>
          <w:szCs w:val="20"/>
        </w:rPr>
        <w:t xml:space="preserve"> said </w:t>
      </w:r>
      <w:r w:rsidR="000D5031">
        <w:rPr>
          <w:rFonts w:ascii="Arial" w:hAnsi="Arial" w:cs="Arial"/>
          <w:sz w:val="20"/>
          <w:szCs w:val="20"/>
        </w:rPr>
        <w:t>Parker</w:t>
      </w:r>
      <w:r w:rsidR="004D26B3">
        <w:rPr>
          <w:rFonts w:ascii="Arial" w:hAnsi="Arial" w:cs="Arial"/>
          <w:sz w:val="20"/>
          <w:szCs w:val="20"/>
        </w:rPr>
        <w:t>. “</w:t>
      </w:r>
      <w:r w:rsidR="0087772C">
        <w:rPr>
          <w:rFonts w:ascii="Arial" w:hAnsi="Arial" w:cs="Arial"/>
          <w:sz w:val="20"/>
          <w:szCs w:val="20"/>
        </w:rPr>
        <w:t xml:space="preserve">But more than anything, it shows the impact of inflation. </w:t>
      </w:r>
      <w:r w:rsidR="00CC2438">
        <w:rPr>
          <w:rFonts w:ascii="Arial" w:hAnsi="Arial" w:cs="Arial"/>
          <w:sz w:val="20"/>
          <w:szCs w:val="20"/>
        </w:rPr>
        <w:t xml:space="preserve">Impressively, berry prices only increased </w:t>
      </w:r>
      <w:r w:rsidR="00FC1239">
        <w:rPr>
          <w:rFonts w:ascii="Arial" w:hAnsi="Arial" w:cs="Arial"/>
          <w:sz w:val="20"/>
          <w:szCs w:val="20"/>
        </w:rPr>
        <w:t>5.3</w:t>
      </w:r>
      <w:r w:rsidR="00CC2438">
        <w:rPr>
          <w:rFonts w:ascii="Arial" w:hAnsi="Arial" w:cs="Arial"/>
          <w:sz w:val="20"/>
          <w:szCs w:val="20"/>
        </w:rPr>
        <w:t>%</w:t>
      </w:r>
      <w:r w:rsidR="00FC1239">
        <w:rPr>
          <w:rFonts w:ascii="Arial" w:hAnsi="Arial" w:cs="Arial"/>
          <w:sz w:val="20"/>
          <w:szCs w:val="20"/>
        </w:rPr>
        <w:t xml:space="preserve"> in January 2022</w:t>
      </w:r>
      <w:r w:rsidR="00CC2438">
        <w:rPr>
          <w:rFonts w:ascii="Arial" w:hAnsi="Arial" w:cs="Arial"/>
          <w:sz w:val="20"/>
          <w:szCs w:val="20"/>
        </w:rPr>
        <w:t xml:space="preserve">, yet </w:t>
      </w:r>
      <w:r w:rsidR="000C0F39">
        <w:rPr>
          <w:rFonts w:ascii="Arial" w:hAnsi="Arial" w:cs="Arial"/>
          <w:sz w:val="20"/>
          <w:szCs w:val="20"/>
        </w:rPr>
        <w:t xml:space="preserve">berries </w:t>
      </w:r>
      <w:r w:rsidR="00CC2438">
        <w:rPr>
          <w:rFonts w:ascii="Arial" w:hAnsi="Arial" w:cs="Arial"/>
          <w:sz w:val="20"/>
          <w:szCs w:val="20"/>
        </w:rPr>
        <w:t>remain</w:t>
      </w:r>
      <w:r w:rsidR="00FC1239">
        <w:rPr>
          <w:rFonts w:ascii="Arial" w:hAnsi="Arial" w:cs="Arial"/>
          <w:sz w:val="20"/>
          <w:szCs w:val="20"/>
        </w:rPr>
        <w:t>ed</w:t>
      </w:r>
      <w:r w:rsidR="00CC2438">
        <w:rPr>
          <w:rFonts w:ascii="Arial" w:hAnsi="Arial" w:cs="Arial"/>
          <w:sz w:val="20"/>
          <w:szCs w:val="20"/>
        </w:rPr>
        <w:t xml:space="preserve"> the leader in absolute dollar growth</w:t>
      </w:r>
      <w:r w:rsidR="00FC1239">
        <w:rPr>
          <w:rFonts w:ascii="Arial" w:hAnsi="Arial" w:cs="Arial"/>
          <w:sz w:val="20"/>
          <w:szCs w:val="20"/>
        </w:rPr>
        <w:t xml:space="preserve"> with an additional $104 million in January sales</w:t>
      </w:r>
      <w:r w:rsidR="00CC2438">
        <w:rPr>
          <w:rFonts w:ascii="Arial" w:hAnsi="Arial" w:cs="Arial"/>
          <w:sz w:val="20"/>
          <w:szCs w:val="20"/>
        </w:rPr>
        <w:t>.</w:t>
      </w:r>
      <w:r w:rsidR="000C0F39">
        <w:rPr>
          <w:rFonts w:ascii="Arial" w:hAnsi="Arial" w:cs="Arial"/>
          <w:sz w:val="20"/>
          <w:szCs w:val="20"/>
        </w:rPr>
        <w:t xml:space="preserve"> That was more than twice as much as the number two, melons</w:t>
      </w:r>
      <w:r w:rsidR="00061697">
        <w:rPr>
          <w:rFonts w:ascii="Arial" w:hAnsi="Arial" w:cs="Arial"/>
          <w:sz w:val="20"/>
          <w:szCs w:val="20"/>
        </w:rPr>
        <w:t>,</w:t>
      </w:r>
      <w:r w:rsidR="000C0F39">
        <w:rPr>
          <w:rFonts w:ascii="Arial" w:hAnsi="Arial" w:cs="Arial"/>
          <w:sz w:val="20"/>
          <w:szCs w:val="20"/>
        </w:rPr>
        <w:t xml:space="preserve"> that achieved an additional $43 million in sales.</w:t>
      </w:r>
      <w:r w:rsidR="004D26B3">
        <w:rPr>
          <w:rFonts w:ascii="Arial" w:hAnsi="Arial" w:cs="Arial"/>
          <w:sz w:val="20"/>
          <w:szCs w:val="20"/>
        </w:rPr>
        <w:t>”</w:t>
      </w:r>
      <w:r w:rsidR="00CC2438">
        <w:rPr>
          <w:rFonts w:ascii="Arial" w:hAnsi="Arial" w:cs="Arial"/>
          <w:sz w:val="20"/>
          <w:szCs w:val="20"/>
        </w:rPr>
        <w:t xml:space="preserve"> The top 10 in absolute dollar growth was dominated by fruit, directly related to the high levels of inflation. </w:t>
      </w:r>
      <w:r w:rsidR="0039690E">
        <w:rPr>
          <w:rFonts w:ascii="Arial" w:hAnsi="Arial" w:cs="Arial"/>
          <w:sz w:val="20"/>
          <w:szCs w:val="20"/>
        </w:rPr>
        <w:t xml:space="preserve"> </w:t>
      </w:r>
      <w:r>
        <w:rPr>
          <w:rFonts w:ascii="Arial" w:hAnsi="Arial" w:cs="Arial"/>
          <w:sz w:val="20"/>
          <w:szCs w:val="20"/>
        </w:rPr>
        <w:t xml:space="preserve"> </w:t>
      </w:r>
    </w:p>
    <w:p w14:paraId="64BA956D" w14:textId="77777777" w:rsidR="00470A5F" w:rsidRDefault="00470A5F" w:rsidP="009E5261">
      <w:pPr>
        <w:pStyle w:val="NoSpacing"/>
        <w:rPr>
          <w:rFonts w:ascii="Arial" w:hAnsi="Arial" w:cs="Arial"/>
          <w:sz w:val="10"/>
          <w:szCs w:val="10"/>
        </w:rPr>
      </w:pPr>
    </w:p>
    <w:p w14:paraId="65036843" w14:textId="77777777" w:rsidR="00470A5F" w:rsidRPr="00E62AA9" w:rsidRDefault="00470A5F" w:rsidP="009E5261">
      <w:pPr>
        <w:pStyle w:val="NoSpacing"/>
        <w:rPr>
          <w:rFonts w:ascii="Arial" w:hAnsi="Arial" w:cs="Arial"/>
          <w:sz w:val="10"/>
          <w:szCs w:val="10"/>
        </w:rPr>
      </w:pPr>
    </w:p>
    <w:tbl>
      <w:tblPr>
        <w:tblStyle w:val="LightShading-Accent5"/>
        <w:tblW w:w="10458" w:type="dxa"/>
        <w:tblBorders>
          <w:top w:val="none" w:sz="0" w:space="0" w:color="auto"/>
          <w:bottom w:val="none" w:sz="0" w:space="0" w:color="auto"/>
        </w:tblBorders>
        <w:tblLook w:val="04A0" w:firstRow="1" w:lastRow="0" w:firstColumn="1" w:lastColumn="0" w:noHBand="0" w:noVBand="1"/>
      </w:tblPr>
      <w:tblGrid>
        <w:gridCol w:w="3008"/>
        <w:gridCol w:w="1862"/>
        <w:gridCol w:w="1863"/>
        <w:gridCol w:w="1862"/>
        <w:gridCol w:w="600"/>
        <w:gridCol w:w="1263"/>
      </w:tblGrid>
      <w:tr w:rsidR="0087772C" w:rsidRPr="00764049" w14:paraId="6F319179" w14:textId="77777777" w:rsidTr="0087772C">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EC3C13C" w14:textId="77777777" w:rsidR="0087772C" w:rsidRPr="001A4F53" w:rsidRDefault="002C11A9" w:rsidP="00F103B9">
            <w:pPr>
              <w:pStyle w:val="NoSpacing"/>
              <w:rPr>
                <w:rFonts w:ascii="Arial" w:hAnsi="Arial" w:cs="Arial"/>
                <w:color w:val="FFFFFF" w:themeColor="background1"/>
                <w:sz w:val="18"/>
                <w:szCs w:val="18"/>
              </w:rPr>
            </w:pPr>
            <w:r>
              <w:rPr>
                <w:rFonts w:ascii="Arial" w:hAnsi="Arial" w:cs="Arial"/>
                <w:color w:val="FFFFFF" w:themeColor="background1"/>
                <w:sz w:val="18"/>
                <w:szCs w:val="18"/>
              </w:rPr>
              <w:t>January 2022</w:t>
            </w:r>
          </w:p>
        </w:tc>
        <w:tc>
          <w:tcPr>
            <w:tcW w:w="6187" w:type="dxa"/>
            <w:gridSpan w:val="4"/>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6D8EE0B" w14:textId="77777777" w:rsidR="0087772C" w:rsidRPr="001A4F53" w:rsidRDefault="0087772C" w:rsidP="002C11A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Versus comparable period</w:t>
            </w:r>
            <w:r w:rsidRPr="001A4F53">
              <w:rPr>
                <w:rFonts w:ascii="Arial" w:hAnsi="Arial" w:cs="Arial"/>
                <w:color w:val="FFFFFF" w:themeColor="background1"/>
                <w:sz w:val="18"/>
                <w:szCs w:val="18"/>
              </w:rPr>
              <w:t xml:space="preserve"> in 20</w:t>
            </w:r>
            <w:r>
              <w:rPr>
                <w:rFonts w:ascii="Arial" w:hAnsi="Arial" w:cs="Arial"/>
                <w:color w:val="FFFFFF" w:themeColor="background1"/>
                <w:sz w:val="18"/>
                <w:szCs w:val="18"/>
              </w:rPr>
              <w:t>2</w:t>
            </w:r>
            <w:r w:rsidR="002C11A9">
              <w:rPr>
                <w:rFonts w:ascii="Arial" w:hAnsi="Arial" w:cs="Arial"/>
                <w:color w:val="FFFFFF" w:themeColor="background1"/>
                <w:sz w:val="18"/>
                <w:szCs w:val="18"/>
              </w:rPr>
              <w:t>1</w:t>
            </w:r>
          </w:p>
        </w:tc>
        <w:tc>
          <w:tcPr>
            <w:tcW w:w="1263"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0B30EE45" w14:textId="77777777" w:rsidR="0087772C" w:rsidRDefault="0087772C" w:rsidP="00F103B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r>
      <w:tr w:rsidR="0087772C" w:rsidRPr="00764049" w14:paraId="74A228B9" w14:textId="77777777" w:rsidTr="0087772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tcBorders>
              <w:left w:val="none" w:sz="0" w:space="0" w:color="auto"/>
              <w:right w:val="none" w:sz="0" w:space="0" w:color="auto"/>
            </w:tcBorders>
            <w:shd w:val="clear" w:color="auto" w:fill="17365D" w:themeFill="text2" w:themeFillShade="BF"/>
            <w:vAlign w:val="center"/>
          </w:tcPr>
          <w:p w14:paraId="5BA6C8F0" w14:textId="77777777" w:rsidR="0087772C" w:rsidRPr="001A4F53" w:rsidRDefault="0087772C" w:rsidP="00F103B9">
            <w:pPr>
              <w:pStyle w:val="NoSpacing"/>
              <w:rPr>
                <w:rFonts w:ascii="Arial" w:hAnsi="Arial" w:cs="Arial"/>
                <w:color w:val="FFFFFF" w:themeColor="background1"/>
                <w:sz w:val="18"/>
                <w:szCs w:val="18"/>
              </w:rPr>
            </w:pPr>
            <w:r w:rsidRPr="001A4F53">
              <w:rPr>
                <w:rFonts w:ascii="Arial" w:hAnsi="Arial" w:cs="Arial"/>
                <w:color w:val="FFFFFF" w:themeColor="background1"/>
                <w:sz w:val="18"/>
                <w:szCs w:val="18"/>
              </w:rPr>
              <w:t xml:space="preserve">Top 10 produce items in absolute dollar growth </w:t>
            </w:r>
          </w:p>
        </w:tc>
        <w:tc>
          <w:tcPr>
            <w:tcW w:w="1862" w:type="dxa"/>
            <w:tcBorders>
              <w:left w:val="none" w:sz="0" w:space="0" w:color="auto"/>
              <w:right w:val="none" w:sz="0" w:space="0" w:color="auto"/>
            </w:tcBorders>
            <w:shd w:val="clear" w:color="auto" w:fill="17365D" w:themeFill="text2" w:themeFillShade="BF"/>
            <w:vAlign w:val="center"/>
          </w:tcPr>
          <w:p w14:paraId="2877944D" w14:textId="77777777"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1A4F53">
              <w:rPr>
                <w:rFonts w:ascii="Arial" w:hAnsi="Arial" w:cs="Arial"/>
                <w:b/>
                <w:color w:val="FFFFFF" w:themeColor="background1"/>
                <w:sz w:val="18"/>
                <w:szCs w:val="18"/>
              </w:rPr>
              <w:t xml:space="preserve">Absolute dollar gain </w:t>
            </w:r>
          </w:p>
        </w:tc>
        <w:tc>
          <w:tcPr>
            <w:tcW w:w="1863" w:type="dxa"/>
            <w:tcBorders>
              <w:left w:val="none" w:sz="0" w:space="0" w:color="auto"/>
              <w:right w:val="none" w:sz="0" w:space="0" w:color="auto"/>
            </w:tcBorders>
            <w:shd w:val="clear" w:color="auto" w:fill="17365D" w:themeFill="text2" w:themeFillShade="BF"/>
            <w:vAlign w:val="center"/>
          </w:tcPr>
          <w:p w14:paraId="0E812425" w14:textId="77777777"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1A4F53">
              <w:rPr>
                <w:rFonts w:ascii="Arial" w:hAnsi="Arial" w:cs="Arial"/>
                <w:b/>
                <w:color w:val="FFFFFF" w:themeColor="background1"/>
                <w:sz w:val="18"/>
                <w:szCs w:val="18"/>
              </w:rPr>
              <w:t xml:space="preserve">Dollar % </w:t>
            </w:r>
            <w:r>
              <w:rPr>
                <w:rFonts w:ascii="Arial" w:hAnsi="Arial" w:cs="Arial"/>
                <w:b/>
                <w:color w:val="FFFFFF" w:themeColor="background1"/>
                <w:sz w:val="18"/>
                <w:szCs w:val="18"/>
              </w:rPr>
              <w:t>growth</w:t>
            </w:r>
          </w:p>
        </w:tc>
        <w:tc>
          <w:tcPr>
            <w:tcW w:w="1862" w:type="dxa"/>
            <w:tcBorders>
              <w:left w:val="none" w:sz="0" w:space="0" w:color="auto"/>
              <w:right w:val="none" w:sz="0" w:space="0" w:color="auto"/>
            </w:tcBorders>
            <w:shd w:val="clear" w:color="auto" w:fill="17365D" w:themeFill="text2" w:themeFillShade="BF"/>
            <w:vAlign w:val="center"/>
          </w:tcPr>
          <w:p w14:paraId="0B544E93" w14:textId="77777777"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1A4F53">
              <w:rPr>
                <w:rFonts w:ascii="Arial" w:hAnsi="Arial" w:cs="Arial"/>
                <w:b/>
                <w:color w:val="FFFFFF" w:themeColor="background1"/>
                <w:sz w:val="18"/>
                <w:szCs w:val="18"/>
              </w:rPr>
              <w:t>Total dollar sales</w:t>
            </w:r>
          </w:p>
        </w:tc>
        <w:tc>
          <w:tcPr>
            <w:tcW w:w="1863" w:type="dxa"/>
            <w:gridSpan w:val="2"/>
            <w:tcBorders>
              <w:left w:val="none" w:sz="0" w:space="0" w:color="auto"/>
              <w:right w:val="none" w:sz="0" w:space="0" w:color="auto"/>
            </w:tcBorders>
            <w:shd w:val="clear" w:color="auto" w:fill="17365D" w:themeFill="text2" w:themeFillShade="BF"/>
          </w:tcPr>
          <w:p w14:paraId="3C571A8B" w14:textId="77777777" w:rsidR="0087772C" w:rsidRPr="001A4F53" w:rsidRDefault="0087772C" w:rsidP="00F103B9">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Increase in price per pound</w:t>
            </w:r>
          </w:p>
        </w:tc>
      </w:tr>
      <w:tr w:rsidR="0087772C" w:rsidRPr="0039690E" w14:paraId="04F1D0AF" w14:textId="77777777" w:rsidTr="0087772C">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0C01466F" w14:textId="77777777" w:rsidR="0087772C" w:rsidRPr="0039690E" w:rsidRDefault="0087772C" w:rsidP="000166DA">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Berries</w:t>
            </w:r>
          </w:p>
        </w:tc>
        <w:tc>
          <w:tcPr>
            <w:tcW w:w="1862" w:type="dxa"/>
            <w:vAlign w:val="center"/>
          </w:tcPr>
          <w:p w14:paraId="27F7C24E" w14:textId="17B24E28" w:rsidR="0087772C" w:rsidRPr="0039690E" w:rsidRDefault="002C11A9"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104</w:t>
            </w:r>
            <w:r w:rsidR="0087772C" w:rsidRPr="0039690E">
              <w:rPr>
                <w:rFonts w:ascii="Arial" w:hAnsi="Arial" w:cs="Arial"/>
                <w:color w:val="215868" w:themeColor="accent5" w:themeShade="80"/>
                <w:sz w:val="18"/>
                <w:szCs w:val="18"/>
              </w:rPr>
              <w:t>M</w:t>
            </w:r>
          </w:p>
        </w:tc>
        <w:tc>
          <w:tcPr>
            <w:tcW w:w="1863" w:type="dxa"/>
            <w:vAlign w:val="center"/>
          </w:tcPr>
          <w:p w14:paraId="66E5E3BB" w14:textId="1E327612" w:rsidR="0087772C" w:rsidRPr="0039690E" w:rsidRDefault="0087772C"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39690E">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14.8</w:t>
            </w:r>
            <w:r w:rsidRPr="0039690E">
              <w:rPr>
                <w:rFonts w:ascii="Arial" w:hAnsi="Arial" w:cs="Arial"/>
                <w:color w:val="215868" w:themeColor="accent5" w:themeShade="80"/>
                <w:sz w:val="18"/>
                <w:szCs w:val="18"/>
              </w:rPr>
              <w:t>%</w:t>
            </w:r>
          </w:p>
        </w:tc>
        <w:tc>
          <w:tcPr>
            <w:tcW w:w="1862" w:type="dxa"/>
            <w:vAlign w:val="center"/>
          </w:tcPr>
          <w:p w14:paraId="1C5E5C05" w14:textId="0FF8AAB5" w:rsidR="0087772C" w:rsidRPr="0039690E" w:rsidRDefault="0087772C"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sidRPr="0039690E">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809</w:t>
            </w:r>
            <w:r w:rsidRPr="0039690E">
              <w:rPr>
                <w:rFonts w:ascii="Arial" w:hAnsi="Arial" w:cs="Arial"/>
                <w:color w:val="215868" w:themeColor="accent5" w:themeShade="80"/>
                <w:sz w:val="18"/>
                <w:szCs w:val="18"/>
              </w:rPr>
              <w:t>M</w:t>
            </w:r>
          </w:p>
        </w:tc>
        <w:tc>
          <w:tcPr>
            <w:tcW w:w="1863" w:type="dxa"/>
            <w:gridSpan w:val="2"/>
          </w:tcPr>
          <w:p w14:paraId="6AFCF28C" w14:textId="30381218" w:rsidR="0087772C" w:rsidRPr="0039690E" w:rsidRDefault="002C11A9" w:rsidP="000166D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5.3</w:t>
            </w:r>
            <w:r w:rsidR="0087772C">
              <w:rPr>
                <w:rFonts w:ascii="Arial" w:hAnsi="Arial" w:cs="Arial"/>
                <w:color w:val="215868" w:themeColor="accent5" w:themeShade="80"/>
                <w:sz w:val="18"/>
                <w:szCs w:val="18"/>
              </w:rPr>
              <w:t>%</w:t>
            </w:r>
          </w:p>
        </w:tc>
      </w:tr>
      <w:tr w:rsidR="00FC1239" w:rsidRPr="0039690E" w14:paraId="75511BE8" w14:textId="77777777" w:rsidTr="006E628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7DB301F9" w14:textId="77777777" w:rsidR="00FC1239" w:rsidRPr="0039690E" w:rsidRDefault="00FC1239" w:rsidP="006E6284">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Melons</w:t>
            </w:r>
          </w:p>
        </w:tc>
        <w:tc>
          <w:tcPr>
            <w:tcW w:w="1862" w:type="dxa"/>
          </w:tcPr>
          <w:p w14:paraId="575F9CA6" w14:textId="2BD8585C" w:rsidR="00FC1239" w:rsidRDefault="00FC1239" w:rsidP="006E6284">
            <w:pPr>
              <w:jc w:val="right"/>
              <w:cnfStyle w:val="000000100000" w:firstRow="0" w:lastRow="0" w:firstColumn="0" w:lastColumn="0" w:oddVBand="0" w:evenVBand="0" w:oddHBand="1" w:evenHBand="0" w:firstRowFirstColumn="0" w:firstRowLastColumn="0" w:lastRowFirstColumn="0" w:lastRowLastColumn="0"/>
            </w:pPr>
            <w:r w:rsidRPr="000E0E95">
              <w:rPr>
                <w:rFonts w:ascii="Arial" w:hAnsi="Arial" w:cs="Arial"/>
                <w:color w:val="215868" w:themeColor="accent5" w:themeShade="80"/>
                <w:sz w:val="18"/>
                <w:szCs w:val="18"/>
              </w:rPr>
              <w:t>+$</w:t>
            </w:r>
            <w:r>
              <w:rPr>
                <w:rFonts w:ascii="Arial" w:hAnsi="Arial" w:cs="Arial"/>
                <w:color w:val="215868" w:themeColor="accent5" w:themeShade="80"/>
                <w:sz w:val="18"/>
                <w:szCs w:val="18"/>
              </w:rPr>
              <w:t>43</w:t>
            </w:r>
            <w:r w:rsidRPr="000E0E95">
              <w:rPr>
                <w:rFonts w:ascii="Arial" w:hAnsi="Arial" w:cs="Arial"/>
                <w:color w:val="215868" w:themeColor="accent5" w:themeShade="80"/>
                <w:sz w:val="18"/>
                <w:szCs w:val="18"/>
              </w:rPr>
              <w:t>M</w:t>
            </w:r>
          </w:p>
        </w:tc>
        <w:tc>
          <w:tcPr>
            <w:tcW w:w="1863" w:type="dxa"/>
          </w:tcPr>
          <w:p w14:paraId="0A097B6D" w14:textId="131F425B" w:rsidR="00FC1239" w:rsidRDefault="00FC1239" w:rsidP="006E6284">
            <w:pPr>
              <w:jc w:val="right"/>
              <w:cnfStyle w:val="000000100000" w:firstRow="0" w:lastRow="0" w:firstColumn="0" w:lastColumn="0" w:oddVBand="0" w:evenVBand="0" w:oddHBand="1" w:evenHBand="0" w:firstRowFirstColumn="0" w:firstRowLastColumn="0" w:lastRowFirstColumn="0" w:lastRowLastColumn="0"/>
            </w:pPr>
            <w:r w:rsidRPr="00A26FFA">
              <w:rPr>
                <w:rFonts w:ascii="Arial" w:hAnsi="Arial" w:cs="Arial"/>
                <w:color w:val="215868" w:themeColor="accent5" w:themeShade="80"/>
                <w:sz w:val="18"/>
                <w:szCs w:val="18"/>
              </w:rPr>
              <w:t>+</w:t>
            </w:r>
            <w:r>
              <w:rPr>
                <w:rFonts w:ascii="Arial" w:hAnsi="Arial" w:cs="Arial"/>
                <w:color w:val="215868" w:themeColor="accent5" w:themeShade="80"/>
                <w:sz w:val="18"/>
                <w:szCs w:val="18"/>
              </w:rPr>
              <w:t>35.0</w:t>
            </w:r>
            <w:r w:rsidRPr="00A26FFA">
              <w:rPr>
                <w:rFonts w:ascii="Arial" w:hAnsi="Arial" w:cs="Arial"/>
                <w:color w:val="215868" w:themeColor="accent5" w:themeShade="80"/>
                <w:sz w:val="18"/>
                <w:szCs w:val="18"/>
              </w:rPr>
              <w:t>%</w:t>
            </w:r>
          </w:p>
        </w:tc>
        <w:tc>
          <w:tcPr>
            <w:tcW w:w="1862" w:type="dxa"/>
          </w:tcPr>
          <w:p w14:paraId="28D0C663" w14:textId="0957D775" w:rsidR="00FC1239" w:rsidRDefault="00FC1239" w:rsidP="006E6284">
            <w:pPr>
              <w:jc w:val="right"/>
              <w:cnfStyle w:val="000000100000" w:firstRow="0" w:lastRow="0" w:firstColumn="0" w:lastColumn="0" w:oddVBand="0" w:evenVBand="0" w:oddHBand="1" w:evenHBand="0" w:firstRowFirstColumn="0" w:firstRowLastColumn="0" w:lastRowFirstColumn="0" w:lastRowLastColumn="0"/>
            </w:pPr>
            <w:r w:rsidRPr="00233654">
              <w:rPr>
                <w:rFonts w:ascii="Arial" w:hAnsi="Arial" w:cs="Arial"/>
                <w:color w:val="215868" w:themeColor="accent5" w:themeShade="80"/>
                <w:sz w:val="18"/>
                <w:szCs w:val="18"/>
              </w:rPr>
              <w:t>$</w:t>
            </w:r>
            <w:r>
              <w:rPr>
                <w:rFonts w:ascii="Arial" w:hAnsi="Arial" w:cs="Arial"/>
                <w:color w:val="215868" w:themeColor="accent5" w:themeShade="80"/>
                <w:sz w:val="18"/>
                <w:szCs w:val="18"/>
              </w:rPr>
              <w:t>166</w:t>
            </w:r>
            <w:r w:rsidRPr="00233654">
              <w:rPr>
                <w:rFonts w:ascii="Arial" w:hAnsi="Arial" w:cs="Arial"/>
                <w:color w:val="215868" w:themeColor="accent5" w:themeShade="80"/>
                <w:sz w:val="18"/>
                <w:szCs w:val="18"/>
              </w:rPr>
              <w:t>M</w:t>
            </w:r>
          </w:p>
        </w:tc>
        <w:tc>
          <w:tcPr>
            <w:tcW w:w="1863" w:type="dxa"/>
            <w:gridSpan w:val="2"/>
          </w:tcPr>
          <w:p w14:paraId="6C5789DF" w14:textId="7FC92C43" w:rsidR="00FC1239" w:rsidRDefault="00FC1239" w:rsidP="006E6284">
            <w:pPr>
              <w:jc w:val="right"/>
              <w:cnfStyle w:val="000000100000" w:firstRow="0" w:lastRow="0" w:firstColumn="0" w:lastColumn="0" w:oddVBand="0" w:evenVBand="0" w:oddHBand="1" w:evenHBand="0" w:firstRowFirstColumn="0" w:firstRowLastColumn="0" w:lastRowFirstColumn="0" w:lastRowLastColumn="0"/>
            </w:pPr>
            <w:r w:rsidRPr="00835C09">
              <w:rPr>
                <w:rFonts w:ascii="Arial" w:hAnsi="Arial" w:cs="Arial"/>
                <w:color w:val="215868" w:themeColor="accent5" w:themeShade="80"/>
                <w:sz w:val="18"/>
                <w:szCs w:val="18"/>
              </w:rPr>
              <w:t>+</w:t>
            </w:r>
            <w:r>
              <w:rPr>
                <w:rFonts w:ascii="Arial" w:hAnsi="Arial" w:cs="Arial"/>
                <w:color w:val="215868" w:themeColor="accent5" w:themeShade="80"/>
                <w:sz w:val="18"/>
                <w:szCs w:val="18"/>
              </w:rPr>
              <w:t>9.9</w:t>
            </w:r>
            <w:r w:rsidRPr="00835C09">
              <w:rPr>
                <w:rFonts w:ascii="Arial" w:hAnsi="Arial" w:cs="Arial"/>
                <w:color w:val="215868" w:themeColor="accent5" w:themeShade="80"/>
                <w:sz w:val="18"/>
                <w:szCs w:val="18"/>
              </w:rPr>
              <w:t>%</w:t>
            </w:r>
          </w:p>
        </w:tc>
      </w:tr>
      <w:tr w:rsidR="00FC1239" w:rsidRPr="0039690E" w14:paraId="1A21AA15" w14:textId="77777777" w:rsidTr="006E6284">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44C84FAA" w14:textId="77777777" w:rsidR="00FC1239" w:rsidRPr="0039690E" w:rsidRDefault="00FC1239" w:rsidP="006E6284">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Apples</w:t>
            </w:r>
          </w:p>
        </w:tc>
        <w:tc>
          <w:tcPr>
            <w:tcW w:w="1862" w:type="dxa"/>
          </w:tcPr>
          <w:p w14:paraId="53A4FBF5" w14:textId="34557BD3" w:rsidR="00FC1239" w:rsidRDefault="00FC1239" w:rsidP="006E6284">
            <w:pPr>
              <w:jc w:val="right"/>
              <w:cnfStyle w:val="000000000000" w:firstRow="0" w:lastRow="0" w:firstColumn="0" w:lastColumn="0" w:oddVBand="0" w:evenVBand="0" w:oddHBand="0" w:evenHBand="0" w:firstRowFirstColumn="0" w:firstRowLastColumn="0" w:lastRowFirstColumn="0" w:lastRowLastColumn="0"/>
            </w:pPr>
            <w:r w:rsidRPr="000E0E95">
              <w:rPr>
                <w:rFonts w:ascii="Arial" w:hAnsi="Arial" w:cs="Arial"/>
                <w:color w:val="215868" w:themeColor="accent5" w:themeShade="80"/>
                <w:sz w:val="18"/>
                <w:szCs w:val="18"/>
              </w:rPr>
              <w:t>+$</w:t>
            </w:r>
            <w:r>
              <w:rPr>
                <w:rFonts w:ascii="Arial" w:hAnsi="Arial" w:cs="Arial"/>
                <w:color w:val="215868" w:themeColor="accent5" w:themeShade="80"/>
                <w:sz w:val="18"/>
                <w:szCs w:val="18"/>
              </w:rPr>
              <w:t>31</w:t>
            </w:r>
            <w:r w:rsidRPr="000E0E95">
              <w:rPr>
                <w:rFonts w:ascii="Arial" w:hAnsi="Arial" w:cs="Arial"/>
                <w:color w:val="215868" w:themeColor="accent5" w:themeShade="80"/>
                <w:sz w:val="18"/>
                <w:szCs w:val="18"/>
              </w:rPr>
              <w:t>M</w:t>
            </w:r>
          </w:p>
        </w:tc>
        <w:tc>
          <w:tcPr>
            <w:tcW w:w="1863" w:type="dxa"/>
          </w:tcPr>
          <w:p w14:paraId="7B62BF9D" w14:textId="46B5470C" w:rsidR="00FC1239" w:rsidRDefault="00FC1239" w:rsidP="006E6284">
            <w:pPr>
              <w:jc w:val="right"/>
              <w:cnfStyle w:val="000000000000" w:firstRow="0" w:lastRow="0" w:firstColumn="0" w:lastColumn="0" w:oddVBand="0" w:evenVBand="0" w:oddHBand="0" w:evenHBand="0" w:firstRowFirstColumn="0" w:firstRowLastColumn="0" w:lastRowFirstColumn="0" w:lastRowLastColumn="0"/>
            </w:pPr>
            <w:r w:rsidRPr="00A26FFA">
              <w:rPr>
                <w:rFonts w:ascii="Arial" w:hAnsi="Arial" w:cs="Arial"/>
                <w:color w:val="215868" w:themeColor="accent5" w:themeShade="80"/>
                <w:sz w:val="18"/>
                <w:szCs w:val="18"/>
              </w:rPr>
              <w:t>+</w:t>
            </w:r>
            <w:r>
              <w:rPr>
                <w:rFonts w:ascii="Arial" w:hAnsi="Arial" w:cs="Arial"/>
                <w:color w:val="215868" w:themeColor="accent5" w:themeShade="80"/>
                <w:sz w:val="18"/>
                <w:szCs w:val="18"/>
              </w:rPr>
              <w:t>7.5</w:t>
            </w:r>
            <w:r w:rsidRPr="00A26FFA">
              <w:rPr>
                <w:rFonts w:ascii="Arial" w:hAnsi="Arial" w:cs="Arial"/>
                <w:color w:val="215868" w:themeColor="accent5" w:themeShade="80"/>
                <w:sz w:val="18"/>
                <w:szCs w:val="18"/>
              </w:rPr>
              <w:t>%</w:t>
            </w:r>
          </w:p>
        </w:tc>
        <w:tc>
          <w:tcPr>
            <w:tcW w:w="1862" w:type="dxa"/>
          </w:tcPr>
          <w:p w14:paraId="165DF388" w14:textId="72621327" w:rsidR="00FC1239" w:rsidRDefault="00FC1239" w:rsidP="006E6284">
            <w:pPr>
              <w:jc w:val="right"/>
              <w:cnfStyle w:val="000000000000" w:firstRow="0" w:lastRow="0" w:firstColumn="0" w:lastColumn="0" w:oddVBand="0" w:evenVBand="0" w:oddHBand="0" w:evenHBand="0" w:firstRowFirstColumn="0" w:firstRowLastColumn="0" w:lastRowFirstColumn="0" w:lastRowLastColumn="0"/>
            </w:pPr>
            <w:r w:rsidRPr="00233654">
              <w:rPr>
                <w:rFonts w:ascii="Arial" w:hAnsi="Arial" w:cs="Arial"/>
                <w:color w:val="215868" w:themeColor="accent5" w:themeShade="80"/>
                <w:sz w:val="18"/>
                <w:szCs w:val="18"/>
              </w:rPr>
              <w:t>$</w:t>
            </w:r>
            <w:r>
              <w:rPr>
                <w:rFonts w:ascii="Arial" w:hAnsi="Arial" w:cs="Arial"/>
                <w:color w:val="215868" w:themeColor="accent5" w:themeShade="80"/>
                <w:sz w:val="18"/>
                <w:szCs w:val="18"/>
              </w:rPr>
              <w:t>451</w:t>
            </w:r>
            <w:r w:rsidRPr="00233654">
              <w:rPr>
                <w:rFonts w:ascii="Arial" w:hAnsi="Arial" w:cs="Arial"/>
                <w:color w:val="215868" w:themeColor="accent5" w:themeShade="80"/>
                <w:sz w:val="18"/>
                <w:szCs w:val="18"/>
              </w:rPr>
              <w:t>M</w:t>
            </w:r>
          </w:p>
        </w:tc>
        <w:tc>
          <w:tcPr>
            <w:tcW w:w="1863" w:type="dxa"/>
            <w:gridSpan w:val="2"/>
          </w:tcPr>
          <w:p w14:paraId="2D5467DF" w14:textId="1A35E019" w:rsidR="00FC1239" w:rsidRDefault="00FC1239" w:rsidP="006E6284">
            <w:pPr>
              <w:jc w:val="right"/>
              <w:cnfStyle w:val="000000000000" w:firstRow="0" w:lastRow="0" w:firstColumn="0" w:lastColumn="0" w:oddVBand="0" w:evenVBand="0" w:oddHBand="0" w:evenHBand="0" w:firstRowFirstColumn="0" w:firstRowLastColumn="0" w:lastRowFirstColumn="0" w:lastRowLastColumn="0"/>
            </w:pPr>
            <w:r w:rsidRPr="00835C09">
              <w:rPr>
                <w:rFonts w:ascii="Arial" w:hAnsi="Arial" w:cs="Arial"/>
                <w:color w:val="215868" w:themeColor="accent5" w:themeShade="80"/>
                <w:sz w:val="18"/>
                <w:szCs w:val="18"/>
              </w:rPr>
              <w:t>+</w:t>
            </w:r>
            <w:r>
              <w:rPr>
                <w:rFonts w:ascii="Arial" w:hAnsi="Arial" w:cs="Arial"/>
                <w:color w:val="215868" w:themeColor="accent5" w:themeShade="80"/>
                <w:sz w:val="18"/>
                <w:szCs w:val="18"/>
              </w:rPr>
              <w:t>12.4</w:t>
            </w:r>
            <w:r w:rsidRPr="00835C09">
              <w:rPr>
                <w:rFonts w:ascii="Arial" w:hAnsi="Arial" w:cs="Arial"/>
                <w:color w:val="215868" w:themeColor="accent5" w:themeShade="80"/>
                <w:sz w:val="18"/>
                <w:szCs w:val="18"/>
              </w:rPr>
              <w:t>%</w:t>
            </w:r>
          </w:p>
        </w:tc>
      </w:tr>
      <w:tr w:rsidR="00FC1239" w:rsidRPr="0039690E" w14:paraId="62A7B539" w14:textId="77777777" w:rsidTr="006E628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2740DD36" w14:textId="77777777" w:rsidR="00FC1239" w:rsidRPr="0039690E" w:rsidRDefault="00FC1239" w:rsidP="006E6284">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Avocados</w:t>
            </w:r>
          </w:p>
        </w:tc>
        <w:tc>
          <w:tcPr>
            <w:tcW w:w="1862" w:type="dxa"/>
          </w:tcPr>
          <w:p w14:paraId="7E732E17" w14:textId="0BBEE18D" w:rsidR="00FC1239" w:rsidRDefault="00FC1239" w:rsidP="006E6284">
            <w:pPr>
              <w:jc w:val="right"/>
              <w:cnfStyle w:val="000000100000" w:firstRow="0" w:lastRow="0" w:firstColumn="0" w:lastColumn="0" w:oddVBand="0" w:evenVBand="0" w:oddHBand="1" w:evenHBand="0" w:firstRowFirstColumn="0" w:firstRowLastColumn="0" w:lastRowFirstColumn="0" w:lastRowLastColumn="0"/>
            </w:pPr>
            <w:r w:rsidRPr="000E0E95">
              <w:rPr>
                <w:rFonts w:ascii="Arial" w:hAnsi="Arial" w:cs="Arial"/>
                <w:color w:val="215868" w:themeColor="accent5" w:themeShade="80"/>
                <w:sz w:val="18"/>
                <w:szCs w:val="18"/>
              </w:rPr>
              <w:t>+$</w:t>
            </w:r>
            <w:r>
              <w:rPr>
                <w:rFonts w:ascii="Arial" w:hAnsi="Arial" w:cs="Arial"/>
                <w:color w:val="215868" w:themeColor="accent5" w:themeShade="80"/>
                <w:sz w:val="18"/>
                <w:szCs w:val="18"/>
              </w:rPr>
              <w:t>31</w:t>
            </w:r>
            <w:r w:rsidRPr="000E0E95">
              <w:rPr>
                <w:rFonts w:ascii="Arial" w:hAnsi="Arial" w:cs="Arial"/>
                <w:color w:val="215868" w:themeColor="accent5" w:themeShade="80"/>
                <w:sz w:val="18"/>
                <w:szCs w:val="18"/>
              </w:rPr>
              <w:t>M</w:t>
            </w:r>
          </w:p>
        </w:tc>
        <w:tc>
          <w:tcPr>
            <w:tcW w:w="1863" w:type="dxa"/>
          </w:tcPr>
          <w:p w14:paraId="23BC2184" w14:textId="3223709A" w:rsidR="00FC1239" w:rsidRDefault="00FC1239" w:rsidP="006E6284">
            <w:pPr>
              <w:jc w:val="right"/>
              <w:cnfStyle w:val="000000100000" w:firstRow="0" w:lastRow="0" w:firstColumn="0" w:lastColumn="0" w:oddVBand="0" w:evenVBand="0" w:oddHBand="1" w:evenHBand="0" w:firstRowFirstColumn="0" w:firstRowLastColumn="0" w:lastRowFirstColumn="0" w:lastRowLastColumn="0"/>
            </w:pPr>
            <w:r w:rsidRPr="00A26FFA">
              <w:rPr>
                <w:rFonts w:ascii="Arial" w:hAnsi="Arial" w:cs="Arial"/>
                <w:color w:val="215868" w:themeColor="accent5" w:themeShade="80"/>
                <w:sz w:val="18"/>
                <w:szCs w:val="18"/>
              </w:rPr>
              <w:t>+</w:t>
            </w:r>
            <w:r>
              <w:rPr>
                <w:rFonts w:ascii="Arial" w:hAnsi="Arial" w:cs="Arial"/>
                <w:color w:val="215868" w:themeColor="accent5" w:themeShade="80"/>
                <w:sz w:val="18"/>
                <w:szCs w:val="18"/>
              </w:rPr>
              <w:t>13.3</w:t>
            </w:r>
            <w:r w:rsidRPr="00A26FFA">
              <w:rPr>
                <w:rFonts w:ascii="Arial" w:hAnsi="Arial" w:cs="Arial"/>
                <w:color w:val="215868" w:themeColor="accent5" w:themeShade="80"/>
                <w:sz w:val="18"/>
                <w:szCs w:val="18"/>
              </w:rPr>
              <w:t>%</w:t>
            </w:r>
          </w:p>
        </w:tc>
        <w:tc>
          <w:tcPr>
            <w:tcW w:w="1862" w:type="dxa"/>
          </w:tcPr>
          <w:p w14:paraId="035E93DB" w14:textId="2472894A" w:rsidR="00FC1239" w:rsidRDefault="00FC1239" w:rsidP="006E6284">
            <w:pPr>
              <w:jc w:val="right"/>
              <w:cnfStyle w:val="000000100000" w:firstRow="0" w:lastRow="0" w:firstColumn="0" w:lastColumn="0" w:oddVBand="0" w:evenVBand="0" w:oddHBand="1" w:evenHBand="0" w:firstRowFirstColumn="0" w:firstRowLastColumn="0" w:lastRowFirstColumn="0" w:lastRowLastColumn="0"/>
            </w:pPr>
            <w:r w:rsidRPr="00233654">
              <w:rPr>
                <w:rFonts w:ascii="Arial" w:hAnsi="Arial" w:cs="Arial"/>
                <w:color w:val="215868" w:themeColor="accent5" w:themeShade="80"/>
                <w:sz w:val="18"/>
                <w:szCs w:val="18"/>
              </w:rPr>
              <w:t>$</w:t>
            </w:r>
            <w:r>
              <w:rPr>
                <w:rFonts w:ascii="Arial" w:hAnsi="Arial" w:cs="Arial"/>
                <w:color w:val="215868" w:themeColor="accent5" w:themeShade="80"/>
                <w:sz w:val="18"/>
                <w:szCs w:val="18"/>
              </w:rPr>
              <w:t>260</w:t>
            </w:r>
            <w:r w:rsidRPr="00233654">
              <w:rPr>
                <w:rFonts w:ascii="Arial" w:hAnsi="Arial" w:cs="Arial"/>
                <w:color w:val="215868" w:themeColor="accent5" w:themeShade="80"/>
                <w:sz w:val="18"/>
                <w:szCs w:val="18"/>
              </w:rPr>
              <w:t>M</w:t>
            </w:r>
          </w:p>
        </w:tc>
        <w:tc>
          <w:tcPr>
            <w:tcW w:w="1863" w:type="dxa"/>
            <w:gridSpan w:val="2"/>
          </w:tcPr>
          <w:p w14:paraId="5E5AF64C" w14:textId="499D2646" w:rsidR="00FC1239" w:rsidRDefault="00FC1239" w:rsidP="006E6284">
            <w:pPr>
              <w:jc w:val="right"/>
              <w:cnfStyle w:val="000000100000" w:firstRow="0" w:lastRow="0" w:firstColumn="0" w:lastColumn="0" w:oddVBand="0" w:evenVBand="0" w:oddHBand="1" w:evenHBand="0" w:firstRowFirstColumn="0" w:firstRowLastColumn="0" w:lastRowFirstColumn="0" w:lastRowLastColumn="0"/>
            </w:pPr>
            <w:r w:rsidRPr="00835C09">
              <w:rPr>
                <w:rFonts w:ascii="Arial" w:hAnsi="Arial" w:cs="Arial"/>
                <w:color w:val="215868" w:themeColor="accent5" w:themeShade="80"/>
                <w:sz w:val="18"/>
                <w:szCs w:val="18"/>
              </w:rPr>
              <w:t>+</w:t>
            </w:r>
            <w:r>
              <w:rPr>
                <w:rFonts w:ascii="Arial" w:hAnsi="Arial" w:cs="Arial"/>
                <w:color w:val="215868" w:themeColor="accent5" w:themeShade="80"/>
                <w:sz w:val="18"/>
                <w:szCs w:val="18"/>
              </w:rPr>
              <w:t>29.4</w:t>
            </w:r>
            <w:r w:rsidRPr="00835C09">
              <w:rPr>
                <w:rFonts w:ascii="Arial" w:hAnsi="Arial" w:cs="Arial"/>
                <w:color w:val="215868" w:themeColor="accent5" w:themeShade="80"/>
                <w:sz w:val="18"/>
                <w:szCs w:val="18"/>
              </w:rPr>
              <w:t>%</w:t>
            </w:r>
          </w:p>
        </w:tc>
      </w:tr>
      <w:tr w:rsidR="002C11A9" w:rsidRPr="0039690E" w14:paraId="75397FB3" w14:textId="77777777" w:rsidTr="0087772C">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4BDF8BBC" w14:textId="65D0B616" w:rsidR="002C11A9" w:rsidRPr="0039690E" w:rsidRDefault="00FC1239" w:rsidP="0087772C">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Oranges</w:t>
            </w:r>
          </w:p>
        </w:tc>
        <w:tc>
          <w:tcPr>
            <w:tcW w:w="1862" w:type="dxa"/>
          </w:tcPr>
          <w:p w14:paraId="5A00940C" w14:textId="0326EC33"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0E0E95">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22</w:t>
            </w:r>
            <w:r w:rsidRPr="000E0E95">
              <w:rPr>
                <w:rFonts w:ascii="Arial" w:hAnsi="Arial" w:cs="Arial"/>
                <w:color w:val="215868" w:themeColor="accent5" w:themeShade="80"/>
                <w:sz w:val="18"/>
                <w:szCs w:val="18"/>
              </w:rPr>
              <w:t>M</w:t>
            </w:r>
          </w:p>
        </w:tc>
        <w:tc>
          <w:tcPr>
            <w:tcW w:w="1863" w:type="dxa"/>
          </w:tcPr>
          <w:p w14:paraId="633C67A6" w14:textId="4939BC32"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A26FFA">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15.3</w:t>
            </w:r>
            <w:r w:rsidRPr="00A26FFA">
              <w:rPr>
                <w:rFonts w:ascii="Arial" w:hAnsi="Arial" w:cs="Arial"/>
                <w:color w:val="215868" w:themeColor="accent5" w:themeShade="80"/>
                <w:sz w:val="18"/>
                <w:szCs w:val="18"/>
              </w:rPr>
              <w:t>%</w:t>
            </w:r>
          </w:p>
        </w:tc>
        <w:tc>
          <w:tcPr>
            <w:tcW w:w="1862" w:type="dxa"/>
          </w:tcPr>
          <w:p w14:paraId="1F613C99" w14:textId="0455AAF0"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233654">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169</w:t>
            </w:r>
            <w:r w:rsidRPr="00233654">
              <w:rPr>
                <w:rFonts w:ascii="Arial" w:hAnsi="Arial" w:cs="Arial"/>
                <w:color w:val="215868" w:themeColor="accent5" w:themeShade="80"/>
                <w:sz w:val="18"/>
                <w:szCs w:val="18"/>
              </w:rPr>
              <w:t>M</w:t>
            </w:r>
          </w:p>
        </w:tc>
        <w:tc>
          <w:tcPr>
            <w:tcW w:w="1863" w:type="dxa"/>
            <w:gridSpan w:val="2"/>
          </w:tcPr>
          <w:p w14:paraId="705E85A2" w14:textId="25CC2AE9"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835C09">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13.7</w:t>
            </w:r>
            <w:r w:rsidRPr="00835C09">
              <w:rPr>
                <w:rFonts w:ascii="Arial" w:hAnsi="Arial" w:cs="Arial"/>
                <w:color w:val="215868" w:themeColor="accent5" w:themeShade="80"/>
                <w:sz w:val="18"/>
                <w:szCs w:val="18"/>
              </w:rPr>
              <w:t>%</w:t>
            </w:r>
          </w:p>
        </w:tc>
      </w:tr>
      <w:tr w:rsidR="002C11A9" w:rsidRPr="0039690E" w14:paraId="60EECAA3" w14:textId="77777777" w:rsidTr="0087772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tcBorders>
              <w:left w:val="none" w:sz="0" w:space="0" w:color="auto"/>
              <w:right w:val="none" w:sz="0" w:space="0" w:color="auto"/>
            </w:tcBorders>
            <w:vAlign w:val="center"/>
          </w:tcPr>
          <w:p w14:paraId="763F33C2" w14:textId="6D39F8E9" w:rsidR="002C11A9" w:rsidRPr="0039690E" w:rsidRDefault="00FC1239" w:rsidP="0087772C">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Potatoes</w:t>
            </w:r>
          </w:p>
        </w:tc>
        <w:tc>
          <w:tcPr>
            <w:tcW w:w="1862" w:type="dxa"/>
            <w:tcBorders>
              <w:left w:val="none" w:sz="0" w:space="0" w:color="auto"/>
              <w:right w:val="none" w:sz="0" w:space="0" w:color="auto"/>
            </w:tcBorders>
          </w:tcPr>
          <w:p w14:paraId="71B192EF" w14:textId="014932E0"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0E0E95">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20</w:t>
            </w:r>
            <w:r w:rsidRPr="000E0E95">
              <w:rPr>
                <w:rFonts w:ascii="Arial" w:hAnsi="Arial" w:cs="Arial"/>
                <w:color w:val="215868" w:themeColor="accent5" w:themeShade="80"/>
                <w:sz w:val="18"/>
                <w:szCs w:val="18"/>
              </w:rPr>
              <w:t>M</w:t>
            </w:r>
          </w:p>
        </w:tc>
        <w:tc>
          <w:tcPr>
            <w:tcW w:w="1863" w:type="dxa"/>
            <w:tcBorders>
              <w:left w:val="none" w:sz="0" w:space="0" w:color="auto"/>
              <w:right w:val="none" w:sz="0" w:space="0" w:color="auto"/>
            </w:tcBorders>
          </w:tcPr>
          <w:p w14:paraId="445EC599" w14:textId="684A8FDB"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A26FFA">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6.0</w:t>
            </w:r>
            <w:r w:rsidRPr="00A26FFA">
              <w:rPr>
                <w:rFonts w:ascii="Arial" w:hAnsi="Arial" w:cs="Arial"/>
                <w:color w:val="215868" w:themeColor="accent5" w:themeShade="80"/>
                <w:sz w:val="18"/>
                <w:szCs w:val="18"/>
              </w:rPr>
              <w:t>%</w:t>
            </w:r>
          </w:p>
        </w:tc>
        <w:tc>
          <w:tcPr>
            <w:tcW w:w="1862" w:type="dxa"/>
            <w:tcBorders>
              <w:left w:val="none" w:sz="0" w:space="0" w:color="auto"/>
              <w:right w:val="none" w:sz="0" w:space="0" w:color="auto"/>
            </w:tcBorders>
          </w:tcPr>
          <w:p w14:paraId="02CF5248" w14:textId="44D6195E"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233654">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348</w:t>
            </w:r>
            <w:r w:rsidRPr="00233654">
              <w:rPr>
                <w:rFonts w:ascii="Arial" w:hAnsi="Arial" w:cs="Arial"/>
                <w:color w:val="215868" w:themeColor="accent5" w:themeShade="80"/>
                <w:sz w:val="18"/>
                <w:szCs w:val="18"/>
              </w:rPr>
              <w:t>M</w:t>
            </w:r>
          </w:p>
        </w:tc>
        <w:tc>
          <w:tcPr>
            <w:tcW w:w="1863" w:type="dxa"/>
            <w:gridSpan w:val="2"/>
            <w:tcBorders>
              <w:left w:val="none" w:sz="0" w:space="0" w:color="auto"/>
              <w:right w:val="none" w:sz="0" w:space="0" w:color="auto"/>
            </w:tcBorders>
          </w:tcPr>
          <w:p w14:paraId="66944382" w14:textId="2A426539"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835C09">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10.1</w:t>
            </w:r>
            <w:r w:rsidRPr="00835C09">
              <w:rPr>
                <w:rFonts w:ascii="Arial" w:hAnsi="Arial" w:cs="Arial"/>
                <w:color w:val="215868" w:themeColor="accent5" w:themeShade="80"/>
                <w:sz w:val="18"/>
                <w:szCs w:val="18"/>
              </w:rPr>
              <w:t>%</w:t>
            </w:r>
          </w:p>
        </w:tc>
      </w:tr>
      <w:tr w:rsidR="002C11A9" w:rsidRPr="0039690E" w14:paraId="702F2F7B" w14:textId="77777777" w:rsidTr="0087772C">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70FE71CA" w14:textId="0CA1DC07" w:rsidR="002C11A9" w:rsidRPr="0039690E" w:rsidRDefault="00FC1239" w:rsidP="0087772C">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Mixed fruit</w:t>
            </w:r>
          </w:p>
        </w:tc>
        <w:tc>
          <w:tcPr>
            <w:tcW w:w="1862" w:type="dxa"/>
          </w:tcPr>
          <w:p w14:paraId="6C6039DB" w14:textId="353F7E4E"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0E0E95">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15</w:t>
            </w:r>
            <w:r w:rsidRPr="000E0E95">
              <w:rPr>
                <w:rFonts w:ascii="Arial" w:hAnsi="Arial" w:cs="Arial"/>
                <w:color w:val="215868" w:themeColor="accent5" w:themeShade="80"/>
                <w:sz w:val="18"/>
                <w:szCs w:val="18"/>
              </w:rPr>
              <w:t>M</w:t>
            </w:r>
          </w:p>
        </w:tc>
        <w:tc>
          <w:tcPr>
            <w:tcW w:w="1863" w:type="dxa"/>
          </w:tcPr>
          <w:p w14:paraId="429880EB" w14:textId="5B5186DF"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A26FFA">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21.0</w:t>
            </w:r>
            <w:r w:rsidRPr="00A26FFA">
              <w:rPr>
                <w:rFonts w:ascii="Arial" w:hAnsi="Arial" w:cs="Arial"/>
                <w:color w:val="215868" w:themeColor="accent5" w:themeShade="80"/>
                <w:sz w:val="18"/>
                <w:szCs w:val="18"/>
              </w:rPr>
              <w:t>%</w:t>
            </w:r>
          </w:p>
        </w:tc>
        <w:tc>
          <w:tcPr>
            <w:tcW w:w="1862" w:type="dxa"/>
          </w:tcPr>
          <w:p w14:paraId="6F9682AC" w14:textId="35C7FDCF"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233654">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85</w:t>
            </w:r>
            <w:r w:rsidRPr="00233654">
              <w:rPr>
                <w:rFonts w:ascii="Arial" w:hAnsi="Arial" w:cs="Arial"/>
                <w:color w:val="215868" w:themeColor="accent5" w:themeShade="80"/>
                <w:sz w:val="18"/>
                <w:szCs w:val="18"/>
              </w:rPr>
              <w:t>M</w:t>
            </w:r>
          </w:p>
        </w:tc>
        <w:tc>
          <w:tcPr>
            <w:tcW w:w="1863" w:type="dxa"/>
            <w:gridSpan w:val="2"/>
          </w:tcPr>
          <w:p w14:paraId="7C1FEF60" w14:textId="6A94D1C4"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835C09">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10.7</w:t>
            </w:r>
            <w:r w:rsidRPr="00835C09">
              <w:rPr>
                <w:rFonts w:ascii="Arial" w:hAnsi="Arial" w:cs="Arial"/>
                <w:color w:val="215868" w:themeColor="accent5" w:themeShade="80"/>
                <w:sz w:val="18"/>
                <w:szCs w:val="18"/>
              </w:rPr>
              <w:t>%</w:t>
            </w:r>
          </w:p>
        </w:tc>
      </w:tr>
      <w:tr w:rsidR="00FC1239" w:rsidRPr="0039690E" w14:paraId="5460D770" w14:textId="77777777" w:rsidTr="0087772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53975AE0" w14:textId="44B67C15" w:rsidR="002C11A9" w:rsidRPr="0039690E" w:rsidRDefault="00FC1239" w:rsidP="0087772C">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Onions</w:t>
            </w:r>
          </w:p>
        </w:tc>
        <w:tc>
          <w:tcPr>
            <w:tcW w:w="1862" w:type="dxa"/>
          </w:tcPr>
          <w:p w14:paraId="708615DE" w14:textId="4990120D"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0E0E95">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12</w:t>
            </w:r>
            <w:r w:rsidRPr="000E0E95">
              <w:rPr>
                <w:rFonts w:ascii="Arial" w:hAnsi="Arial" w:cs="Arial"/>
                <w:color w:val="215868" w:themeColor="accent5" w:themeShade="80"/>
                <w:sz w:val="18"/>
                <w:szCs w:val="18"/>
              </w:rPr>
              <w:t>M</w:t>
            </w:r>
          </w:p>
        </w:tc>
        <w:tc>
          <w:tcPr>
            <w:tcW w:w="1863" w:type="dxa"/>
          </w:tcPr>
          <w:p w14:paraId="6301E553" w14:textId="7AE2FB14"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A26FFA">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4.9</w:t>
            </w:r>
            <w:r w:rsidRPr="00A26FFA">
              <w:rPr>
                <w:rFonts w:ascii="Arial" w:hAnsi="Arial" w:cs="Arial"/>
                <w:color w:val="215868" w:themeColor="accent5" w:themeShade="80"/>
                <w:sz w:val="18"/>
                <w:szCs w:val="18"/>
              </w:rPr>
              <w:t>%</w:t>
            </w:r>
          </w:p>
        </w:tc>
        <w:tc>
          <w:tcPr>
            <w:tcW w:w="1862" w:type="dxa"/>
          </w:tcPr>
          <w:p w14:paraId="5AC78EC5" w14:textId="6775A1A8"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233654">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259</w:t>
            </w:r>
            <w:r w:rsidRPr="00233654">
              <w:rPr>
                <w:rFonts w:ascii="Arial" w:hAnsi="Arial" w:cs="Arial"/>
                <w:color w:val="215868" w:themeColor="accent5" w:themeShade="80"/>
                <w:sz w:val="18"/>
                <w:szCs w:val="18"/>
              </w:rPr>
              <w:t>M</w:t>
            </w:r>
          </w:p>
        </w:tc>
        <w:tc>
          <w:tcPr>
            <w:tcW w:w="1863" w:type="dxa"/>
            <w:gridSpan w:val="2"/>
          </w:tcPr>
          <w:p w14:paraId="34BD11CE" w14:textId="0FC021BD"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835C09">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6.8</w:t>
            </w:r>
            <w:r w:rsidRPr="00835C09">
              <w:rPr>
                <w:rFonts w:ascii="Arial" w:hAnsi="Arial" w:cs="Arial"/>
                <w:color w:val="215868" w:themeColor="accent5" w:themeShade="80"/>
                <w:sz w:val="18"/>
                <w:szCs w:val="18"/>
              </w:rPr>
              <w:t>%</w:t>
            </w:r>
          </w:p>
        </w:tc>
      </w:tr>
      <w:tr w:rsidR="002C11A9" w:rsidRPr="0039690E" w14:paraId="796068CA" w14:textId="77777777" w:rsidTr="0087772C">
        <w:trPr>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2235C818" w14:textId="0F2085D9" w:rsidR="002C11A9" w:rsidRPr="0039690E" w:rsidRDefault="00FC1239" w:rsidP="0087772C">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Cherries</w:t>
            </w:r>
          </w:p>
        </w:tc>
        <w:tc>
          <w:tcPr>
            <w:tcW w:w="1862" w:type="dxa"/>
          </w:tcPr>
          <w:p w14:paraId="044A037C" w14:textId="316BCA61"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0E0E95">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12</w:t>
            </w:r>
            <w:r w:rsidRPr="000E0E95">
              <w:rPr>
                <w:rFonts w:ascii="Arial" w:hAnsi="Arial" w:cs="Arial"/>
                <w:color w:val="215868" w:themeColor="accent5" w:themeShade="80"/>
                <w:sz w:val="18"/>
                <w:szCs w:val="18"/>
              </w:rPr>
              <w:t>M</w:t>
            </w:r>
          </w:p>
        </w:tc>
        <w:tc>
          <w:tcPr>
            <w:tcW w:w="1863" w:type="dxa"/>
          </w:tcPr>
          <w:p w14:paraId="26745975" w14:textId="6C8A4764"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A26FFA">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58.0</w:t>
            </w:r>
            <w:r w:rsidRPr="00A26FFA">
              <w:rPr>
                <w:rFonts w:ascii="Arial" w:hAnsi="Arial" w:cs="Arial"/>
                <w:color w:val="215868" w:themeColor="accent5" w:themeShade="80"/>
                <w:sz w:val="18"/>
                <w:szCs w:val="18"/>
              </w:rPr>
              <w:t>%</w:t>
            </w:r>
          </w:p>
        </w:tc>
        <w:tc>
          <w:tcPr>
            <w:tcW w:w="1862" w:type="dxa"/>
          </w:tcPr>
          <w:p w14:paraId="589893D3" w14:textId="533F83F6"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233654">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33</w:t>
            </w:r>
            <w:r w:rsidRPr="00233654">
              <w:rPr>
                <w:rFonts w:ascii="Arial" w:hAnsi="Arial" w:cs="Arial"/>
                <w:color w:val="215868" w:themeColor="accent5" w:themeShade="80"/>
                <w:sz w:val="18"/>
                <w:szCs w:val="18"/>
              </w:rPr>
              <w:t>M</w:t>
            </w:r>
          </w:p>
        </w:tc>
        <w:tc>
          <w:tcPr>
            <w:tcW w:w="1863" w:type="dxa"/>
            <w:gridSpan w:val="2"/>
          </w:tcPr>
          <w:p w14:paraId="706BF9F0" w14:textId="390EE96A" w:rsidR="002C11A9" w:rsidRDefault="002C11A9" w:rsidP="002C11A9">
            <w:pPr>
              <w:jc w:val="right"/>
              <w:cnfStyle w:val="000000000000" w:firstRow="0" w:lastRow="0" w:firstColumn="0" w:lastColumn="0" w:oddVBand="0" w:evenVBand="0" w:oddHBand="0" w:evenHBand="0" w:firstRowFirstColumn="0" w:firstRowLastColumn="0" w:lastRowFirstColumn="0" w:lastRowLastColumn="0"/>
            </w:pPr>
            <w:r w:rsidRPr="00835C09">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1.5</w:t>
            </w:r>
            <w:r w:rsidRPr="00835C09">
              <w:rPr>
                <w:rFonts w:ascii="Arial" w:hAnsi="Arial" w:cs="Arial"/>
                <w:color w:val="215868" w:themeColor="accent5" w:themeShade="80"/>
                <w:sz w:val="18"/>
                <w:szCs w:val="18"/>
              </w:rPr>
              <w:t>%</w:t>
            </w:r>
          </w:p>
        </w:tc>
      </w:tr>
      <w:tr w:rsidR="00FC1239" w:rsidRPr="0039690E" w14:paraId="461D5732" w14:textId="77777777" w:rsidTr="0087772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008" w:type="dxa"/>
            <w:vAlign w:val="center"/>
          </w:tcPr>
          <w:p w14:paraId="02A11049" w14:textId="6E03CCC5" w:rsidR="002C11A9" w:rsidRPr="0039690E" w:rsidRDefault="00FC1239" w:rsidP="0087772C">
            <w:pPr>
              <w:jc w:val="right"/>
              <w:rPr>
                <w:rFonts w:ascii="Arial" w:hAnsi="Arial" w:cs="Arial"/>
                <w:b w:val="0"/>
                <w:color w:val="215868" w:themeColor="accent5" w:themeShade="80"/>
                <w:sz w:val="18"/>
                <w:szCs w:val="18"/>
              </w:rPr>
            </w:pPr>
            <w:r>
              <w:rPr>
                <w:rFonts w:ascii="Arial" w:hAnsi="Arial" w:cs="Arial"/>
                <w:b w:val="0"/>
                <w:color w:val="215868" w:themeColor="accent5" w:themeShade="80"/>
                <w:sz w:val="18"/>
                <w:szCs w:val="18"/>
              </w:rPr>
              <w:t>Pineapples</w:t>
            </w:r>
          </w:p>
        </w:tc>
        <w:tc>
          <w:tcPr>
            <w:tcW w:w="1862" w:type="dxa"/>
          </w:tcPr>
          <w:p w14:paraId="77FA8095" w14:textId="1ADA7490"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0E0E95">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11</w:t>
            </w:r>
            <w:r w:rsidRPr="000E0E95">
              <w:rPr>
                <w:rFonts w:ascii="Arial" w:hAnsi="Arial" w:cs="Arial"/>
                <w:color w:val="215868" w:themeColor="accent5" w:themeShade="80"/>
                <w:sz w:val="18"/>
                <w:szCs w:val="18"/>
              </w:rPr>
              <w:t>M</w:t>
            </w:r>
          </w:p>
        </w:tc>
        <w:tc>
          <w:tcPr>
            <w:tcW w:w="1863" w:type="dxa"/>
          </w:tcPr>
          <w:p w14:paraId="6023B995" w14:textId="6764856E"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A26FFA">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15.0</w:t>
            </w:r>
            <w:r w:rsidRPr="00A26FFA">
              <w:rPr>
                <w:rFonts w:ascii="Arial" w:hAnsi="Arial" w:cs="Arial"/>
                <w:color w:val="215868" w:themeColor="accent5" w:themeShade="80"/>
                <w:sz w:val="18"/>
                <w:szCs w:val="18"/>
              </w:rPr>
              <w:t>%</w:t>
            </w:r>
          </w:p>
        </w:tc>
        <w:tc>
          <w:tcPr>
            <w:tcW w:w="1862" w:type="dxa"/>
          </w:tcPr>
          <w:p w14:paraId="559377CC" w14:textId="5CE5A1C6"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233654">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83</w:t>
            </w:r>
            <w:r w:rsidRPr="00233654">
              <w:rPr>
                <w:rFonts w:ascii="Arial" w:hAnsi="Arial" w:cs="Arial"/>
                <w:color w:val="215868" w:themeColor="accent5" w:themeShade="80"/>
                <w:sz w:val="18"/>
                <w:szCs w:val="18"/>
              </w:rPr>
              <w:t>M</w:t>
            </w:r>
          </w:p>
        </w:tc>
        <w:tc>
          <w:tcPr>
            <w:tcW w:w="1863" w:type="dxa"/>
            <w:gridSpan w:val="2"/>
          </w:tcPr>
          <w:p w14:paraId="1567B1D1" w14:textId="60E23260" w:rsidR="002C11A9" w:rsidRDefault="002C11A9" w:rsidP="002C11A9">
            <w:pPr>
              <w:jc w:val="right"/>
              <w:cnfStyle w:val="000000100000" w:firstRow="0" w:lastRow="0" w:firstColumn="0" w:lastColumn="0" w:oddVBand="0" w:evenVBand="0" w:oddHBand="1" w:evenHBand="0" w:firstRowFirstColumn="0" w:firstRowLastColumn="0" w:lastRowFirstColumn="0" w:lastRowLastColumn="0"/>
            </w:pPr>
            <w:r w:rsidRPr="00835C09">
              <w:rPr>
                <w:rFonts w:ascii="Arial" w:hAnsi="Arial" w:cs="Arial"/>
                <w:color w:val="215868" w:themeColor="accent5" w:themeShade="80"/>
                <w:sz w:val="18"/>
                <w:szCs w:val="18"/>
              </w:rPr>
              <w:t>+</w:t>
            </w:r>
            <w:r w:rsidR="00FC1239">
              <w:rPr>
                <w:rFonts w:ascii="Arial" w:hAnsi="Arial" w:cs="Arial"/>
                <w:color w:val="215868" w:themeColor="accent5" w:themeShade="80"/>
                <w:sz w:val="18"/>
                <w:szCs w:val="18"/>
              </w:rPr>
              <w:t>17.5</w:t>
            </w:r>
            <w:r w:rsidRPr="00835C09">
              <w:rPr>
                <w:rFonts w:ascii="Arial" w:hAnsi="Arial" w:cs="Arial"/>
                <w:color w:val="215868" w:themeColor="accent5" w:themeShade="80"/>
                <w:sz w:val="18"/>
                <w:szCs w:val="18"/>
              </w:rPr>
              <w:t>%</w:t>
            </w:r>
          </w:p>
        </w:tc>
      </w:tr>
    </w:tbl>
    <w:p w14:paraId="6EA702CF" w14:textId="77777777" w:rsidR="009E5261" w:rsidRPr="00E62AA9" w:rsidRDefault="009E5261" w:rsidP="009E5261">
      <w:pPr>
        <w:pStyle w:val="NoSpacing"/>
        <w:rPr>
          <w:rFonts w:ascii="Arial" w:hAnsi="Arial" w:cs="Arial"/>
          <w:sz w:val="6"/>
          <w:szCs w:val="6"/>
        </w:rPr>
      </w:pPr>
    </w:p>
    <w:p w14:paraId="1823C3C0" w14:textId="77777777" w:rsidR="00D97697" w:rsidRDefault="009E5261" w:rsidP="001024F6">
      <w:pPr>
        <w:pStyle w:val="NoSpacing"/>
        <w:rPr>
          <w:rFonts w:ascii="Arial" w:hAnsi="Arial" w:cs="Arial"/>
          <w:b/>
          <w:color w:val="595959" w:themeColor="text1" w:themeTint="A6"/>
          <w:sz w:val="24"/>
          <w:szCs w:val="24"/>
        </w:rPr>
      </w:pPr>
      <w:r w:rsidRPr="00B35CE9">
        <w:rPr>
          <w:rFonts w:ascii="Arial" w:hAnsi="Arial" w:cs="Arial"/>
          <w:sz w:val="16"/>
          <w:szCs w:val="16"/>
        </w:rPr>
        <w:t>Source</w:t>
      </w:r>
      <w:r>
        <w:rPr>
          <w:rFonts w:ascii="Arial" w:hAnsi="Arial" w:cs="Arial"/>
          <w:sz w:val="16"/>
          <w:szCs w:val="16"/>
        </w:rPr>
        <w:t>: IRI Integrated Fresh, Total U.S., MULO</w:t>
      </w:r>
    </w:p>
    <w:p w14:paraId="2F195CAA" w14:textId="77777777" w:rsidR="00A225C7" w:rsidRPr="00D66F5A" w:rsidRDefault="00A225C7" w:rsidP="001024F6">
      <w:pPr>
        <w:pStyle w:val="NoSpacing"/>
        <w:rPr>
          <w:rFonts w:ascii="Arial" w:hAnsi="Arial" w:cs="Arial"/>
          <w:b/>
          <w:color w:val="595959" w:themeColor="text1" w:themeTint="A6"/>
          <w:sz w:val="32"/>
          <w:szCs w:val="32"/>
        </w:rPr>
      </w:pPr>
    </w:p>
    <w:p w14:paraId="7B04BD45" w14:textId="77777777" w:rsidR="001024F6" w:rsidRPr="009172A3" w:rsidRDefault="004D26B3" w:rsidP="001024F6">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Perishables </w:t>
      </w:r>
      <w:r w:rsidR="001024F6">
        <w:rPr>
          <w:rFonts w:ascii="Arial" w:hAnsi="Arial" w:cs="Arial"/>
          <w:b/>
          <w:color w:val="595959" w:themeColor="text1" w:themeTint="A6"/>
          <w:sz w:val="24"/>
          <w:szCs w:val="24"/>
        </w:rPr>
        <w:t>P</w:t>
      </w:r>
      <w:r w:rsidR="001024F6" w:rsidRPr="009172A3">
        <w:rPr>
          <w:rFonts w:ascii="Arial" w:hAnsi="Arial" w:cs="Arial"/>
          <w:b/>
          <w:color w:val="595959" w:themeColor="text1" w:themeTint="A6"/>
          <w:sz w:val="24"/>
          <w:szCs w:val="24"/>
        </w:rPr>
        <w:t>erformance</w:t>
      </w:r>
    </w:p>
    <w:p w14:paraId="7FDE0642" w14:textId="7979A77D" w:rsidR="001024F6" w:rsidRDefault="001024F6" w:rsidP="001024F6">
      <w:pPr>
        <w:pStyle w:val="NoSpacing"/>
        <w:rPr>
          <w:rFonts w:ascii="Arial" w:hAnsi="Arial" w:cs="Arial"/>
          <w:sz w:val="20"/>
          <w:szCs w:val="20"/>
        </w:rPr>
      </w:pPr>
      <w:r>
        <w:rPr>
          <w:rFonts w:ascii="Arial" w:hAnsi="Arial" w:cs="Arial"/>
          <w:sz w:val="20"/>
          <w:szCs w:val="20"/>
        </w:rPr>
        <w:t xml:space="preserve">A look across fresh foods departments for the </w:t>
      </w:r>
      <w:r w:rsidR="000C0F39">
        <w:rPr>
          <w:rFonts w:ascii="Arial" w:hAnsi="Arial" w:cs="Arial"/>
          <w:sz w:val="20"/>
          <w:szCs w:val="20"/>
        </w:rPr>
        <w:t>five January 2022</w:t>
      </w:r>
      <w:r w:rsidR="00615446">
        <w:rPr>
          <w:rFonts w:ascii="Arial" w:hAnsi="Arial" w:cs="Arial"/>
          <w:sz w:val="20"/>
          <w:szCs w:val="20"/>
        </w:rPr>
        <w:t xml:space="preserve"> </w:t>
      </w:r>
      <w:r w:rsidR="004D26B3">
        <w:rPr>
          <w:rFonts w:ascii="Arial" w:hAnsi="Arial" w:cs="Arial"/>
          <w:sz w:val="20"/>
          <w:szCs w:val="20"/>
        </w:rPr>
        <w:t>weeks</w:t>
      </w:r>
      <w:r>
        <w:rPr>
          <w:rFonts w:ascii="Arial" w:hAnsi="Arial" w:cs="Arial"/>
          <w:sz w:val="20"/>
          <w:szCs w:val="20"/>
        </w:rPr>
        <w:t xml:space="preserve"> show </w:t>
      </w:r>
      <w:r w:rsidR="008B05F8">
        <w:rPr>
          <w:rFonts w:ascii="Arial" w:hAnsi="Arial" w:cs="Arial"/>
          <w:sz w:val="20"/>
          <w:szCs w:val="20"/>
        </w:rPr>
        <w:t>perimeter strength</w:t>
      </w:r>
      <w:r w:rsidR="000C0F39">
        <w:rPr>
          <w:rFonts w:ascii="Arial" w:hAnsi="Arial" w:cs="Arial"/>
          <w:sz w:val="20"/>
          <w:szCs w:val="20"/>
        </w:rPr>
        <w:t xml:space="preserve"> in dollars</w:t>
      </w:r>
      <w:r>
        <w:rPr>
          <w:rFonts w:ascii="Arial" w:hAnsi="Arial" w:cs="Arial"/>
          <w:sz w:val="20"/>
          <w:szCs w:val="20"/>
        </w:rPr>
        <w:t>.</w:t>
      </w:r>
      <w:r w:rsidR="008B05F8">
        <w:rPr>
          <w:rFonts w:ascii="Arial" w:hAnsi="Arial" w:cs="Arial"/>
          <w:sz w:val="20"/>
          <w:szCs w:val="20"/>
        </w:rPr>
        <w:t xml:space="preserve"> All</w:t>
      </w:r>
      <w:r w:rsidR="000166DA">
        <w:rPr>
          <w:rFonts w:ascii="Arial" w:hAnsi="Arial" w:cs="Arial"/>
          <w:sz w:val="20"/>
          <w:szCs w:val="20"/>
        </w:rPr>
        <w:t xml:space="preserve"> department</w:t>
      </w:r>
      <w:r w:rsidR="00C620F5">
        <w:rPr>
          <w:rFonts w:ascii="Arial" w:hAnsi="Arial" w:cs="Arial"/>
          <w:sz w:val="20"/>
          <w:szCs w:val="20"/>
        </w:rPr>
        <w:t>s, with the exception of seafood,</w:t>
      </w:r>
      <w:r w:rsidR="008B05F8">
        <w:rPr>
          <w:rFonts w:ascii="Arial" w:hAnsi="Arial" w:cs="Arial"/>
          <w:sz w:val="20"/>
          <w:szCs w:val="20"/>
        </w:rPr>
        <w:t xml:space="preserve"> gained year-over-year, with the highest increases going to deli. </w:t>
      </w:r>
      <w:r w:rsidR="005C4361">
        <w:rPr>
          <w:rFonts w:ascii="Arial" w:hAnsi="Arial" w:cs="Arial"/>
          <w:sz w:val="20"/>
          <w:szCs w:val="20"/>
        </w:rPr>
        <w:t xml:space="preserve">However, only deli and bakery, the two departments that struggled during the first year of the pandemic had positive unit growth in January. </w:t>
      </w:r>
      <w:r w:rsidR="000166DA">
        <w:rPr>
          <w:rFonts w:ascii="Arial" w:hAnsi="Arial" w:cs="Arial"/>
          <w:sz w:val="20"/>
          <w:szCs w:val="20"/>
        </w:rPr>
        <w:t>Seafood is significantly smaller than the other fresh departments</w:t>
      </w:r>
      <w:r w:rsidR="005C4361">
        <w:rPr>
          <w:rFonts w:ascii="Arial" w:hAnsi="Arial" w:cs="Arial"/>
          <w:sz w:val="20"/>
          <w:szCs w:val="20"/>
        </w:rPr>
        <w:t xml:space="preserve"> and experienced double-digit unit declines</w:t>
      </w:r>
      <w:r w:rsidR="000166DA">
        <w:rPr>
          <w:rFonts w:ascii="Arial" w:hAnsi="Arial" w:cs="Arial"/>
          <w:sz w:val="20"/>
          <w:szCs w:val="20"/>
        </w:rPr>
        <w:t xml:space="preserve">. </w:t>
      </w:r>
      <w:r>
        <w:rPr>
          <w:rFonts w:ascii="Arial" w:hAnsi="Arial" w:cs="Arial"/>
          <w:sz w:val="20"/>
          <w:szCs w:val="20"/>
        </w:rPr>
        <w:t xml:space="preserve"> </w:t>
      </w:r>
    </w:p>
    <w:p w14:paraId="03A31E79" w14:textId="77777777" w:rsidR="001024F6" w:rsidRDefault="001024F6" w:rsidP="001024F6">
      <w:pPr>
        <w:pStyle w:val="NoSpacing"/>
        <w:rPr>
          <w:rFonts w:ascii="Arial" w:hAnsi="Arial" w:cs="Arial"/>
          <w:sz w:val="20"/>
          <w:szCs w:val="20"/>
        </w:rPr>
      </w:pPr>
    </w:p>
    <w:tbl>
      <w:tblPr>
        <w:tblStyle w:val="LightShading-Accent5"/>
        <w:tblW w:w="10512" w:type="dxa"/>
        <w:tblInd w:w="108" w:type="dxa"/>
        <w:tblBorders>
          <w:top w:val="none" w:sz="0" w:space="0" w:color="auto"/>
          <w:bottom w:val="none" w:sz="0" w:space="0" w:color="auto"/>
        </w:tblBorders>
        <w:tblLook w:val="04A0" w:firstRow="1" w:lastRow="0" w:firstColumn="1" w:lastColumn="0" w:noHBand="0" w:noVBand="1"/>
      </w:tblPr>
      <w:tblGrid>
        <w:gridCol w:w="3330"/>
        <w:gridCol w:w="2394"/>
        <w:gridCol w:w="2394"/>
        <w:gridCol w:w="2394"/>
      </w:tblGrid>
      <w:tr w:rsidR="001024F6" w:rsidRPr="00B265F0" w14:paraId="6E15459D" w14:textId="77777777" w:rsidTr="002C11A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23D4AB40" w14:textId="77777777" w:rsidR="001024F6" w:rsidRPr="00B265F0" w:rsidRDefault="002C11A9" w:rsidP="00042FD2">
            <w:pPr>
              <w:pStyle w:val="NoSpacing"/>
              <w:rPr>
                <w:rFonts w:ascii="Arial" w:hAnsi="Arial" w:cs="Arial"/>
                <w:color w:val="FFFFFF" w:themeColor="background1"/>
                <w:sz w:val="18"/>
                <w:szCs w:val="20"/>
              </w:rPr>
            </w:pPr>
            <w:r>
              <w:rPr>
                <w:rFonts w:ascii="Arial" w:hAnsi="Arial" w:cs="Arial"/>
                <w:color w:val="FFFFFF" w:themeColor="background1"/>
                <w:sz w:val="18"/>
                <w:szCs w:val="20"/>
              </w:rPr>
              <w:t>January 2022</w:t>
            </w:r>
            <w:r w:rsidR="00335BB3">
              <w:rPr>
                <w:rFonts w:ascii="Arial" w:hAnsi="Arial" w:cs="Arial"/>
                <w:color w:val="FFFFFF" w:themeColor="background1"/>
                <w:sz w:val="18"/>
                <w:szCs w:val="20"/>
              </w:rPr>
              <w:t xml:space="preserve"> </w:t>
            </w:r>
          </w:p>
        </w:tc>
        <w:tc>
          <w:tcPr>
            <w:tcW w:w="2394"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0BA7EEF" w14:textId="77777777" w:rsidR="001024F6" w:rsidRPr="00B265F0" w:rsidRDefault="001024F6" w:rsidP="00042FD2">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 </w:t>
            </w:r>
            <w:r>
              <w:rPr>
                <w:rFonts w:ascii="Arial" w:hAnsi="Arial" w:cs="Arial"/>
                <w:color w:val="FFFFFF" w:themeColor="background1"/>
                <w:sz w:val="18"/>
                <w:szCs w:val="20"/>
              </w:rPr>
              <w:br/>
              <w:t>sales</w:t>
            </w:r>
          </w:p>
        </w:tc>
        <w:tc>
          <w:tcPr>
            <w:tcW w:w="2394"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7DA451A4" w14:textId="04FFC61D" w:rsidR="001024F6" w:rsidRPr="00B265F0" w:rsidRDefault="00FC1239" w:rsidP="00042FD2">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w:t>
            </w:r>
            <w:r w:rsidR="00CD176C">
              <w:rPr>
                <w:rFonts w:ascii="Arial" w:hAnsi="Arial" w:cs="Arial"/>
                <w:color w:val="FFFFFF" w:themeColor="background1"/>
                <w:sz w:val="18"/>
                <w:szCs w:val="20"/>
              </w:rPr>
              <w:br/>
            </w:r>
            <w:r w:rsidR="001024F6" w:rsidRPr="00B265F0">
              <w:rPr>
                <w:rFonts w:ascii="Arial" w:hAnsi="Arial" w:cs="Arial"/>
                <w:color w:val="FFFFFF" w:themeColor="background1"/>
                <w:sz w:val="18"/>
                <w:szCs w:val="20"/>
              </w:rPr>
              <w:t>v</w:t>
            </w:r>
            <w:r w:rsidR="001024F6">
              <w:rPr>
                <w:rFonts w:ascii="Arial" w:hAnsi="Arial" w:cs="Arial"/>
                <w:color w:val="FFFFFF" w:themeColor="background1"/>
                <w:sz w:val="18"/>
                <w:szCs w:val="20"/>
              </w:rPr>
              <w:t>s. 20</w:t>
            </w:r>
            <w:r w:rsidR="004D26B3">
              <w:rPr>
                <w:rFonts w:ascii="Arial" w:hAnsi="Arial" w:cs="Arial"/>
                <w:color w:val="FFFFFF" w:themeColor="background1"/>
                <w:sz w:val="18"/>
                <w:szCs w:val="20"/>
              </w:rPr>
              <w:t>2</w:t>
            </w:r>
            <w:r w:rsidR="002C11A9">
              <w:rPr>
                <w:rFonts w:ascii="Arial" w:hAnsi="Arial" w:cs="Arial"/>
                <w:color w:val="FFFFFF" w:themeColor="background1"/>
                <w:sz w:val="18"/>
                <w:szCs w:val="20"/>
              </w:rPr>
              <w:t>1</w:t>
            </w:r>
          </w:p>
        </w:tc>
        <w:tc>
          <w:tcPr>
            <w:tcW w:w="2394" w:type="dxa"/>
            <w:tcBorders>
              <w:top w:val="none" w:sz="0" w:space="0" w:color="auto"/>
              <w:left w:val="none" w:sz="0" w:space="0" w:color="auto"/>
              <w:bottom w:val="none" w:sz="0" w:space="0" w:color="auto"/>
              <w:right w:val="none" w:sz="0" w:space="0" w:color="auto"/>
            </w:tcBorders>
            <w:shd w:val="clear" w:color="auto" w:fill="17365D" w:themeFill="text2" w:themeFillShade="BF"/>
            <w:vAlign w:val="bottom"/>
          </w:tcPr>
          <w:p w14:paraId="23DCF0F9" w14:textId="121A198D" w:rsidR="001024F6" w:rsidRPr="00B265F0" w:rsidRDefault="00FC1239" w:rsidP="00042FD2">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Units </w:t>
            </w:r>
            <w:r w:rsidR="00CD176C">
              <w:rPr>
                <w:rFonts w:ascii="Arial" w:hAnsi="Arial" w:cs="Arial"/>
                <w:color w:val="FFFFFF" w:themeColor="background1"/>
                <w:sz w:val="18"/>
                <w:szCs w:val="20"/>
              </w:rPr>
              <w:br/>
            </w:r>
            <w:r w:rsidR="001024F6" w:rsidRPr="00B265F0">
              <w:rPr>
                <w:rFonts w:ascii="Arial" w:hAnsi="Arial" w:cs="Arial"/>
                <w:color w:val="FFFFFF" w:themeColor="background1"/>
                <w:sz w:val="18"/>
                <w:szCs w:val="20"/>
              </w:rPr>
              <w:t>v</w:t>
            </w:r>
            <w:r w:rsidR="001024F6">
              <w:rPr>
                <w:rFonts w:ascii="Arial" w:hAnsi="Arial" w:cs="Arial"/>
                <w:color w:val="FFFFFF" w:themeColor="background1"/>
                <w:sz w:val="18"/>
                <w:szCs w:val="20"/>
              </w:rPr>
              <w:t>s. 20</w:t>
            </w:r>
            <w:r w:rsidR="002C11A9">
              <w:rPr>
                <w:rFonts w:ascii="Arial" w:hAnsi="Arial" w:cs="Arial"/>
                <w:color w:val="FFFFFF" w:themeColor="background1"/>
                <w:sz w:val="18"/>
                <w:szCs w:val="20"/>
              </w:rPr>
              <w:t>2</w:t>
            </w:r>
            <w:r>
              <w:rPr>
                <w:rFonts w:ascii="Arial" w:hAnsi="Arial" w:cs="Arial"/>
                <w:color w:val="FFFFFF" w:themeColor="background1"/>
                <w:sz w:val="18"/>
                <w:szCs w:val="20"/>
              </w:rPr>
              <w:t>1</w:t>
            </w:r>
          </w:p>
        </w:tc>
      </w:tr>
      <w:tr w:rsidR="00C620F5" w:rsidRPr="00E43E81" w14:paraId="19769B56" w14:textId="77777777" w:rsidTr="002C11A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30" w:type="dxa"/>
          </w:tcPr>
          <w:p w14:paraId="411C8AFA" w14:textId="77777777" w:rsidR="00C620F5" w:rsidRDefault="00C620F5" w:rsidP="00C620F5">
            <w:pPr>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Total perishables</w:t>
            </w:r>
          </w:p>
        </w:tc>
        <w:tc>
          <w:tcPr>
            <w:tcW w:w="2394" w:type="dxa"/>
          </w:tcPr>
          <w:p w14:paraId="7F0C64DE" w14:textId="3C8AB539" w:rsidR="00C620F5" w:rsidRDefault="00C620F5" w:rsidP="00C620F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F5F30">
              <w:rPr>
                <w:rFonts w:ascii="Arial" w:eastAsia="Times New Roman" w:hAnsi="Arial" w:cs="Arial"/>
                <w:color w:val="215868" w:themeColor="accent5" w:themeShade="80"/>
                <w:sz w:val="18"/>
                <w:szCs w:val="18"/>
              </w:rPr>
              <w:t>$</w:t>
            </w:r>
            <w:r w:rsidR="000C0F39">
              <w:rPr>
                <w:rFonts w:ascii="Arial" w:eastAsia="Times New Roman" w:hAnsi="Arial" w:cs="Arial"/>
                <w:color w:val="215868" w:themeColor="accent5" w:themeShade="80"/>
                <w:sz w:val="18"/>
                <w:szCs w:val="18"/>
              </w:rPr>
              <w:t>30.7</w:t>
            </w:r>
            <w:r w:rsidRPr="002F5F30">
              <w:rPr>
                <w:rFonts w:ascii="Arial" w:eastAsia="Times New Roman" w:hAnsi="Arial" w:cs="Arial"/>
                <w:color w:val="215868" w:themeColor="accent5" w:themeShade="80"/>
                <w:sz w:val="18"/>
                <w:szCs w:val="18"/>
              </w:rPr>
              <w:t>B</w:t>
            </w:r>
          </w:p>
        </w:tc>
        <w:tc>
          <w:tcPr>
            <w:tcW w:w="2394" w:type="dxa"/>
          </w:tcPr>
          <w:p w14:paraId="1986A6DD" w14:textId="0A4FEADA" w:rsidR="00C620F5" w:rsidRPr="00E43E81" w:rsidRDefault="00B51D47" w:rsidP="00C620F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w:t>
            </w:r>
            <w:r w:rsidR="000C0F39">
              <w:rPr>
                <w:rFonts w:ascii="Arial" w:eastAsia="Times New Roman" w:hAnsi="Arial" w:cs="Arial"/>
                <w:color w:val="215868" w:themeColor="accent5" w:themeShade="80"/>
                <w:sz w:val="18"/>
                <w:szCs w:val="18"/>
              </w:rPr>
              <w:t>6.2</w:t>
            </w:r>
            <w:r w:rsidR="00C620F5" w:rsidRPr="002F5F30">
              <w:rPr>
                <w:rFonts w:ascii="Arial" w:eastAsia="Times New Roman" w:hAnsi="Arial" w:cs="Arial"/>
                <w:color w:val="215868" w:themeColor="accent5" w:themeShade="80"/>
                <w:sz w:val="18"/>
                <w:szCs w:val="18"/>
              </w:rPr>
              <w:t>%</w:t>
            </w:r>
          </w:p>
        </w:tc>
        <w:tc>
          <w:tcPr>
            <w:tcW w:w="2394" w:type="dxa"/>
          </w:tcPr>
          <w:p w14:paraId="5DBC3CD5" w14:textId="22489FBB" w:rsidR="00C620F5" w:rsidRDefault="000C0F39" w:rsidP="00C620F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Pr>
                <w:rFonts w:ascii="Arial" w:eastAsia="Times New Roman" w:hAnsi="Arial" w:cs="Arial"/>
                <w:color w:val="215868" w:themeColor="accent5" w:themeShade="80"/>
                <w:sz w:val="18"/>
                <w:szCs w:val="18"/>
              </w:rPr>
              <w:t>-2.9</w:t>
            </w:r>
            <w:r w:rsidR="00C620F5" w:rsidRPr="002F5F30">
              <w:rPr>
                <w:rFonts w:ascii="Arial" w:eastAsia="Times New Roman" w:hAnsi="Arial" w:cs="Arial"/>
                <w:color w:val="215868" w:themeColor="accent5" w:themeShade="80"/>
                <w:sz w:val="18"/>
                <w:szCs w:val="18"/>
              </w:rPr>
              <w:t>%</w:t>
            </w:r>
          </w:p>
        </w:tc>
      </w:tr>
      <w:tr w:rsidR="00C620F5" w:rsidRPr="00E43E81" w14:paraId="1CC5AE17" w14:textId="77777777" w:rsidTr="002C11A9">
        <w:trPr>
          <w:trHeight w:val="227"/>
        </w:trPr>
        <w:tc>
          <w:tcPr>
            <w:cnfStyle w:val="001000000000" w:firstRow="0" w:lastRow="0" w:firstColumn="1" w:lastColumn="0" w:oddVBand="0" w:evenVBand="0" w:oddHBand="0" w:evenHBand="0" w:firstRowFirstColumn="0" w:firstRowLastColumn="0" w:lastRowFirstColumn="0" w:lastRowLastColumn="0"/>
            <w:tcW w:w="3330" w:type="dxa"/>
          </w:tcPr>
          <w:p w14:paraId="7631F18E" w14:textId="77777777" w:rsidR="00C620F5" w:rsidRPr="00E43E81" w:rsidRDefault="00C620F5" w:rsidP="00E623A4">
            <w:pPr>
              <w:pStyle w:val="NoSpacing"/>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Meat</w:t>
            </w:r>
          </w:p>
        </w:tc>
        <w:tc>
          <w:tcPr>
            <w:tcW w:w="2394" w:type="dxa"/>
          </w:tcPr>
          <w:p w14:paraId="750CC114" w14:textId="7C3735F0" w:rsidR="00C620F5" w:rsidRDefault="00C620F5" w:rsidP="00E623A4">
            <w:pPr>
              <w:jc w:val="right"/>
              <w:cnfStyle w:val="000000000000" w:firstRow="0" w:lastRow="0" w:firstColumn="0" w:lastColumn="0" w:oddVBand="0" w:evenVBand="0" w:oddHBand="0" w:evenHBand="0" w:firstRowFirstColumn="0" w:firstRowLastColumn="0" w:lastRowFirstColumn="0" w:lastRowLastColumn="0"/>
            </w:pPr>
            <w:r w:rsidRPr="00EE08B3">
              <w:rPr>
                <w:rFonts w:ascii="Arial" w:eastAsia="Times New Roman" w:hAnsi="Arial" w:cs="Arial"/>
                <w:color w:val="215868" w:themeColor="accent5" w:themeShade="80"/>
                <w:sz w:val="18"/>
                <w:szCs w:val="18"/>
              </w:rPr>
              <w:t>$</w:t>
            </w:r>
            <w:r w:rsidR="000C0F39">
              <w:rPr>
                <w:rFonts w:ascii="Arial" w:eastAsia="Times New Roman" w:hAnsi="Arial" w:cs="Arial"/>
                <w:color w:val="215868" w:themeColor="accent5" w:themeShade="80"/>
                <w:sz w:val="18"/>
                <w:szCs w:val="18"/>
              </w:rPr>
              <w:t>8.2</w:t>
            </w:r>
            <w:r w:rsidRPr="00EE08B3">
              <w:rPr>
                <w:rFonts w:ascii="Arial" w:eastAsia="Times New Roman" w:hAnsi="Arial" w:cs="Arial"/>
                <w:color w:val="215868" w:themeColor="accent5" w:themeShade="80"/>
                <w:sz w:val="18"/>
                <w:szCs w:val="18"/>
              </w:rPr>
              <w:t>B</w:t>
            </w:r>
          </w:p>
        </w:tc>
        <w:tc>
          <w:tcPr>
            <w:tcW w:w="2394" w:type="dxa"/>
          </w:tcPr>
          <w:p w14:paraId="05581D12" w14:textId="6472353D" w:rsidR="00C620F5" w:rsidRDefault="00B51D47" w:rsidP="00E623A4">
            <w:pPr>
              <w:jc w:val="right"/>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215868" w:themeColor="accent5" w:themeShade="80"/>
                <w:sz w:val="18"/>
                <w:szCs w:val="18"/>
              </w:rPr>
              <w:t>+</w:t>
            </w:r>
            <w:r w:rsidR="000C0F39">
              <w:rPr>
                <w:rFonts w:ascii="Arial" w:eastAsia="Times New Roman" w:hAnsi="Arial" w:cs="Arial"/>
                <w:color w:val="215868" w:themeColor="accent5" w:themeShade="80"/>
                <w:sz w:val="18"/>
                <w:szCs w:val="18"/>
              </w:rPr>
              <w:t>7.3</w:t>
            </w:r>
            <w:r w:rsidR="00C620F5" w:rsidRPr="00507359">
              <w:rPr>
                <w:rFonts w:ascii="Arial" w:eastAsia="Times New Roman" w:hAnsi="Arial" w:cs="Arial"/>
                <w:color w:val="215868" w:themeColor="accent5" w:themeShade="80"/>
                <w:sz w:val="18"/>
                <w:szCs w:val="18"/>
              </w:rPr>
              <w:t>%</w:t>
            </w:r>
          </w:p>
        </w:tc>
        <w:tc>
          <w:tcPr>
            <w:tcW w:w="2394" w:type="dxa"/>
          </w:tcPr>
          <w:p w14:paraId="205FF84F" w14:textId="424E04F0" w:rsidR="00C620F5" w:rsidRPr="00E43E81" w:rsidRDefault="000C0F39" w:rsidP="00E623A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eastAsia="Times New Roman" w:hAnsi="Arial" w:cs="Arial"/>
                <w:color w:val="215868" w:themeColor="accent5" w:themeShade="80"/>
                <w:sz w:val="18"/>
                <w:szCs w:val="18"/>
              </w:rPr>
              <w:t>-5.3</w:t>
            </w:r>
            <w:r w:rsidR="00C620F5" w:rsidRPr="00E43E81">
              <w:rPr>
                <w:rFonts w:ascii="Arial" w:eastAsia="Times New Roman" w:hAnsi="Arial" w:cs="Arial"/>
                <w:color w:val="215868" w:themeColor="accent5" w:themeShade="80"/>
                <w:sz w:val="18"/>
                <w:szCs w:val="18"/>
              </w:rPr>
              <w:t>%</w:t>
            </w:r>
          </w:p>
        </w:tc>
      </w:tr>
      <w:tr w:rsidR="000C0F39" w:rsidRPr="00E43E81" w14:paraId="4285B2CA" w14:textId="77777777" w:rsidTr="002C11A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30" w:type="dxa"/>
          </w:tcPr>
          <w:p w14:paraId="66B47574" w14:textId="77777777" w:rsidR="000C0F39" w:rsidRDefault="000C0F39" w:rsidP="000C0F39">
            <w:pPr>
              <w:pStyle w:val="NoSpacing"/>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Refrigerated (including dairy)</w:t>
            </w:r>
          </w:p>
        </w:tc>
        <w:tc>
          <w:tcPr>
            <w:tcW w:w="2394" w:type="dxa"/>
          </w:tcPr>
          <w:p w14:paraId="340ADFD3" w14:textId="1AA4B28E" w:rsidR="000C0F39" w:rsidRDefault="000C0F39" w:rsidP="000C0F39">
            <w:pPr>
              <w:jc w:val="right"/>
              <w:cnfStyle w:val="000000100000" w:firstRow="0" w:lastRow="0" w:firstColumn="0" w:lastColumn="0" w:oddVBand="0" w:evenVBand="0" w:oddHBand="1" w:evenHBand="0" w:firstRowFirstColumn="0" w:firstRowLastColumn="0" w:lastRowFirstColumn="0" w:lastRowLastColumn="0"/>
            </w:pPr>
            <w:r w:rsidRPr="00EE08B3">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7.4</w:t>
            </w:r>
            <w:r w:rsidRPr="00EE08B3">
              <w:rPr>
                <w:rFonts w:ascii="Arial" w:eastAsia="Times New Roman" w:hAnsi="Arial" w:cs="Arial"/>
                <w:color w:val="215868" w:themeColor="accent5" w:themeShade="80"/>
                <w:sz w:val="18"/>
                <w:szCs w:val="18"/>
              </w:rPr>
              <w:t>B</w:t>
            </w:r>
          </w:p>
        </w:tc>
        <w:tc>
          <w:tcPr>
            <w:tcW w:w="2394" w:type="dxa"/>
          </w:tcPr>
          <w:p w14:paraId="20395EB9" w14:textId="52905255" w:rsidR="000C0F39" w:rsidRDefault="000C0F39" w:rsidP="000C0F39">
            <w:pPr>
              <w:jc w:val="right"/>
              <w:cnfStyle w:val="000000100000" w:firstRow="0" w:lastRow="0" w:firstColumn="0" w:lastColumn="0" w:oddVBand="0" w:evenVBand="0" w:oddHBand="1" w:evenHBand="0" w:firstRowFirstColumn="0" w:firstRowLastColumn="0" w:lastRowFirstColumn="0" w:lastRowLastColumn="0"/>
            </w:pPr>
            <w:r>
              <w:rPr>
                <w:rFonts w:ascii="Arial" w:eastAsia="Times New Roman" w:hAnsi="Arial" w:cs="Arial"/>
                <w:color w:val="215868" w:themeColor="accent5" w:themeShade="80"/>
                <w:sz w:val="18"/>
                <w:szCs w:val="18"/>
              </w:rPr>
              <w:t>+4.1</w:t>
            </w:r>
            <w:r w:rsidRPr="00507359">
              <w:rPr>
                <w:rFonts w:ascii="Arial" w:eastAsia="Times New Roman" w:hAnsi="Arial" w:cs="Arial"/>
                <w:color w:val="215868" w:themeColor="accent5" w:themeShade="80"/>
                <w:sz w:val="18"/>
                <w:szCs w:val="18"/>
              </w:rPr>
              <w:t>%</w:t>
            </w:r>
          </w:p>
        </w:tc>
        <w:tc>
          <w:tcPr>
            <w:tcW w:w="2394" w:type="dxa"/>
          </w:tcPr>
          <w:p w14:paraId="53F3941B" w14:textId="054E3BC0" w:rsidR="000C0F39" w:rsidRDefault="000C0F39" w:rsidP="000C0F3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B35E55">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2.8</w:t>
            </w:r>
            <w:r w:rsidRPr="00B35E55">
              <w:rPr>
                <w:rFonts w:ascii="Arial" w:eastAsia="Times New Roman" w:hAnsi="Arial" w:cs="Arial"/>
                <w:color w:val="215868" w:themeColor="accent5" w:themeShade="80"/>
                <w:sz w:val="18"/>
                <w:szCs w:val="18"/>
              </w:rPr>
              <w:t>%</w:t>
            </w:r>
          </w:p>
        </w:tc>
      </w:tr>
      <w:tr w:rsidR="000C0F39" w:rsidRPr="00E43E81" w14:paraId="113FCE46" w14:textId="77777777" w:rsidTr="002C11A9">
        <w:trPr>
          <w:trHeight w:val="227"/>
        </w:trPr>
        <w:tc>
          <w:tcPr>
            <w:cnfStyle w:val="001000000000" w:firstRow="0" w:lastRow="0" w:firstColumn="1" w:lastColumn="0" w:oddVBand="0" w:evenVBand="0" w:oddHBand="0" w:evenHBand="0" w:firstRowFirstColumn="0" w:firstRowLastColumn="0" w:lastRowFirstColumn="0" w:lastRowLastColumn="0"/>
            <w:tcW w:w="3330" w:type="dxa"/>
          </w:tcPr>
          <w:p w14:paraId="1E28C733" w14:textId="77777777" w:rsidR="000C0F39" w:rsidRPr="00E43E81" w:rsidRDefault="000C0F39" w:rsidP="000C0F39">
            <w:pPr>
              <w:pStyle w:val="NoSpacing"/>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Produce</w:t>
            </w:r>
          </w:p>
        </w:tc>
        <w:tc>
          <w:tcPr>
            <w:tcW w:w="2394" w:type="dxa"/>
          </w:tcPr>
          <w:p w14:paraId="1D6EC4E0" w14:textId="1BB9DF69" w:rsidR="000C0F39" w:rsidRDefault="000C0F39" w:rsidP="000C0F39">
            <w:pPr>
              <w:jc w:val="right"/>
              <w:cnfStyle w:val="000000000000" w:firstRow="0" w:lastRow="0" w:firstColumn="0" w:lastColumn="0" w:oddVBand="0" w:evenVBand="0" w:oddHBand="0" w:evenHBand="0" w:firstRowFirstColumn="0" w:firstRowLastColumn="0" w:lastRowFirstColumn="0" w:lastRowLastColumn="0"/>
            </w:pPr>
            <w:r w:rsidRPr="00EE08B3">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6.9</w:t>
            </w:r>
            <w:r w:rsidRPr="00EE08B3">
              <w:rPr>
                <w:rFonts w:ascii="Arial" w:eastAsia="Times New Roman" w:hAnsi="Arial" w:cs="Arial"/>
                <w:color w:val="215868" w:themeColor="accent5" w:themeShade="80"/>
                <w:sz w:val="18"/>
                <w:szCs w:val="18"/>
              </w:rPr>
              <w:t>B</w:t>
            </w:r>
          </w:p>
        </w:tc>
        <w:tc>
          <w:tcPr>
            <w:tcW w:w="2394" w:type="dxa"/>
          </w:tcPr>
          <w:p w14:paraId="3D837495" w14:textId="2D721898" w:rsidR="000C0F39" w:rsidRDefault="000C0F39" w:rsidP="000C0F39">
            <w:pPr>
              <w:jc w:val="right"/>
              <w:cnfStyle w:val="000000000000" w:firstRow="0" w:lastRow="0" w:firstColumn="0" w:lastColumn="0" w:oddVBand="0" w:evenVBand="0" w:oddHBand="0" w:evenHBand="0" w:firstRowFirstColumn="0" w:firstRowLastColumn="0" w:lastRowFirstColumn="0" w:lastRowLastColumn="0"/>
            </w:pPr>
            <w:r>
              <w:rPr>
                <w:rFonts w:ascii="Arial" w:eastAsia="Times New Roman" w:hAnsi="Arial" w:cs="Arial"/>
                <w:color w:val="215868" w:themeColor="accent5" w:themeShade="80"/>
                <w:sz w:val="18"/>
                <w:szCs w:val="18"/>
              </w:rPr>
              <w:t>+4.4</w:t>
            </w:r>
            <w:r w:rsidRPr="00507359">
              <w:rPr>
                <w:rFonts w:ascii="Arial" w:eastAsia="Times New Roman" w:hAnsi="Arial" w:cs="Arial"/>
                <w:color w:val="215868" w:themeColor="accent5" w:themeShade="80"/>
                <w:sz w:val="18"/>
                <w:szCs w:val="18"/>
              </w:rPr>
              <w:t>%</w:t>
            </w:r>
          </w:p>
        </w:tc>
        <w:tc>
          <w:tcPr>
            <w:tcW w:w="2394" w:type="dxa"/>
          </w:tcPr>
          <w:p w14:paraId="771C3C3C" w14:textId="016F78F8" w:rsidR="000C0F39" w:rsidRPr="00E43E81" w:rsidRDefault="000C0F39" w:rsidP="000C0F3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sidRPr="00B35E55">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4.3</w:t>
            </w:r>
            <w:r w:rsidRPr="00B35E55">
              <w:rPr>
                <w:rFonts w:ascii="Arial" w:eastAsia="Times New Roman" w:hAnsi="Arial" w:cs="Arial"/>
                <w:color w:val="215868" w:themeColor="accent5" w:themeShade="80"/>
                <w:sz w:val="18"/>
                <w:szCs w:val="18"/>
              </w:rPr>
              <w:t>%</w:t>
            </w:r>
          </w:p>
        </w:tc>
      </w:tr>
      <w:tr w:rsidR="000C0F39" w:rsidRPr="00E43E81" w14:paraId="1886DCAD" w14:textId="77777777" w:rsidTr="002C11A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30" w:type="dxa"/>
          </w:tcPr>
          <w:p w14:paraId="57D90C4D" w14:textId="77777777" w:rsidR="000C0F39" w:rsidRPr="00E43E81" w:rsidRDefault="000C0F39" w:rsidP="000C0F39">
            <w:pPr>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Deli (meat, cheese and deli prepared)</w:t>
            </w:r>
          </w:p>
        </w:tc>
        <w:tc>
          <w:tcPr>
            <w:tcW w:w="2394" w:type="dxa"/>
          </w:tcPr>
          <w:p w14:paraId="3CB9BAA4" w14:textId="17DE529A" w:rsidR="000C0F39" w:rsidRDefault="000C0F39" w:rsidP="000C0F39">
            <w:pPr>
              <w:jc w:val="right"/>
              <w:cnfStyle w:val="000000100000" w:firstRow="0" w:lastRow="0" w:firstColumn="0" w:lastColumn="0" w:oddVBand="0" w:evenVBand="0" w:oddHBand="1" w:evenHBand="0" w:firstRowFirstColumn="0" w:firstRowLastColumn="0" w:lastRowFirstColumn="0" w:lastRowLastColumn="0"/>
            </w:pPr>
            <w:r w:rsidRPr="00EE08B3">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4.0</w:t>
            </w:r>
            <w:r w:rsidRPr="00EE08B3">
              <w:rPr>
                <w:rFonts w:ascii="Arial" w:eastAsia="Times New Roman" w:hAnsi="Arial" w:cs="Arial"/>
                <w:color w:val="215868" w:themeColor="accent5" w:themeShade="80"/>
                <w:sz w:val="18"/>
                <w:szCs w:val="18"/>
              </w:rPr>
              <w:t>B</w:t>
            </w:r>
          </w:p>
        </w:tc>
        <w:tc>
          <w:tcPr>
            <w:tcW w:w="2394" w:type="dxa"/>
          </w:tcPr>
          <w:p w14:paraId="3C3A0929" w14:textId="5A6EE842" w:rsidR="000C0F39" w:rsidRDefault="000C0F39" w:rsidP="000C0F39">
            <w:pPr>
              <w:jc w:val="right"/>
              <w:cnfStyle w:val="000000100000" w:firstRow="0" w:lastRow="0" w:firstColumn="0" w:lastColumn="0" w:oddVBand="0" w:evenVBand="0" w:oddHBand="1" w:evenHBand="0" w:firstRowFirstColumn="0" w:firstRowLastColumn="0" w:lastRowFirstColumn="0" w:lastRowLastColumn="0"/>
            </w:pPr>
            <w:r w:rsidRPr="00507359">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10.6</w:t>
            </w:r>
            <w:r w:rsidRPr="00507359">
              <w:rPr>
                <w:rFonts w:ascii="Arial" w:eastAsia="Times New Roman" w:hAnsi="Arial" w:cs="Arial"/>
                <w:color w:val="215868" w:themeColor="accent5" w:themeShade="80"/>
                <w:sz w:val="18"/>
                <w:szCs w:val="18"/>
              </w:rPr>
              <w:t>%</w:t>
            </w:r>
          </w:p>
        </w:tc>
        <w:tc>
          <w:tcPr>
            <w:tcW w:w="2394" w:type="dxa"/>
          </w:tcPr>
          <w:p w14:paraId="197E2CBC" w14:textId="0D82F7EB" w:rsidR="000C0F39" w:rsidRPr="00E43E81" w:rsidRDefault="000C0F39" w:rsidP="000C0F3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Pr>
                <w:rFonts w:ascii="Arial" w:eastAsia="Times New Roman" w:hAnsi="Arial" w:cs="Arial"/>
                <w:color w:val="215868" w:themeColor="accent5" w:themeShade="80"/>
                <w:sz w:val="18"/>
                <w:szCs w:val="18"/>
              </w:rPr>
              <w:t>+1.5</w:t>
            </w:r>
            <w:r w:rsidRPr="00B35E55">
              <w:rPr>
                <w:rFonts w:ascii="Arial" w:eastAsia="Times New Roman" w:hAnsi="Arial" w:cs="Arial"/>
                <w:color w:val="215868" w:themeColor="accent5" w:themeShade="80"/>
                <w:sz w:val="18"/>
                <w:szCs w:val="18"/>
              </w:rPr>
              <w:t>%</w:t>
            </w:r>
          </w:p>
        </w:tc>
      </w:tr>
      <w:tr w:rsidR="000C0F39" w:rsidRPr="00E43E81" w14:paraId="26F9F630" w14:textId="77777777" w:rsidTr="002C11A9">
        <w:trPr>
          <w:trHeight w:val="227"/>
        </w:trPr>
        <w:tc>
          <w:tcPr>
            <w:cnfStyle w:val="001000000000" w:firstRow="0" w:lastRow="0" w:firstColumn="1" w:lastColumn="0" w:oddVBand="0" w:evenVBand="0" w:oddHBand="0" w:evenHBand="0" w:firstRowFirstColumn="0" w:firstRowLastColumn="0" w:lastRowFirstColumn="0" w:lastRowLastColumn="0"/>
            <w:tcW w:w="3330" w:type="dxa"/>
          </w:tcPr>
          <w:p w14:paraId="08CC8B0E" w14:textId="77777777" w:rsidR="000C0F39" w:rsidRPr="00E43E81" w:rsidRDefault="000C0F39" w:rsidP="000C0F39">
            <w:pPr>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Bakery</w:t>
            </w:r>
          </w:p>
        </w:tc>
        <w:tc>
          <w:tcPr>
            <w:tcW w:w="2394" w:type="dxa"/>
          </w:tcPr>
          <w:p w14:paraId="29FF4006" w14:textId="6089D797" w:rsidR="000C0F39" w:rsidRDefault="000C0F39" w:rsidP="000C0F39">
            <w:pPr>
              <w:jc w:val="right"/>
              <w:cnfStyle w:val="000000000000" w:firstRow="0" w:lastRow="0" w:firstColumn="0" w:lastColumn="0" w:oddVBand="0" w:evenVBand="0" w:oddHBand="0" w:evenHBand="0" w:firstRowFirstColumn="0" w:firstRowLastColumn="0" w:lastRowFirstColumn="0" w:lastRowLastColumn="0"/>
            </w:pPr>
            <w:r w:rsidRPr="00EE08B3">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3.5</w:t>
            </w:r>
            <w:r w:rsidRPr="00EE08B3">
              <w:rPr>
                <w:rFonts w:ascii="Arial" w:eastAsia="Times New Roman" w:hAnsi="Arial" w:cs="Arial"/>
                <w:color w:val="215868" w:themeColor="accent5" w:themeShade="80"/>
                <w:sz w:val="18"/>
                <w:szCs w:val="18"/>
              </w:rPr>
              <w:t>B</w:t>
            </w:r>
          </w:p>
        </w:tc>
        <w:tc>
          <w:tcPr>
            <w:tcW w:w="2394" w:type="dxa"/>
          </w:tcPr>
          <w:p w14:paraId="4047F8E7" w14:textId="7D7D1BC7" w:rsidR="000C0F39" w:rsidRDefault="000C0F39" w:rsidP="000C0F39">
            <w:pPr>
              <w:jc w:val="right"/>
              <w:cnfStyle w:val="000000000000" w:firstRow="0" w:lastRow="0" w:firstColumn="0" w:lastColumn="0" w:oddVBand="0" w:evenVBand="0" w:oddHBand="0" w:evenHBand="0" w:firstRowFirstColumn="0" w:firstRowLastColumn="0" w:lastRowFirstColumn="0" w:lastRowLastColumn="0"/>
            </w:pPr>
            <w:r w:rsidRPr="00507359">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10.2</w:t>
            </w:r>
            <w:r w:rsidRPr="00507359">
              <w:rPr>
                <w:rFonts w:ascii="Arial" w:eastAsia="Times New Roman" w:hAnsi="Arial" w:cs="Arial"/>
                <w:color w:val="215868" w:themeColor="accent5" w:themeShade="80"/>
                <w:sz w:val="18"/>
                <w:szCs w:val="18"/>
              </w:rPr>
              <w:t>%</w:t>
            </w:r>
          </w:p>
        </w:tc>
        <w:tc>
          <w:tcPr>
            <w:tcW w:w="2394" w:type="dxa"/>
          </w:tcPr>
          <w:p w14:paraId="24247DC7" w14:textId="6B2F2763" w:rsidR="000C0F39" w:rsidRPr="00E43E81" w:rsidRDefault="000C0F39" w:rsidP="000C0F3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20"/>
              </w:rPr>
            </w:pPr>
            <w:r>
              <w:rPr>
                <w:rFonts w:ascii="Arial" w:eastAsia="Times New Roman" w:hAnsi="Arial" w:cs="Arial"/>
                <w:color w:val="215868" w:themeColor="accent5" w:themeShade="80"/>
                <w:sz w:val="18"/>
                <w:szCs w:val="18"/>
              </w:rPr>
              <w:t>+1.3</w:t>
            </w:r>
            <w:r w:rsidRPr="00B35E55">
              <w:rPr>
                <w:rFonts w:ascii="Arial" w:eastAsia="Times New Roman" w:hAnsi="Arial" w:cs="Arial"/>
                <w:color w:val="215868" w:themeColor="accent5" w:themeShade="80"/>
                <w:sz w:val="18"/>
                <w:szCs w:val="18"/>
              </w:rPr>
              <w:t>%</w:t>
            </w:r>
          </w:p>
        </w:tc>
      </w:tr>
      <w:tr w:rsidR="000C0F39" w:rsidRPr="00E43E81" w14:paraId="4C888D1F" w14:textId="77777777" w:rsidTr="002C11A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30" w:type="dxa"/>
          </w:tcPr>
          <w:p w14:paraId="5E66606F" w14:textId="77777777" w:rsidR="000C0F39" w:rsidRPr="00E43E81" w:rsidRDefault="000C0F39" w:rsidP="000C0F39">
            <w:pPr>
              <w:pStyle w:val="NoSpacing"/>
              <w:rPr>
                <w:rFonts w:ascii="Arial" w:hAnsi="Arial" w:cs="Arial"/>
                <w:b w:val="0"/>
                <w:color w:val="215868" w:themeColor="accent5" w:themeShade="80"/>
                <w:sz w:val="18"/>
                <w:szCs w:val="20"/>
              </w:rPr>
            </w:pPr>
            <w:r>
              <w:rPr>
                <w:rFonts w:ascii="Arial" w:hAnsi="Arial" w:cs="Arial"/>
                <w:b w:val="0"/>
                <w:color w:val="215868" w:themeColor="accent5" w:themeShade="80"/>
                <w:sz w:val="18"/>
                <w:szCs w:val="20"/>
              </w:rPr>
              <w:t>Seafood</w:t>
            </w:r>
          </w:p>
        </w:tc>
        <w:tc>
          <w:tcPr>
            <w:tcW w:w="2394" w:type="dxa"/>
          </w:tcPr>
          <w:p w14:paraId="188E69BA" w14:textId="3D9098EE" w:rsidR="000C0F39" w:rsidRDefault="000C0F39" w:rsidP="000C0F39">
            <w:pPr>
              <w:jc w:val="right"/>
              <w:cnfStyle w:val="000000100000" w:firstRow="0" w:lastRow="0" w:firstColumn="0" w:lastColumn="0" w:oddVBand="0" w:evenVBand="0" w:oddHBand="1" w:evenHBand="0" w:firstRowFirstColumn="0" w:firstRowLastColumn="0" w:lastRowFirstColumn="0" w:lastRowLastColumn="0"/>
            </w:pPr>
            <w:r w:rsidRPr="00EE08B3">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666M</w:t>
            </w:r>
          </w:p>
        </w:tc>
        <w:tc>
          <w:tcPr>
            <w:tcW w:w="2394" w:type="dxa"/>
          </w:tcPr>
          <w:p w14:paraId="2A7AD186" w14:textId="39910D7C" w:rsidR="000C0F39" w:rsidRDefault="000C0F39" w:rsidP="000C0F39">
            <w:pPr>
              <w:jc w:val="right"/>
              <w:cnfStyle w:val="000000100000" w:firstRow="0" w:lastRow="0" w:firstColumn="0" w:lastColumn="0" w:oddVBand="0" w:evenVBand="0" w:oddHBand="1" w:evenHBand="0" w:firstRowFirstColumn="0" w:firstRowLastColumn="0" w:lastRowFirstColumn="0" w:lastRowLastColumn="0"/>
            </w:pPr>
            <w:r>
              <w:rPr>
                <w:rFonts w:ascii="Arial" w:eastAsia="Times New Roman" w:hAnsi="Arial" w:cs="Arial"/>
                <w:color w:val="215868" w:themeColor="accent5" w:themeShade="80"/>
                <w:sz w:val="18"/>
                <w:szCs w:val="18"/>
              </w:rPr>
              <w:t>-7.3</w:t>
            </w:r>
            <w:r w:rsidRPr="00507359">
              <w:rPr>
                <w:rFonts w:ascii="Arial" w:eastAsia="Times New Roman" w:hAnsi="Arial" w:cs="Arial"/>
                <w:color w:val="215868" w:themeColor="accent5" w:themeShade="80"/>
                <w:sz w:val="18"/>
                <w:szCs w:val="18"/>
              </w:rPr>
              <w:t>%</w:t>
            </w:r>
          </w:p>
        </w:tc>
        <w:tc>
          <w:tcPr>
            <w:tcW w:w="2394" w:type="dxa"/>
          </w:tcPr>
          <w:p w14:paraId="44C4CA0F" w14:textId="788F6C02" w:rsidR="000C0F39" w:rsidRPr="00E43E81" w:rsidRDefault="000C0F39" w:rsidP="000C0F3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20"/>
              </w:rPr>
            </w:pPr>
            <w:r w:rsidRPr="00B35E55">
              <w:rPr>
                <w:rFonts w:ascii="Arial" w:eastAsia="Times New Roman" w:hAnsi="Arial" w:cs="Arial"/>
                <w:color w:val="215868" w:themeColor="accent5" w:themeShade="80"/>
                <w:sz w:val="18"/>
                <w:szCs w:val="18"/>
              </w:rPr>
              <w:t>-</w:t>
            </w:r>
            <w:r>
              <w:rPr>
                <w:rFonts w:ascii="Arial" w:eastAsia="Times New Roman" w:hAnsi="Arial" w:cs="Arial"/>
                <w:color w:val="215868" w:themeColor="accent5" w:themeShade="80"/>
                <w:sz w:val="18"/>
                <w:szCs w:val="18"/>
              </w:rPr>
              <w:t>16.4</w:t>
            </w:r>
            <w:r w:rsidRPr="00B35E55">
              <w:rPr>
                <w:rFonts w:ascii="Arial" w:eastAsia="Times New Roman" w:hAnsi="Arial" w:cs="Arial"/>
                <w:color w:val="215868" w:themeColor="accent5" w:themeShade="80"/>
                <w:sz w:val="18"/>
                <w:szCs w:val="18"/>
              </w:rPr>
              <w:t>%</w:t>
            </w:r>
          </w:p>
        </w:tc>
      </w:tr>
    </w:tbl>
    <w:p w14:paraId="2D9AB8C7" w14:textId="77777777" w:rsidR="00D66F5A" w:rsidRPr="00D66F5A" w:rsidRDefault="001024F6" w:rsidP="001024F6">
      <w:pPr>
        <w:pStyle w:val="NoSpacing"/>
        <w:rPr>
          <w:noProof/>
          <w:sz w:val="10"/>
          <w:szCs w:val="10"/>
        </w:rPr>
      </w:pPr>
      <w:r w:rsidRPr="00D66F5A">
        <w:rPr>
          <w:noProof/>
          <w:sz w:val="10"/>
          <w:szCs w:val="10"/>
        </w:rPr>
        <w:t xml:space="preserve"> </w:t>
      </w:r>
    </w:p>
    <w:p w14:paraId="23AF6DF5" w14:textId="77777777" w:rsidR="001024F6" w:rsidRPr="00764049" w:rsidRDefault="001024F6" w:rsidP="001024F6">
      <w:pPr>
        <w:pStyle w:val="NoSpacing"/>
        <w:rPr>
          <w:rFonts w:ascii="Arial" w:hAnsi="Arial" w:cs="Arial"/>
          <w:sz w:val="16"/>
          <w:szCs w:val="16"/>
        </w:rPr>
      </w:pPr>
      <w:r w:rsidRPr="00764049">
        <w:rPr>
          <w:rFonts w:ascii="Arial" w:hAnsi="Arial" w:cs="Arial"/>
          <w:sz w:val="16"/>
          <w:szCs w:val="16"/>
        </w:rPr>
        <w:t>Source: IRI</w:t>
      </w:r>
      <w:r>
        <w:rPr>
          <w:rFonts w:ascii="Arial" w:hAnsi="Arial" w:cs="Arial"/>
          <w:sz w:val="16"/>
          <w:szCs w:val="16"/>
        </w:rPr>
        <w:t xml:space="preserve"> Integrated Fresh,</w:t>
      </w:r>
      <w:r w:rsidRPr="00764049">
        <w:rPr>
          <w:rFonts w:ascii="Arial" w:hAnsi="Arial" w:cs="Arial"/>
          <w:sz w:val="16"/>
          <w:szCs w:val="16"/>
        </w:rPr>
        <w:t xml:space="preserve"> Total U.S., MULO, </w:t>
      </w:r>
      <w:r>
        <w:rPr>
          <w:rFonts w:ascii="Arial" w:hAnsi="Arial" w:cs="Arial"/>
          <w:sz w:val="16"/>
          <w:szCs w:val="16"/>
        </w:rPr>
        <w:t>fixed and random weight items combined into department views</w:t>
      </w:r>
    </w:p>
    <w:p w14:paraId="1C1A044E" w14:textId="77777777" w:rsidR="00357E26" w:rsidRPr="00D66F5A" w:rsidRDefault="00357E26" w:rsidP="00563A06">
      <w:pPr>
        <w:pStyle w:val="NoSpacing"/>
        <w:rPr>
          <w:rFonts w:ascii="Arial" w:hAnsi="Arial" w:cs="Arial"/>
          <w:b/>
          <w:color w:val="595959" w:themeColor="text1" w:themeTint="A6"/>
          <w:sz w:val="28"/>
          <w:szCs w:val="28"/>
        </w:rPr>
      </w:pPr>
      <w:bookmarkStart w:id="0" w:name="_Hlk76989410"/>
    </w:p>
    <w:p w14:paraId="11A95310" w14:textId="77777777" w:rsidR="005C4361" w:rsidRDefault="005C4361">
      <w:pPr>
        <w:rPr>
          <w:rFonts w:ascii="Arial" w:hAnsi="Arial" w:cs="Arial"/>
          <w:b/>
          <w:color w:val="595959" w:themeColor="text1" w:themeTint="A6"/>
          <w:sz w:val="24"/>
          <w:szCs w:val="24"/>
        </w:rPr>
      </w:pPr>
      <w:r>
        <w:rPr>
          <w:rFonts w:ascii="Arial" w:hAnsi="Arial" w:cs="Arial"/>
          <w:b/>
          <w:color w:val="595959" w:themeColor="text1" w:themeTint="A6"/>
          <w:sz w:val="24"/>
          <w:szCs w:val="24"/>
        </w:rPr>
        <w:br w:type="page"/>
      </w:r>
    </w:p>
    <w:p w14:paraId="2D23F5EF" w14:textId="138FE0A2" w:rsidR="00563A06" w:rsidRPr="00575026" w:rsidRDefault="00563A06" w:rsidP="00563A06">
      <w:pPr>
        <w:pStyle w:val="NoSpacing"/>
        <w:rPr>
          <w:rFonts w:ascii="Arial" w:hAnsi="Arial" w:cs="Arial"/>
          <w:b/>
          <w:color w:val="595959" w:themeColor="text1" w:themeTint="A6"/>
          <w:sz w:val="24"/>
          <w:szCs w:val="24"/>
        </w:rPr>
      </w:pPr>
      <w:r w:rsidRPr="00575026">
        <w:rPr>
          <w:rFonts w:ascii="Arial" w:hAnsi="Arial" w:cs="Arial"/>
          <w:b/>
          <w:color w:val="595959" w:themeColor="text1" w:themeTint="A6"/>
          <w:sz w:val="24"/>
          <w:szCs w:val="24"/>
        </w:rPr>
        <w:lastRenderedPageBreak/>
        <w:t>Floral</w:t>
      </w:r>
    </w:p>
    <w:p w14:paraId="579EA43F" w14:textId="4B1B56A7" w:rsidR="00854902" w:rsidRDefault="001729EA" w:rsidP="000C1222">
      <w:pPr>
        <w:pStyle w:val="NoSpacing"/>
        <w:rPr>
          <w:rFonts w:ascii="Arial" w:hAnsi="Arial" w:cs="Arial"/>
          <w:sz w:val="20"/>
          <w:szCs w:val="24"/>
        </w:rPr>
      </w:pPr>
      <w:r>
        <w:rPr>
          <w:rFonts w:ascii="Arial" w:hAnsi="Arial" w:cs="Arial"/>
          <w:sz w:val="20"/>
          <w:szCs w:val="24"/>
        </w:rPr>
        <w:t xml:space="preserve">The floral department had </w:t>
      </w:r>
      <w:r w:rsidR="009E0ADC">
        <w:rPr>
          <w:rFonts w:ascii="Arial" w:hAnsi="Arial" w:cs="Arial"/>
          <w:sz w:val="20"/>
          <w:szCs w:val="24"/>
        </w:rPr>
        <w:t xml:space="preserve">strong January 2022 when regarding dollars with more than a 3% gain versus year ago. However, much like in produce, floral sales were boosted by inflation and units were down 12.5% and volume 4.6%. </w:t>
      </w:r>
      <w:r>
        <w:rPr>
          <w:rFonts w:ascii="Arial" w:hAnsi="Arial" w:cs="Arial"/>
          <w:sz w:val="20"/>
          <w:szCs w:val="24"/>
        </w:rPr>
        <w:t>Indoor made up the bulk of sale</w:t>
      </w:r>
      <w:r w:rsidR="00280853">
        <w:rPr>
          <w:rFonts w:ascii="Arial" w:hAnsi="Arial" w:cs="Arial"/>
          <w:sz w:val="20"/>
          <w:szCs w:val="24"/>
        </w:rPr>
        <w:t>s</w:t>
      </w:r>
      <w:r>
        <w:rPr>
          <w:rFonts w:ascii="Arial" w:hAnsi="Arial" w:cs="Arial"/>
          <w:sz w:val="20"/>
          <w:szCs w:val="24"/>
        </w:rPr>
        <w:t xml:space="preserve"> and had the higher growth rate. </w:t>
      </w:r>
    </w:p>
    <w:p w14:paraId="7C0FD73B" w14:textId="77777777" w:rsidR="00854902" w:rsidRDefault="00854902" w:rsidP="000C1222">
      <w:pPr>
        <w:pStyle w:val="NoSpacing"/>
        <w:rPr>
          <w:rFonts w:ascii="Arial" w:hAnsi="Arial" w:cs="Arial"/>
          <w:sz w:val="20"/>
          <w:szCs w:val="24"/>
        </w:rPr>
      </w:pPr>
    </w:p>
    <w:tbl>
      <w:tblPr>
        <w:tblStyle w:val="LightShading-Accent5"/>
        <w:tblW w:w="10368" w:type="dxa"/>
        <w:tblBorders>
          <w:top w:val="none" w:sz="0" w:space="0" w:color="auto"/>
          <w:bottom w:val="none" w:sz="0" w:space="0" w:color="auto"/>
        </w:tblBorders>
        <w:tblLayout w:type="fixed"/>
        <w:tblLook w:val="04A0" w:firstRow="1" w:lastRow="0" w:firstColumn="1" w:lastColumn="0" w:noHBand="0" w:noVBand="1"/>
      </w:tblPr>
      <w:tblGrid>
        <w:gridCol w:w="1002"/>
        <w:gridCol w:w="1383"/>
        <w:gridCol w:w="1225"/>
        <w:gridCol w:w="1171"/>
        <w:gridCol w:w="1349"/>
        <w:gridCol w:w="1286"/>
        <w:gridCol w:w="1418"/>
        <w:gridCol w:w="1534"/>
      </w:tblGrid>
      <w:tr w:rsidR="001729EA" w:rsidRPr="001729EA" w14:paraId="49DDFFCD" w14:textId="77777777" w:rsidTr="001729EA">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002" w:type="dxa"/>
            <w:tcBorders>
              <w:top w:val="none" w:sz="0" w:space="0" w:color="auto"/>
              <w:left w:val="none" w:sz="0" w:space="0" w:color="auto"/>
              <w:bottom w:val="none" w:sz="0" w:space="0" w:color="auto"/>
              <w:right w:val="none" w:sz="0" w:space="0" w:color="auto"/>
            </w:tcBorders>
            <w:shd w:val="clear" w:color="auto" w:fill="17365D" w:themeFill="text2" w:themeFillShade="BF"/>
            <w:hideMark/>
          </w:tcPr>
          <w:p w14:paraId="06C0E42E" w14:textId="0DC32C87" w:rsidR="001729EA" w:rsidRPr="001729EA" w:rsidRDefault="005C4361" w:rsidP="001F29DC">
            <w:pPr>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 xml:space="preserve">January </w:t>
            </w:r>
            <w:r w:rsidR="001729EA" w:rsidRPr="001729EA">
              <w:rPr>
                <w:rFonts w:ascii="Arial" w:eastAsia="Times New Roman" w:hAnsi="Arial" w:cs="Arial"/>
                <w:color w:val="FFFFFF" w:themeColor="background1"/>
                <w:sz w:val="18"/>
                <w:szCs w:val="20"/>
              </w:rPr>
              <w:t>202</w:t>
            </w:r>
            <w:r w:rsidR="002C11A9">
              <w:rPr>
                <w:rFonts w:ascii="Arial" w:eastAsia="Times New Roman" w:hAnsi="Arial" w:cs="Arial"/>
                <w:color w:val="FFFFFF" w:themeColor="background1"/>
                <w:sz w:val="18"/>
                <w:szCs w:val="20"/>
              </w:rPr>
              <w:t>2</w:t>
            </w:r>
          </w:p>
        </w:tc>
        <w:tc>
          <w:tcPr>
            <w:tcW w:w="1383"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0FE61FF" w14:textId="77777777" w:rsidR="001729EA" w:rsidRPr="001729EA" w:rsidRDefault="001729EA" w:rsidP="001F29D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size</w:t>
            </w:r>
          </w:p>
        </w:tc>
        <w:tc>
          <w:tcPr>
            <w:tcW w:w="1225"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2A0250B3" w14:textId="77777777" w:rsidR="001729EA" w:rsidRPr="001729EA" w:rsidRDefault="001729EA" w:rsidP="001F29D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growth vs. ‘2</w:t>
            </w:r>
            <w:r w:rsidR="002C11A9">
              <w:rPr>
                <w:rFonts w:ascii="Arial" w:eastAsia="Times New Roman" w:hAnsi="Arial" w:cs="Arial"/>
                <w:color w:val="FFFFFF" w:themeColor="background1"/>
                <w:sz w:val="18"/>
                <w:szCs w:val="20"/>
              </w:rPr>
              <w:t>1</w:t>
            </w:r>
          </w:p>
        </w:tc>
        <w:tc>
          <w:tcPr>
            <w:tcW w:w="1171"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5DEAD6F" w14:textId="77777777" w:rsidR="001729EA" w:rsidRPr="001729EA" w:rsidRDefault="001729EA" w:rsidP="001F29D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sidRPr="001729EA">
              <w:rPr>
                <w:rFonts w:ascii="Arial" w:eastAsia="Times New Roman" w:hAnsi="Arial" w:cs="Arial"/>
                <w:color w:val="FFFFFF" w:themeColor="background1"/>
                <w:sz w:val="18"/>
                <w:szCs w:val="20"/>
              </w:rPr>
              <w:t>$ growth vs. ‘</w:t>
            </w:r>
            <w:r w:rsidR="002C11A9">
              <w:rPr>
                <w:rFonts w:ascii="Arial" w:eastAsia="Times New Roman" w:hAnsi="Arial" w:cs="Arial"/>
                <w:color w:val="FFFFFF" w:themeColor="background1"/>
                <w:sz w:val="18"/>
                <w:szCs w:val="20"/>
              </w:rPr>
              <w:t>20</w:t>
            </w:r>
          </w:p>
        </w:tc>
        <w:tc>
          <w:tcPr>
            <w:tcW w:w="1349"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AB03CF6" w14:textId="77777777" w:rsidR="001729EA" w:rsidRPr="001729EA" w:rsidRDefault="002C11A9" w:rsidP="001F29D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Unit growth vs. ‘21</w:t>
            </w:r>
          </w:p>
        </w:tc>
        <w:tc>
          <w:tcPr>
            <w:tcW w:w="1286"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161F87B4" w14:textId="77777777" w:rsidR="001729EA" w:rsidRPr="001729EA" w:rsidRDefault="002C11A9" w:rsidP="001F29D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Unit growth vs. ‘20</w:t>
            </w:r>
          </w:p>
        </w:tc>
        <w:tc>
          <w:tcPr>
            <w:tcW w:w="1418"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52A5D22A" w14:textId="77777777" w:rsidR="001729EA" w:rsidRPr="001729EA" w:rsidRDefault="002C11A9" w:rsidP="001F29D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Volume growth vs. ‘21</w:t>
            </w:r>
          </w:p>
        </w:tc>
        <w:tc>
          <w:tcPr>
            <w:tcW w:w="1534"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E7C83ED" w14:textId="77777777" w:rsidR="001729EA" w:rsidRPr="001729EA" w:rsidRDefault="002C11A9" w:rsidP="001F29D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Volume growth vs. ‘20</w:t>
            </w:r>
          </w:p>
        </w:tc>
      </w:tr>
      <w:tr w:rsidR="001729EA" w:rsidRPr="000A733E" w14:paraId="02BF1EAC" w14:textId="77777777" w:rsidTr="001729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002" w:type="dxa"/>
            <w:tcBorders>
              <w:left w:val="none" w:sz="0" w:space="0" w:color="auto"/>
              <w:right w:val="none" w:sz="0" w:space="0" w:color="auto"/>
            </w:tcBorders>
            <w:noWrap/>
            <w:vAlign w:val="center"/>
          </w:tcPr>
          <w:p w14:paraId="64AB3A1B" w14:textId="77777777" w:rsidR="001729EA" w:rsidRPr="000A733E" w:rsidRDefault="001729EA" w:rsidP="00854902">
            <w:pPr>
              <w:rPr>
                <w:rFonts w:ascii="Arial" w:eastAsia="Times New Roman" w:hAnsi="Arial" w:cs="Arial"/>
                <w:b w:val="0"/>
                <w:color w:val="17365D" w:themeColor="text2" w:themeShade="BF"/>
                <w:sz w:val="18"/>
                <w:szCs w:val="18"/>
              </w:rPr>
            </w:pPr>
            <w:r w:rsidRPr="00FF7558">
              <w:rPr>
                <w:rFonts w:ascii="Arial" w:hAnsi="Arial" w:cs="Arial"/>
                <w:color w:val="215868" w:themeColor="accent5" w:themeShade="80"/>
                <w:sz w:val="18"/>
                <w:szCs w:val="18"/>
              </w:rPr>
              <w:t>Floral</w:t>
            </w:r>
          </w:p>
        </w:tc>
        <w:tc>
          <w:tcPr>
            <w:tcW w:w="1383" w:type="dxa"/>
            <w:tcBorders>
              <w:left w:val="none" w:sz="0" w:space="0" w:color="auto"/>
              <w:right w:val="none" w:sz="0" w:space="0" w:color="auto"/>
            </w:tcBorders>
            <w:vAlign w:val="center"/>
          </w:tcPr>
          <w:p w14:paraId="17E10776" w14:textId="4A4061C1" w:rsidR="001729EA" w:rsidRPr="00E97D52" w:rsidRDefault="001729EA"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E97D52">
              <w:rPr>
                <w:rFonts w:ascii="Arial" w:eastAsia="Times New Roman" w:hAnsi="Arial" w:cs="Arial"/>
                <w:color w:val="17365D" w:themeColor="text2" w:themeShade="BF"/>
                <w:sz w:val="18"/>
                <w:szCs w:val="18"/>
              </w:rPr>
              <w:t>$</w:t>
            </w:r>
            <w:r w:rsidR="005C4361">
              <w:rPr>
                <w:rFonts w:ascii="Arial" w:eastAsia="Times New Roman" w:hAnsi="Arial" w:cs="Arial"/>
                <w:color w:val="17365D" w:themeColor="text2" w:themeShade="BF"/>
                <w:sz w:val="18"/>
                <w:szCs w:val="18"/>
              </w:rPr>
              <w:t>363M</w:t>
            </w:r>
          </w:p>
        </w:tc>
        <w:tc>
          <w:tcPr>
            <w:tcW w:w="1225" w:type="dxa"/>
            <w:tcBorders>
              <w:left w:val="none" w:sz="0" w:space="0" w:color="auto"/>
              <w:right w:val="none" w:sz="0" w:space="0" w:color="auto"/>
            </w:tcBorders>
          </w:tcPr>
          <w:p w14:paraId="2EE7F1B1" w14:textId="02F91DD6" w:rsidR="001729EA" w:rsidRPr="00E97D52" w:rsidRDefault="001729EA"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591300">
              <w:rPr>
                <w:rFonts w:ascii="Arial" w:eastAsia="Times New Roman" w:hAnsi="Arial" w:cs="Arial"/>
                <w:color w:val="17365D" w:themeColor="text2" w:themeShade="BF"/>
                <w:sz w:val="18"/>
                <w:szCs w:val="18"/>
              </w:rPr>
              <w:t>+</w:t>
            </w:r>
            <w:r w:rsidR="009E0ADC">
              <w:rPr>
                <w:rFonts w:ascii="Arial" w:eastAsia="Times New Roman" w:hAnsi="Arial" w:cs="Arial"/>
                <w:color w:val="17365D" w:themeColor="text2" w:themeShade="BF"/>
                <w:sz w:val="18"/>
                <w:szCs w:val="18"/>
              </w:rPr>
              <w:t>3.4</w:t>
            </w:r>
            <w:r w:rsidRPr="00591300">
              <w:rPr>
                <w:rFonts w:ascii="Arial" w:eastAsia="Times New Roman" w:hAnsi="Arial" w:cs="Arial"/>
                <w:color w:val="17365D" w:themeColor="text2" w:themeShade="BF"/>
                <w:sz w:val="18"/>
                <w:szCs w:val="18"/>
              </w:rPr>
              <w:t>%</w:t>
            </w:r>
          </w:p>
        </w:tc>
        <w:tc>
          <w:tcPr>
            <w:tcW w:w="1171" w:type="dxa"/>
            <w:tcBorders>
              <w:left w:val="none" w:sz="0" w:space="0" w:color="auto"/>
              <w:right w:val="none" w:sz="0" w:space="0" w:color="auto"/>
            </w:tcBorders>
          </w:tcPr>
          <w:p w14:paraId="132FD325" w14:textId="5AABEB9A" w:rsidR="001729EA" w:rsidRPr="00E97D52" w:rsidRDefault="001729EA" w:rsidP="008549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sidRPr="00591300">
              <w:rPr>
                <w:rFonts w:ascii="Arial" w:eastAsia="Times New Roman" w:hAnsi="Arial" w:cs="Arial"/>
                <w:color w:val="17365D" w:themeColor="text2" w:themeShade="BF"/>
                <w:sz w:val="18"/>
                <w:szCs w:val="18"/>
              </w:rPr>
              <w:t>+</w:t>
            </w:r>
            <w:r w:rsidR="009E0ADC">
              <w:rPr>
                <w:rFonts w:ascii="Arial" w:eastAsia="Times New Roman" w:hAnsi="Arial" w:cs="Arial"/>
                <w:color w:val="17365D" w:themeColor="text2" w:themeShade="BF"/>
                <w:sz w:val="18"/>
                <w:szCs w:val="18"/>
              </w:rPr>
              <w:t>26.5</w:t>
            </w:r>
            <w:r w:rsidRPr="00591300">
              <w:rPr>
                <w:rFonts w:ascii="Arial" w:eastAsia="Times New Roman" w:hAnsi="Arial" w:cs="Arial"/>
                <w:color w:val="17365D" w:themeColor="text2" w:themeShade="BF"/>
                <w:sz w:val="18"/>
                <w:szCs w:val="18"/>
              </w:rPr>
              <w:t>%</w:t>
            </w:r>
          </w:p>
        </w:tc>
        <w:tc>
          <w:tcPr>
            <w:tcW w:w="1349" w:type="dxa"/>
            <w:tcBorders>
              <w:left w:val="none" w:sz="0" w:space="0" w:color="auto"/>
              <w:right w:val="none" w:sz="0" w:space="0" w:color="auto"/>
            </w:tcBorders>
          </w:tcPr>
          <w:p w14:paraId="2CC3DCA1" w14:textId="0C31C71F" w:rsidR="001729EA" w:rsidRPr="00E97D52" w:rsidRDefault="009E0ADC"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-12.5</w:t>
            </w:r>
            <w:r w:rsidR="001729EA" w:rsidRPr="000A0500">
              <w:rPr>
                <w:rFonts w:ascii="Arial" w:eastAsia="Times New Roman" w:hAnsi="Arial" w:cs="Arial"/>
                <w:color w:val="17365D" w:themeColor="text2" w:themeShade="BF"/>
                <w:sz w:val="18"/>
                <w:szCs w:val="18"/>
              </w:rPr>
              <w:t>%</w:t>
            </w:r>
          </w:p>
        </w:tc>
        <w:tc>
          <w:tcPr>
            <w:tcW w:w="1286" w:type="dxa"/>
            <w:tcBorders>
              <w:left w:val="none" w:sz="0" w:space="0" w:color="auto"/>
              <w:right w:val="none" w:sz="0" w:space="0" w:color="auto"/>
            </w:tcBorders>
          </w:tcPr>
          <w:p w14:paraId="70F3CA14" w14:textId="78A1C721" w:rsidR="001729EA" w:rsidRPr="00E97D52" w:rsidRDefault="001729EA"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7650CC">
              <w:rPr>
                <w:rFonts w:ascii="Arial" w:eastAsia="Times New Roman" w:hAnsi="Arial" w:cs="Arial"/>
                <w:color w:val="17365D" w:themeColor="text2" w:themeShade="BF"/>
                <w:sz w:val="18"/>
                <w:szCs w:val="18"/>
              </w:rPr>
              <w:t>+</w:t>
            </w:r>
            <w:r w:rsidR="009E0ADC">
              <w:rPr>
                <w:rFonts w:ascii="Arial" w:eastAsia="Times New Roman" w:hAnsi="Arial" w:cs="Arial"/>
                <w:color w:val="17365D" w:themeColor="text2" w:themeShade="BF"/>
                <w:sz w:val="18"/>
                <w:szCs w:val="18"/>
              </w:rPr>
              <w:t>3.7</w:t>
            </w:r>
            <w:r w:rsidRPr="007650CC">
              <w:rPr>
                <w:rFonts w:ascii="Arial" w:eastAsia="Times New Roman" w:hAnsi="Arial" w:cs="Arial"/>
                <w:color w:val="17365D" w:themeColor="text2" w:themeShade="BF"/>
                <w:sz w:val="18"/>
                <w:szCs w:val="18"/>
              </w:rPr>
              <w:t>%</w:t>
            </w:r>
          </w:p>
        </w:tc>
        <w:tc>
          <w:tcPr>
            <w:tcW w:w="1418" w:type="dxa"/>
            <w:tcBorders>
              <w:left w:val="none" w:sz="0" w:space="0" w:color="auto"/>
              <w:right w:val="none" w:sz="0" w:space="0" w:color="auto"/>
            </w:tcBorders>
          </w:tcPr>
          <w:p w14:paraId="539C46F1" w14:textId="0F0C58A1" w:rsidR="001729EA" w:rsidRPr="00E97D52" w:rsidRDefault="009E0ADC"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-4.6</w:t>
            </w:r>
            <w:r w:rsidR="001729EA" w:rsidRPr="00E87888">
              <w:rPr>
                <w:rFonts w:ascii="Arial" w:eastAsia="Times New Roman" w:hAnsi="Arial" w:cs="Arial"/>
                <w:color w:val="17365D" w:themeColor="text2" w:themeShade="BF"/>
                <w:sz w:val="18"/>
                <w:szCs w:val="18"/>
              </w:rPr>
              <w:t>%</w:t>
            </w:r>
          </w:p>
        </w:tc>
        <w:tc>
          <w:tcPr>
            <w:tcW w:w="1534" w:type="dxa"/>
            <w:tcBorders>
              <w:left w:val="none" w:sz="0" w:space="0" w:color="auto"/>
              <w:right w:val="none" w:sz="0" w:space="0" w:color="auto"/>
            </w:tcBorders>
          </w:tcPr>
          <w:p w14:paraId="2D5A7820" w14:textId="67ECD312" w:rsidR="001729EA" w:rsidRPr="00E97D52" w:rsidRDefault="001729EA"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sidRPr="00560673">
              <w:rPr>
                <w:rFonts w:ascii="Arial" w:eastAsia="Times New Roman" w:hAnsi="Arial" w:cs="Arial"/>
                <w:color w:val="17365D" w:themeColor="text2" w:themeShade="BF"/>
                <w:sz w:val="18"/>
                <w:szCs w:val="18"/>
              </w:rPr>
              <w:t>+</w:t>
            </w:r>
            <w:r w:rsidR="009E0ADC">
              <w:rPr>
                <w:rFonts w:ascii="Arial" w:eastAsia="Times New Roman" w:hAnsi="Arial" w:cs="Arial"/>
                <w:color w:val="17365D" w:themeColor="text2" w:themeShade="BF"/>
                <w:sz w:val="18"/>
                <w:szCs w:val="18"/>
              </w:rPr>
              <w:t>15.6</w:t>
            </w:r>
            <w:r w:rsidRPr="00560673">
              <w:rPr>
                <w:rFonts w:ascii="Arial" w:eastAsia="Times New Roman" w:hAnsi="Arial" w:cs="Arial"/>
                <w:color w:val="17365D" w:themeColor="text2" w:themeShade="BF"/>
                <w:sz w:val="18"/>
                <w:szCs w:val="18"/>
              </w:rPr>
              <w:t>%</w:t>
            </w:r>
          </w:p>
        </w:tc>
      </w:tr>
      <w:tr w:rsidR="001729EA" w:rsidRPr="000A733E" w14:paraId="5173C7D5" w14:textId="77777777" w:rsidTr="001729EA">
        <w:trPr>
          <w:trHeight w:val="113"/>
        </w:trPr>
        <w:tc>
          <w:tcPr>
            <w:cnfStyle w:val="001000000000" w:firstRow="0" w:lastRow="0" w:firstColumn="1" w:lastColumn="0" w:oddVBand="0" w:evenVBand="0" w:oddHBand="0" w:evenHBand="0" w:firstRowFirstColumn="0" w:firstRowLastColumn="0" w:lastRowFirstColumn="0" w:lastRowLastColumn="0"/>
            <w:tcW w:w="1002" w:type="dxa"/>
            <w:noWrap/>
            <w:vAlign w:val="center"/>
          </w:tcPr>
          <w:p w14:paraId="7908650D" w14:textId="77777777" w:rsidR="001729EA" w:rsidRPr="000A733E" w:rsidRDefault="001729EA" w:rsidP="00854902">
            <w:pPr>
              <w:rPr>
                <w:rFonts w:ascii="Arial" w:eastAsia="Times New Roman" w:hAnsi="Arial" w:cs="Arial"/>
                <w:b w:val="0"/>
                <w:color w:val="17365D" w:themeColor="text2" w:themeShade="BF"/>
                <w:sz w:val="18"/>
                <w:szCs w:val="18"/>
              </w:rPr>
            </w:pPr>
            <w:r w:rsidRPr="00606E2B">
              <w:rPr>
                <w:rFonts w:ascii="Arial" w:hAnsi="Arial" w:cs="Arial"/>
                <w:b w:val="0"/>
                <w:bCs w:val="0"/>
                <w:color w:val="215868" w:themeColor="accent5" w:themeShade="80"/>
                <w:sz w:val="18"/>
                <w:szCs w:val="18"/>
              </w:rPr>
              <w:t>Indoor</w:t>
            </w:r>
          </w:p>
        </w:tc>
        <w:tc>
          <w:tcPr>
            <w:tcW w:w="1383" w:type="dxa"/>
            <w:vAlign w:val="center"/>
          </w:tcPr>
          <w:p w14:paraId="5219A93F" w14:textId="2F96AFD1" w:rsidR="001729EA" w:rsidRPr="00E97D52" w:rsidRDefault="001729EA" w:rsidP="008549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rPr>
            </w:pPr>
            <w:r w:rsidRPr="00E97D52">
              <w:rPr>
                <w:rFonts w:ascii="Arial" w:eastAsia="Times New Roman" w:hAnsi="Arial" w:cs="Arial"/>
                <w:color w:val="17365D" w:themeColor="text2" w:themeShade="BF"/>
                <w:sz w:val="18"/>
                <w:szCs w:val="18"/>
              </w:rPr>
              <w:t>$</w:t>
            </w:r>
            <w:r w:rsidR="005C4361">
              <w:rPr>
                <w:rFonts w:ascii="Arial" w:eastAsia="Times New Roman" w:hAnsi="Arial" w:cs="Arial"/>
                <w:color w:val="17365D" w:themeColor="text2" w:themeShade="BF"/>
                <w:sz w:val="18"/>
                <w:szCs w:val="18"/>
              </w:rPr>
              <w:t>351M</w:t>
            </w:r>
          </w:p>
        </w:tc>
        <w:tc>
          <w:tcPr>
            <w:tcW w:w="1225" w:type="dxa"/>
          </w:tcPr>
          <w:p w14:paraId="3D7EBAAA" w14:textId="64982625" w:rsidR="001729EA" w:rsidRPr="00E97D52" w:rsidRDefault="001729EA" w:rsidP="0085490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591300">
              <w:rPr>
                <w:rFonts w:ascii="Arial" w:eastAsia="Times New Roman" w:hAnsi="Arial" w:cs="Arial"/>
                <w:color w:val="17365D" w:themeColor="text2" w:themeShade="BF"/>
                <w:sz w:val="18"/>
                <w:szCs w:val="18"/>
              </w:rPr>
              <w:t>+</w:t>
            </w:r>
            <w:r w:rsidR="009E0ADC">
              <w:rPr>
                <w:rFonts w:ascii="Arial" w:eastAsia="Times New Roman" w:hAnsi="Arial" w:cs="Arial"/>
                <w:color w:val="17365D" w:themeColor="text2" w:themeShade="BF"/>
                <w:sz w:val="18"/>
                <w:szCs w:val="18"/>
              </w:rPr>
              <w:t>5.4</w:t>
            </w:r>
            <w:r w:rsidRPr="00591300">
              <w:rPr>
                <w:rFonts w:ascii="Arial" w:eastAsia="Times New Roman" w:hAnsi="Arial" w:cs="Arial"/>
                <w:color w:val="17365D" w:themeColor="text2" w:themeShade="BF"/>
                <w:sz w:val="18"/>
                <w:szCs w:val="18"/>
              </w:rPr>
              <w:t>%</w:t>
            </w:r>
          </w:p>
        </w:tc>
        <w:tc>
          <w:tcPr>
            <w:tcW w:w="1171" w:type="dxa"/>
          </w:tcPr>
          <w:p w14:paraId="41CBF15C" w14:textId="2306AA42" w:rsidR="001729EA" w:rsidRPr="00E97D52" w:rsidRDefault="001729EA" w:rsidP="0085490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rPr>
            </w:pPr>
            <w:r w:rsidRPr="00591300">
              <w:rPr>
                <w:rFonts w:ascii="Arial" w:eastAsia="Times New Roman" w:hAnsi="Arial" w:cs="Arial"/>
                <w:color w:val="17365D" w:themeColor="text2" w:themeShade="BF"/>
                <w:sz w:val="18"/>
                <w:szCs w:val="18"/>
              </w:rPr>
              <w:t>+</w:t>
            </w:r>
            <w:r w:rsidR="009E0ADC">
              <w:rPr>
                <w:rFonts w:ascii="Arial" w:eastAsia="Times New Roman" w:hAnsi="Arial" w:cs="Arial"/>
                <w:color w:val="17365D" w:themeColor="text2" w:themeShade="BF"/>
                <w:sz w:val="18"/>
                <w:szCs w:val="18"/>
              </w:rPr>
              <w:t>27.1</w:t>
            </w:r>
            <w:r w:rsidRPr="00591300">
              <w:rPr>
                <w:rFonts w:ascii="Arial" w:eastAsia="Times New Roman" w:hAnsi="Arial" w:cs="Arial"/>
                <w:color w:val="17365D" w:themeColor="text2" w:themeShade="BF"/>
                <w:sz w:val="18"/>
                <w:szCs w:val="18"/>
              </w:rPr>
              <w:t>%</w:t>
            </w:r>
          </w:p>
        </w:tc>
        <w:tc>
          <w:tcPr>
            <w:tcW w:w="1349" w:type="dxa"/>
          </w:tcPr>
          <w:p w14:paraId="47F73BF3" w14:textId="365B58A4" w:rsidR="001729EA" w:rsidRPr="00E97D52" w:rsidRDefault="009E0ADC" w:rsidP="0085490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-7.7</w:t>
            </w:r>
            <w:r w:rsidR="001729EA" w:rsidRPr="000A0500">
              <w:rPr>
                <w:rFonts w:ascii="Arial" w:eastAsia="Times New Roman" w:hAnsi="Arial" w:cs="Arial"/>
                <w:color w:val="17365D" w:themeColor="text2" w:themeShade="BF"/>
                <w:sz w:val="18"/>
                <w:szCs w:val="18"/>
              </w:rPr>
              <w:t>%</w:t>
            </w:r>
          </w:p>
        </w:tc>
        <w:tc>
          <w:tcPr>
            <w:tcW w:w="1286" w:type="dxa"/>
          </w:tcPr>
          <w:p w14:paraId="72C3B7D6" w14:textId="554D5928" w:rsidR="001729EA" w:rsidRPr="00E97D52" w:rsidRDefault="001729EA" w:rsidP="0085490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7650CC">
              <w:rPr>
                <w:rFonts w:ascii="Arial" w:eastAsia="Times New Roman" w:hAnsi="Arial" w:cs="Arial"/>
                <w:color w:val="17365D" w:themeColor="text2" w:themeShade="BF"/>
                <w:sz w:val="18"/>
                <w:szCs w:val="18"/>
              </w:rPr>
              <w:t>+</w:t>
            </w:r>
            <w:r w:rsidR="009E0ADC">
              <w:rPr>
                <w:rFonts w:ascii="Arial" w:eastAsia="Times New Roman" w:hAnsi="Arial" w:cs="Arial"/>
                <w:color w:val="17365D" w:themeColor="text2" w:themeShade="BF"/>
                <w:sz w:val="18"/>
                <w:szCs w:val="18"/>
              </w:rPr>
              <w:t>5.0</w:t>
            </w:r>
            <w:r w:rsidRPr="007650CC">
              <w:rPr>
                <w:rFonts w:ascii="Arial" w:eastAsia="Times New Roman" w:hAnsi="Arial" w:cs="Arial"/>
                <w:color w:val="17365D" w:themeColor="text2" w:themeShade="BF"/>
                <w:sz w:val="18"/>
                <w:szCs w:val="18"/>
              </w:rPr>
              <w:t>%</w:t>
            </w:r>
          </w:p>
        </w:tc>
        <w:tc>
          <w:tcPr>
            <w:tcW w:w="1418" w:type="dxa"/>
          </w:tcPr>
          <w:p w14:paraId="59706F6C" w14:textId="3B608F54" w:rsidR="001729EA" w:rsidRPr="00E97D52" w:rsidRDefault="009E0ADC" w:rsidP="0085490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-1.3</w:t>
            </w:r>
            <w:r w:rsidR="001729EA" w:rsidRPr="00E87888">
              <w:rPr>
                <w:rFonts w:ascii="Arial" w:eastAsia="Times New Roman" w:hAnsi="Arial" w:cs="Arial"/>
                <w:color w:val="17365D" w:themeColor="text2" w:themeShade="BF"/>
                <w:sz w:val="18"/>
                <w:szCs w:val="18"/>
              </w:rPr>
              <w:t>%</w:t>
            </w:r>
          </w:p>
        </w:tc>
        <w:tc>
          <w:tcPr>
            <w:tcW w:w="1534" w:type="dxa"/>
          </w:tcPr>
          <w:p w14:paraId="496F649D" w14:textId="0D10A6C2" w:rsidR="001729EA" w:rsidRPr="00E97D52" w:rsidRDefault="001729EA" w:rsidP="0085490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7365D" w:themeColor="text2" w:themeShade="BF"/>
                <w:sz w:val="18"/>
                <w:szCs w:val="18"/>
              </w:rPr>
            </w:pPr>
            <w:r w:rsidRPr="00560673">
              <w:rPr>
                <w:rFonts w:ascii="Arial" w:eastAsia="Times New Roman" w:hAnsi="Arial" w:cs="Arial"/>
                <w:color w:val="17365D" w:themeColor="text2" w:themeShade="BF"/>
                <w:sz w:val="18"/>
                <w:szCs w:val="18"/>
              </w:rPr>
              <w:t>+</w:t>
            </w:r>
            <w:r w:rsidR="009E0ADC">
              <w:rPr>
                <w:rFonts w:ascii="Arial" w:eastAsia="Times New Roman" w:hAnsi="Arial" w:cs="Arial"/>
                <w:color w:val="17365D" w:themeColor="text2" w:themeShade="BF"/>
                <w:sz w:val="18"/>
                <w:szCs w:val="18"/>
              </w:rPr>
              <w:t>17.0</w:t>
            </w:r>
            <w:r w:rsidRPr="00560673">
              <w:rPr>
                <w:rFonts w:ascii="Arial" w:eastAsia="Times New Roman" w:hAnsi="Arial" w:cs="Arial"/>
                <w:color w:val="17365D" w:themeColor="text2" w:themeShade="BF"/>
                <w:sz w:val="18"/>
                <w:szCs w:val="18"/>
              </w:rPr>
              <w:t>%</w:t>
            </w:r>
          </w:p>
        </w:tc>
      </w:tr>
      <w:tr w:rsidR="001729EA" w:rsidRPr="000A733E" w14:paraId="64DBBA54" w14:textId="77777777" w:rsidTr="001729E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002" w:type="dxa"/>
            <w:noWrap/>
            <w:vAlign w:val="center"/>
          </w:tcPr>
          <w:p w14:paraId="61C60653" w14:textId="77777777" w:rsidR="001729EA" w:rsidRPr="000A733E" w:rsidRDefault="001729EA" w:rsidP="00854902">
            <w:pPr>
              <w:rPr>
                <w:rFonts w:ascii="Arial" w:eastAsia="Times New Roman" w:hAnsi="Arial" w:cs="Arial"/>
                <w:b w:val="0"/>
                <w:color w:val="17365D" w:themeColor="text2" w:themeShade="BF"/>
                <w:sz w:val="18"/>
                <w:szCs w:val="18"/>
              </w:rPr>
            </w:pPr>
            <w:r w:rsidRPr="00606E2B">
              <w:rPr>
                <w:rFonts w:ascii="Arial" w:hAnsi="Arial" w:cs="Arial"/>
                <w:b w:val="0"/>
                <w:bCs w:val="0"/>
                <w:color w:val="215868" w:themeColor="accent5" w:themeShade="80"/>
                <w:sz w:val="18"/>
                <w:szCs w:val="18"/>
              </w:rPr>
              <w:t>Outdoor</w:t>
            </w:r>
          </w:p>
        </w:tc>
        <w:tc>
          <w:tcPr>
            <w:tcW w:w="1383" w:type="dxa"/>
            <w:vAlign w:val="center"/>
          </w:tcPr>
          <w:p w14:paraId="04ED9717" w14:textId="121EDE2A" w:rsidR="001729EA" w:rsidRPr="00E97D52" w:rsidRDefault="001729EA" w:rsidP="008549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sidRPr="00E97D52">
              <w:rPr>
                <w:rFonts w:ascii="Arial" w:eastAsia="Times New Roman" w:hAnsi="Arial" w:cs="Arial"/>
                <w:color w:val="17365D" w:themeColor="text2" w:themeShade="BF"/>
                <w:sz w:val="18"/>
                <w:szCs w:val="18"/>
              </w:rPr>
              <w:t>$</w:t>
            </w:r>
            <w:r w:rsidR="009E0ADC">
              <w:rPr>
                <w:rFonts w:ascii="Arial" w:eastAsia="Times New Roman" w:hAnsi="Arial" w:cs="Arial"/>
                <w:color w:val="17365D" w:themeColor="text2" w:themeShade="BF"/>
                <w:sz w:val="18"/>
                <w:szCs w:val="18"/>
              </w:rPr>
              <w:t>12</w:t>
            </w:r>
            <w:r w:rsidR="005C4361">
              <w:rPr>
                <w:rFonts w:ascii="Arial" w:eastAsia="Times New Roman" w:hAnsi="Arial" w:cs="Arial"/>
                <w:color w:val="17365D" w:themeColor="text2" w:themeShade="BF"/>
                <w:sz w:val="18"/>
                <w:szCs w:val="18"/>
              </w:rPr>
              <w:t>M</w:t>
            </w:r>
          </w:p>
        </w:tc>
        <w:tc>
          <w:tcPr>
            <w:tcW w:w="1225" w:type="dxa"/>
          </w:tcPr>
          <w:p w14:paraId="29CA0747" w14:textId="4C8C23B5" w:rsidR="001729EA" w:rsidRPr="00E97D52" w:rsidRDefault="009E0ADC"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-32.4</w:t>
            </w:r>
            <w:r w:rsidR="001729EA" w:rsidRPr="00591300">
              <w:rPr>
                <w:rFonts w:ascii="Arial" w:eastAsia="Times New Roman" w:hAnsi="Arial" w:cs="Arial"/>
                <w:color w:val="17365D" w:themeColor="text2" w:themeShade="BF"/>
                <w:sz w:val="18"/>
                <w:szCs w:val="18"/>
              </w:rPr>
              <w:t>%</w:t>
            </w:r>
          </w:p>
        </w:tc>
        <w:tc>
          <w:tcPr>
            <w:tcW w:w="1171" w:type="dxa"/>
          </w:tcPr>
          <w:p w14:paraId="4685F1EE" w14:textId="0CA68BC5" w:rsidR="001729EA" w:rsidRPr="00E97D52" w:rsidRDefault="001729EA" w:rsidP="0085490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17365D" w:themeColor="text2" w:themeShade="BF"/>
              </w:rPr>
            </w:pPr>
            <w:r w:rsidRPr="00591300">
              <w:rPr>
                <w:rFonts w:ascii="Arial" w:eastAsia="Times New Roman" w:hAnsi="Arial" w:cs="Arial"/>
                <w:color w:val="17365D" w:themeColor="text2" w:themeShade="BF"/>
                <w:sz w:val="18"/>
                <w:szCs w:val="18"/>
              </w:rPr>
              <w:t>+</w:t>
            </w:r>
            <w:r w:rsidR="009E0ADC">
              <w:rPr>
                <w:rFonts w:ascii="Arial" w:eastAsia="Times New Roman" w:hAnsi="Arial" w:cs="Arial"/>
                <w:color w:val="17365D" w:themeColor="text2" w:themeShade="BF"/>
                <w:sz w:val="18"/>
                <w:szCs w:val="18"/>
              </w:rPr>
              <w:t>10.5</w:t>
            </w:r>
            <w:r w:rsidRPr="00591300">
              <w:rPr>
                <w:rFonts w:ascii="Arial" w:eastAsia="Times New Roman" w:hAnsi="Arial" w:cs="Arial"/>
                <w:color w:val="17365D" w:themeColor="text2" w:themeShade="BF"/>
                <w:sz w:val="18"/>
                <w:szCs w:val="18"/>
              </w:rPr>
              <w:t>%</w:t>
            </w:r>
          </w:p>
        </w:tc>
        <w:tc>
          <w:tcPr>
            <w:tcW w:w="1349" w:type="dxa"/>
          </w:tcPr>
          <w:p w14:paraId="1B9F07B6" w14:textId="554C73C2" w:rsidR="001729EA" w:rsidRPr="00E97D52" w:rsidRDefault="009E0ADC"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-48.3</w:t>
            </w:r>
            <w:r w:rsidR="001729EA" w:rsidRPr="000A0500">
              <w:rPr>
                <w:rFonts w:ascii="Arial" w:eastAsia="Times New Roman" w:hAnsi="Arial" w:cs="Arial"/>
                <w:color w:val="17365D" w:themeColor="text2" w:themeShade="BF"/>
                <w:sz w:val="18"/>
                <w:szCs w:val="18"/>
              </w:rPr>
              <w:t>%</w:t>
            </w:r>
          </w:p>
        </w:tc>
        <w:tc>
          <w:tcPr>
            <w:tcW w:w="1286" w:type="dxa"/>
          </w:tcPr>
          <w:p w14:paraId="3EF79933" w14:textId="0A728874" w:rsidR="001729EA" w:rsidRPr="00E97D52" w:rsidRDefault="009E0ADC"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-11.2</w:t>
            </w:r>
            <w:r w:rsidR="001729EA" w:rsidRPr="007650CC">
              <w:rPr>
                <w:rFonts w:ascii="Arial" w:eastAsia="Times New Roman" w:hAnsi="Arial" w:cs="Arial"/>
                <w:color w:val="17365D" w:themeColor="text2" w:themeShade="BF"/>
                <w:sz w:val="18"/>
                <w:szCs w:val="18"/>
              </w:rPr>
              <w:t>%</w:t>
            </w:r>
          </w:p>
        </w:tc>
        <w:tc>
          <w:tcPr>
            <w:tcW w:w="1418" w:type="dxa"/>
          </w:tcPr>
          <w:p w14:paraId="3BBD0954" w14:textId="7A073CC8" w:rsidR="001729EA" w:rsidRPr="00E97D52" w:rsidRDefault="009E0ADC"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-48.3</w:t>
            </w:r>
            <w:r w:rsidR="001729EA" w:rsidRPr="00E87888">
              <w:rPr>
                <w:rFonts w:ascii="Arial" w:eastAsia="Times New Roman" w:hAnsi="Arial" w:cs="Arial"/>
                <w:color w:val="17365D" w:themeColor="text2" w:themeShade="BF"/>
                <w:sz w:val="18"/>
                <w:szCs w:val="18"/>
              </w:rPr>
              <w:t>%</w:t>
            </w:r>
          </w:p>
        </w:tc>
        <w:tc>
          <w:tcPr>
            <w:tcW w:w="1534" w:type="dxa"/>
          </w:tcPr>
          <w:p w14:paraId="5E1BA026" w14:textId="1A8ADE3C" w:rsidR="001729EA" w:rsidRPr="00E97D52" w:rsidRDefault="009E0ADC" w:rsidP="0085490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7365D" w:themeColor="text2" w:themeShade="BF"/>
                <w:sz w:val="18"/>
                <w:szCs w:val="18"/>
              </w:rPr>
            </w:pPr>
            <w:r>
              <w:rPr>
                <w:rFonts w:ascii="Arial" w:eastAsia="Times New Roman" w:hAnsi="Arial" w:cs="Arial"/>
                <w:color w:val="17365D" w:themeColor="text2" w:themeShade="BF"/>
                <w:sz w:val="18"/>
                <w:szCs w:val="18"/>
              </w:rPr>
              <w:t>-11.1</w:t>
            </w:r>
            <w:r w:rsidR="001729EA" w:rsidRPr="00560673">
              <w:rPr>
                <w:rFonts w:ascii="Arial" w:eastAsia="Times New Roman" w:hAnsi="Arial" w:cs="Arial"/>
                <w:color w:val="17365D" w:themeColor="text2" w:themeShade="BF"/>
                <w:sz w:val="18"/>
                <w:szCs w:val="18"/>
              </w:rPr>
              <w:t>%</w:t>
            </w:r>
          </w:p>
        </w:tc>
      </w:tr>
    </w:tbl>
    <w:p w14:paraId="5C881144" w14:textId="77777777" w:rsidR="00D66F5A" w:rsidRPr="00D66F5A" w:rsidRDefault="00D66F5A" w:rsidP="00854902">
      <w:pPr>
        <w:pStyle w:val="NoSpacing"/>
        <w:rPr>
          <w:rFonts w:ascii="Arial" w:hAnsi="Arial" w:cs="Arial"/>
          <w:sz w:val="10"/>
          <w:szCs w:val="10"/>
        </w:rPr>
      </w:pPr>
    </w:p>
    <w:p w14:paraId="6B0B34FE" w14:textId="77777777" w:rsidR="00854902" w:rsidRPr="005C6A11" w:rsidRDefault="00854902" w:rsidP="00854902">
      <w:pPr>
        <w:pStyle w:val="NoSpacing"/>
        <w:rPr>
          <w:rFonts w:ascii="Arial" w:hAnsi="Arial" w:cs="Arial"/>
          <w:sz w:val="16"/>
          <w:szCs w:val="16"/>
        </w:rPr>
      </w:pPr>
      <w:r w:rsidRPr="005C6A11">
        <w:rPr>
          <w:rFonts w:ascii="Arial" w:hAnsi="Arial" w:cs="Arial"/>
          <w:sz w:val="16"/>
          <w:szCs w:val="16"/>
        </w:rPr>
        <w:t xml:space="preserve">Source: IRI, </w:t>
      </w:r>
      <w:r>
        <w:rPr>
          <w:rFonts w:ascii="Arial" w:hAnsi="Arial" w:cs="Arial"/>
          <w:sz w:val="16"/>
          <w:szCs w:val="16"/>
        </w:rPr>
        <w:t xml:space="preserve">Integrated Fresh, Total </w:t>
      </w:r>
      <w:r w:rsidRPr="005C6A11">
        <w:rPr>
          <w:rFonts w:ascii="Arial" w:hAnsi="Arial" w:cs="Arial"/>
          <w:sz w:val="16"/>
          <w:szCs w:val="16"/>
        </w:rPr>
        <w:t>US, MULO, % change vs. year ago.</w:t>
      </w:r>
    </w:p>
    <w:p w14:paraId="27FCE591" w14:textId="77777777" w:rsidR="00854902" w:rsidRDefault="00854902" w:rsidP="000C1222">
      <w:pPr>
        <w:pStyle w:val="NoSpacing"/>
        <w:rPr>
          <w:rFonts w:ascii="Arial" w:hAnsi="Arial" w:cs="Arial"/>
          <w:sz w:val="20"/>
          <w:szCs w:val="24"/>
        </w:rPr>
      </w:pPr>
    </w:p>
    <w:p w14:paraId="2BFFB7BB" w14:textId="4697E482" w:rsidR="00606E2B" w:rsidRPr="00FF7558" w:rsidRDefault="009E0ADC" w:rsidP="000C1222">
      <w:pPr>
        <w:pStyle w:val="NoSpacing"/>
        <w:rPr>
          <w:rFonts w:ascii="Arial" w:hAnsi="Arial" w:cs="Arial"/>
          <w:sz w:val="20"/>
          <w:szCs w:val="24"/>
        </w:rPr>
      </w:pPr>
      <w:r>
        <w:rPr>
          <w:rFonts w:ascii="Arial" w:hAnsi="Arial" w:cs="Arial"/>
          <w:sz w:val="20"/>
          <w:szCs w:val="24"/>
        </w:rPr>
        <w:t xml:space="preserve">January </w:t>
      </w:r>
      <w:r w:rsidR="00EB4984">
        <w:rPr>
          <w:rFonts w:ascii="Arial" w:hAnsi="Arial" w:cs="Arial"/>
          <w:sz w:val="20"/>
          <w:szCs w:val="24"/>
        </w:rPr>
        <w:t>2022 sales reached $363 million and while up versus year ago, this was down from $458 million in December 2021</w:t>
      </w:r>
      <w:r w:rsidR="00D66F5A">
        <w:rPr>
          <w:rFonts w:ascii="Arial" w:hAnsi="Arial" w:cs="Arial"/>
          <w:sz w:val="20"/>
          <w:szCs w:val="24"/>
        </w:rPr>
        <w:t xml:space="preserve">. </w:t>
      </w:r>
      <w:r w:rsidR="00EB4984">
        <w:rPr>
          <w:rFonts w:ascii="Arial" w:hAnsi="Arial" w:cs="Arial"/>
          <w:sz w:val="20"/>
          <w:szCs w:val="24"/>
        </w:rPr>
        <w:t>Indoor not only had the better January performance but has been outperforming outdoor floral since the second quarter of 2021.</w:t>
      </w:r>
    </w:p>
    <w:p w14:paraId="0C38426D" w14:textId="77777777" w:rsidR="00E623A4" w:rsidRPr="00FF7558" w:rsidRDefault="00E623A4" w:rsidP="000C1222">
      <w:pPr>
        <w:pStyle w:val="NoSpacing"/>
        <w:rPr>
          <w:rFonts w:ascii="Arial" w:hAnsi="Arial" w:cs="Arial"/>
          <w:sz w:val="20"/>
          <w:szCs w:val="24"/>
        </w:rPr>
      </w:pPr>
    </w:p>
    <w:tbl>
      <w:tblPr>
        <w:tblStyle w:val="LightShading-Accent5"/>
        <w:tblW w:w="10188" w:type="dxa"/>
        <w:tblBorders>
          <w:top w:val="none" w:sz="0" w:space="0" w:color="auto"/>
          <w:bottom w:val="none" w:sz="0" w:space="0" w:color="auto"/>
        </w:tblBorders>
        <w:tblLayout w:type="fixed"/>
        <w:tblLook w:val="04A0" w:firstRow="1" w:lastRow="0" w:firstColumn="1" w:lastColumn="0" w:noHBand="0" w:noVBand="1"/>
      </w:tblPr>
      <w:tblGrid>
        <w:gridCol w:w="983"/>
        <w:gridCol w:w="1150"/>
        <w:gridCol w:w="1151"/>
        <w:gridCol w:w="1150"/>
        <w:gridCol w:w="1151"/>
        <w:gridCol w:w="1151"/>
        <w:gridCol w:w="1150"/>
        <w:gridCol w:w="1151"/>
        <w:gridCol w:w="1151"/>
      </w:tblGrid>
      <w:tr w:rsidR="00DB41E8" w:rsidRPr="00FF7558" w14:paraId="0381DF92" w14:textId="77777777" w:rsidTr="005C4361">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83"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6558F9A1" w14:textId="77777777" w:rsidR="00DB41E8" w:rsidRPr="00FF7558" w:rsidRDefault="00DB41E8" w:rsidP="00F103B9">
            <w:pPr>
              <w:pStyle w:val="NoSpacing"/>
              <w:jc w:val="center"/>
              <w:rPr>
                <w:rFonts w:ascii="Arial" w:hAnsi="Arial" w:cs="Arial"/>
                <w:color w:val="FFFFFF" w:themeColor="background1"/>
                <w:sz w:val="18"/>
                <w:szCs w:val="18"/>
              </w:rPr>
            </w:pPr>
          </w:p>
        </w:tc>
        <w:tc>
          <w:tcPr>
            <w:tcW w:w="9205" w:type="dxa"/>
            <w:gridSpan w:val="8"/>
            <w:tcBorders>
              <w:top w:val="none" w:sz="0" w:space="0" w:color="auto"/>
              <w:left w:val="none" w:sz="0" w:space="0" w:color="auto"/>
              <w:bottom w:val="none" w:sz="0" w:space="0" w:color="auto"/>
              <w:right w:val="none" w:sz="0" w:space="0" w:color="auto"/>
            </w:tcBorders>
            <w:shd w:val="clear" w:color="auto" w:fill="17365D" w:themeFill="text2" w:themeFillShade="BF"/>
          </w:tcPr>
          <w:p w14:paraId="216D91DF" w14:textId="77777777" w:rsidR="00DB41E8" w:rsidRPr="00FF7558" w:rsidRDefault="00DB41E8" w:rsidP="00CD25A6">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FF7558">
              <w:rPr>
                <w:rFonts w:ascii="Arial" w:hAnsi="Arial" w:cs="Arial"/>
                <w:color w:val="FFFFFF" w:themeColor="background1"/>
                <w:sz w:val="18"/>
                <w:szCs w:val="18"/>
              </w:rPr>
              <w:t xml:space="preserve">Dollar sales increase over comparable period </w:t>
            </w:r>
            <w:r>
              <w:rPr>
                <w:rFonts w:ascii="Arial" w:hAnsi="Arial" w:cs="Arial"/>
                <w:color w:val="FFFFFF" w:themeColor="background1"/>
                <w:sz w:val="18"/>
                <w:szCs w:val="18"/>
              </w:rPr>
              <w:t>YA</w:t>
            </w:r>
          </w:p>
        </w:tc>
      </w:tr>
      <w:tr w:rsidR="007831B3" w:rsidRPr="00FF7558" w14:paraId="380095C1" w14:textId="77777777" w:rsidTr="005C436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83" w:type="dxa"/>
            <w:tcBorders>
              <w:left w:val="none" w:sz="0" w:space="0" w:color="auto"/>
              <w:right w:val="none" w:sz="0" w:space="0" w:color="auto"/>
            </w:tcBorders>
            <w:shd w:val="clear" w:color="auto" w:fill="17365D" w:themeFill="text2" w:themeFillShade="BF"/>
          </w:tcPr>
          <w:p w14:paraId="286AA96D" w14:textId="77777777" w:rsidR="007831B3" w:rsidRPr="00FF7558" w:rsidRDefault="007831B3" w:rsidP="00F103B9">
            <w:pPr>
              <w:pStyle w:val="NoSpacing"/>
              <w:rPr>
                <w:rFonts w:ascii="Arial" w:hAnsi="Arial" w:cs="Arial"/>
                <w:color w:val="FFFFFF" w:themeColor="background1"/>
                <w:sz w:val="18"/>
                <w:szCs w:val="18"/>
              </w:rPr>
            </w:pPr>
          </w:p>
        </w:tc>
        <w:tc>
          <w:tcPr>
            <w:tcW w:w="1150" w:type="dxa"/>
            <w:tcBorders>
              <w:left w:val="none" w:sz="0" w:space="0" w:color="auto"/>
              <w:right w:val="none" w:sz="0" w:space="0" w:color="auto"/>
            </w:tcBorders>
            <w:shd w:val="clear" w:color="auto" w:fill="17365D" w:themeFill="text2" w:themeFillShade="BF"/>
            <w:vAlign w:val="bottom"/>
          </w:tcPr>
          <w:p w14:paraId="1EF275B8" w14:textId="77777777" w:rsidR="007831B3" w:rsidRPr="00FF7558" w:rsidRDefault="007831B3" w:rsidP="00706F4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1151" w:type="dxa"/>
            <w:tcBorders>
              <w:left w:val="none" w:sz="0" w:space="0" w:color="auto"/>
              <w:right w:val="none" w:sz="0" w:space="0" w:color="auto"/>
            </w:tcBorders>
            <w:shd w:val="clear" w:color="auto" w:fill="17365D" w:themeFill="text2" w:themeFillShade="BF"/>
            <w:vAlign w:val="bottom"/>
          </w:tcPr>
          <w:p w14:paraId="569AD362" w14:textId="77777777" w:rsidR="007831B3" w:rsidRPr="00FF7558" w:rsidRDefault="007831B3" w:rsidP="00706F4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w:t>
            </w:r>
            <w:r w:rsidRPr="00FF7558">
              <w:rPr>
                <w:rFonts w:ascii="Arial" w:hAnsi="Arial" w:cs="Arial"/>
                <w:b/>
                <w:color w:val="FFFFFF" w:themeColor="background1"/>
                <w:sz w:val="18"/>
                <w:szCs w:val="18"/>
              </w:rPr>
              <w:t>20</w:t>
            </w:r>
          </w:p>
        </w:tc>
        <w:tc>
          <w:tcPr>
            <w:tcW w:w="1150" w:type="dxa"/>
            <w:tcBorders>
              <w:left w:val="none" w:sz="0" w:space="0" w:color="auto"/>
              <w:right w:val="none" w:sz="0" w:space="0" w:color="auto"/>
            </w:tcBorders>
            <w:shd w:val="clear" w:color="auto" w:fill="17365D" w:themeFill="text2" w:themeFillShade="BF"/>
            <w:vAlign w:val="bottom"/>
          </w:tcPr>
          <w:p w14:paraId="0CAC31A5" w14:textId="77777777" w:rsidR="007831B3" w:rsidRPr="00FF7558" w:rsidRDefault="007831B3"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FF7558">
              <w:rPr>
                <w:rFonts w:ascii="Arial" w:hAnsi="Arial" w:cs="Arial"/>
                <w:b/>
                <w:color w:val="FFFFFF" w:themeColor="background1"/>
                <w:sz w:val="18"/>
                <w:szCs w:val="18"/>
              </w:rPr>
              <w:t>Q1 ‘21</w:t>
            </w:r>
          </w:p>
        </w:tc>
        <w:tc>
          <w:tcPr>
            <w:tcW w:w="1151" w:type="dxa"/>
            <w:tcBorders>
              <w:left w:val="none" w:sz="0" w:space="0" w:color="auto"/>
              <w:right w:val="none" w:sz="0" w:space="0" w:color="auto"/>
            </w:tcBorders>
            <w:shd w:val="clear" w:color="auto" w:fill="17365D" w:themeFill="text2" w:themeFillShade="BF"/>
            <w:vAlign w:val="bottom"/>
          </w:tcPr>
          <w:p w14:paraId="44F92EA7" w14:textId="77777777" w:rsidR="007831B3" w:rsidRPr="00FF7558" w:rsidRDefault="007831B3"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FF7558">
              <w:rPr>
                <w:rFonts w:ascii="Arial" w:hAnsi="Arial" w:cs="Arial"/>
                <w:b/>
                <w:color w:val="FFFFFF" w:themeColor="background1"/>
                <w:sz w:val="18"/>
                <w:szCs w:val="18"/>
              </w:rPr>
              <w:t>Q2 ‘21</w:t>
            </w:r>
          </w:p>
        </w:tc>
        <w:tc>
          <w:tcPr>
            <w:tcW w:w="1151" w:type="dxa"/>
            <w:tcBorders>
              <w:left w:val="none" w:sz="0" w:space="0" w:color="auto"/>
              <w:right w:val="none" w:sz="0" w:space="0" w:color="auto"/>
            </w:tcBorders>
            <w:shd w:val="clear" w:color="auto" w:fill="17365D" w:themeFill="text2" w:themeFillShade="BF"/>
            <w:vAlign w:val="bottom"/>
          </w:tcPr>
          <w:p w14:paraId="267FA0D9" w14:textId="77777777" w:rsidR="007831B3" w:rsidRPr="00FF7558" w:rsidRDefault="007831B3"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sidRPr="00FF7558">
              <w:rPr>
                <w:rFonts w:ascii="Arial" w:hAnsi="Arial" w:cs="Arial"/>
                <w:b/>
                <w:color w:val="FFFFFF" w:themeColor="background1"/>
                <w:sz w:val="18"/>
                <w:szCs w:val="18"/>
              </w:rPr>
              <w:t>Q3 ‘21</w:t>
            </w:r>
          </w:p>
        </w:tc>
        <w:tc>
          <w:tcPr>
            <w:tcW w:w="1150" w:type="dxa"/>
            <w:tcBorders>
              <w:left w:val="none" w:sz="0" w:space="0" w:color="auto"/>
              <w:right w:val="none" w:sz="0" w:space="0" w:color="auto"/>
            </w:tcBorders>
            <w:shd w:val="clear" w:color="auto" w:fill="17365D" w:themeFill="text2" w:themeFillShade="BF"/>
            <w:vAlign w:val="bottom"/>
          </w:tcPr>
          <w:p w14:paraId="094A790E" w14:textId="77777777" w:rsidR="007831B3" w:rsidRDefault="007831B3" w:rsidP="00317B8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‘21</w:t>
            </w:r>
          </w:p>
        </w:tc>
        <w:tc>
          <w:tcPr>
            <w:tcW w:w="1151" w:type="dxa"/>
            <w:tcBorders>
              <w:left w:val="none" w:sz="0" w:space="0" w:color="auto"/>
              <w:right w:val="none" w:sz="0" w:space="0" w:color="auto"/>
            </w:tcBorders>
            <w:shd w:val="clear" w:color="auto" w:fill="17365D" w:themeFill="text2" w:themeFillShade="BF"/>
            <w:vAlign w:val="bottom"/>
          </w:tcPr>
          <w:p w14:paraId="0912C7DC" w14:textId="77777777" w:rsidR="007831B3" w:rsidRPr="00FF7558" w:rsidRDefault="007831B3" w:rsidP="00706F4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Jan 2022</w:t>
            </w:r>
          </w:p>
        </w:tc>
        <w:tc>
          <w:tcPr>
            <w:tcW w:w="1151" w:type="dxa"/>
            <w:tcBorders>
              <w:left w:val="none" w:sz="0" w:space="0" w:color="auto"/>
              <w:right w:val="none" w:sz="0" w:space="0" w:color="auto"/>
            </w:tcBorders>
            <w:shd w:val="clear" w:color="auto" w:fill="17365D" w:themeFill="text2" w:themeFillShade="BF"/>
            <w:vAlign w:val="bottom"/>
          </w:tcPr>
          <w:p w14:paraId="3089F81F" w14:textId="77777777" w:rsidR="007831B3" w:rsidRPr="00FF7558" w:rsidRDefault="007831B3" w:rsidP="00706F4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vs. YA</w:t>
            </w:r>
          </w:p>
        </w:tc>
      </w:tr>
      <w:tr w:rsidR="007831B3" w:rsidRPr="00FF7558" w14:paraId="3F2CAA89" w14:textId="77777777" w:rsidTr="007831B3">
        <w:trPr>
          <w:trHeight w:val="144"/>
        </w:trPr>
        <w:tc>
          <w:tcPr>
            <w:cnfStyle w:val="001000000000" w:firstRow="0" w:lastRow="0" w:firstColumn="1" w:lastColumn="0" w:oddVBand="0" w:evenVBand="0" w:oddHBand="0" w:evenHBand="0" w:firstRowFirstColumn="0" w:firstRowLastColumn="0" w:lastRowFirstColumn="0" w:lastRowLastColumn="0"/>
            <w:tcW w:w="983" w:type="dxa"/>
            <w:vAlign w:val="center"/>
          </w:tcPr>
          <w:p w14:paraId="097DD473" w14:textId="77777777" w:rsidR="007831B3" w:rsidRPr="00FF7558" w:rsidRDefault="007831B3" w:rsidP="00606E2B">
            <w:pPr>
              <w:pStyle w:val="NoSpacing"/>
              <w:jc w:val="right"/>
              <w:rPr>
                <w:rFonts w:ascii="Arial" w:hAnsi="Arial" w:cs="Arial"/>
                <w:color w:val="215868" w:themeColor="accent5" w:themeShade="80"/>
                <w:sz w:val="18"/>
                <w:szCs w:val="18"/>
              </w:rPr>
            </w:pPr>
            <w:r w:rsidRPr="00FF7558">
              <w:rPr>
                <w:rFonts w:ascii="Arial" w:hAnsi="Arial" w:cs="Arial"/>
                <w:color w:val="215868" w:themeColor="accent5" w:themeShade="80"/>
                <w:sz w:val="18"/>
                <w:szCs w:val="18"/>
              </w:rPr>
              <w:t>Floral</w:t>
            </w:r>
          </w:p>
        </w:tc>
        <w:tc>
          <w:tcPr>
            <w:tcW w:w="1150" w:type="dxa"/>
            <w:vAlign w:val="center"/>
          </w:tcPr>
          <w:p w14:paraId="3B4BF042" w14:textId="76177F92" w:rsidR="007831B3" w:rsidRDefault="009E0ADC" w:rsidP="00706F4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Pr>
                <w:rFonts w:ascii="Arial" w:hAnsi="Arial" w:cs="Arial"/>
                <w:b/>
                <w:bCs/>
                <w:color w:val="215868"/>
                <w:sz w:val="18"/>
                <w:szCs w:val="18"/>
              </w:rPr>
              <w:t>+3.6</w:t>
            </w:r>
            <w:r w:rsidR="007831B3">
              <w:rPr>
                <w:rFonts w:ascii="Arial" w:hAnsi="Arial" w:cs="Arial"/>
                <w:b/>
                <w:bCs/>
                <w:color w:val="215868"/>
                <w:sz w:val="18"/>
                <w:szCs w:val="18"/>
              </w:rPr>
              <w:t>%</w:t>
            </w:r>
          </w:p>
        </w:tc>
        <w:tc>
          <w:tcPr>
            <w:tcW w:w="1151" w:type="dxa"/>
            <w:vAlign w:val="center"/>
          </w:tcPr>
          <w:p w14:paraId="6B4CDB75" w14:textId="53037D4C" w:rsidR="007831B3" w:rsidRDefault="009E0ADC" w:rsidP="00706F4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Pr>
                <w:rFonts w:ascii="Arial" w:hAnsi="Arial" w:cs="Arial"/>
                <w:b/>
                <w:bCs/>
                <w:color w:val="215868"/>
                <w:sz w:val="18"/>
                <w:szCs w:val="18"/>
              </w:rPr>
              <w:t>+4.2</w:t>
            </w:r>
            <w:r w:rsidR="007831B3">
              <w:rPr>
                <w:rFonts w:ascii="Arial" w:hAnsi="Arial" w:cs="Arial"/>
                <w:b/>
                <w:bCs/>
                <w:color w:val="215868"/>
                <w:sz w:val="18"/>
                <w:szCs w:val="18"/>
              </w:rPr>
              <w:t>%</w:t>
            </w:r>
          </w:p>
        </w:tc>
        <w:tc>
          <w:tcPr>
            <w:tcW w:w="1150" w:type="dxa"/>
            <w:vAlign w:val="center"/>
          </w:tcPr>
          <w:p w14:paraId="7E8BFC47" w14:textId="370A646C" w:rsidR="007831B3" w:rsidRDefault="007831B3"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Pr>
                <w:rFonts w:ascii="Arial" w:hAnsi="Arial" w:cs="Arial"/>
                <w:b/>
                <w:bCs/>
                <w:color w:val="215868"/>
                <w:sz w:val="18"/>
                <w:szCs w:val="18"/>
              </w:rPr>
              <w:t>+</w:t>
            </w:r>
            <w:r w:rsidR="009E0ADC">
              <w:rPr>
                <w:rFonts w:ascii="Arial" w:hAnsi="Arial" w:cs="Arial"/>
                <w:b/>
                <w:bCs/>
                <w:color w:val="215868"/>
                <w:sz w:val="18"/>
                <w:szCs w:val="18"/>
              </w:rPr>
              <w:t>26.9</w:t>
            </w:r>
            <w:r>
              <w:rPr>
                <w:rFonts w:ascii="Arial" w:hAnsi="Arial" w:cs="Arial"/>
                <w:b/>
                <w:bCs/>
                <w:color w:val="215868"/>
                <w:sz w:val="18"/>
                <w:szCs w:val="18"/>
              </w:rPr>
              <w:t>%</w:t>
            </w:r>
          </w:p>
        </w:tc>
        <w:tc>
          <w:tcPr>
            <w:tcW w:w="1151" w:type="dxa"/>
            <w:vAlign w:val="center"/>
          </w:tcPr>
          <w:p w14:paraId="5B5A3BD5" w14:textId="691C0245" w:rsidR="007831B3" w:rsidRDefault="007831B3"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Pr>
                <w:rFonts w:ascii="Arial" w:hAnsi="Arial" w:cs="Arial"/>
                <w:b/>
                <w:bCs/>
                <w:color w:val="215868"/>
                <w:sz w:val="18"/>
                <w:szCs w:val="18"/>
              </w:rPr>
              <w:t>+</w:t>
            </w:r>
            <w:r w:rsidR="009E0ADC">
              <w:rPr>
                <w:rFonts w:ascii="Arial" w:hAnsi="Arial" w:cs="Arial"/>
                <w:b/>
                <w:bCs/>
                <w:color w:val="215868"/>
                <w:sz w:val="18"/>
                <w:szCs w:val="18"/>
              </w:rPr>
              <w:t>27.9</w:t>
            </w:r>
            <w:r>
              <w:rPr>
                <w:rFonts w:ascii="Arial" w:hAnsi="Arial" w:cs="Arial"/>
                <w:b/>
                <w:bCs/>
                <w:color w:val="215868"/>
                <w:sz w:val="18"/>
                <w:szCs w:val="18"/>
              </w:rPr>
              <w:t>%</w:t>
            </w:r>
          </w:p>
        </w:tc>
        <w:tc>
          <w:tcPr>
            <w:tcW w:w="1151" w:type="dxa"/>
            <w:vAlign w:val="center"/>
          </w:tcPr>
          <w:p w14:paraId="2FB646F4" w14:textId="1A77E6D0" w:rsidR="007831B3" w:rsidRDefault="007831B3"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Pr>
                <w:rFonts w:ascii="Arial" w:hAnsi="Arial" w:cs="Arial"/>
                <w:b/>
                <w:bCs/>
                <w:color w:val="215868"/>
                <w:sz w:val="18"/>
                <w:szCs w:val="18"/>
              </w:rPr>
              <w:t>+19</w:t>
            </w:r>
            <w:r w:rsidR="009E0ADC">
              <w:rPr>
                <w:rFonts w:ascii="Arial" w:hAnsi="Arial" w:cs="Arial"/>
                <w:b/>
                <w:bCs/>
                <w:color w:val="215868"/>
                <w:sz w:val="18"/>
                <w:szCs w:val="18"/>
              </w:rPr>
              <w:t>.2</w:t>
            </w:r>
            <w:r>
              <w:rPr>
                <w:rFonts w:ascii="Arial" w:hAnsi="Arial" w:cs="Arial"/>
                <w:b/>
                <w:bCs/>
                <w:color w:val="215868"/>
                <w:sz w:val="18"/>
                <w:szCs w:val="18"/>
              </w:rPr>
              <w:t>%</w:t>
            </w:r>
          </w:p>
        </w:tc>
        <w:tc>
          <w:tcPr>
            <w:tcW w:w="1150" w:type="dxa"/>
            <w:vAlign w:val="center"/>
          </w:tcPr>
          <w:p w14:paraId="7ECCB9AE" w14:textId="503E6633" w:rsidR="007831B3" w:rsidRPr="00FF7558" w:rsidRDefault="007831B3"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w:t>
            </w:r>
            <w:r w:rsidR="009E0ADC">
              <w:rPr>
                <w:rFonts w:ascii="Arial" w:hAnsi="Arial" w:cs="Arial"/>
                <w:bCs/>
                <w:color w:val="215868" w:themeColor="accent5" w:themeShade="80"/>
                <w:sz w:val="18"/>
                <w:szCs w:val="18"/>
              </w:rPr>
              <w:t>21.1</w:t>
            </w:r>
            <w:r>
              <w:rPr>
                <w:rFonts w:ascii="Arial" w:hAnsi="Arial" w:cs="Arial"/>
                <w:bCs/>
                <w:color w:val="215868" w:themeColor="accent5" w:themeShade="80"/>
                <w:sz w:val="18"/>
                <w:szCs w:val="18"/>
              </w:rPr>
              <w:t>%</w:t>
            </w:r>
          </w:p>
        </w:tc>
        <w:tc>
          <w:tcPr>
            <w:tcW w:w="1151" w:type="dxa"/>
            <w:vAlign w:val="center"/>
          </w:tcPr>
          <w:p w14:paraId="0EFC4D83" w14:textId="6836C937" w:rsidR="007831B3" w:rsidRPr="00FF7558" w:rsidRDefault="007831B3" w:rsidP="00706F4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sidRPr="00FF7558">
              <w:rPr>
                <w:rFonts w:ascii="Arial" w:hAnsi="Arial" w:cs="Arial"/>
                <w:bCs/>
                <w:color w:val="215868" w:themeColor="accent5" w:themeShade="80"/>
                <w:sz w:val="18"/>
                <w:szCs w:val="18"/>
              </w:rPr>
              <w:t>$</w:t>
            </w:r>
            <w:r w:rsidR="009E0ADC">
              <w:rPr>
                <w:rFonts w:ascii="Arial" w:hAnsi="Arial" w:cs="Arial"/>
                <w:bCs/>
                <w:color w:val="215868" w:themeColor="accent5" w:themeShade="80"/>
                <w:sz w:val="18"/>
                <w:szCs w:val="18"/>
              </w:rPr>
              <w:t>363</w:t>
            </w:r>
            <w:r>
              <w:rPr>
                <w:rFonts w:ascii="Arial" w:hAnsi="Arial" w:cs="Arial"/>
                <w:bCs/>
                <w:color w:val="215868" w:themeColor="accent5" w:themeShade="80"/>
                <w:sz w:val="18"/>
                <w:szCs w:val="18"/>
              </w:rPr>
              <w:t>M</w:t>
            </w:r>
          </w:p>
        </w:tc>
        <w:tc>
          <w:tcPr>
            <w:tcW w:w="1151" w:type="dxa"/>
            <w:vAlign w:val="center"/>
          </w:tcPr>
          <w:p w14:paraId="00365377" w14:textId="1C187561" w:rsidR="007831B3" w:rsidRPr="00FF7558" w:rsidRDefault="007831B3" w:rsidP="00706F41">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215868" w:themeColor="accent5" w:themeShade="80"/>
                <w:sz w:val="18"/>
                <w:szCs w:val="18"/>
              </w:rPr>
            </w:pPr>
            <w:r>
              <w:rPr>
                <w:rFonts w:ascii="Arial" w:hAnsi="Arial" w:cs="Arial"/>
                <w:bCs/>
                <w:color w:val="215868" w:themeColor="accent5" w:themeShade="80"/>
                <w:sz w:val="18"/>
                <w:szCs w:val="18"/>
              </w:rPr>
              <w:t>+</w:t>
            </w:r>
            <w:r w:rsidR="009E0ADC">
              <w:rPr>
                <w:rFonts w:ascii="Arial" w:hAnsi="Arial" w:cs="Arial"/>
                <w:bCs/>
                <w:color w:val="215868" w:themeColor="accent5" w:themeShade="80"/>
                <w:sz w:val="18"/>
                <w:szCs w:val="18"/>
              </w:rPr>
              <w:t>3.4</w:t>
            </w:r>
            <w:r w:rsidRPr="00FF7558">
              <w:rPr>
                <w:rFonts w:ascii="Arial" w:hAnsi="Arial" w:cs="Arial"/>
                <w:bCs/>
                <w:color w:val="215868" w:themeColor="accent5" w:themeShade="80"/>
                <w:sz w:val="18"/>
                <w:szCs w:val="18"/>
              </w:rPr>
              <w:t>%</w:t>
            </w:r>
          </w:p>
        </w:tc>
      </w:tr>
      <w:tr w:rsidR="007831B3" w:rsidRPr="00606E2B" w14:paraId="5A7E8344" w14:textId="77777777" w:rsidTr="005C436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83" w:type="dxa"/>
            <w:tcBorders>
              <w:left w:val="none" w:sz="0" w:space="0" w:color="auto"/>
              <w:right w:val="none" w:sz="0" w:space="0" w:color="auto"/>
            </w:tcBorders>
            <w:vAlign w:val="center"/>
          </w:tcPr>
          <w:p w14:paraId="2F972D5A" w14:textId="77777777" w:rsidR="007831B3" w:rsidRPr="00606E2B" w:rsidRDefault="007831B3" w:rsidP="00606E2B">
            <w:pPr>
              <w:pStyle w:val="NoSpacing"/>
              <w:jc w:val="right"/>
              <w:rPr>
                <w:rFonts w:ascii="Arial" w:hAnsi="Arial" w:cs="Arial"/>
                <w:b w:val="0"/>
                <w:bCs w:val="0"/>
                <w:color w:val="215868" w:themeColor="accent5" w:themeShade="80"/>
                <w:sz w:val="18"/>
                <w:szCs w:val="18"/>
              </w:rPr>
            </w:pPr>
            <w:r w:rsidRPr="00606E2B">
              <w:rPr>
                <w:rFonts w:ascii="Arial" w:hAnsi="Arial" w:cs="Arial"/>
                <w:b w:val="0"/>
                <w:bCs w:val="0"/>
                <w:color w:val="215868" w:themeColor="accent5" w:themeShade="80"/>
                <w:sz w:val="18"/>
                <w:szCs w:val="18"/>
              </w:rPr>
              <w:t>Indoor</w:t>
            </w:r>
          </w:p>
        </w:tc>
        <w:tc>
          <w:tcPr>
            <w:tcW w:w="1150" w:type="dxa"/>
            <w:tcBorders>
              <w:left w:val="none" w:sz="0" w:space="0" w:color="auto"/>
              <w:right w:val="none" w:sz="0" w:space="0" w:color="auto"/>
            </w:tcBorders>
            <w:vAlign w:val="center"/>
          </w:tcPr>
          <w:p w14:paraId="55B3A6EB" w14:textId="57F59AF0" w:rsidR="007831B3" w:rsidRDefault="009E0ADC" w:rsidP="00706F4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15868"/>
                <w:sz w:val="18"/>
                <w:szCs w:val="18"/>
              </w:rPr>
            </w:pPr>
            <w:r>
              <w:rPr>
                <w:rFonts w:ascii="Arial" w:hAnsi="Arial" w:cs="Arial"/>
                <w:b/>
                <w:bCs/>
                <w:color w:val="215868"/>
                <w:sz w:val="18"/>
                <w:szCs w:val="18"/>
              </w:rPr>
              <w:t>+5.5</w:t>
            </w:r>
            <w:r w:rsidR="007831B3">
              <w:rPr>
                <w:rFonts w:ascii="Arial" w:hAnsi="Arial" w:cs="Arial"/>
                <w:b/>
                <w:bCs/>
                <w:color w:val="215868"/>
                <w:sz w:val="18"/>
                <w:szCs w:val="18"/>
              </w:rPr>
              <w:t>%</w:t>
            </w:r>
          </w:p>
        </w:tc>
        <w:tc>
          <w:tcPr>
            <w:tcW w:w="1151" w:type="dxa"/>
            <w:tcBorders>
              <w:left w:val="none" w:sz="0" w:space="0" w:color="auto"/>
              <w:right w:val="none" w:sz="0" w:space="0" w:color="auto"/>
            </w:tcBorders>
            <w:vAlign w:val="center"/>
          </w:tcPr>
          <w:p w14:paraId="68175B50" w14:textId="6D638126" w:rsidR="007831B3" w:rsidRDefault="009E0ADC" w:rsidP="00706F4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+4.0</w:t>
            </w:r>
            <w:r w:rsidR="007831B3">
              <w:rPr>
                <w:rFonts w:ascii="Arial" w:hAnsi="Arial" w:cs="Arial"/>
                <w:color w:val="215868"/>
                <w:sz w:val="18"/>
                <w:szCs w:val="18"/>
              </w:rPr>
              <w:t>%</w:t>
            </w:r>
          </w:p>
        </w:tc>
        <w:tc>
          <w:tcPr>
            <w:tcW w:w="1150" w:type="dxa"/>
            <w:tcBorders>
              <w:left w:val="none" w:sz="0" w:space="0" w:color="auto"/>
              <w:right w:val="none" w:sz="0" w:space="0" w:color="auto"/>
            </w:tcBorders>
            <w:vAlign w:val="center"/>
          </w:tcPr>
          <w:p w14:paraId="6316F303" w14:textId="4EDD9A44" w:rsidR="007831B3" w:rsidRDefault="007831B3"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+26</w:t>
            </w:r>
            <w:r w:rsidR="009E0ADC">
              <w:rPr>
                <w:rFonts w:ascii="Arial" w:hAnsi="Arial" w:cs="Arial"/>
                <w:color w:val="215868"/>
                <w:sz w:val="18"/>
                <w:szCs w:val="18"/>
              </w:rPr>
              <w:t>.2</w:t>
            </w:r>
            <w:r>
              <w:rPr>
                <w:rFonts w:ascii="Arial" w:hAnsi="Arial" w:cs="Arial"/>
                <w:color w:val="215868"/>
                <w:sz w:val="18"/>
                <w:szCs w:val="18"/>
              </w:rPr>
              <w:t>%</w:t>
            </w:r>
          </w:p>
        </w:tc>
        <w:tc>
          <w:tcPr>
            <w:tcW w:w="1151" w:type="dxa"/>
            <w:tcBorders>
              <w:left w:val="none" w:sz="0" w:space="0" w:color="auto"/>
              <w:right w:val="none" w:sz="0" w:space="0" w:color="auto"/>
            </w:tcBorders>
            <w:vAlign w:val="center"/>
          </w:tcPr>
          <w:p w14:paraId="0275A9F6" w14:textId="4EC137E6" w:rsidR="007831B3" w:rsidRDefault="007831B3"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E0ADC">
              <w:rPr>
                <w:rFonts w:ascii="Arial" w:hAnsi="Arial" w:cs="Arial"/>
                <w:color w:val="215868"/>
                <w:sz w:val="18"/>
                <w:szCs w:val="18"/>
              </w:rPr>
              <w:t>39.6</w:t>
            </w:r>
            <w:r>
              <w:rPr>
                <w:rFonts w:ascii="Arial" w:hAnsi="Arial" w:cs="Arial"/>
                <w:color w:val="215868"/>
                <w:sz w:val="18"/>
                <w:szCs w:val="18"/>
              </w:rPr>
              <w:t>%</w:t>
            </w:r>
          </w:p>
        </w:tc>
        <w:tc>
          <w:tcPr>
            <w:tcW w:w="1151" w:type="dxa"/>
            <w:tcBorders>
              <w:left w:val="none" w:sz="0" w:space="0" w:color="auto"/>
              <w:right w:val="none" w:sz="0" w:space="0" w:color="auto"/>
            </w:tcBorders>
            <w:vAlign w:val="center"/>
          </w:tcPr>
          <w:p w14:paraId="7705FD1C" w14:textId="514F519D" w:rsidR="007831B3" w:rsidRDefault="007831B3"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E0ADC">
              <w:rPr>
                <w:rFonts w:ascii="Arial" w:hAnsi="Arial" w:cs="Arial"/>
                <w:color w:val="215868"/>
                <w:sz w:val="18"/>
                <w:szCs w:val="18"/>
              </w:rPr>
              <w:t>19.7</w:t>
            </w:r>
            <w:r>
              <w:rPr>
                <w:rFonts w:ascii="Arial" w:hAnsi="Arial" w:cs="Arial"/>
                <w:color w:val="215868"/>
                <w:sz w:val="18"/>
                <w:szCs w:val="18"/>
              </w:rPr>
              <w:t>%</w:t>
            </w:r>
          </w:p>
        </w:tc>
        <w:tc>
          <w:tcPr>
            <w:tcW w:w="1150" w:type="dxa"/>
            <w:tcBorders>
              <w:left w:val="none" w:sz="0" w:space="0" w:color="auto"/>
              <w:right w:val="none" w:sz="0" w:space="0" w:color="auto"/>
            </w:tcBorders>
            <w:vAlign w:val="center"/>
          </w:tcPr>
          <w:p w14:paraId="3BCC0499" w14:textId="1D964A76" w:rsidR="007831B3" w:rsidRDefault="007831B3" w:rsidP="00317B8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9E0ADC">
              <w:rPr>
                <w:rFonts w:ascii="Arial" w:hAnsi="Arial" w:cs="Arial"/>
                <w:color w:val="215868" w:themeColor="accent5" w:themeShade="80"/>
                <w:sz w:val="18"/>
                <w:szCs w:val="18"/>
              </w:rPr>
              <w:t>21.4</w:t>
            </w:r>
            <w:r>
              <w:rPr>
                <w:rFonts w:ascii="Arial" w:hAnsi="Arial" w:cs="Arial"/>
                <w:color w:val="215868" w:themeColor="accent5" w:themeShade="80"/>
                <w:sz w:val="18"/>
                <w:szCs w:val="18"/>
              </w:rPr>
              <w:t>%</w:t>
            </w:r>
          </w:p>
        </w:tc>
        <w:tc>
          <w:tcPr>
            <w:tcW w:w="1151" w:type="dxa"/>
            <w:tcBorders>
              <w:left w:val="none" w:sz="0" w:space="0" w:color="auto"/>
              <w:right w:val="none" w:sz="0" w:space="0" w:color="auto"/>
            </w:tcBorders>
            <w:vAlign w:val="center"/>
          </w:tcPr>
          <w:p w14:paraId="1CD941DE" w14:textId="21F77F54" w:rsidR="007831B3" w:rsidRPr="00606E2B" w:rsidRDefault="007831B3" w:rsidP="00706F4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9E0ADC">
              <w:rPr>
                <w:rFonts w:ascii="Arial" w:hAnsi="Arial" w:cs="Arial"/>
                <w:color w:val="215868" w:themeColor="accent5" w:themeShade="80"/>
                <w:sz w:val="18"/>
                <w:szCs w:val="18"/>
              </w:rPr>
              <w:t>351</w:t>
            </w:r>
            <w:r>
              <w:rPr>
                <w:rFonts w:ascii="Arial" w:hAnsi="Arial" w:cs="Arial"/>
                <w:color w:val="215868" w:themeColor="accent5" w:themeShade="80"/>
                <w:sz w:val="18"/>
                <w:szCs w:val="18"/>
              </w:rPr>
              <w:t>M</w:t>
            </w:r>
          </w:p>
        </w:tc>
        <w:tc>
          <w:tcPr>
            <w:tcW w:w="1151" w:type="dxa"/>
            <w:tcBorders>
              <w:left w:val="none" w:sz="0" w:space="0" w:color="auto"/>
              <w:right w:val="none" w:sz="0" w:space="0" w:color="auto"/>
            </w:tcBorders>
            <w:vAlign w:val="center"/>
          </w:tcPr>
          <w:p w14:paraId="55C0A4C8" w14:textId="4244259B" w:rsidR="007831B3" w:rsidRPr="00606E2B" w:rsidRDefault="007831B3" w:rsidP="00706F4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9E0ADC">
              <w:rPr>
                <w:rFonts w:ascii="Arial" w:hAnsi="Arial" w:cs="Arial"/>
                <w:color w:val="215868" w:themeColor="accent5" w:themeShade="80"/>
                <w:sz w:val="18"/>
                <w:szCs w:val="18"/>
              </w:rPr>
              <w:t>5.4</w:t>
            </w:r>
            <w:r>
              <w:rPr>
                <w:rFonts w:ascii="Arial" w:hAnsi="Arial" w:cs="Arial"/>
                <w:color w:val="215868" w:themeColor="accent5" w:themeShade="80"/>
                <w:sz w:val="18"/>
                <w:szCs w:val="18"/>
              </w:rPr>
              <w:t>%</w:t>
            </w:r>
          </w:p>
        </w:tc>
      </w:tr>
      <w:tr w:rsidR="007831B3" w:rsidRPr="00606E2B" w14:paraId="6A7FB47C" w14:textId="77777777" w:rsidTr="007831B3">
        <w:trPr>
          <w:trHeight w:val="144"/>
        </w:trPr>
        <w:tc>
          <w:tcPr>
            <w:cnfStyle w:val="001000000000" w:firstRow="0" w:lastRow="0" w:firstColumn="1" w:lastColumn="0" w:oddVBand="0" w:evenVBand="0" w:oddHBand="0" w:evenHBand="0" w:firstRowFirstColumn="0" w:firstRowLastColumn="0" w:lastRowFirstColumn="0" w:lastRowLastColumn="0"/>
            <w:tcW w:w="983" w:type="dxa"/>
            <w:vAlign w:val="center"/>
          </w:tcPr>
          <w:p w14:paraId="427EB626" w14:textId="77777777" w:rsidR="007831B3" w:rsidRPr="00606E2B" w:rsidRDefault="007831B3" w:rsidP="00606E2B">
            <w:pPr>
              <w:pStyle w:val="NoSpacing"/>
              <w:jc w:val="right"/>
              <w:rPr>
                <w:rFonts w:ascii="Arial" w:hAnsi="Arial" w:cs="Arial"/>
                <w:b w:val="0"/>
                <w:bCs w:val="0"/>
                <w:color w:val="215868" w:themeColor="accent5" w:themeShade="80"/>
                <w:sz w:val="18"/>
                <w:szCs w:val="18"/>
              </w:rPr>
            </w:pPr>
            <w:r w:rsidRPr="00606E2B">
              <w:rPr>
                <w:rFonts w:ascii="Arial" w:hAnsi="Arial" w:cs="Arial"/>
                <w:b w:val="0"/>
                <w:bCs w:val="0"/>
                <w:color w:val="215868" w:themeColor="accent5" w:themeShade="80"/>
                <w:sz w:val="18"/>
                <w:szCs w:val="18"/>
              </w:rPr>
              <w:t>Outdoor</w:t>
            </w:r>
          </w:p>
        </w:tc>
        <w:tc>
          <w:tcPr>
            <w:tcW w:w="1150" w:type="dxa"/>
            <w:vAlign w:val="center"/>
          </w:tcPr>
          <w:p w14:paraId="121E9F9B" w14:textId="0F33439A" w:rsidR="007831B3" w:rsidRDefault="009E0ADC" w:rsidP="00706F4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215868"/>
                <w:sz w:val="18"/>
                <w:szCs w:val="18"/>
              </w:rPr>
            </w:pPr>
            <w:r>
              <w:rPr>
                <w:rFonts w:ascii="Arial" w:hAnsi="Arial" w:cs="Arial"/>
                <w:b/>
                <w:bCs/>
                <w:color w:val="215868"/>
                <w:sz w:val="18"/>
                <w:szCs w:val="18"/>
              </w:rPr>
              <w:t>-3.5</w:t>
            </w:r>
            <w:r w:rsidR="007831B3">
              <w:rPr>
                <w:rFonts w:ascii="Arial" w:hAnsi="Arial" w:cs="Arial"/>
                <w:b/>
                <w:bCs/>
                <w:color w:val="215868"/>
                <w:sz w:val="18"/>
                <w:szCs w:val="18"/>
              </w:rPr>
              <w:t>%</w:t>
            </w:r>
          </w:p>
        </w:tc>
        <w:tc>
          <w:tcPr>
            <w:tcW w:w="1151" w:type="dxa"/>
            <w:vAlign w:val="center"/>
          </w:tcPr>
          <w:p w14:paraId="3BDDC1F2" w14:textId="6DED00A1" w:rsidR="007831B3" w:rsidRDefault="009E0ADC" w:rsidP="00706F4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+5.0</w:t>
            </w:r>
            <w:r w:rsidR="007831B3">
              <w:rPr>
                <w:rFonts w:ascii="Arial" w:hAnsi="Arial" w:cs="Arial"/>
                <w:color w:val="215868"/>
                <w:sz w:val="18"/>
                <w:szCs w:val="18"/>
              </w:rPr>
              <w:t>%</w:t>
            </w:r>
          </w:p>
        </w:tc>
        <w:tc>
          <w:tcPr>
            <w:tcW w:w="1150" w:type="dxa"/>
            <w:vAlign w:val="center"/>
          </w:tcPr>
          <w:p w14:paraId="45662313" w14:textId="3FAD43B7" w:rsidR="007831B3" w:rsidRDefault="007831B3"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+35</w:t>
            </w:r>
            <w:r w:rsidR="009E0ADC">
              <w:rPr>
                <w:rFonts w:ascii="Arial" w:hAnsi="Arial" w:cs="Arial"/>
                <w:color w:val="215868"/>
                <w:sz w:val="18"/>
                <w:szCs w:val="18"/>
              </w:rPr>
              <w:t>.5</w:t>
            </w:r>
            <w:r>
              <w:rPr>
                <w:rFonts w:ascii="Arial" w:hAnsi="Arial" w:cs="Arial"/>
                <w:color w:val="215868"/>
                <w:sz w:val="18"/>
                <w:szCs w:val="18"/>
              </w:rPr>
              <w:t>%</w:t>
            </w:r>
          </w:p>
        </w:tc>
        <w:tc>
          <w:tcPr>
            <w:tcW w:w="1151" w:type="dxa"/>
            <w:vAlign w:val="center"/>
          </w:tcPr>
          <w:p w14:paraId="7A5C78A6" w14:textId="497D8FDC" w:rsidR="007831B3" w:rsidRDefault="007831B3"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E0ADC">
              <w:rPr>
                <w:rFonts w:ascii="Arial" w:hAnsi="Arial" w:cs="Arial"/>
                <w:color w:val="215868"/>
                <w:sz w:val="18"/>
                <w:szCs w:val="18"/>
              </w:rPr>
              <w:t>6.9</w:t>
            </w:r>
            <w:r>
              <w:rPr>
                <w:rFonts w:ascii="Arial" w:hAnsi="Arial" w:cs="Arial"/>
                <w:color w:val="215868"/>
                <w:sz w:val="18"/>
                <w:szCs w:val="18"/>
              </w:rPr>
              <w:t>%</w:t>
            </w:r>
          </w:p>
        </w:tc>
        <w:tc>
          <w:tcPr>
            <w:tcW w:w="1151" w:type="dxa"/>
            <w:vAlign w:val="center"/>
          </w:tcPr>
          <w:p w14:paraId="488D75F6" w14:textId="2EF32BD3" w:rsidR="007831B3" w:rsidRDefault="007831B3"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sz w:val="18"/>
                <w:szCs w:val="18"/>
              </w:rPr>
            </w:pPr>
            <w:r>
              <w:rPr>
                <w:rFonts w:ascii="Arial" w:hAnsi="Arial" w:cs="Arial"/>
                <w:color w:val="215868"/>
                <w:sz w:val="18"/>
                <w:szCs w:val="18"/>
              </w:rPr>
              <w:t>+</w:t>
            </w:r>
            <w:r w:rsidR="009E0ADC">
              <w:rPr>
                <w:rFonts w:ascii="Arial" w:hAnsi="Arial" w:cs="Arial"/>
                <w:color w:val="215868"/>
                <w:sz w:val="18"/>
                <w:szCs w:val="18"/>
              </w:rPr>
              <w:t>15.9</w:t>
            </w:r>
            <w:r>
              <w:rPr>
                <w:rFonts w:ascii="Arial" w:hAnsi="Arial" w:cs="Arial"/>
                <w:color w:val="215868"/>
                <w:sz w:val="18"/>
                <w:szCs w:val="18"/>
              </w:rPr>
              <w:t>%</w:t>
            </w:r>
          </w:p>
        </w:tc>
        <w:tc>
          <w:tcPr>
            <w:tcW w:w="1150" w:type="dxa"/>
            <w:vAlign w:val="center"/>
          </w:tcPr>
          <w:p w14:paraId="75F3295E" w14:textId="25EA85F7" w:rsidR="007831B3" w:rsidRDefault="007831B3" w:rsidP="00317B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9E0ADC">
              <w:rPr>
                <w:rFonts w:ascii="Arial" w:hAnsi="Arial" w:cs="Arial"/>
                <w:color w:val="215868" w:themeColor="accent5" w:themeShade="80"/>
                <w:sz w:val="18"/>
                <w:szCs w:val="18"/>
              </w:rPr>
              <w:t>17.8</w:t>
            </w:r>
            <w:r>
              <w:rPr>
                <w:rFonts w:ascii="Arial" w:hAnsi="Arial" w:cs="Arial"/>
                <w:color w:val="215868" w:themeColor="accent5" w:themeShade="80"/>
                <w:sz w:val="18"/>
                <w:szCs w:val="18"/>
              </w:rPr>
              <w:t>%</w:t>
            </w:r>
          </w:p>
        </w:tc>
        <w:tc>
          <w:tcPr>
            <w:tcW w:w="1151" w:type="dxa"/>
            <w:vAlign w:val="center"/>
          </w:tcPr>
          <w:p w14:paraId="0C86F489" w14:textId="036AB65E" w:rsidR="007831B3" w:rsidRPr="00606E2B" w:rsidRDefault="007831B3" w:rsidP="00706F4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w:t>
            </w:r>
            <w:r w:rsidR="009E0ADC">
              <w:rPr>
                <w:rFonts w:ascii="Arial" w:hAnsi="Arial" w:cs="Arial"/>
                <w:color w:val="215868" w:themeColor="accent5" w:themeShade="80"/>
                <w:sz w:val="18"/>
                <w:szCs w:val="18"/>
              </w:rPr>
              <w:t>12</w:t>
            </w:r>
            <w:r>
              <w:rPr>
                <w:rFonts w:ascii="Arial" w:hAnsi="Arial" w:cs="Arial"/>
                <w:color w:val="215868" w:themeColor="accent5" w:themeShade="80"/>
                <w:sz w:val="18"/>
                <w:szCs w:val="18"/>
              </w:rPr>
              <w:t>M</w:t>
            </w:r>
          </w:p>
        </w:tc>
        <w:tc>
          <w:tcPr>
            <w:tcW w:w="1151" w:type="dxa"/>
            <w:vAlign w:val="center"/>
          </w:tcPr>
          <w:p w14:paraId="305FE923" w14:textId="187F9B88" w:rsidR="007831B3" w:rsidRPr="00606E2B" w:rsidRDefault="009E0ADC" w:rsidP="00706F4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215868" w:themeColor="accent5" w:themeShade="80"/>
                <w:sz w:val="18"/>
                <w:szCs w:val="18"/>
              </w:rPr>
            </w:pPr>
            <w:r>
              <w:rPr>
                <w:rFonts w:ascii="Arial" w:hAnsi="Arial" w:cs="Arial"/>
                <w:color w:val="215868" w:themeColor="accent5" w:themeShade="80"/>
                <w:sz w:val="18"/>
                <w:szCs w:val="18"/>
              </w:rPr>
              <w:t>-32.4</w:t>
            </w:r>
            <w:r w:rsidR="007831B3">
              <w:rPr>
                <w:rFonts w:ascii="Arial" w:hAnsi="Arial" w:cs="Arial"/>
                <w:color w:val="215868" w:themeColor="accent5" w:themeShade="80"/>
                <w:sz w:val="18"/>
                <w:szCs w:val="18"/>
              </w:rPr>
              <w:t>%</w:t>
            </w:r>
          </w:p>
        </w:tc>
      </w:tr>
    </w:tbl>
    <w:p w14:paraId="403BF1E8" w14:textId="77777777" w:rsidR="00D66F5A" w:rsidRPr="00D66F5A" w:rsidRDefault="00D66F5A" w:rsidP="00207525">
      <w:pPr>
        <w:pStyle w:val="NoSpacing"/>
        <w:rPr>
          <w:rFonts w:ascii="Arial" w:hAnsi="Arial" w:cs="Arial"/>
          <w:sz w:val="10"/>
          <w:szCs w:val="10"/>
        </w:rPr>
      </w:pPr>
    </w:p>
    <w:p w14:paraId="56BC2A98" w14:textId="77777777" w:rsidR="00563A06" w:rsidRDefault="000C1222" w:rsidP="00207525">
      <w:pPr>
        <w:pStyle w:val="NoSpacing"/>
        <w:rPr>
          <w:rFonts w:ascii="Arial" w:hAnsi="Arial" w:cs="Arial"/>
          <w:b/>
          <w:color w:val="595959" w:themeColor="text1" w:themeTint="A6"/>
          <w:sz w:val="24"/>
          <w:szCs w:val="24"/>
        </w:rPr>
      </w:pPr>
      <w:r w:rsidRPr="00FF7558">
        <w:rPr>
          <w:rFonts w:ascii="Arial" w:hAnsi="Arial" w:cs="Arial"/>
          <w:sz w:val="16"/>
          <w:szCs w:val="16"/>
        </w:rPr>
        <w:t>Source: IRI Integrated Fresh, Total U.S., MULO</w:t>
      </w:r>
      <w:r w:rsidR="00AE2AA0" w:rsidRPr="00FF7558">
        <w:rPr>
          <w:rFonts w:ascii="Arial" w:hAnsi="Arial" w:cs="Arial"/>
          <w:sz w:val="16"/>
          <w:szCs w:val="16"/>
        </w:rPr>
        <w:t xml:space="preserve"> </w:t>
      </w:r>
      <w:bookmarkEnd w:id="0"/>
      <w:r w:rsidR="00207525">
        <w:rPr>
          <w:rFonts w:ascii="Arial" w:hAnsi="Arial" w:cs="Arial"/>
          <w:sz w:val="16"/>
          <w:szCs w:val="16"/>
        </w:rPr>
        <w:br/>
      </w:r>
    </w:p>
    <w:p w14:paraId="0BBAF6D8" w14:textId="198F812C" w:rsidR="00465D0F" w:rsidRPr="00D66F5A" w:rsidRDefault="00465D0F" w:rsidP="00465D0F">
      <w:pPr>
        <w:pStyle w:val="NoSpacing"/>
        <w:rPr>
          <w:rFonts w:ascii="Arial" w:hAnsi="Arial" w:cs="Arial"/>
          <w:sz w:val="20"/>
          <w:szCs w:val="20"/>
        </w:rPr>
      </w:pPr>
      <w:r w:rsidRPr="00D66F5A">
        <w:rPr>
          <w:rFonts w:ascii="Arial" w:hAnsi="Arial" w:cs="Arial"/>
          <w:sz w:val="20"/>
          <w:szCs w:val="20"/>
        </w:rPr>
        <w:t xml:space="preserve">The top </w:t>
      </w:r>
      <w:r w:rsidR="00581E1C" w:rsidRPr="00D66F5A">
        <w:rPr>
          <w:rFonts w:ascii="Arial" w:hAnsi="Arial" w:cs="Arial"/>
          <w:sz w:val="20"/>
          <w:szCs w:val="20"/>
        </w:rPr>
        <w:t xml:space="preserve">three </w:t>
      </w:r>
      <w:r w:rsidRPr="00D66F5A">
        <w:rPr>
          <w:rFonts w:ascii="Arial" w:hAnsi="Arial" w:cs="Arial"/>
          <w:sz w:val="20"/>
          <w:szCs w:val="20"/>
        </w:rPr>
        <w:t>biggest</w:t>
      </w:r>
      <w:r w:rsidR="00581E1C" w:rsidRPr="00D66F5A">
        <w:rPr>
          <w:rFonts w:ascii="Arial" w:hAnsi="Arial" w:cs="Arial"/>
          <w:sz w:val="20"/>
          <w:szCs w:val="20"/>
        </w:rPr>
        <w:t xml:space="preserve"> sellers this month were roses</w:t>
      </w:r>
      <w:r w:rsidR="00217CA1">
        <w:rPr>
          <w:rFonts w:ascii="Arial" w:hAnsi="Arial" w:cs="Arial"/>
          <w:sz w:val="20"/>
          <w:szCs w:val="20"/>
        </w:rPr>
        <w:t xml:space="preserve">, </w:t>
      </w:r>
      <w:r w:rsidR="00D66F5A" w:rsidRPr="00D66F5A">
        <w:rPr>
          <w:rFonts w:ascii="Arial" w:hAnsi="Arial" w:cs="Arial"/>
          <w:sz w:val="20"/>
          <w:szCs w:val="20"/>
        </w:rPr>
        <w:t>bouquets</w:t>
      </w:r>
      <w:r w:rsidR="00217CA1">
        <w:rPr>
          <w:rFonts w:ascii="Arial" w:hAnsi="Arial" w:cs="Arial"/>
          <w:sz w:val="20"/>
          <w:szCs w:val="20"/>
        </w:rPr>
        <w:t xml:space="preserve"> and potted plants</w:t>
      </w:r>
      <w:r w:rsidR="00581E1C" w:rsidRPr="00D66F5A">
        <w:rPr>
          <w:rFonts w:ascii="Arial" w:hAnsi="Arial" w:cs="Arial"/>
          <w:sz w:val="20"/>
          <w:szCs w:val="20"/>
        </w:rPr>
        <w:t xml:space="preserve">. </w:t>
      </w:r>
      <w:r w:rsidR="00F27029" w:rsidRPr="00D66F5A">
        <w:rPr>
          <w:rFonts w:ascii="Arial" w:hAnsi="Arial" w:cs="Arial"/>
          <w:sz w:val="20"/>
          <w:szCs w:val="20"/>
        </w:rPr>
        <w:t xml:space="preserve">Growth for roses </w:t>
      </w:r>
      <w:r w:rsidR="003D37B7">
        <w:rPr>
          <w:rFonts w:ascii="Arial" w:hAnsi="Arial" w:cs="Arial"/>
          <w:sz w:val="20"/>
          <w:szCs w:val="20"/>
        </w:rPr>
        <w:t>wa</w:t>
      </w:r>
      <w:r w:rsidR="00F27029" w:rsidRPr="00D66F5A">
        <w:rPr>
          <w:rFonts w:ascii="Arial" w:hAnsi="Arial" w:cs="Arial"/>
          <w:sz w:val="20"/>
          <w:szCs w:val="20"/>
        </w:rPr>
        <w:t xml:space="preserve">s still upwards of </w:t>
      </w:r>
      <w:r w:rsidR="00217CA1">
        <w:rPr>
          <w:rFonts w:ascii="Arial" w:hAnsi="Arial" w:cs="Arial"/>
          <w:sz w:val="20"/>
          <w:szCs w:val="20"/>
        </w:rPr>
        <w:t>10</w:t>
      </w:r>
      <w:r w:rsidR="00F153CA" w:rsidRPr="00D66F5A">
        <w:rPr>
          <w:rFonts w:ascii="Arial" w:hAnsi="Arial" w:cs="Arial"/>
          <w:sz w:val="20"/>
          <w:szCs w:val="20"/>
        </w:rPr>
        <w:t>% versus year ago</w:t>
      </w:r>
      <w:r w:rsidR="00217CA1">
        <w:rPr>
          <w:rFonts w:ascii="Arial" w:hAnsi="Arial" w:cs="Arial"/>
          <w:sz w:val="20"/>
          <w:szCs w:val="20"/>
        </w:rPr>
        <w:t xml:space="preserve">, however, unit sales were down slightly, at -2.4%. Potted plants were not able to hold the line in January 2022 versus year ago, whether dollars or units. </w:t>
      </w:r>
    </w:p>
    <w:p w14:paraId="1E9C65FB" w14:textId="77777777" w:rsidR="006A4A53" w:rsidRPr="00D66F5A" w:rsidRDefault="006A4A53" w:rsidP="00465D0F">
      <w:pPr>
        <w:pStyle w:val="NoSpacing"/>
        <w:rPr>
          <w:rFonts w:ascii="Arial" w:hAnsi="Arial" w:cs="Arial"/>
          <w:sz w:val="20"/>
          <w:szCs w:val="20"/>
        </w:rPr>
      </w:pPr>
    </w:p>
    <w:tbl>
      <w:tblPr>
        <w:tblStyle w:val="ListTable4-Accent51"/>
        <w:tblW w:w="927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160"/>
        <w:gridCol w:w="1098"/>
        <w:gridCol w:w="1530"/>
        <w:gridCol w:w="1530"/>
        <w:gridCol w:w="1602"/>
        <w:gridCol w:w="1350"/>
      </w:tblGrid>
      <w:tr w:rsidR="00581E1C" w:rsidRPr="00581E1C" w14:paraId="5F2C337C" w14:textId="77777777" w:rsidTr="00D66F5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60" w:type="dxa"/>
            <w:tcBorders>
              <w:top w:val="none" w:sz="0" w:space="0" w:color="auto"/>
              <w:left w:val="none" w:sz="0" w:space="0" w:color="auto"/>
              <w:bottom w:val="none" w:sz="0" w:space="0" w:color="auto"/>
            </w:tcBorders>
            <w:shd w:val="clear" w:color="auto" w:fill="17365D" w:themeFill="text2" w:themeFillShade="BF"/>
            <w:noWrap/>
            <w:hideMark/>
          </w:tcPr>
          <w:p w14:paraId="710119C9" w14:textId="77A968CA" w:rsidR="00581E1C" w:rsidRPr="00280853" w:rsidRDefault="007831B3" w:rsidP="00D66F5A">
            <w:pPr>
              <w:rPr>
                <w:rFonts w:ascii="Arial" w:eastAsia="Times New Roman" w:hAnsi="Arial" w:cs="Arial"/>
                <w:sz w:val="18"/>
                <w:szCs w:val="18"/>
              </w:rPr>
            </w:pPr>
            <w:r w:rsidRPr="00280853">
              <w:rPr>
                <w:rFonts w:ascii="Arial" w:eastAsia="Times New Roman" w:hAnsi="Arial" w:cs="Arial"/>
                <w:sz w:val="18"/>
                <w:szCs w:val="18"/>
              </w:rPr>
              <w:t>January</w:t>
            </w:r>
            <w:r w:rsidR="00EB4984" w:rsidRPr="00280853">
              <w:rPr>
                <w:rFonts w:ascii="Arial" w:eastAsia="Times New Roman" w:hAnsi="Arial" w:cs="Arial"/>
                <w:sz w:val="18"/>
                <w:szCs w:val="18"/>
              </w:rPr>
              <w:t xml:space="preserve"> 2022</w:t>
            </w:r>
          </w:p>
        </w:tc>
        <w:tc>
          <w:tcPr>
            <w:tcW w:w="1098" w:type="dxa"/>
            <w:tcBorders>
              <w:top w:val="none" w:sz="0" w:space="0" w:color="auto"/>
              <w:bottom w:val="none" w:sz="0" w:space="0" w:color="auto"/>
            </w:tcBorders>
            <w:shd w:val="clear" w:color="auto" w:fill="17365D" w:themeFill="text2" w:themeFillShade="BF"/>
            <w:noWrap/>
            <w:hideMark/>
          </w:tcPr>
          <w:p w14:paraId="5247186C" w14:textId="77777777" w:rsidR="00581E1C" w:rsidRPr="00280853" w:rsidRDefault="00581E1C" w:rsidP="00D66F5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80853">
              <w:rPr>
                <w:rFonts w:ascii="Arial" w:eastAsia="Times New Roman" w:hAnsi="Arial" w:cs="Arial"/>
                <w:sz w:val="18"/>
                <w:szCs w:val="18"/>
              </w:rPr>
              <w:t>$ sales</w:t>
            </w:r>
          </w:p>
        </w:tc>
        <w:tc>
          <w:tcPr>
            <w:tcW w:w="1530" w:type="dxa"/>
            <w:tcBorders>
              <w:top w:val="none" w:sz="0" w:space="0" w:color="auto"/>
              <w:bottom w:val="none" w:sz="0" w:space="0" w:color="auto"/>
            </w:tcBorders>
            <w:shd w:val="clear" w:color="auto" w:fill="17365D" w:themeFill="text2" w:themeFillShade="BF"/>
            <w:noWrap/>
            <w:hideMark/>
          </w:tcPr>
          <w:p w14:paraId="0C80D05D" w14:textId="77777777" w:rsidR="00581E1C" w:rsidRPr="00280853" w:rsidRDefault="00581E1C" w:rsidP="00D66F5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80853">
              <w:rPr>
                <w:rFonts w:ascii="Arial" w:eastAsia="Times New Roman" w:hAnsi="Arial" w:cs="Arial"/>
                <w:sz w:val="18"/>
                <w:szCs w:val="18"/>
              </w:rPr>
              <w:t>% vs. 202</w:t>
            </w:r>
            <w:r w:rsidR="007831B3" w:rsidRPr="00280853">
              <w:rPr>
                <w:rFonts w:ascii="Arial" w:eastAsia="Times New Roman" w:hAnsi="Arial" w:cs="Arial"/>
                <w:sz w:val="18"/>
                <w:szCs w:val="18"/>
              </w:rPr>
              <w:t>1</w:t>
            </w:r>
          </w:p>
        </w:tc>
        <w:tc>
          <w:tcPr>
            <w:tcW w:w="1530" w:type="dxa"/>
            <w:tcBorders>
              <w:top w:val="none" w:sz="0" w:space="0" w:color="auto"/>
              <w:bottom w:val="none" w:sz="0" w:space="0" w:color="auto"/>
            </w:tcBorders>
            <w:shd w:val="clear" w:color="auto" w:fill="17365D" w:themeFill="text2" w:themeFillShade="BF"/>
            <w:noWrap/>
            <w:hideMark/>
          </w:tcPr>
          <w:p w14:paraId="44C62D31" w14:textId="77777777" w:rsidR="00581E1C" w:rsidRPr="00280853" w:rsidRDefault="00581E1C" w:rsidP="00D66F5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80853">
              <w:rPr>
                <w:rFonts w:ascii="Arial" w:eastAsia="Times New Roman" w:hAnsi="Arial" w:cs="Arial"/>
                <w:sz w:val="18"/>
                <w:szCs w:val="18"/>
              </w:rPr>
              <w:t>% vs. 20</w:t>
            </w:r>
            <w:r w:rsidR="007831B3" w:rsidRPr="00280853">
              <w:rPr>
                <w:rFonts w:ascii="Arial" w:eastAsia="Times New Roman" w:hAnsi="Arial" w:cs="Arial"/>
                <w:sz w:val="18"/>
                <w:szCs w:val="18"/>
              </w:rPr>
              <w:t>20</w:t>
            </w:r>
          </w:p>
        </w:tc>
        <w:tc>
          <w:tcPr>
            <w:tcW w:w="1602" w:type="dxa"/>
            <w:tcBorders>
              <w:top w:val="none" w:sz="0" w:space="0" w:color="auto"/>
              <w:bottom w:val="none" w:sz="0" w:space="0" w:color="auto"/>
            </w:tcBorders>
            <w:shd w:val="clear" w:color="auto" w:fill="17365D" w:themeFill="text2" w:themeFillShade="BF"/>
            <w:noWrap/>
            <w:hideMark/>
          </w:tcPr>
          <w:p w14:paraId="01C08D7E" w14:textId="77777777" w:rsidR="00581E1C" w:rsidRPr="00280853" w:rsidRDefault="00581E1C" w:rsidP="00D66F5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80853">
              <w:rPr>
                <w:rFonts w:ascii="Arial" w:eastAsia="Times New Roman" w:hAnsi="Arial" w:cs="Arial"/>
                <w:sz w:val="18"/>
                <w:szCs w:val="18"/>
              </w:rPr>
              <w:t>Unit Sales</w:t>
            </w:r>
          </w:p>
        </w:tc>
        <w:tc>
          <w:tcPr>
            <w:tcW w:w="1350" w:type="dxa"/>
            <w:tcBorders>
              <w:top w:val="none" w:sz="0" w:space="0" w:color="auto"/>
              <w:bottom w:val="none" w:sz="0" w:space="0" w:color="auto"/>
              <w:right w:val="none" w:sz="0" w:space="0" w:color="auto"/>
            </w:tcBorders>
            <w:shd w:val="clear" w:color="auto" w:fill="17365D" w:themeFill="text2" w:themeFillShade="BF"/>
            <w:noWrap/>
            <w:hideMark/>
          </w:tcPr>
          <w:p w14:paraId="5300C256" w14:textId="77777777" w:rsidR="00581E1C" w:rsidRPr="00280853" w:rsidRDefault="00581E1C" w:rsidP="00D66F5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80853">
              <w:rPr>
                <w:rFonts w:ascii="Arial" w:eastAsia="Times New Roman" w:hAnsi="Arial" w:cs="Arial"/>
                <w:sz w:val="18"/>
                <w:szCs w:val="18"/>
              </w:rPr>
              <w:t>% vs. 202</w:t>
            </w:r>
            <w:r w:rsidR="007831B3" w:rsidRPr="00280853">
              <w:rPr>
                <w:rFonts w:ascii="Arial" w:eastAsia="Times New Roman" w:hAnsi="Arial" w:cs="Arial"/>
                <w:sz w:val="18"/>
                <w:szCs w:val="18"/>
              </w:rPr>
              <w:t>1</w:t>
            </w:r>
          </w:p>
        </w:tc>
      </w:tr>
      <w:tr w:rsidR="00EB4984" w:rsidRPr="00E86580" w14:paraId="5A859038" w14:textId="77777777" w:rsidTr="006E628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5E724FB" w14:textId="77777777" w:rsidR="00EB4984" w:rsidRPr="00280853" w:rsidRDefault="00EB4984" w:rsidP="006E6284">
            <w:pPr>
              <w:rPr>
                <w:rFonts w:ascii="Arial" w:eastAsia="Times New Roman" w:hAnsi="Arial" w:cs="Arial"/>
                <w:b w:val="0"/>
                <w:bCs w:val="0"/>
                <w:color w:val="215868" w:themeColor="accent5" w:themeShade="80"/>
                <w:sz w:val="18"/>
                <w:szCs w:val="18"/>
              </w:rPr>
            </w:pPr>
            <w:r w:rsidRPr="00280853">
              <w:rPr>
                <w:rFonts w:ascii="Arial" w:eastAsia="Times New Roman" w:hAnsi="Arial" w:cs="Arial"/>
                <w:b w:val="0"/>
                <w:bCs w:val="0"/>
                <w:color w:val="215868" w:themeColor="accent5" w:themeShade="80"/>
                <w:sz w:val="18"/>
                <w:szCs w:val="18"/>
              </w:rPr>
              <w:t>Roses</w:t>
            </w:r>
          </w:p>
        </w:tc>
        <w:tc>
          <w:tcPr>
            <w:tcW w:w="1098" w:type="dxa"/>
            <w:noWrap/>
            <w:hideMark/>
          </w:tcPr>
          <w:p w14:paraId="3F82B3A2" w14:textId="37D42B3F" w:rsidR="00EB4984" w:rsidRPr="00280853" w:rsidRDefault="00EB4984"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$83M</w:t>
            </w:r>
          </w:p>
        </w:tc>
        <w:tc>
          <w:tcPr>
            <w:tcW w:w="1530" w:type="dxa"/>
            <w:noWrap/>
            <w:hideMark/>
          </w:tcPr>
          <w:p w14:paraId="143230D6" w14:textId="1F585303" w:rsidR="00EB4984" w:rsidRPr="00280853" w:rsidRDefault="00EB4984"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w:t>
            </w:r>
            <w:r w:rsidR="00217CA1" w:rsidRPr="00280853">
              <w:rPr>
                <w:rFonts w:ascii="Arial" w:eastAsia="Times New Roman" w:hAnsi="Arial" w:cs="Arial"/>
                <w:color w:val="215868" w:themeColor="accent5" w:themeShade="80"/>
                <w:sz w:val="18"/>
                <w:szCs w:val="18"/>
              </w:rPr>
              <w:t>10.5</w:t>
            </w:r>
            <w:r w:rsidRPr="00280853">
              <w:rPr>
                <w:rFonts w:ascii="Arial" w:eastAsia="Times New Roman" w:hAnsi="Arial" w:cs="Arial"/>
                <w:color w:val="215868" w:themeColor="accent5" w:themeShade="80"/>
                <w:sz w:val="18"/>
                <w:szCs w:val="18"/>
              </w:rPr>
              <w:t>%</w:t>
            </w:r>
          </w:p>
        </w:tc>
        <w:tc>
          <w:tcPr>
            <w:tcW w:w="1530" w:type="dxa"/>
            <w:noWrap/>
            <w:hideMark/>
          </w:tcPr>
          <w:p w14:paraId="64883331" w14:textId="2898D792" w:rsidR="00EB4984" w:rsidRPr="00280853" w:rsidRDefault="00EB4984"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w:t>
            </w:r>
            <w:r w:rsidR="00217CA1" w:rsidRPr="00280853">
              <w:rPr>
                <w:rFonts w:ascii="Arial" w:eastAsia="Times New Roman" w:hAnsi="Arial" w:cs="Arial"/>
                <w:color w:val="215868" w:themeColor="accent5" w:themeShade="80"/>
                <w:sz w:val="18"/>
                <w:szCs w:val="18"/>
              </w:rPr>
              <w:t>47.7</w:t>
            </w:r>
            <w:r w:rsidRPr="00280853">
              <w:rPr>
                <w:rFonts w:ascii="Arial" w:eastAsia="Times New Roman" w:hAnsi="Arial" w:cs="Arial"/>
                <w:color w:val="215868" w:themeColor="accent5" w:themeShade="80"/>
                <w:sz w:val="18"/>
                <w:szCs w:val="18"/>
              </w:rPr>
              <w:t>%</w:t>
            </w:r>
          </w:p>
        </w:tc>
        <w:tc>
          <w:tcPr>
            <w:tcW w:w="1602" w:type="dxa"/>
            <w:noWrap/>
            <w:hideMark/>
          </w:tcPr>
          <w:p w14:paraId="5820DA82" w14:textId="2CF22876" w:rsidR="00EB4984" w:rsidRPr="00280853" w:rsidRDefault="00217CA1"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7.2</w:t>
            </w:r>
            <w:r w:rsidR="00EB4984" w:rsidRPr="00280853">
              <w:rPr>
                <w:rFonts w:ascii="Arial" w:eastAsia="Times New Roman" w:hAnsi="Arial" w:cs="Arial"/>
                <w:color w:val="215868" w:themeColor="accent5" w:themeShade="80"/>
                <w:sz w:val="18"/>
                <w:szCs w:val="18"/>
              </w:rPr>
              <w:t>M</w:t>
            </w:r>
          </w:p>
        </w:tc>
        <w:tc>
          <w:tcPr>
            <w:tcW w:w="1350" w:type="dxa"/>
            <w:noWrap/>
            <w:hideMark/>
          </w:tcPr>
          <w:p w14:paraId="7F6B82CB" w14:textId="1FCEEC7E" w:rsidR="00EB4984" w:rsidRPr="00280853" w:rsidRDefault="00217CA1" w:rsidP="006E628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-2.4</w:t>
            </w:r>
            <w:r w:rsidR="00EB4984" w:rsidRPr="00280853">
              <w:rPr>
                <w:rFonts w:ascii="Arial" w:eastAsia="Times New Roman" w:hAnsi="Arial" w:cs="Arial"/>
                <w:color w:val="215868" w:themeColor="accent5" w:themeShade="80"/>
                <w:sz w:val="18"/>
                <w:szCs w:val="18"/>
              </w:rPr>
              <w:t>%</w:t>
            </w:r>
          </w:p>
        </w:tc>
      </w:tr>
      <w:tr w:rsidR="00217CA1" w:rsidRPr="00E86580" w14:paraId="35F5C66F" w14:textId="77777777" w:rsidTr="006E6284">
        <w:trPr>
          <w:trHeight w:val="2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C761CEA" w14:textId="77777777" w:rsidR="00217CA1" w:rsidRPr="00280853" w:rsidRDefault="00217CA1" w:rsidP="006E6284">
            <w:pPr>
              <w:rPr>
                <w:rFonts w:ascii="Arial" w:eastAsia="Times New Roman" w:hAnsi="Arial" w:cs="Arial"/>
                <w:b w:val="0"/>
                <w:bCs w:val="0"/>
                <w:color w:val="215868" w:themeColor="accent5" w:themeShade="80"/>
                <w:sz w:val="18"/>
                <w:szCs w:val="18"/>
              </w:rPr>
            </w:pPr>
            <w:r w:rsidRPr="00280853">
              <w:rPr>
                <w:rFonts w:ascii="Arial" w:eastAsia="Times New Roman" w:hAnsi="Arial" w:cs="Arial"/>
                <w:b w:val="0"/>
                <w:bCs w:val="0"/>
                <w:color w:val="215868" w:themeColor="accent5" w:themeShade="80"/>
                <w:sz w:val="18"/>
                <w:szCs w:val="18"/>
              </w:rPr>
              <w:t>Bouquets</w:t>
            </w:r>
          </w:p>
        </w:tc>
        <w:tc>
          <w:tcPr>
            <w:tcW w:w="1098" w:type="dxa"/>
            <w:noWrap/>
            <w:hideMark/>
          </w:tcPr>
          <w:p w14:paraId="4A401739" w14:textId="77777777" w:rsidR="00217CA1" w:rsidRPr="00280853" w:rsidRDefault="00217CA1" w:rsidP="006E6284">
            <w:pPr>
              <w:tabs>
                <w:tab w:val="center" w:pos="441"/>
                <w:tab w:val="right" w:pos="882"/>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ab/>
            </w:r>
            <w:r w:rsidRPr="00280853">
              <w:rPr>
                <w:rFonts w:ascii="Arial" w:eastAsia="Times New Roman" w:hAnsi="Arial" w:cs="Arial"/>
                <w:color w:val="215868" w:themeColor="accent5" w:themeShade="80"/>
                <w:sz w:val="18"/>
                <w:szCs w:val="18"/>
              </w:rPr>
              <w:tab/>
              <w:t>$68M</w:t>
            </w:r>
          </w:p>
        </w:tc>
        <w:tc>
          <w:tcPr>
            <w:tcW w:w="1530" w:type="dxa"/>
            <w:noWrap/>
            <w:hideMark/>
          </w:tcPr>
          <w:p w14:paraId="17C7B3DC" w14:textId="26EB9918" w:rsidR="00217CA1" w:rsidRPr="00280853" w:rsidRDefault="00217CA1"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+2.9%</w:t>
            </w:r>
          </w:p>
        </w:tc>
        <w:tc>
          <w:tcPr>
            <w:tcW w:w="1530" w:type="dxa"/>
            <w:noWrap/>
            <w:hideMark/>
          </w:tcPr>
          <w:p w14:paraId="634BC3B4" w14:textId="0D7CB0F6" w:rsidR="00217CA1" w:rsidRPr="00280853" w:rsidRDefault="00217CA1"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+24.9%</w:t>
            </w:r>
          </w:p>
        </w:tc>
        <w:tc>
          <w:tcPr>
            <w:tcW w:w="1602" w:type="dxa"/>
            <w:noWrap/>
            <w:hideMark/>
          </w:tcPr>
          <w:p w14:paraId="6C9FC6DA" w14:textId="4FA00060" w:rsidR="00217CA1" w:rsidRPr="00280853" w:rsidRDefault="00217CA1"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6.0M</w:t>
            </w:r>
          </w:p>
        </w:tc>
        <w:tc>
          <w:tcPr>
            <w:tcW w:w="1350" w:type="dxa"/>
            <w:noWrap/>
            <w:hideMark/>
          </w:tcPr>
          <w:p w14:paraId="489C79B4" w14:textId="601AB3F3" w:rsidR="00217CA1" w:rsidRPr="00280853" w:rsidRDefault="00217CA1" w:rsidP="006E628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-2.2%</w:t>
            </w:r>
          </w:p>
        </w:tc>
      </w:tr>
      <w:tr w:rsidR="00E86580" w:rsidRPr="00E86580" w14:paraId="51CCBD98" w14:textId="77777777" w:rsidTr="00D66F5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B0169CE" w14:textId="77777777" w:rsidR="00581E1C" w:rsidRPr="00280853" w:rsidRDefault="00581E1C" w:rsidP="00D66F5A">
            <w:pPr>
              <w:rPr>
                <w:rFonts w:ascii="Arial" w:eastAsia="Times New Roman" w:hAnsi="Arial" w:cs="Arial"/>
                <w:b w:val="0"/>
                <w:bCs w:val="0"/>
                <w:color w:val="215868" w:themeColor="accent5" w:themeShade="80"/>
                <w:sz w:val="18"/>
                <w:szCs w:val="18"/>
              </w:rPr>
            </w:pPr>
            <w:r w:rsidRPr="00280853">
              <w:rPr>
                <w:rFonts w:ascii="Arial" w:eastAsia="Times New Roman" w:hAnsi="Arial" w:cs="Arial"/>
                <w:b w:val="0"/>
                <w:bCs w:val="0"/>
                <w:color w:val="215868" w:themeColor="accent5" w:themeShade="80"/>
                <w:sz w:val="18"/>
                <w:szCs w:val="18"/>
              </w:rPr>
              <w:t>Potted plants</w:t>
            </w:r>
          </w:p>
        </w:tc>
        <w:tc>
          <w:tcPr>
            <w:tcW w:w="1098" w:type="dxa"/>
            <w:noWrap/>
            <w:hideMark/>
          </w:tcPr>
          <w:p w14:paraId="4044CEEA" w14:textId="706B85CC" w:rsidR="00581E1C" w:rsidRPr="00280853" w:rsidRDefault="00706F41" w:rsidP="00D66F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w:t>
            </w:r>
            <w:r w:rsidR="00EB4984" w:rsidRPr="00280853">
              <w:rPr>
                <w:rFonts w:ascii="Arial" w:eastAsia="Times New Roman" w:hAnsi="Arial" w:cs="Arial"/>
                <w:color w:val="215868" w:themeColor="accent5" w:themeShade="80"/>
                <w:sz w:val="18"/>
                <w:szCs w:val="18"/>
              </w:rPr>
              <w:t>60</w:t>
            </w:r>
            <w:r w:rsidR="00581E1C" w:rsidRPr="00280853">
              <w:rPr>
                <w:rFonts w:ascii="Arial" w:eastAsia="Times New Roman" w:hAnsi="Arial" w:cs="Arial"/>
                <w:color w:val="215868" w:themeColor="accent5" w:themeShade="80"/>
                <w:sz w:val="18"/>
                <w:szCs w:val="18"/>
              </w:rPr>
              <w:t>M</w:t>
            </w:r>
          </w:p>
        </w:tc>
        <w:tc>
          <w:tcPr>
            <w:tcW w:w="1530" w:type="dxa"/>
            <w:noWrap/>
            <w:hideMark/>
          </w:tcPr>
          <w:p w14:paraId="2AC2C100" w14:textId="2F976E77" w:rsidR="00581E1C" w:rsidRPr="00280853" w:rsidRDefault="00217CA1" w:rsidP="00D66F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-7.0</w:t>
            </w:r>
            <w:r w:rsidR="00581E1C" w:rsidRPr="00280853">
              <w:rPr>
                <w:rFonts w:ascii="Arial" w:eastAsia="Times New Roman" w:hAnsi="Arial" w:cs="Arial"/>
                <w:color w:val="215868" w:themeColor="accent5" w:themeShade="80"/>
                <w:sz w:val="18"/>
                <w:szCs w:val="18"/>
              </w:rPr>
              <w:t>%</w:t>
            </w:r>
          </w:p>
        </w:tc>
        <w:tc>
          <w:tcPr>
            <w:tcW w:w="1530" w:type="dxa"/>
            <w:noWrap/>
            <w:hideMark/>
          </w:tcPr>
          <w:p w14:paraId="0C72D640" w14:textId="34680E6B" w:rsidR="00581E1C" w:rsidRPr="00280853" w:rsidRDefault="00581E1C" w:rsidP="00D66F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w:t>
            </w:r>
            <w:r w:rsidR="00217CA1" w:rsidRPr="00280853">
              <w:rPr>
                <w:rFonts w:ascii="Arial" w:eastAsia="Times New Roman" w:hAnsi="Arial" w:cs="Arial"/>
                <w:color w:val="215868" w:themeColor="accent5" w:themeShade="80"/>
                <w:sz w:val="18"/>
                <w:szCs w:val="18"/>
              </w:rPr>
              <w:t>14.0</w:t>
            </w:r>
            <w:r w:rsidRPr="00280853">
              <w:rPr>
                <w:rFonts w:ascii="Arial" w:eastAsia="Times New Roman" w:hAnsi="Arial" w:cs="Arial"/>
                <w:color w:val="215868" w:themeColor="accent5" w:themeShade="80"/>
                <w:sz w:val="18"/>
                <w:szCs w:val="18"/>
              </w:rPr>
              <w:t>%</w:t>
            </w:r>
          </w:p>
        </w:tc>
        <w:tc>
          <w:tcPr>
            <w:tcW w:w="1602" w:type="dxa"/>
            <w:noWrap/>
            <w:hideMark/>
          </w:tcPr>
          <w:p w14:paraId="2C920009" w14:textId="533E8475" w:rsidR="00581E1C" w:rsidRPr="00280853" w:rsidRDefault="00217CA1" w:rsidP="00D66F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7.1</w:t>
            </w:r>
            <w:r w:rsidR="00581E1C" w:rsidRPr="00280853">
              <w:rPr>
                <w:rFonts w:ascii="Arial" w:eastAsia="Times New Roman" w:hAnsi="Arial" w:cs="Arial"/>
                <w:color w:val="215868" w:themeColor="accent5" w:themeShade="80"/>
                <w:sz w:val="18"/>
                <w:szCs w:val="18"/>
              </w:rPr>
              <w:t>M</w:t>
            </w:r>
          </w:p>
        </w:tc>
        <w:tc>
          <w:tcPr>
            <w:tcW w:w="1350" w:type="dxa"/>
            <w:noWrap/>
            <w:hideMark/>
          </w:tcPr>
          <w:p w14:paraId="7818283E" w14:textId="3C458619" w:rsidR="00581E1C" w:rsidRPr="00280853" w:rsidRDefault="007831B3" w:rsidP="00D66F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15868" w:themeColor="accent5" w:themeShade="80"/>
                <w:sz w:val="18"/>
                <w:szCs w:val="18"/>
              </w:rPr>
            </w:pPr>
            <w:r w:rsidRPr="00280853">
              <w:rPr>
                <w:rFonts w:ascii="Arial" w:eastAsia="Times New Roman" w:hAnsi="Arial" w:cs="Arial"/>
                <w:color w:val="215868" w:themeColor="accent5" w:themeShade="80"/>
                <w:sz w:val="18"/>
                <w:szCs w:val="18"/>
              </w:rPr>
              <w:t>-</w:t>
            </w:r>
            <w:r w:rsidR="00217CA1" w:rsidRPr="00280853">
              <w:rPr>
                <w:rFonts w:ascii="Arial" w:eastAsia="Times New Roman" w:hAnsi="Arial" w:cs="Arial"/>
                <w:color w:val="215868" w:themeColor="accent5" w:themeShade="80"/>
                <w:sz w:val="18"/>
                <w:szCs w:val="18"/>
              </w:rPr>
              <w:t>17.8</w:t>
            </w:r>
            <w:r w:rsidR="00581E1C" w:rsidRPr="00280853">
              <w:rPr>
                <w:rFonts w:ascii="Arial" w:eastAsia="Times New Roman" w:hAnsi="Arial" w:cs="Arial"/>
                <w:color w:val="215868" w:themeColor="accent5" w:themeShade="80"/>
                <w:sz w:val="18"/>
                <w:szCs w:val="18"/>
              </w:rPr>
              <w:t>%</w:t>
            </w:r>
          </w:p>
        </w:tc>
      </w:tr>
    </w:tbl>
    <w:p w14:paraId="4CFB7185" w14:textId="77777777" w:rsidR="007D3DBE" w:rsidRPr="00D66F5A" w:rsidRDefault="007D3DBE" w:rsidP="007D3DBE">
      <w:pPr>
        <w:pStyle w:val="NoSpacing"/>
        <w:rPr>
          <w:rFonts w:ascii="Arial" w:hAnsi="Arial" w:cs="Arial"/>
          <w:sz w:val="10"/>
          <w:szCs w:val="10"/>
        </w:rPr>
      </w:pPr>
    </w:p>
    <w:p w14:paraId="653ED501" w14:textId="77777777" w:rsidR="00B920A9" w:rsidRPr="007D3DBE" w:rsidRDefault="007D3DBE" w:rsidP="00CF651D">
      <w:pPr>
        <w:pStyle w:val="NoSpacing"/>
        <w:rPr>
          <w:rFonts w:ascii="Arial" w:hAnsi="Arial" w:cs="Arial"/>
          <w:b/>
          <w:color w:val="7F7F7F" w:themeColor="text1" w:themeTint="80"/>
          <w:sz w:val="24"/>
          <w:szCs w:val="24"/>
        </w:rPr>
      </w:pPr>
      <w:r w:rsidRPr="00FF7558">
        <w:rPr>
          <w:rFonts w:ascii="Arial" w:hAnsi="Arial" w:cs="Arial"/>
          <w:sz w:val="16"/>
          <w:szCs w:val="16"/>
        </w:rPr>
        <w:t xml:space="preserve">Source: IRI Integrated Fresh, Total U.S., MULO </w:t>
      </w:r>
      <w:r>
        <w:rPr>
          <w:rFonts w:ascii="Arial" w:hAnsi="Arial" w:cs="Arial"/>
          <w:sz w:val="16"/>
          <w:szCs w:val="16"/>
        </w:rPr>
        <w:br/>
      </w:r>
    </w:p>
    <w:p w14:paraId="367E7176" w14:textId="77777777" w:rsidR="006A4A53" w:rsidRPr="007D3DBE" w:rsidRDefault="006A4A53" w:rsidP="00CF651D">
      <w:pPr>
        <w:pStyle w:val="NoSpacing"/>
        <w:rPr>
          <w:rFonts w:ascii="Arial" w:hAnsi="Arial" w:cs="Arial"/>
          <w:b/>
          <w:color w:val="7F7F7F" w:themeColor="text1" w:themeTint="80"/>
          <w:sz w:val="24"/>
          <w:szCs w:val="24"/>
        </w:rPr>
      </w:pPr>
    </w:p>
    <w:p w14:paraId="2BD39D80" w14:textId="77777777" w:rsidR="00CF651D" w:rsidRPr="006879B2" w:rsidRDefault="00CF651D" w:rsidP="00CF651D">
      <w:pPr>
        <w:pStyle w:val="NoSpacing"/>
        <w:rPr>
          <w:rFonts w:ascii="Arial" w:hAnsi="Arial" w:cs="Arial"/>
          <w:b/>
          <w:color w:val="595959" w:themeColor="text1" w:themeTint="A6"/>
          <w:sz w:val="24"/>
          <w:szCs w:val="24"/>
        </w:rPr>
      </w:pPr>
      <w:r w:rsidRPr="006879B2">
        <w:rPr>
          <w:rFonts w:ascii="Arial" w:hAnsi="Arial" w:cs="Arial"/>
          <w:b/>
          <w:color w:val="595959" w:themeColor="text1" w:themeTint="A6"/>
          <w:sz w:val="24"/>
          <w:szCs w:val="24"/>
        </w:rPr>
        <w:t xml:space="preserve">What’s </w:t>
      </w:r>
      <w:r>
        <w:rPr>
          <w:rFonts w:ascii="Arial" w:hAnsi="Arial" w:cs="Arial"/>
          <w:b/>
          <w:color w:val="595959" w:themeColor="text1" w:themeTint="A6"/>
          <w:sz w:val="24"/>
          <w:szCs w:val="24"/>
        </w:rPr>
        <w:t>N</w:t>
      </w:r>
      <w:r w:rsidRPr="006879B2">
        <w:rPr>
          <w:rFonts w:ascii="Arial" w:hAnsi="Arial" w:cs="Arial"/>
          <w:b/>
          <w:color w:val="595959" w:themeColor="text1" w:themeTint="A6"/>
          <w:sz w:val="24"/>
          <w:szCs w:val="24"/>
        </w:rPr>
        <w:t xml:space="preserve">ext? </w:t>
      </w:r>
    </w:p>
    <w:p w14:paraId="2538FA0F" w14:textId="45CA7624" w:rsidR="000F53E4" w:rsidRDefault="000F53E4" w:rsidP="000F53E4">
      <w:pPr>
        <w:pStyle w:val="NoSpacing"/>
        <w:rPr>
          <w:rFonts w:ascii="Arial" w:hAnsi="Arial" w:cs="Arial"/>
          <w:color w:val="000000" w:themeColor="text1"/>
          <w:sz w:val="20"/>
          <w:szCs w:val="20"/>
        </w:rPr>
      </w:pPr>
      <w:bookmarkStart w:id="1" w:name="_Hlk79236872"/>
      <w:r>
        <w:rPr>
          <w:rFonts w:ascii="Arial" w:hAnsi="Arial" w:cs="Arial"/>
          <w:color w:val="000000" w:themeColor="text1"/>
          <w:sz w:val="20"/>
          <w:szCs w:val="20"/>
        </w:rPr>
        <w:t xml:space="preserve">The marketplace disruption caused by inflation, supply chain challenges and COVID-19 </w:t>
      </w:r>
      <w:proofErr w:type="gramStart"/>
      <w:r>
        <w:rPr>
          <w:rFonts w:ascii="Arial" w:hAnsi="Arial" w:cs="Arial"/>
          <w:color w:val="000000" w:themeColor="text1"/>
          <w:sz w:val="20"/>
          <w:szCs w:val="20"/>
        </w:rPr>
        <w:t>is</w:t>
      </w:r>
      <w:proofErr w:type="gramEnd"/>
      <w:r>
        <w:rPr>
          <w:rFonts w:ascii="Arial" w:hAnsi="Arial" w:cs="Arial"/>
          <w:color w:val="000000" w:themeColor="text1"/>
          <w:sz w:val="20"/>
          <w:szCs w:val="20"/>
        </w:rPr>
        <w:t xml:space="preserve"> not showing signs of letting up any time soon. Shoppers are reacting in a wide variety of ways. </w:t>
      </w:r>
    </w:p>
    <w:p w14:paraId="15DDCFB8" w14:textId="77777777" w:rsidR="000F53E4" w:rsidRDefault="000F53E4" w:rsidP="000F53E4">
      <w:pPr>
        <w:pStyle w:val="NoSpacing"/>
        <w:numPr>
          <w:ilvl w:val="0"/>
          <w:numId w:val="13"/>
        </w:numPr>
        <w:rPr>
          <w:rFonts w:ascii="Arial" w:hAnsi="Arial" w:cs="Arial"/>
          <w:color w:val="000000" w:themeColor="text1"/>
          <w:sz w:val="20"/>
          <w:szCs w:val="20"/>
        </w:rPr>
      </w:pPr>
      <w:r>
        <w:rPr>
          <w:rFonts w:ascii="Arial" w:hAnsi="Arial" w:cs="Arial"/>
          <w:color w:val="000000" w:themeColor="text1"/>
          <w:sz w:val="20"/>
          <w:szCs w:val="20"/>
        </w:rPr>
        <w:t xml:space="preserve">At 82.4%, the at-home share of all meals reached its highest level in a year, which favors spending at food retail. </w:t>
      </w:r>
    </w:p>
    <w:p w14:paraId="79767725" w14:textId="77777777" w:rsidR="000F53E4" w:rsidRDefault="000F53E4" w:rsidP="000F53E4">
      <w:pPr>
        <w:pStyle w:val="NoSpacing"/>
        <w:numPr>
          <w:ilvl w:val="0"/>
          <w:numId w:val="13"/>
        </w:numPr>
        <w:rPr>
          <w:rFonts w:ascii="Arial" w:hAnsi="Arial" w:cs="Arial"/>
          <w:color w:val="000000" w:themeColor="text1"/>
          <w:sz w:val="20"/>
          <w:szCs w:val="20"/>
        </w:rPr>
      </w:pPr>
      <w:r>
        <w:rPr>
          <w:rFonts w:ascii="Arial" w:hAnsi="Arial" w:cs="Arial"/>
          <w:color w:val="000000" w:themeColor="text1"/>
          <w:sz w:val="20"/>
          <w:szCs w:val="20"/>
        </w:rPr>
        <w:t xml:space="preserve">At the same time, the inflationary levels in retail have two-thirds of shoppers looking for one or more money saving measures. Inflation will likely continue to drive dollar gains for most categories in the foreseeable future but is pressuring unit and volume sales. </w:t>
      </w:r>
    </w:p>
    <w:p w14:paraId="50C5B436" w14:textId="77777777" w:rsidR="000F53E4" w:rsidRDefault="000F53E4" w:rsidP="000F53E4">
      <w:pPr>
        <w:pStyle w:val="NoSpacing"/>
        <w:numPr>
          <w:ilvl w:val="0"/>
          <w:numId w:val="13"/>
        </w:numPr>
        <w:rPr>
          <w:rFonts w:ascii="Arial" w:hAnsi="Arial" w:cs="Arial"/>
          <w:color w:val="000000" w:themeColor="text1"/>
          <w:sz w:val="20"/>
          <w:szCs w:val="20"/>
        </w:rPr>
      </w:pPr>
      <w:r>
        <w:rPr>
          <w:rFonts w:ascii="Arial" w:hAnsi="Arial" w:cs="Arial"/>
          <w:color w:val="000000" w:themeColor="text1"/>
          <w:sz w:val="20"/>
          <w:szCs w:val="20"/>
        </w:rPr>
        <w:t xml:space="preserve">For the first time since the onset of the pandemic, a greater share of shoppers (29%) </w:t>
      </w:r>
      <w:proofErr w:type="gramStart"/>
      <w:r>
        <w:rPr>
          <w:rFonts w:ascii="Arial" w:hAnsi="Arial" w:cs="Arial"/>
          <w:color w:val="000000" w:themeColor="text1"/>
          <w:sz w:val="20"/>
          <w:szCs w:val="20"/>
        </w:rPr>
        <w:t>feel</w:t>
      </w:r>
      <w:proofErr w:type="gramEnd"/>
      <w:r>
        <w:rPr>
          <w:rFonts w:ascii="Arial" w:hAnsi="Arial" w:cs="Arial"/>
          <w:color w:val="000000" w:themeColor="text1"/>
          <w:sz w:val="20"/>
          <w:szCs w:val="20"/>
        </w:rPr>
        <w:t xml:space="preserve"> their financial situation a year from now will be worse versus better (23%). About half, 48%, think it will be unchanged. This outlook may prompt a greater focus on money-saving measures beyond the current marketplace behaviors alone. </w:t>
      </w:r>
    </w:p>
    <w:p w14:paraId="4B9F5981" w14:textId="77777777" w:rsidR="000F53E4" w:rsidRPr="00B43C5B" w:rsidRDefault="000F53E4" w:rsidP="000F53E4">
      <w:pPr>
        <w:pStyle w:val="NoSpacing"/>
        <w:numPr>
          <w:ilvl w:val="0"/>
          <w:numId w:val="13"/>
        </w:numPr>
        <w:rPr>
          <w:rFonts w:ascii="Arial" w:hAnsi="Arial" w:cs="Arial"/>
          <w:color w:val="000000" w:themeColor="text1"/>
          <w:sz w:val="20"/>
          <w:szCs w:val="20"/>
        </w:rPr>
      </w:pPr>
      <w:r>
        <w:rPr>
          <w:rFonts w:ascii="Arial" w:hAnsi="Arial" w:cs="Arial"/>
          <w:color w:val="000000" w:themeColor="text1"/>
          <w:sz w:val="20"/>
          <w:szCs w:val="20"/>
        </w:rPr>
        <w:t xml:space="preserve">Continued rising inflation and shortages are driving stock up behaviors among 42% of shoppers. While 58% do not buy more than they need, 14% stocked up on one or more items out of concerns for continued price increases and 19% stocked up out of fear that the item will be out-of-stock next time.  </w:t>
      </w:r>
    </w:p>
    <w:p w14:paraId="1AE00470" w14:textId="77777777" w:rsidR="003D37B7" w:rsidRDefault="003D37B7" w:rsidP="003D37B7">
      <w:pPr>
        <w:pStyle w:val="NoSpacing"/>
        <w:rPr>
          <w:rFonts w:ascii="Arial" w:hAnsi="Arial" w:cs="Arial"/>
          <w:color w:val="000000" w:themeColor="text1"/>
          <w:sz w:val="20"/>
          <w:szCs w:val="20"/>
        </w:rPr>
      </w:pPr>
    </w:p>
    <w:p w14:paraId="1F16FBDB" w14:textId="4963C3C7" w:rsidR="001E19ED" w:rsidRDefault="001E19ED" w:rsidP="001E19ED">
      <w:pPr>
        <w:pStyle w:val="NoSpacing"/>
        <w:rPr>
          <w:rFonts w:ascii="Arial" w:hAnsi="Arial" w:cs="Arial"/>
          <w:sz w:val="20"/>
          <w:szCs w:val="20"/>
        </w:rPr>
      </w:pPr>
      <w:r>
        <w:rPr>
          <w:rFonts w:ascii="Arial" w:hAnsi="Arial" w:cs="Arial"/>
          <w:sz w:val="20"/>
          <w:szCs w:val="20"/>
        </w:rPr>
        <w:t>The next report, covering</w:t>
      </w:r>
      <w:r w:rsidR="003D37B7">
        <w:rPr>
          <w:rFonts w:ascii="Arial" w:hAnsi="Arial" w:cs="Arial"/>
          <w:sz w:val="20"/>
          <w:szCs w:val="20"/>
        </w:rPr>
        <w:t xml:space="preserve"> January</w:t>
      </w:r>
      <w:r>
        <w:rPr>
          <w:rFonts w:ascii="Arial" w:hAnsi="Arial" w:cs="Arial"/>
          <w:sz w:val="20"/>
          <w:szCs w:val="20"/>
        </w:rPr>
        <w:t>, will be released in mid-</w:t>
      </w:r>
      <w:r w:rsidR="000F53E4">
        <w:rPr>
          <w:rFonts w:ascii="Arial" w:hAnsi="Arial" w:cs="Arial"/>
          <w:sz w:val="20"/>
          <w:szCs w:val="20"/>
        </w:rPr>
        <w:t>March</w:t>
      </w:r>
      <w:r>
        <w:rPr>
          <w:rFonts w:ascii="Arial" w:hAnsi="Arial" w:cs="Arial"/>
          <w:sz w:val="20"/>
          <w:szCs w:val="20"/>
        </w:rPr>
        <w:t xml:space="preserve">. </w:t>
      </w:r>
      <w:r w:rsidRPr="008A6A7C">
        <w:rPr>
          <w:rFonts w:ascii="Arial" w:hAnsi="Arial" w:cs="Arial"/>
          <w:sz w:val="20"/>
          <w:szCs w:val="20"/>
        </w:rPr>
        <w:t xml:space="preserve">We encourage you to contact Joe Watson, </w:t>
      </w:r>
      <w:r w:rsidR="003D37B7">
        <w:rPr>
          <w:rFonts w:ascii="Arial" w:hAnsi="Arial" w:cs="Arial"/>
          <w:sz w:val="20"/>
          <w:szCs w:val="20"/>
        </w:rPr>
        <w:t>IFPA</w:t>
      </w:r>
      <w:r w:rsidRPr="008A6A7C">
        <w:rPr>
          <w:rFonts w:ascii="Arial" w:hAnsi="Arial" w:cs="Arial"/>
          <w:sz w:val="20"/>
          <w:szCs w:val="20"/>
        </w:rPr>
        <w:t xml:space="preserve">’s </w:t>
      </w:r>
      <w:r w:rsidR="0045675D">
        <w:rPr>
          <w:rFonts w:ascii="Arial" w:hAnsi="Arial" w:cs="Arial"/>
          <w:sz w:val="20"/>
          <w:szCs w:val="20"/>
        </w:rPr>
        <w:t>V</w:t>
      </w:r>
      <w:r w:rsidR="00086061">
        <w:rPr>
          <w:rFonts w:ascii="Arial" w:hAnsi="Arial" w:cs="Arial"/>
          <w:sz w:val="20"/>
          <w:szCs w:val="20"/>
        </w:rPr>
        <w:t>P,</w:t>
      </w:r>
      <w:r w:rsidR="0045675D">
        <w:rPr>
          <w:rFonts w:ascii="Arial" w:hAnsi="Arial" w:cs="Arial"/>
          <w:sz w:val="20"/>
          <w:szCs w:val="20"/>
        </w:rPr>
        <w:t xml:space="preserve"> Retail, Foodservice and Wholesale</w:t>
      </w:r>
      <w:r w:rsidRPr="008A6A7C">
        <w:rPr>
          <w:rFonts w:ascii="Arial" w:hAnsi="Arial" w:cs="Arial"/>
          <w:sz w:val="20"/>
          <w:szCs w:val="20"/>
        </w:rPr>
        <w:t xml:space="preserve">, at </w:t>
      </w:r>
      <w:hyperlink r:id="rId16" w:history="1">
        <w:r w:rsidR="0045675D" w:rsidRPr="0045675D">
          <w:rPr>
            <w:rStyle w:val="Hyperlink"/>
            <w:rFonts w:ascii="Arial" w:hAnsi="Arial" w:cs="Arial"/>
            <w:sz w:val="20"/>
            <w:szCs w:val="20"/>
          </w:rPr>
          <w:t>jwatson@freshproduce.com</w:t>
        </w:r>
      </w:hyperlink>
      <w:r w:rsidRPr="008A6A7C">
        <w:rPr>
          <w:rFonts w:ascii="Arial" w:hAnsi="Arial" w:cs="Arial"/>
          <w:sz w:val="20"/>
          <w:szCs w:val="20"/>
        </w:rPr>
        <w:t xml:space="preserve"> with any questions or concerns.</w:t>
      </w:r>
      <w:r>
        <w:rPr>
          <w:rFonts w:ascii="Arial" w:hAnsi="Arial" w:cs="Arial"/>
          <w:sz w:val="20"/>
          <w:szCs w:val="20"/>
        </w:rPr>
        <w:t xml:space="preserve"> </w:t>
      </w:r>
      <w:r w:rsidRPr="008A6A7C">
        <w:rPr>
          <w:rFonts w:ascii="Arial" w:hAnsi="Arial" w:cs="Arial"/>
          <w:sz w:val="20"/>
          <w:szCs w:val="20"/>
        </w:rPr>
        <w:t>Please recognize the continued dedication of the entire grocery and produce suppl</w:t>
      </w:r>
      <w:r>
        <w:rPr>
          <w:rFonts w:ascii="Arial" w:hAnsi="Arial" w:cs="Arial"/>
          <w:sz w:val="20"/>
          <w:szCs w:val="20"/>
        </w:rPr>
        <w:t>y chains, from farm to retailer</w:t>
      </w:r>
      <w:r w:rsidRPr="008A6A7C">
        <w:rPr>
          <w:rFonts w:ascii="Arial" w:hAnsi="Arial" w:cs="Arial"/>
          <w:sz w:val="20"/>
          <w:szCs w:val="20"/>
        </w:rPr>
        <w:t>. #produce #joyoffresh #SupermarketSuperHeroes.</w:t>
      </w:r>
    </w:p>
    <w:p w14:paraId="4FC8B8C1" w14:textId="77777777" w:rsidR="001E19ED" w:rsidRDefault="001E19ED" w:rsidP="001E19ED">
      <w:pPr>
        <w:pStyle w:val="NoSpacing"/>
        <w:rPr>
          <w:rFonts w:ascii="Arial" w:hAnsi="Arial" w:cs="Arial"/>
          <w:sz w:val="20"/>
          <w:szCs w:val="20"/>
        </w:rPr>
      </w:pPr>
    </w:p>
    <w:p w14:paraId="6264A6CB" w14:textId="77777777" w:rsidR="006A4A53" w:rsidRDefault="006A4A53" w:rsidP="006A4A53">
      <w:pPr>
        <w:pStyle w:val="NoSpacing"/>
        <w:rPr>
          <w:rFonts w:ascii="Arial" w:hAnsi="Arial" w:cs="Arial"/>
          <w:sz w:val="20"/>
          <w:szCs w:val="20"/>
        </w:rPr>
      </w:pPr>
    </w:p>
    <w:bookmarkEnd w:id="1"/>
    <w:p w14:paraId="4A5F9C0D" w14:textId="77777777" w:rsidR="00DC3686" w:rsidRDefault="00DC3686" w:rsidP="00DC3686">
      <w:pPr>
        <w:pStyle w:val="NoSpacing"/>
        <w:rPr>
          <w:rFonts w:ascii="Arial" w:hAnsi="Arial" w:cs="Arial"/>
          <w:b/>
          <w:sz w:val="20"/>
          <w:szCs w:val="20"/>
        </w:rPr>
      </w:pPr>
      <w:r>
        <w:rPr>
          <w:rFonts w:ascii="Arial" w:hAnsi="Arial" w:cs="Arial"/>
          <w:b/>
          <w:sz w:val="20"/>
          <w:szCs w:val="20"/>
        </w:rPr>
        <w:t xml:space="preserve">Date ranges: </w:t>
      </w:r>
    </w:p>
    <w:p w14:paraId="50F2848D" w14:textId="77777777" w:rsidR="00DC3686" w:rsidRDefault="00DC3686" w:rsidP="00DC3686">
      <w:pPr>
        <w:pStyle w:val="NoSpacing"/>
        <w:rPr>
          <w:rFonts w:ascii="Arial" w:hAnsi="Arial" w:cs="Arial"/>
          <w:sz w:val="20"/>
          <w:szCs w:val="20"/>
        </w:rPr>
      </w:pPr>
      <w:r>
        <w:rPr>
          <w:rFonts w:ascii="Arial" w:hAnsi="Arial" w:cs="Arial"/>
          <w:sz w:val="20"/>
          <w:szCs w:val="20"/>
        </w:rPr>
        <w:t>2019: 52 weeks ending 12/28/2019</w:t>
      </w:r>
    </w:p>
    <w:p w14:paraId="02D3E94C" w14:textId="77777777" w:rsidR="00DC3686" w:rsidRDefault="00DC3686" w:rsidP="00DC3686">
      <w:pPr>
        <w:pStyle w:val="NoSpacing"/>
        <w:rPr>
          <w:rFonts w:ascii="Arial" w:hAnsi="Arial" w:cs="Arial"/>
          <w:sz w:val="20"/>
          <w:szCs w:val="20"/>
        </w:rPr>
      </w:pPr>
      <w:r>
        <w:rPr>
          <w:rFonts w:ascii="Arial" w:hAnsi="Arial" w:cs="Arial"/>
          <w:sz w:val="20"/>
          <w:szCs w:val="20"/>
        </w:rPr>
        <w:lastRenderedPageBreak/>
        <w:t>2020: 52 weeks ending 12/27/2020</w:t>
      </w:r>
    </w:p>
    <w:p w14:paraId="16A9B472" w14:textId="77777777" w:rsidR="00DC3686" w:rsidRDefault="00DC3686" w:rsidP="00DC3686">
      <w:pPr>
        <w:pStyle w:val="NoSpacing"/>
        <w:rPr>
          <w:rFonts w:ascii="Arial" w:hAnsi="Arial" w:cs="Arial"/>
          <w:sz w:val="20"/>
          <w:szCs w:val="20"/>
        </w:rPr>
      </w:pPr>
      <w:r>
        <w:rPr>
          <w:rFonts w:ascii="Arial" w:hAnsi="Arial" w:cs="Arial"/>
          <w:sz w:val="20"/>
          <w:szCs w:val="20"/>
        </w:rPr>
        <w:t>Q1 2021: 13 weeks ending 3/28/2021</w:t>
      </w:r>
    </w:p>
    <w:p w14:paraId="077C36DD" w14:textId="77777777" w:rsidR="00DC3686" w:rsidRDefault="00DC3686" w:rsidP="00DC3686">
      <w:pPr>
        <w:pStyle w:val="NoSpacing"/>
        <w:rPr>
          <w:rFonts w:ascii="Arial" w:hAnsi="Arial" w:cs="Arial"/>
          <w:sz w:val="20"/>
          <w:szCs w:val="20"/>
        </w:rPr>
      </w:pPr>
      <w:r>
        <w:rPr>
          <w:rFonts w:ascii="Arial" w:hAnsi="Arial" w:cs="Arial"/>
          <w:sz w:val="20"/>
          <w:szCs w:val="20"/>
        </w:rPr>
        <w:t>Q2 2021: 13 weeks ending 6/27/2021</w:t>
      </w:r>
    </w:p>
    <w:p w14:paraId="43515E4D" w14:textId="77777777" w:rsidR="00DC3686" w:rsidRDefault="00DC3686" w:rsidP="00DC3686">
      <w:pPr>
        <w:pStyle w:val="NoSpacing"/>
        <w:rPr>
          <w:rFonts w:ascii="Arial" w:hAnsi="Arial" w:cs="Arial"/>
          <w:sz w:val="20"/>
          <w:szCs w:val="20"/>
        </w:rPr>
      </w:pPr>
      <w:r>
        <w:rPr>
          <w:rFonts w:ascii="Arial" w:hAnsi="Arial" w:cs="Arial"/>
          <w:sz w:val="20"/>
          <w:szCs w:val="20"/>
        </w:rPr>
        <w:t>Q3 2021: 13 weeks ending 9/26/2021</w:t>
      </w:r>
    </w:p>
    <w:p w14:paraId="239B9BA6" w14:textId="77777777" w:rsidR="00DC3686" w:rsidRDefault="00DC3686" w:rsidP="00DC3686">
      <w:pPr>
        <w:pStyle w:val="NoSpacing"/>
        <w:rPr>
          <w:rFonts w:ascii="Arial" w:hAnsi="Arial" w:cs="Arial"/>
          <w:sz w:val="20"/>
          <w:szCs w:val="20"/>
        </w:rPr>
      </w:pPr>
      <w:r>
        <w:rPr>
          <w:rFonts w:ascii="Arial" w:hAnsi="Arial" w:cs="Arial"/>
          <w:sz w:val="20"/>
          <w:szCs w:val="20"/>
        </w:rPr>
        <w:t>Q4 2021: 13 weeks ending 12/26/2021</w:t>
      </w:r>
    </w:p>
    <w:p w14:paraId="23AEE375" w14:textId="77777777" w:rsidR="00DC3686" w:rsidRDefault="00DC3686" w:rsidP="00DC3686">
      <w:pPr>
        <w:pStyle w:val="NoSpacing"/>
        <w:rPr>
          <w:rFonts w:ascii="Arial" w:hAnsi="Arial" w:cs="Arial"/>
          <w:sz w:val="20"/>
          <w:szCs w:val="20"/>
        </w:rPr>
      </w:pPr>
      <w:r>
        <w:rPr>
          <w:rFonts w:ascii="Arial" w:hAnsi="Arial" w:cs="Arial"/>
          <w:sz w:val="20"/>
          <w:szCs w:val="20"/>
        </w:rPr>
        <w:t>January 2022: 5 weeks ending 1/30/2022</w:t>
      </w:r>
    </w:p>
    <w:p w14:paraId="0758C32B" w14:textId="77777777" w:rsidR="00B60EDD" w:rsidRDefault="00B60EDD" w:rsidP="00B60EDD">
      <w:pPr>
        <w:pStyle w:val="NoSpacing"/>
        <w:rPr>
          <w:rFonts w:ascii="Arial" w:hAnsi="Arial" w:cs="Arial"/>
          <w:sz w:val="20"/>
          <w:szCs w:val="20"/>
        </w:rPr>
      </w:pPr>
    </w:p>
    <w:p w14:paraId="7343FCEB" w14:textId="77777777" w:rsidR="00C826C2" w:rsidRPr="008A6A7C" w:rsidRDefault="00C826C2" w:rsidP="00B60EDD">
      <w:pPr>
        <w:pStyle w:val="NoSpacing"/>
        <w:rPr>
          <w:rFonts w:ascii="Arial" w:hAnsi="Arial" w:cs="Arial"/>
          <w:sz w:val="20"/>
          <w:szCs w:val="20"/>
        </w:rPr>
      </w:pPr>
    </w:p>
    <w:sectPr w:rsidR="00C826C2" w:rsidRPr="008A6A7C" w:rsidSect="009172A3">
      <w:headerReference w:type="default" r:id="rId17"/>
      <w:footerReference w:type="default" r:id="rId18"/>
      <w:pgSz w:w="12240" w:h="15840"/>
      <w:pgMar w:top="1276" w:right="758" w:bottom="851"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263DE" w14:textId="77777777" w:rsidR="00840027" w:rsidRDefault="00840027" w:rsidP="007E1D2E">
      <w:pPr>
        <w:spacing w:after="0" w:line="240" w:lineRule="auto"/>
      </w:pPr>
      <w:r>
        <w:separator/>
      </w:r>
    </w:p>
  </w:endnote>
  <w:endnote w:type="continuationSeparator" w:id="0">
    <w:p w14:paraId="46E15FCD" w14:textId="77777777" w:rsidR="00840027" w:rsidRDefault="00840027" w:rsidP="007E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6B01" w14:textId="23468BA2" w:rsidR="00112E9A" w:rsidRPr="001C4C48" w:rsidRDefault="000F45C4" w:rsidP="009172A3">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rPr>
      <mc:AlternateContent>
        <mc:Choice Requires="wps">
          <w:drawing>
            <wp:anchor distT="0" distB="0" distL="114300" distR="114300" simplePos="0" relativeHeight="251658240" behindDoc="0" locked="0" layoutInCell="1" allowOverlap="1" wp14:anchorId="091F28F7" wp14:editId="114F1E35">
              <wp:simplePos x="0" y="0"/>
              <wp:positionH relativeFrom="page">
                <wp:posOffset>457200</wp:posOffset>
              </wp:positionH>
              <wp:positionV relativeFrom="paragraph">
                <wp:posOffset>148590</wp:posOffset>
              </wp:positionV>
              <wp:extent cx="6858000" cy="20320"/>
              <wp:effectExtent l="0" t="0" r="0" b="177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52F44"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80BF8AE" w14:textId="110F4C1E" w:rsidR="00112E9A" w:rsidRPr="00030F05" w:rsidRDefault="000F45C4" w:rsidP="009172A3">
    <w:pPr>
      <w:pStyle w:val="NoSpacing"/>
      <w:rPr>
        <w:sz w:val="16"/>
      </w:rPr>
    </w:pPr>
    <w:r>
      <w:rPr>
        <w:noProof/>
        <w:sz w:val="16"/>
      </w:rPr>
      <mc:AlternateContent>
        <mc:Choice Requires="wps">
          <w:drawing>
            <wp:anchor distT="0" distB="0" distL="114300" distR="114300" simplePos="0" relativeHeight="251659264" behindDoc="0" locked="0" layoutInCell="1" allowOverlap="1" wp14:anchorId="0B734F52" wp14:editId="71F2F78A">
              <wp:simplePos x="0" y="0"/>
              <wp:positionH relativeFrom="page">
                <wp:posOffset>5035550</wp:posOffset>
              </wp:positionH>
              <wp:positionV relativeFrom="page">
                <wp:posOffset>9556750</wp:posOffset>
              </wp:positionV>
              <wp:extent cx="2359025" cy="3473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9025" cy="347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0E1C4D" w14:textId="77777777" w:rsidR="00112E9A" w:rsidRPr="002E71F7" w:rsidRDefault="00112E9A" w:rsidP="009172A3">
                          <w:pPr>
                            <w:jc w:val="right"/>
                            <w:rPr>
                              <w:rFonts w:ascii="Arial" w:hAnsi="Arial" w:cs="Arial"/>
                              <w:color w:val="000000" w:themeColor="text1"/>
                              <w:sz w:val="14"/>
                              <w:szCs w:val="14"/>
                            </w:rPr>
                          </w:pPr>
                          <w:r w:rsidRPr="002E71F7">
                            <w:rPr>
                              <w:rFonts w:ascii="Arial" w:hAnsi="Arial" w:cs="Arial"/>
                              <w:color w:val="000000" w:themeColor="text1"/>
                              <w:sz w:val="14"/>
                              <w:szCs w:val="14"/>
                            </w:rPr>
                            <w:t xml:space="preserve">Copyright © </w:t>
                          </w:r>
                          <w:r>
                            <w:rPr>
                              <w:rFonts w:ascii="Arial" w:hAnsi="Arial" w:cs="Arial"/>
                              <w:color w:val="000000" w:themeColor="text1"/>
                              <w:sz w:val="14"/>
                              <w:szCs w:val="14"/>
                            </w:rPr>
                            <w:t xml:space="preserve">210 Analytics and </w:t>
                          </w:r>
                          <w:r>
                            <w:rPr>
                              <w:rFonts w:ascii="Arial" w:hAnsi="Arial" w:cs="Arial"/>
                              <w:color w:val="000000" w:themeColor="text1"/>
                              <w:sz w:val="14"/>
                              <w:szCs w:val="14"/>
                            </w:rPr>
                            <w:br/>
                          </w:r>
                          <w:r w:rsidRPr="002E71F7">
                            <w:rPr>
                              <w:rFonts w:ascii="Arial" w:hAnsi="Arial" w:cs="Arial"/>
                              <w:color w:val="000000" w:themeColor="text1"/>
                              <w:sz w:val="14"/>
                              <w:szCs w:val="14"/>
                            </w:rPr>
                            <w:t>Information Resources, Inc. (IRI)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34F52" id="_x0000_t202" coordsize="21600,21600" o:spt="202" path="m,l,21600r21600,l21600,xe">
              <v:stroke joinstyle="miter"/>
              <v:path gradientshapeok="t" o:connecttype="rect"/>
            </v:shapetype>
            <v:shape id="Text Box 3" o:spid="_x0000_s1027" type="#_x0000_t202" style="position:absolute;margin-left:396.5pt;margin-top:752.5pt;width:185.75pt;height:2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" filled="f" stroked="f">
              <v:textbox>
                <w:txbxContent>
                  <w:p w14:paraId="620E1C4D" w14:textId="77777777" w:rsidR="00112E9A" w:rsidRPr="002E71F7" w:rsidRDefault="00112E9A" w:rsidP="009172A3">
                    <w:pPr>
                      <w:jc w:val="right"/>
                      <w:rPr>
                        <w:rFonts w:ascii="Arial" w:hAnsi="Arial" w:cs="Arial"/>
                        <w:color w:val="000000" w:themeColor="text1"/>
                        <w:sz w:val="14"/>
                        <w:szCs w:val="14"/>
                      </w:rPr>
                    </w:pPr>
                    <w:r w:rsidRPr="002E71F7">
                      <w:rPr>
                        <w:rFonts w:ascii="Arial" w:hAnsi="Arial" w:cs="Arial"/>
                        <w:color w:val="000000" w:themeColor="text1"/>
                        <w:sz w:val="14"/>
                        <w:szCs w:val="14"/>
                      </w:rPr>
                      <w:t xml:space="preserve">Copyright © </w:t>
                    </w:r>
                    <w:r>
                      <w:rPr>
                        <w:rFonts w:ascii="Arial" w:hAnsi="Arial" w:cs="Arial"/>
                        <w:color w:val="000000" w:themeColor="text1"/>
                        <w:sz w:val="14"/>
                        <w:szCs w:val="14"/>
                      </w:rPr>
                      <w:t xml:space="preserve">210 Analytics and </w:t>
                    </w:r>
                    <w:r>
                      <w:rPr>
                        <w:rFonts w:ascii="Arial" w:hAnsi="Arial" w:cs="Arial"/>
                        <w:color w:val="000000" w:themeColor="text1"/>
                        <w:sz w:val="14"/>
                        <w:szCs w:val="14"/>
                      </w:rPr>
                      <w:br/>
                    </w:r>
                    <w:r w:rsidRPr="002E71F7">
                      <w:rPr>
                        <w:rFonts w:ascii="Arial" w:hAnsi="Arial" w:cs="Arial"/>
                        <w:color w:val="000000" w:themeColor="text1"/>
                        <w:sz w:val="14"/>
                        <w:szCs w:val="14"/>
                      </w:rPr>
                      <w:t>Information Resources, Inc. (IRI)</w:t>
                    </w:r>
                  </w:p>
                </w:txbxContent>
              </v:textbox>
              <w10:wrap anchorx="page" anchory="page"/>
            </v:shape>
          </w:pict>
        </mc:Fallback>
      </mc:AlternateContent>
    </w:r>
    <w:r w:rsidR="00112E9A" w:rsidRPr="00030F05">
      <w:rPr>
        <w:sz w:val="16"/>
      </w:rPr>
      <w:t>Need more information?</w:t>
    </w:r>
    <w:r w:rsidR="00112E9A" w:rsidRPr="00030F05">
      <w:rPr>
        <w:sz w:val="16"/>
      </w:rPr>
      <w:br/>
    </w:r>
    <w:r>
      <w:rPr>
        <w:sz w:val="16"/>
      </w:rPr>
      <w:t>freshfoods@iriworldwide.com</w:t>
    </w:r>
    <w:r w:rsidR="00112E9A">
      <w:rPr>
        <w:sz w:val="16"/>
      </w:rPr>
      <w:tab/>
    </w:r>
    <w:r w:rsidR="00112E9A">
      <w:rPr>
        <w:sz w:val="16"/>
      </w:rPr>
      <w:tab/>
    </w:r>
    <w:r w:rsidR="00112E9A">
      <w:rPr>
        <w:sz w:val="16"/>
      </w:rPr>
      <w:tab/>
      <w:t>210 Analytics</w:t>
    </w:r>
  </w:p>
  <w:p w14:paraId="6E4FF3AA" w14:textId="61144657" w:rsidR="00112E9A" w:rsidRPr="00030F05" w:rsidRDefault="00280853" w:rsidP="009172A3">
    <w:pPr>
      <w:pStyle w:val="NoSpacing"/>
      <w:rPr>
        <w:sz w:val="16"/>
      </w:rPr>
    </w:pPr>
    <w:r>
      <w:rPr>
        <w:sz w:val="16"/>
      </w:rPr>
      <w:t>FreshProduce@iriworldwide.com</w:t>
    </w:r>
    <w:r w:rsidR="00112E9A">
      <w:rPr>
        <w:sz w:val="16"/>
      </w:rPr>
      <w:tab/>
    </w:r>
    <w:r w:rsidR="00112E9A">
      <w:rPr>
        <w:sz w:val="16"/>
      </w:rPr>
      <w:tab/>
      <w:t>aroerink@210analytics.com</w:t>
    </w:r>
  </w:p>
  <w:p w14:paraId="0C43B367" w14:textId="77777777" w:rsidR="00112E9A" w:rsidRDefault="00112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11E7" w14:textId="77777777" w:rsidR="00840027" w:rsidRDefault="00840027" w:rsidP="007E1D2E">
      <w:pPr>
        <w:spacing w:after="0" w:line="240" w:lineRule="auto"/>
      </w:pPr>
      <w:r>
        <w:separator/>
      </w:r>
    </w:p>
  </w:footnote>
  <w:footnote w:type="continuationSeparator" w:id="0">
    <w:p w14:paraId="7374D67F" w14:textId="77777777" w:rsidR="00840027" w:rsidRDefault="00840027" w:rsidP="007E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63C2" w14:textId="77777777" w:rsidR="00112E9A" w:rsidRDefault="00112E9A">
    <w:pPr>
      <w:pStyle w:val="Header"/>
    </w:pPr>
    <w:r w:rsidRPr="00030F05">
      <w:rPr>
        <w:noProof/>
      </w:rPr>
      <w:drawing>
        <wp:anchor distT="0" distB="0" distL="114300" distR="114300" simplePos="0" relativeHeight="251657216" behindDoc="1" locked="1" layoutInCell="1" allowOverlap="1" wp14:anchorId="1C9A4F7D" wp14:editId="66E82C26">
          <wp:simplePos x="0" y="0"/>
          <wp:positionH relativeFrom="page">
            <wp:posOffset>1521847</wp:posOffset>
          </wp:positionH>
          <wp:positionV relativeFrom="page">
            <wp:posOffset>0</wp:posOffset>
          </wp:positionV>
          <wp:extent cx="6270431" cy="787179"/>
          <wp:effectExtent l="19050" t="0" r="0" b="0"/>
          <wp:wrapNone/>
          <wp:docPr id="1" name="Picture 12"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rcRect b="28448"/>
                  <a:stretch>
                    <a:fillRect/>
                  </a:stretch>
                </pic:blipFill>
                <pic:spPr>
                  <a:xfrm>
                    <a:off x="0" y="0"/>
                    <a:ext cx="6267450" cy="790575"/>
                  </a:xfrm>
                  <a:prstGeom prst="rect">
                    <a:avLst/>
                  </a:prstGeom>
                </pic:spPr>
              </pic:pic>
            </a:graphicData>
          </a:graphic>
        </wp:anchor>
      </w:drawing>
    </w:r>
    <w:r w:rsidRPr="00030F05">
      <w:rPr>
        <w:noProof/>
      </w:rPr>
      <w:drawing>
        <wp:anchor distT="0" distB="0" distL="114300" distR="114300" simplePos="0" relativeHeight="251656192" behindDoc="0" locked="1" layoutInCell="1" allowOverlap="1" wp14:anchorId="73F2A16B" wp14:editId="3E276A20">
          <wp:simplePos x="0" y="0"/>
          <wp:positionH relativeFrom="page">
            <wp:posOffset>-55659</wp:posOffset>
          </wp:positionH>
          <wp:positionV relativeFrom="page">
            <wp:posOffset>0</wp:posOffset>
          </wp:positionV>
          <wp:extent cx="7903596" cy="289450"/>
          <wp:effectExtent l="0" t="0" r="0" b="1270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jpg"/>
                  <pic:cNvPicPr/>
                </pic:nvPicPr>
                <pic:blipFill rotWithShape="1">
                  <a:blip r:embed="rId2">
                    <a:extLst>
                      <a:ext uri="{28A0092B-C50C-407E-A947-70E740481C1C}">
                        <a14:useLocalDpi xmlns:a14="http://schemas.microsoft.com/office/drawing/2010/main"/>
                      </a:ext>
                    </a:extLst>
                  </a:blip>
                  <a:srcRect/>
                  <a:stretch/>
                </pic:blipFill>
                <pic:spPr bwMode="auto">
                  <a:xfrm>
                    <a:off x="0" y="0"/>
                    <a:ext cx="7909560" cy="2921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C90"/>
    <w:multiLevelType w:val="hybridMultilevel"/>
    <w:tmpl w:val="752ED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040D6"/>
    <w:multiLevelType w:val="hybridMultilevel"/>
    <w:tmpl w:val="11A09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302F0"/>
    <w:multiLevelType w:val="hybridMultilevel"/>
    <w:tmpl w:val="E138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0879"/>
    <w:multiLevelType w:val="hybridMultilevel"/>
    <w:tmpl w:val="69AC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50D42"/>
    <w:multiLevelType w:val="hybridMultilevel"/>
    <w:tmpl w:val="8F8C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4D3521"/>
    <w:multiLevelType w:val="hybridMultilevel"/>
    <w:tmpl w:val="467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82225"/>
    <w:multiLevelType w:val="hybridMultilevel"/>
    <w:tmpl w:val="52A604A8"/>
    <w:lvl w:ilvl="0" w:tplc="AAAC1FB8">
      <w:start w:val="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A15C7"/>
    <w:multiLevelType w:val="hybridMultilevel"/>
    <w:tmpl w:val="38A47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924DE6"/>
    <w:multiLevelType w:val="hybridMultilevel"/>
    <w:tmpl w:val="649E6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5042CF"/>
    <w:multiLevelType w:val="hybridMultilevel"/>
    <w:tmpl w:val="A328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FF24BB"/>
    <w:multiLevelType w:val="hybridMultilevel"/>
    <w:tmpl w:val="A492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B31247"/>
    <w:multiLevelType w:val="hybridMultilevel"/>
    <w:tmpl w:val="A3E0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7A61B6"/>
    <w:multiLevelType w:val="hybridMultilevel"/>
    <w:tmpl w:val="85081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E87EF7"/>
    <w:multiLevelType w:val="hybridMultilevel"/>
    <w:tmpl w:val="3FBA4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5D18DB"/>
    <w:multiLevelType w:val="hybridMultilevel"/>
    <w:tmpl w:val="C2640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034E9D"/>
    <w:multiLevelType w:val="hybridMultilevel"/>
    <w:tmpl w:val="B81ED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464BB5"/>
    <w:multiLevelType w:val="hybridMultilevel"/>
    <w:tmpl w:val="53684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ED5576"/>
    <w:multiLevelType w:val="hybridMultilevel"/>
    <w:tmpl w:val="64E2B4B6"/>
    <w:lvl w:ilvl="0" w:tplc="D1F2BFB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D75C21"/>
    <w:multiLevelType w:val="hybridMultilevel"/>
    <w:tmpl w:val="39305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14"/>
  </w:num>
  <w:num w:numId="4">
    <w:abstractNumId w:val="15"/>
  </w:num>
  <w:num w:numId="5">
    <w:abstractNumId w:val="17"/>
  </w:num>
  <w:num w:numId="6">
    <w:abstractNumId w:val="2"/>
  </w:num>
  <w:num w:numId="7">
    <w:abstractNumId w:val="7"/>
  </w:num>
  <w:num w:numId="8">
    <w:abstractNumId w:val="8"/>
  </w:num>
  <w:num w:numId="9">
    <w:abstractNumId w:val="13"/>
  </w:num>
  <w:num w:numId="10">
    <w:abstractNumId w:val="11"/>
  </w:num>
  <w:num w:numId="11">
    <w:abstractNumId w:val="9"/>
  </w:num>
  <w:num w:numId="12">
    <w:abstractNumId w:val="3"/>
  </w:num>
  <w:num w:numId="13">
    <w:abstractNumId w:val="1"/>
  </w:num>
  <w:num w:numId="14">
    <w:abstractNumId w:val="0"/>
  </w:num>
  <w:num w:numId="15">
    <w:abstractNumId w:val="10"/>
  </w:num>
  <w:num w:numId="16">
    <w:abstractNumId w:val="12"/>
  </w:num>
  <w:num w:numId="17">
    <w:abstractNumId w:val="6"/>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2D"/>
    <w:rsid w:val="00000581"/>
    <w:rsid w:val="00007A72"/>
    <w:rsid w:val="00010D51"/>
    <w:rsid w:val="0001120A"/>
    <w:rsid w:val="000117EF"/>
    <w:rsid w:val="00012355"/>
    <w:rsid w:val="000166DA"/>
    <w:rsid w:val="00017F7D"/>
    <w:rsid w:val="00020882"/>
    <w:rsid w:val="00022AE5"/>
    <w:rsid w:val="00022DA3"/>
    <w:rsid w:val="00023C8F"/>
    <w:rsid w:val="000263ED"/>
    <w:rsid w:val="0003459A"/>
    <w:rsid w:val="00036105"/>
    <w:rsid w:val="000369B9"/>
    <w:rsid w:val="00036B2C"/>
    <w:rsid w:val="000375AF"/>
    <w:rsid w:val="00042FD2"/>
    <w:rsid w:val="000439A5"/>
    <w:rsid w:val="00043B43"/>
    <w:rsid w:val="00050514"/>
    <w:rsid w:val="0005157F"/>
    <w:rsid w:val="00051887"/>
    <w:rsid w:val="000526EA"/>
    <w:rsid w:val="00052CF6"/>
    <w:rsid w:val="000538C0"/>
    <w:rsid w:val="00053F8C"/>
    <w:rsid w:val="000544E1"/>
    <w:rsid w:val="000545C1"/>
    <w:rsid w:val="000554A9"/>
    <w:rsid w:val="00055F57"/>
    <w:rsid w:val="00057ED6"/>
    <w:rsid w:val="000607BB"/>
    <w:rsid w:val="00060A46"/>
    <w:rsid w:val="00061697"/>
    <w:rsid w:val="00061736"/>
    <w:rsid w:val="00062D68"/>
    <w:rsid w:val="00064FBD"/>
    <w:rsid w:val="000658F7"/>
    <w:rsid w:val="0006645D"/>
    <w:rsid w:val="000670BC"/>
    <w:rsid w:val="00070D2B"/>
    <w:rsid w:val="00070E17"/>
    <w:rsid w:val="00071A3E"/>
    <w:rsid w:val="00073676"/>
    <w:rsid w:val="00083DB0"/>
    <w:rsid w:val="00083EF7"/>
    <w:rsid w:val="00084469"/>
    <w:rsid w:val="00086061"/>
    <w:rsid w:val="00091E61"/>
    <w:rsid w:val="0009337A"/>
    <w:rsid w:val="000A1FB2"/>
    <w:rsid w:val="000A3E66"/>
    <w:rsid w:val="000A543A"/>
    <w:rsid w:val="000A7CDC"/>
    <w:rsid w:val="000B035F"/>
    <w:rsid w:val="000B0AF5"/>
    <w:rsid w:val="000B0C6D"/>
    <w:rsid w:val="000B16D5"/>
    <w:rsid w:val="000B44E8"/>
    <w:rsid w:val="000B4FD7"/>
    <w:rsid w:val="000B5FE1"/>
    <w:rsid w:val="000B62E2"/>
    <w:rsid w:val="000B705A"/>
    <w:rsid w:val="000B73DB"/>
    <w:rsid w:val="000C0984"/>
    <w:rsid w:val="000C0F39"/>
    <w:rsid w:val="000C1222"/>
    <w:rsid w:val="000C2C93"/>
    <w:rsid w:val="000C757A"/>
    <w:rsid w:val="000D036B"/>
    <w:rsid w:val="000D0664"/>
    <w:rsid w:val="000D5031"/>
    <w:rsid w:val="000D5607"/>
    <w:rsid w:val="000D5DA3"/>
    <w:rsid w:val="000D5E13"/>
    <w:rsid w:val="000D6CF5"/>
    <w:rsid w:val="000D6E48"/>
    <w:rsid w:val="000E02DD"/>
    <w:rsid w:val="000E109F"/>
    <w:rsid w:val="000E2CB5"/>
    <w:rsid w:val="000E3C59"/>
    <w:rsid w:val="000F1852"/>
    <w:rsid w:val="000F1BEC"/>
    <w:rsid w:val="000F3291"/>
    <w:rsid w:val="000F45C4"/>
    <w:rsid w:val="000F5310"/>
    <w:rsid w:val="000F53E4"/>
    <w:rsid w:val="000F55C0"/>
    <w:rsid w:val="000F7521"/>
    <w:rsid w:val="000F7549"/>
    <w:rsid w:val="000F7932"/>
    <w:rsid w:val="000F7F92"/>
    <w:rsid w:val="001008BD"/>
    <w:rsid w:val="0010093C"/>
    <w:rsid w:val="00100F44"/>
    <w:rsid w:val="00101C4E"/>
    <w:rsid w:val="001024F6"/>
    <w:rsid w:val="0010503A"/>
    <w:rsid w:val="00105352"/>
    <w:rsid w:val="0010695F"/>
    <w:rsid w:val="00106F0B"/>
    <w:rsid w:val="00112A5A"/>
    <w:rsid w:val="00112E9A"/>
    <w:rsid w:val="001141CA"/>
    <w:rsid w:val="0011420E"/>
    <w:rsid w:val="00114591"/>
    <w:rsid w:val="0011663F"/>
    <w:rsid w:val="00116FC7"/>
    <w:rsid w:val="0011773C"/>
    <w:rsid w:val="001210D2"/>
    <w:rsid w:val="001213B4"/>
    <w:rsid w:val="00121989"/>
    <w:rsid w:val="00121E18"/>
    <w:rsid w:val="00125FAE"/>
    <w:rsid w:val="00130D41"/>
    <w:rsid w:val="00131954"/>
    <w:rsid w:val="00131B9A"/>
    <w:rsid w:val="00133959"/>
    <w:rsid w:val="001344E1"/>
    <w:rsid w:val="00140A5F"/>
    <w:rsid w:val="00141DBA"/>
    <w:rsid w:val="001420B1"/>
    <w:rsid w:val="00143527"/>
    <w:rsid w:val="001452A1"/>
    <w:rsid w:val="00150F33"/>
    <w:rsid w:val="00151C32"/>
    <w:rsid w:val="00151CCC"/>
    <w:rsid w:val="00152095"/>
    <w:rsid w:val="00155142"/>
    <w:rsid w:val="00155ACB"/>
    <w:rsid w:val="00157669"/>
    <w:rsid w:val="00157776"/>
    <w:rsid w:val="0016082C"/>
    <w:rsid w:val="00160D1A"/>
    <w:rsid w:val="00162C95"/>
    <w:rsid w:val="00163CF9"/>
    <w:rsid w:val="00163F0B"/>
    <w:rsid w:val="00164B37"/>
    <w:rsid w:val="0016509F"/>
    <w:rsid w:val="001676D0"/>
    <w:rsid w:val="0017206C"/>
    <w:rsid w:val="001729EA"/>
    <w:rsid w:val="001823F0"/>
    <w:rsid w:val="0018439F"/>
    <w:rsid w:val="001904BA"/>
    <w:rsid w:val="00190A58"/>
    <w:rsid w:val="00191B23"/>
    <w:rsid w:val="00192C41"/>
    <w:rsid w:val="00192E8C"/>
    <w:rsid w:val="001937D1"/>
    <w:rsid w:val="001946FE"/>
    <w:rsid w:val="00194FCF"/>
    <w:rsid w:val="0019681B"/>
    <w:rsid w:val="0019735A"/>
    <w:rsid w:val="0019737A"/>
    <w:rsid w:val="001A1830"/>
    <w:rsid w:val="001A2844"/>
    <w:rsid w:val="001A2FCB"/>
    <w:rsid w:val="001A4317"/>
    <w:rsid w:val="001A4F53"/>
    <w:rsid w:val="001B04C2"/>
    <w:rsid w:val="001B27BC"/>
    <w:rsid w:val="001B2A5E"/>
    <w:rsid w:val="001B361F"/>
    <w:rsid w:val="001B5D83"/>
    <w:rsid w:val="001B6F56"/>
    <w:rsid w:val="001C0658"/>
    <w:rsid w:val="001C0962"/>
    <w:rsid w:val="001C454A"/>
    <w:rsid w:val="001C5358"/>
    <w:rsid w:val="001C56E4"/>
    <w:rsid w:val="001C6281"/>
    <w:rsid w:val="001C641C"/>
    <w:rsid w:val="001C6B93"/>
    <w:rsid w:val="001D0A38"/>
    <w:rsid w:val="001D0C47"/>
    <w:rsid w:val="001D0D13"/>
    <w:rsid w:val="001D13E3"/>
    <w:rsid w:val="001D1C94"/>
    <w:rsid w:val="001D1FD7"/>
    <w:rsid w:val="001D2163"/>
    <w:rsid w:val="001D5464"/>
    <w:rsid w:val="001D5C1A"/>
    <w:rsid w:val="001E19ED"/>
    <w:rsid w:val="001E1AD8"/>
    <w:rsid w:val="001E2207"/>
    <w:rsid w:val="001E26EB"/>
    <w:rsid w:val="001E28F9"/>
    <w:rsid w:val="001E3E8E"/>
    <w:rsid w:val="001E4381"/>
    <w:rsid w:val="001E4CD3"/>
    <w:rsid w:val="001E4D03"/>
    <w:rsid w:val="001E5E9F"/>
    <w:rsid w:val="001E726D"/>
    <w:rsid w:val="001F04FA"/>
    <w:rsid w:val="001F292B"/>
    <w:rsid w:val="001F29DC"/>
    <w:rsid w:val="001F512A"/>
    <w:rsid w:val="001F53D3"/>
    <w:rsid w:val="001F7395"/>
    <w:rsid w:val="00200C0F"/>
    <w:rsid w:val="00200D19"/>
    <w:rsid w:val="00203B6C"/>
    <w:rsid w:val="00206FA1"/>
    <w:rsid w:val="00207525"/>
    <w:rsid w:val="0021074E"/>
    <w:rsid w:val="002137F5"/>
    <w:rsid w:val="00213F99"/>
    <w:rsid w:val="0021462C"/>
    <w:rsid w:val="00214C85"/>
    <w:rsid w:val="0021673D"/>
    <w:rsid w:val="00216752"/>
    <w:rsid w:val="0021684E"/>
    <w:rsid w:val="00217CA1"/>
    <w:rsid w:val="00217E85"/>
    <w:rsid w:val="0022022C"/>
    <w:rsid w:val="00220B71"/>
    <w:rsid w:val="0022252A"/>
    <w:rsid w:val="00223410"/>
    <w:rsid w:val="00226322"/>
    <w:rsid w:val="00227ED7"/>
    <w:rsid w:val="00230809"/>
    <w:rsid w:val="00230E25"/>
    <w:rsid w:val="00231015"/>
    <w:rsid w:val="002314B8"/>
    <w:rsid w:val="00231A49"/>
    <w:rsid w:val="00231B9B"/>
    <w:rsid w:val="00231DF3"/>
    <w:rsid w:val="00232B19"/>
    <w:rsid w:val="002358BA"/>
    <w:rsid w:val="00235FBD"/>
    <w:rsid w:val="002450E6"/>
    <w:rsid w:val="0024650C"/>
    <w:rsid w:val="00247235"/>
    <w:rsid w:val="00247561"/>
    <w:rsid w:val="00250FB7"/>
    <w:rsid w:val="00251476"/>
    <w:rsid w:val="00252AC4"/>
    <w:rsid w:val="00254063"/>
    <w:rsid w:val="00254795"/>
    <w:rsid w:val="00254FD3"/>
    <w:rsid w:val="002559AC"/>
    <w:rsid w:val="002577CE"/>
    <w:rsid w:val="0026038C"/>
    <w:rsid w:val="00260E1C"/>
    <w:rsid w:val="00262B7A"/>
    <w:rsid w:val="00263C9F"/>
    <w:rsid w:val="00265A50"/>
    <w:rsid w:val="00267E57"/>
    <w:rsid w:val="00271EF8"/>
    <w:rsid w:val="00272C41"/>
    <w:rsid w:val="00273813"/>
    <w:rsid w:val="002741C9"/>
    <w:rsid w:val="00274C89"/>
    <w:rsid w:val="00280853"/>
    <w:rsid w:val="00281DD0"/>
    <w:rsid w:val="002829C4"/>
    <w:rsid w:val="00283FD8"/>
    <w:rsid w:val="00284D1B"/>
    <w:rsid w:val="002855FE"/>
    <w:rsid w:val="00285C02"/>
    <w:rsid w:val="00286F2E"/>
    <w:rsid w:val="002909D7"/>
    <w:rsid w:val="00290E49"/>
    <w:rsid w:val="00292CDE"/>
    <w:rsid w:val="00292EC7"/>
    <w:rsid w:val="002938C6"/>
    <w:rsid w:val="00296016"/>
    <w:rsid w:val="002968B4"/>
    <w:rsid w:val="002979E1"/>
    <w:rsid w:val="00297D11"/>
    <w:rsid w:val="002A4D9A"/>
    <w:rsid w:val="002B1115"/>
    <w:rsid w:val="002B46DD"/>
    <w:rsid w:val="002B647B"/>
    <w:rsid w:val="002C0E44"/>
    <w:rsid w:val="002C11A9"/>
    <w:rsid w:val="002C22DF"/>
    <w:rsid w:val="002C2F4F"/>
    <w:rsid w:val="002C64EC"/>
    <w:rsid w:val="002C6B59"/>
    <w:rsid w:val="002C7619"/>
    <w:rsid w:val="002D28F4"/>
    <w:rsid w:val="002D3293"/>
    <w:rsid w:val="002D3EC8"/>
    <w:rsid w:val="002D5486"/>
    <w:rsid w:val="002D7676"/>
    <w:rsid w:val="002D7D39"/>
    <w:rsid w:val="002D7F8D"/>
    <w:rsid w:val="002E0575"/>
    <w:rsid w:val="002E09F5"/>
    <w:rsid w:val="002E3448"/>
    <w:rsid w:val="002E3E0D"/>
    <w:rsid w:val="002E4BE8"/>
    <w:rsid w:val="002E5503"/>
    <w:rsid w:val="002E5A54"/>
    <w:rsid w:val="002E6833"/>
    <w:rsid w:val="002E76F7"/>
    <w:rsid w:val="002E78E1"/>
    <w:rsid w:val="002E7CDB"/>
    <w:rsid w:val="002F3E80"/>
    <w:rsid w:val="002F74F6"/>
    <w:rsid w:val="002F7B5D"/>
    <w:rsid w:val="00300012"/>
    <w:rsid w:val="00301A27"/>
    <w:rsid w:val="00301A61"/>
    <w:rsid w:val="00302080"/>
    <w:rsid w:val="003025A7"/>
    <w:rsid w:val="00305692"/>
    <w:rsid w:val="003057CD"/>
    <w:rsid w:val="00307723"/>
    <w:rsid w:val="00310171"/>
    <w:rsid w:val="0031035E"/>
    <w:rsid w:val="00310885"/>
    <w:rsid w:val="00311B6D"/>
    <w:rsid w:val="00313FC0"/>
    <w:rsid w:val="003150F5"/>
    <w:rsid w:val="00315642"/>
    <w:rsid w:val="00315C59"/>
    <w:rsid w:val="003168B6"/>
    <w:rsid w:val="00317658"/>
    <w:rsid w:val="00321D95"/>
    <w:rsid w:val="00323CA3"/>
    <w:rsid w:val="00324012"/>
    <w:rsid w:val="00324348"/>
    <w:rsid w:val="00324547"/>
    <w:rsid w:val="003269C9"/>
    <w:rsid w:val="003304F8"/>
    <w:rsid w:val="00330FD7"/>
    <w:rsid w:val="0033194E"/>
    <w:rsid w:val="00331E0B"/>
    <w:rsid w:val="00332630"/>
    <w:rsid w:val="00332866"/>
    <w:rsid w:val="00334213"/>
    <w:rsid w:val="00334F5C"/>
    <w:rsid w:val="0033541D"/>
    <w:rsid w:val="00335BB3"/>
    <w:rsid w:val="00335E8D"/>
    <w:rsid w:val="00336C30"/>
    <w:rsid w:val="003400E7"/>
    <w:rsid w:val="00340AA9"/>
    <w:rsid w:val="00342B2D"/>
    <w:rsid w:val="003433C6"/>
    <w:rsid w:val="003441BB"/>
    <w:rsid w:val="00345BA2"/>
    <w:rsid w:val="00345E41"/>
    <w:rsid w:val="003507F8"/>
    <w:rsid w:val="003508FD"/>
    <w:rsid w:val="003538DC"/>
    <w:rsid w:val="003555F0"/>
    <w:rsid w:val="0035616A"/>
    <w:rsid w:val="00357E26"/>
    <w:rsid w:val="00361BCC"/>
    <w:rsid w:val="003627EF"/>
    <w:rsid w:val="003671FD"/>
    <w:rsid w:val="00367C42"/>
    <w:rsid w:val="00373662"/>
    <w:rsid w:val="00375DB1"/>
    <w:rsid w:val="00380CBC"/>
    <w:rsid w:val="0038311D"/>
    <w:rsid w:val="00384446"/>
    <w:rsid w:val="00384746"/>
    <w:rsid w:val="0038533A"/>
    <w:rsid w:val="00386440"/>
    <w:rsid w:val="0038781D"/>
    <w:rsid w:val="00392773"/>
    <w:rsid w:val="00392F8D"/>
    <w:rsid w:val="00393115"/>
    <w:rsid w:val="00393357"/>
    <w:rsid w:val="003935EB"/>
    <w:rsid w:val="00393E83"/>
    <w:rsid w:val="00394F89"/>
    <w:rsid w:val="00395431"/>
    <w:rsid w:val="0039690E"/>
    <w:rsid w:val="003A0E9C"/>
    <w:rsid w:val="003A1E76"/>
    <w:rsid w:val="003A20BE"/>
    <w:rsid w:val="003A40A2"/>
    <w:rsid w:val="003A7E92"/>
    <w:rsid w:val="003B041E"/>
    <w:rsid w:val="003B0512"/>
    <w:rsid w:val="003B22D4"/>
    <w:rsid w:val="003B318C"/>
    <w:rsid w:val="003B4FA0"/>
    <w:rsid w:val="003B6387"/>
    <w:rsid w:val="003C39A1"/>
    <w:rsid w:val="003C455D"/>
    <w:rsid w:val="003C4C33"/>
    <w:rsid w:val="003C6387"/>
    <w:rsid w:val="003C63CD"/>
    <w:rsid w:val="003C7643"/>
    <w:rsid w:val="003C782B"/>
    <w:rsid w:val="003C7846"/>
    <w:rsid w:val="003C7D7A"/>
    <w:rsid w:val="003D0AE6"/>
    <w:rsid w:val="003D0C38"/>
    <w:rsid w:val="003D2003"/>
    <w:rsid w:val="003D2D37"/>
    <w:rsid w:val="003D31A0"/>
    <w:rsid w:val="003D37B7"/>
    <w:rsid w:val="003D46CC"/>
    <w:rsid w:val="003E0C1E"/>
    <w:rsid w:val="003E0E97"/>
    <w:rsid w:val="003E1146"/>
    <w:rsid w:val="003E1441"/>
    <w:rsid w:val="003E1B5F"/>
    <w:rsid w:val="003E2198"/>
    <w:rsid w:val="003E330D"/>
    <w:rsid w:val="003E4829"/>
    <w:rsid w:val="003E55E0"/>
    <w:rsid w:val="003E5674"/>
    <w:rsid w:val="003F1982"/>
    <w:rsid w:val="003F22C7"/>
    <w:rsid w:val="003F230B"/>
    <w:rsid w:val="003F3DAA"/>
    <w:rsid w:val="003F513E"/>
    <w:rsid w:val="003F5D02"/>
    <w:rsid w:val="003F676E"/>
    <w:rsid w:val="00401D64"/>
    <w:rsid w:val="00402E47"/>
    <w:rsid w:val="00403382"/>
    <w:rsid w:val="00403929"/>
    <w:rsid w:val="00403A49"/>
    <w:rsid w:val="004045F4"/>
    <w:rsid w:val="00405174"/>
    <w:rsid w:val="00405372"/>
    <w:rsid w:val="00406AA9"/>
    <w:rsid w:val="00412BCF"/>
    <w:rsid w:val="00413E9F"/>
    <w:rsid w:val="004146EF"/>
    <w:rsid w:val="00414983"/>
    <w:rsid w:val="004164A0"/>
    <w:rsid w:val="00421894"/>
    <w:rsid w:val="00422C9B"/>
    <w:rsid w:val="00422CBC"/>
    <w:rsid w:val="00423839"/>
    <w:rsid w:val="00423AA6"/>
    <w:rsid w:val="0042476D"/>
    <w:rsid w:val="00424B0A"/>
    <w:rsid w:val="004262CE"/>
    <w:rsid w:val="00427A55"/>
    <w:rsid w:val="004304A7"/>
    <w:rsid w:val="004324AC"/>
    <w:rsid w:val="004349A0"/>
    <w:rsid w:val="00434A67"/>
    <w:rsid w:val="00434B5E"/>
    <w:rsid w:val="00435088"/>
    <w:rsid w:val="00437E02"/>
    <w:rsid w:val="00440E23"/>
    <w:rsid w:val="00441424"/>
    <w:rsid w:val="00441E8F"/>
    <w:rsid w:val="00443A78"/>
    <w:rsid w:val="00444E82"/>
    <w:rsid w:val="00444F30"/>
    <w:rsid w:val="00445232"/>
    <w:rsid w:val="00445503"/>
    <w:rsid w:val="004460B5"/>
    <w:rsid w:val="00447877"/>
    <w:rsid w:val="00452431"/>
    <w:rsid w:val="00453713"/>
    <w:rsid w:val="004563F4"/>
    <w:rsid w:val="0045675D"/>
    <w:rsid w:val="00460FB7"/>
    <w:rsid w:val="0046208B"/>
    <w:rsid w:val="004634E6"/>
    <w:rsid w:val="004647C0"/>
    <w:rsid w:val="004649F1"/>
    <w:rsid w:val="00465D0F"/>
    <w:rsid w:val="00466863"/>
    <w:rsid w:val="00466C35"/>
    <w:rsid w:val="00466D79"/>
    <w:rsid w:val="00470A5F"/>
    <w:rsid w:val="00472A5B"/>
    <w:rsid w:val="00474357"/>
    <w:rsid w:val="00476037"/>
    <w:rsid w:val="0047723D"/>
    <w:rsid w:val="004773E0"/>
    <w:rsid w:val="0047795F"/>
    <w:rsid w:val="00480D74"/>
    <w:rsid w:val="004816C6"/>
    <w:rsid w:val="00482A2D"/>
    <w:rsid w:val="004850A1"/>
    <w:rsid w:val="00486117"/>
    <w:rsid w:val="00486A68"/>
    <w:rsid w:val="00487253"/>
    <w:rsid w:val="00490DEA"/>
    <w:rsid w:val="00491167"/>
    <w:rsid w:val="00493F7F"/>
    <w:rsid w:val="004940C4"/>
    <w:rsid w:val="00495014"/>
    <w:rsid w:val="00495F2C"/>
    <w:rsid w:val="004A11C3"/>
    <w:rsid w:val="004A4DF1"/>
    <w:rsid w:val="004A4F04"/>
    <w:rsid w:val="004B0A09"/>
    <w:rsid w:val="004B1860"/>
    <w:rsid w:val="004B21FF"/>
    <w:rsid w:val="004B2C15"/>
    <w:rsid w:val="004B4107"/>
    <w:rsid w:val="004B5E72"/>
    <w:rsid w:val="004B7B04"/>
    <w:rsid w:val="004C079D"/>
    <w:rsid w:val="004C2A38"/>
    <w:rsid w:val="004C2B65"/>
    <w:rsid w:val="004C48C8"/>
    <w:rsid w:val="004C5A19"/>
    <w:rsid w:val="004C6EF6"/>
    <w:rsid w:val="004C74E9"/>
    <w:rsid w:val="004D185B"/>
    <w:rsid w:val="004D26B3"/>
    <w:rsid w:val="004D2786"/>
    <w:rsid w:val="004D2E26"/>
    <w:rsid w:val="004D3159"/>
    <w:rsid w:val="004D582E"/>
    <w:rsid w:val="004D611F"/>
    <w:rsid w:val="004D6484"/>
    <w:rsid w:val="004D72F0"/>
    <w:rsid w:val="004E17F7"/>
    <w:rsid w:val="004E1D60"/>
    <w:rsid w:val="004E1FBB"/>
    <w:rsid w:val="004F346A"/>
    <w:rsid w:val="004F61B9"/>
    <w:rsid w:val="004F66AC"/>
    <w:rsid w:val="004F69B5"/>
    <w:rsid w:val="004F7335"/>
    <w:rsid w:val="005041EB"/>
    <w:rsid w:val="00504AF6"/>
    <w:rsid w:val="00504E6B"/>
    <w:rsid w:val="00504EC1"/>
    <w:rsid w:val="00504F5F"/>
    <w:rsid w:val="005070E3"/>
    <w:rsid w:val="00507D74"/>
    <w:rsid w:val="0051320B"/>
    <w:rsid w:val="00514512"/>
    <w:rsid w:val="00516F4B"/>
    <w:rsid w:val="00517A63"/>
    <w:rsid w:val="00517D7F"/>
    <w:rsid w:val="00520731"/>
    <w:rsid w:val="00521574"/>
    <w:rsid w:val="00524358"/>
    <w:rsid w:val="00525BFD"/>
    <w:rsid w:val="0053257C"/>
    <w:rsid w:val="00533970"/>
    <w:rsid w:val="00534F05"/>
    <w:rsid w:val="00540B8A"/>
    <w:rsid w:val="00541668"/>
    <w:rsid w:val="00542741"/>
    <w:rsid w:val="00542BDA"/>
    <w:rsid w:val="00543085"/>
    <w:rsid w:val="00546508"/>
    <w:rsid w:val="00547E8F"/>
    <w:rsid w:val="00550F90"/>
    <w:rsid w:val="005512D4"/>
    <w:rsid w:val="00551D01"/>
    <w:rsid w:val="0055305F"/>
    <w:rsid w:val="005561B1"/>
    <w:rsid w:val="005565BE"/>
    <w:rsid w:val="005575E8"/>
    <w:rsid w:val="005627D0"/>
    <w:rsid w:val="00562AF2"/>
    <w:rsid w:val="00563A06"/>
    <w:rsid w:val="00565FD2"/>
    <w:rsid w:val="00566B14"/>
    <w:rsid w:val="00570B51"/>
    <w:rsid w:val="00570D2C"/>
    <w:rsid w:val="00571158"/>
    <w:rsid w:val="005729FD"/>
    <w:rsid w:val="00574B6E"/>
    <w:rsid w:val="00574C00"/>
    <w:rsid w:val="00575026"/>
    <w:rsid w:val="00576016"/>
    <w:rsid w:val="005761CC"/>
    <w:rsid w:val="00576207"/>
    <w:rsid w:val="00581E1C"/>
    <w:rsid w:val="00582663"/>
    <w:rsid w:val="00592B01"/>
    <w:rsid w:val="00592DB1"/>
    <w:rsid w:val="005935E4"/>
    <w:rsid w:val="00593BC6"/>
    <w:rsid w:val="00594573"/>
    <w:rsid w:val="00595F74"/>
    <w:rsid w:val="00596B93"/>
    <w:rsid w:val="005A0868"/>
    <w:rsid w:val="005A0A2F"/>
    <w:rsid w:val="005A5440"/>
    <w:rsid w:val="005A5A01"/>
    <w:rsid w:val="005A5F29"/>
    <w:rsid w:val="005B75A0"/>
    <w:rsid w:val="005C201D"/>
    <w:rsid w:val="005C3E8E"/>
    <w:rsid w:val="005C4361"/>
    <w:rsid w:val="005C6FBA"/>
    <w:rsid w:val="005C7FDD"/>
    <w:rsid w:val="005D2937"/>
    <w:rsid w:val="005D30ED"/>
    <w:rsid w:val="005D3C9F"/>
    <w:rsid w:val="005D5770"/>
    <w:rsid w:val="005D5EFC"/>
    <w:rsid w:val="005E2F61"/>
    <w:rsid w:val="005E370A"/>
    <w:rsid w:val="005E5225"/>
    <w:rsid w:val="005F15CB"/>
    <w:rsid w:val="005F485C"/>
    <w:rsid w:val="005F4FE9"/>
    <w:rsid w:val="005F5578"/>
    <w:rsid w:val="00601D6D"/>
    <w:rsid w:val="00601E38"/>
    <w:rsid w:val="006024AB"/>
    <w:rsid w:val="006050A3"/>
    <w:rsid w:val="006054BA"/>
    <w:rsid w:val="006069A6"/>
    <w:rsid w:val="00606E2B"/>
    <w:rsid w:val="00611143"/>
    <w:rsid w:val="0061115A"/>
    <w:rsid w:val="00614D8A"/>
    <w:rsid w:val="00615446"/>
    <w:rsid w:val="00622C36"/>
    <w:rsid w:val="00622DC0"/>
    <w:rsid w:val="00623FE0"/>
    <w:rsid w:val="00624AD9"/>
    <w:rsid w:val="006266CC"/>
    <w:rsid w:val="006273E4"/>
    <w:rsid w:val="006324AE"/>
    <w:rsid w:val="00632BEE"/>
    <w:rsid w:val="00633BA9"/>
    <w:rsid w:val="00633BC2"/>
    <w:rsid w:val="00634631"/>
    <w:rsid w:val="00634B86"/>
    <w:rsid w:val="0063542C"/>
    <w:rsid w:val="006356F8"/>
    <w:rsid w:val="0063796D"/>
    <w:rsid w:val="0064024D"/>
    <w:rsid w:val="0064120A"/>
    <w:rsid w:val="0064192B"/>
    <w:rsid w:val="006424E6"/>
    <w:rsid w:val="00643B46"/>
    <w:rsid w:val="00644477"/>
    <w:rsid w:val="006451B9"/>
    <w:rsid w:val="006453BA"/>
    <w:rsid w:val="0064743B"/>
    <w:rsid w:val="00647DD6"/>
    <w:rsid w:val="006502E8"/>
    <w:rsid w:val="00655108"/>
    <w:rsid w:val="00656757"/>
    <w:rsid w:val="00656B34"/>
    <w:rsid w:val="006601AF"/>
    <w:rsid w:val="006637F6"/>
    <w:rsid w:val="00664D47"/>
    <w:rsid w:val="00665E7E"/>
    <w:rsid w:val="00666497"/>
    <w:rsid w:val="00667BC4"/>
    <w:rsid w:val="00670599"/>
    <w:rsid w:val="00671962"/>
    <w:rsid w:val="00672D72"/>
    <w:rsid w:val="00673BDC"/>
    <w:rsid w:val="00681E68"/>
    <w:rsid w:val="00682EC3"/>
    <w:rsid w:val="0068309E"/>
    <w:rsid w:val="00683168"/>
    <w:rsid w:val="00683227"/>
    <w:rsid w:val="00683F16"/>
    <w:rsid w:val="00685838"/>
    <w:rsid w:val="0068714A"/>
    <w:rsid w:val="00687A24"/>
    <w:rsid w:val="00690B89"/>
    <w:rsid w:val="0069149A"/>
    <w:rsid w:val="006965D0"/>
    <w:rsid w:val="006A4A53"/>
    <w:rsid w:val="006A57AF"/>
    <w:rsid w:val="006A67F6"/>
    <w:rsid w:val="006A75A2"/>
    <w:rsid w:val="006B0746"/>
    <w:rsid w:val="006B3E16"/>
    <w:rsid w:val="006C078E"/>
    <w:rsid w:val="006C11E5"/>
    <w:rsid w:val="006C230E"/>
    <w:rsid w:val="006C2468"/>
    <w:rsid w:val="006C2F8A"/>
    <w:rsid w:val="006C3FCE"/>
    <w:rsid w:val="006C5680"/>
    <w:rsid w:val="006C5F8E"/>
    <w:rsid w:val="006D13E5"/>
    <w:rsid w:val="006D3BA1"/>
    <w:rsid w:val="006D6B85"/>
    <w:rsid w:val="006E07FB"/>
    <w:rsid w:val="006E1337"/>
    <w:rsid w:val="006E29DB"/>
    <w:rsid w:val="006E44AE"/>
    <w:rsid w:val="006E5601"/>
    <w:rsid w:val="006E61B3"/>
    <w:rsid w:val="006E7826"/>
    <w:rsid w:val="006F463B"/>
    <w:rsid w:val="006F4845"/>
    <w:rsid w:val="006F4B6C"/>
    <w:rsid w:val="00701867"/>
    <w:rsid w:val="00702075"/>
    <w:rsid w:val="007020B3"/>
    <w:rsid w:val="0070210F"/>
    <w:rsid w:val="007038C4"/>
    <w:rsid w:val="00704131"/>
    <w:rsid w:val="0070639F"/>
    <w:rsid w:val="00706F41"/>
    <w:rsid w:val="007072D7"/>
    <w:rsid w:val="00710652"/>
    <w:rsid w:val="00711016"/>
    <w:rsid w:val="00712AD0"/>
    <w:rsid w:val="00712D94"/>
    <w:rsid w:val="007145CB"/>
    <w:rsid w:val="0071505A"/>
    <w:rsid w:val="00715C16"/>
    <w:rsid w:val="0071719D"/>
    <w:rsid w:val="00720CF5"/>
    <w:rsid w:val="0072249B"/>
    <w:rsid w:val="0072268E"/>
    <w:rsid w:val="0072292E"/>
    <w:rsid w:val="007248D9"/>
    <w:rsid w:val="00725919"/>
    <w:rsid w:val="007260F5"/>
    <w:rsid w:val="00726326"/>
    <w:rsid w:val="007273B2"/>
    <w:rsid w:val="007328E0"/>
    <w:rsid w:val="00732C43"/>
    <w:rsid w:val="00732CE6"/>
    <w:rsid w:val="00733C3B"/>
    <w:rsid w:val="00733D34"/>
    <w:rsid w:val="007354E2"/>
    <w:rsid w:val="00736F10"/>
    <w:rsid w:val="00737428"/>
    <w:rsid w:val="00737D50"/>
    <w:rsid w:val="0074069D"/>
    <w:rsid w:val="00740BDC"/>
    <w:rsid w:val="007437B7"/>
    <w:rsid w:val="00744F45"/>
    <w:rsid w:val="00745FC2"/>
    <w:rsid w:val="0074727A"/>
    <w:rsid w:val="00747EEE"/>
    <w:rsid w:val="00750132"/>
    <w:rsid w:val="0075209A"/>
    <w:rsid w:val="00752D23"/>
    <w:rsid w:val="00753E6A"/>
    <w:rsid w:val="00754B67"/>
    <w:rsid w:val="007566E4"/>
    <w:rsid w:val="00756B1E"/>
    <w:rsid w:val="00760CA8"/>
    <w:rsid w:val="00762631"/>
    <w:rsid w:val="00762929"/>
    <w:rsid w:val="007631ED"/>
    <w:rsid w:val="00764049"/>
    <w:rsid w:val="00764CD2"/>
    <w:rsid w:val="00764F1B"/>
    <w:rsid w:val="0076584E"/>
    <w:rsid w:val="00765C13"/>
    <w:rsid w:val="00765D68"/>
    <w:rsid w:val="00766709"/>
    <w:rsid w:val="00770809"/>
    <w:rsid w:val="00772557"/>
    <w:rsid w:val="00773CA3"/>
    <w:rsid w:val="00775BB4"/>
    <w:rsid w:val="00780FBE"/>
    <w:rsid w:val="0078177E"/>
    <w:rsid w:val="0078184A"/>
    <w:rsid w:val="00782E51"/>
    <w:rsid w:val="007831B3"/>
    <w:rsid w:val="007874C4"/>
    <w:rsid w:val="00792E7B"/>
    <w:rsid w:val="007942A7"/>
    <w:rsid w:val="007947E9"/>
    <w:rsid w:val="007A1C17"/>
    <w:rsid w:val="007A211F"/>
    <w:rsid w:val="007A379A"/>
    <w:rsid w:val="007A3C43"/>
    <w:rsid w:val="007A68CD"/>
    <w:rsid w:val="007A7087"/>
    <w:rsid w:val="007B0257"/>
    <w:rsid w:val="007B056D"/>
    <w:rsid w:val="007B2389"/>
    <w:rsid w:val="007B27CB"/>
    <w:rsid w:val="007B30EE"/>
    <w:rsid w:val="007B6172"/>
    <w:rsid w:val="007B70C7"/>
    <w:rsid w:val="007B7B59"/>
    <w:rsid w:val="007B7C7D"/>
    <w:rsid w:val="007C037B"/>
    <w:rsid w:val="007C0523"/>
    <w:rsid w:val="007C430F"/>
    <w:rsid w:val="007C64D5"/>
    <w:rsid w:val="007C6F86"/>
    <w:rsid w:val="007D0BDF"/>
    <w:rsid w:val="007D1F9F"/>
    <w:rsid w:val="007D25D5"/>
    <w:rsid w:val="007D3DBE"/>
    <w:rsid w:val="007D3E81"/>
    <w:rsid w:val="007D41CC"/>
    <w:rsid w:val="007D4DC6"/>
    <w:rsid w:val="007D58E6"/>
    <w:rsid w:val="007D6561"/>
    <w:rsid w:val="007D6C58"/>
    <w:rsid w:val="007D6F08"/>
    <w:rsid w:val="007E05E4"/>
    <w:rsid w:val="007E1D2E"/>
    <w:rsid w:val="007E4B08"/>
    <w:rsid w:val="007E5948"/>
    <w:rsid w:val="007E6C97"/>
    <w:rsid w:val="007E7F27"/>
    <w:rsid w:val="007F06A9"/>
    <w:rsid w:val="007F3002"/>
    <w:rsid w:val="007F5D0A"/>
    <w:rsid w:val="008000D5"/>
    <w:rsid w:val="00802488"/>
    <w:rsid w:val="00802FF9"/>
    <w:rsid w:val="00805821"/>
    <w:rsid w:val="008064A5"/>
    <w:rsid w:val="00810A59"/>
    <w:rsid w:val="008111C0"/>
    <w:rsid w:val="00812AF9"/>
    <w:rsid w:val="00815B38"/>
    <w:rsid w:val="008166ED"/>
    <w:rsid w:val="00821F4E"/>
    <w:rsid w:val="0082522D"/>
    <w:rsid w:val="00825C5D"/>
    <w:rsid w:val="00825EEA"/>
    <w:rsid w:val="008269D0"/>
    <w:rsid w:val="008276A2"/>
    <w:rsid w:val="00832644"/>
    <w:rsid w:val="008340B5"/>
    <w:rsid w:val="00835D0B"/>
    <w:rsid w:val="008361EF"/>
    <w:rsid w:val="008369BD"/>
    <w:rsid w:val="00836A3F"/>
    <w:rsid w:val="00836D73"/>
    <w:rsid w:val="008370F1"/>
    <w:rsid w:val="0083795B"/>
    <w:rsid w:val="00840027"/>
    <w:rsid w:val="0084072F"/>
    <w:rsid w:val="008436E5"/>
    <w:rsid w:val="00843DBE"/>
    <w:rsid w:val="008449E0"/>
    <w:rsid w:val="00844CCD"/>
    <w:rsid w:val="00850F54"/>
    <w:rsid w:val="00850F60"/>
    <w:rsid w:val="008536E5"/>
    <w:rsid w:val="00853775"/>
    <w:rsid w:val="008542A6"/>
    <w:rsid w:val="00854902"/>
    <w:rsid w:val="00854BA0"/>
    <w:rsid w:val="008550DF"/>
    <w:rsid w:val="0085632A"/>
    <w:rsid w:val="00856BFE"/>
    <w:rsid w:val="00857840"/>
    <w:rsid w:val="00860188"/>
    <w:rsid w:val="00861CC3"/>
    <w:rsid w:val="00861EB4"/>
    <w:rsid w:val="00862FC2"/>
    <w:rsid w:val="008631AD"/>
    <w:rsid w:val="00863383"/>
    <w:rsid w:val="008634AA"/>
    <w:rsid w:val="00865026"/>
    <w:rsid w:val="00865365"/>
    <w:rsid w:val="00866232"/>
    <w:rsid w:val="008674EE"/>
    <w:rsid w:val="00867AC1"/>
    <w:rsid w:val="00867D02"/>
    <w:rsid w:val="00871D48"/>
    <w:rsid w:val="00874251"/>
    <w:rsid w:val="00874C4A"/>
    <w:rsid w:val="0087772C"/>
    <w:rsid w:val="0087790F"/>
    <w:rsid w:val="0088076E"/>
    <w:rsid w:val="00880C1C"/>
    <w:rsid w:val="00880EA2"/>
    <w:rsid w:val="00880F21"/>
    <w:rsid w:val="008827C6"/>
    <w:rsid w:val="008851B3"/>
    <w:rsid w:val="00887E3D"/>
    <w:rsid w:val="00890324"/>
    <w:rsid w:val="0089379E"/>
    <w:rsid w:val="008967D3"/>
    <w:rsid w:val="00897C9C"/>
    <w:rsid w:val="00897F1B"/>
    <w:rsid w:val="008A16B8"/>
    <w:rsid w:val="008A194F"/>
    <w:rsid w:val="008A20BE"/>
    <w:rsid w:val="008A2C58"/>
    <w:rsid w:val="008A349E"/>
    <w:rsid w:val="008A538A"/>
    <w:rsid w:val="008A577D"/>
    <w:rsid w:val="008A6A7C"/>
    <w:rsid w:val="008B05F8"/>
    <w:rsid w:val="008B5438"/>
    <w:rsid w:val="008C32D4"/>
    <w:rsid w:val="008C3726"/>
    <w:rsid w:val="008C52F0"/>
    <w:rsid w:val="008C5947"/>
    <w:rsid w:val="008C5A40"/>
    <w:rsid w:val="008C5E14"/>
    <w:rsid w:val="008C6259"/>
    <w:rsid w:val="008C760B"/>
    <w:rsid w:val="008D0296"/>
    <w:rsid w:val="008D032E"/>
    <w:rsid w:val="008D0413"/>
    <w:rsid w:val="008D0B2F"/>
    <w:rsid w:val="008D19D4"/>
    <w:rsid w:val="008D1E6D"/>
    <w:rsid w:val="008D279D"/>
    <w:rsid w:val="008D28AD"/>
    <w:rsid w:val="008D6C3A"/>
    <w:rsid w:val="008D7B46"/>
    <w:rsid w:val="008E2423"/>
    <w:rsid w:val="008E26AD"/>
    <w:rsid w:val="008E26D5"/>
    <w:rsid w:val="008E4F9B"/>
    <w:rsid w:val="008E6AC3"/>
    <w:rsid w:val="008F0972"/>
    <w:rsid w:val="008F2DAB"/>
    <w:rsid w:val="008F2E46"/>
    <w:rsid w:val="008F45FB"/>
    <w:rsid w:val="008F5FF6"/>
    <w:rsid w:val="00901F1D"/>
    <w:rsid w:val="00905C56"/>
    <w:rsid w:val="00906C46"/>
    <w:rsid w:val="00907D5A"/>
    <w:rsid w:val="0091114D"/>
    <w:rsid w:val="00912595"/>
    <w:rsid w:val="00912E70"/>
    <w:rsid w:val="009135EA"/>
    <w:rsid w:val="009172A3"/>
    <w:rsid w:val="00921B41"/>
    <w:rsid w:val="00922D1D"/>
    <w:rsid w:val="00926C6E"/>
    <w:rsid w:val="00927255"/>
    <w:rsid w:val="009273DB"/>
    <w:rsid w:val="00927870"/>
    <w:rsid w:val="00931093"/>
    <w:rsid w:val="00933A42"/>
    <w:rsid w:val="009340F2"/>
    <w:rsid w:val="009372B9"/>
    <w:rsid w:val="00940BF0"/>
    <w:rsid w:val="00942054"/>
    <w:rsid w:val="00944DAA"/>
    <w:rsid w:val="009462B6"/>
    <w:rsid w:val="00946FA4"/>
    <w:rsid w:val="00955400"/>
    <w:rsid w:val="00956BB1"/>
    <w:rsid w:val="00960617"/>
    <w:rsid w:val="0096076B"/>
    <w:rsid w:val="0096226E"/>
    <w:rsid w:val="0096275C"/>
    <w:rsid w:val="0096285B"/>
    <w:rsid w:val="00964A8B"/>
    <w:rsid w:val="00965331"/>
    <w:rsid w:val="00965338"/>
    <w:rsid w:val="00965483"/>
    <w:rsid w:val="009666B0"/>
    <w:rsid w:val="009759B0"/>
    <w:rsid w:val="00975F30"/>
    <w:rsid w:val="0098003F"/>
    <w:rsid w:val="009808AA"/>
    <w:rsid w:val="00980CCB"/>
    <w:rsid w:val="00981177"/>
    <w:rsid w:val="00981B55"/>
    <w:rsid w:val="00983F3F"/>
    <w:rsid w:val="0098427E"/>
    <w:rsid w:val="00985228"/>
    <w:rsid w:val="00986FB1"/>
    <w:rsid w:val="0098718A"/>
    <w:rsid w:val="0098771F"/>
    <w:rsid w:val="009926A4"/>
    <w:rsid w:val="00993AE0"/>
    <w:rsid w:val="00993F23"/>
    <w:rsid w:val="0099425B"/>
    <w:rsid w:val="009960D3"/>
    <w:rsid w:val="009A07EF"/>
    <w:rsid w:val="009A0F69"/>
    <w:rsid w:val="009A1090"/>
    <w:rsid w:val="009A393E"/>
    <w:rsid w:val="009B0D12"/>
    <w:rsid w:val="009B1032"/>
    <w:rsid w:val="009B1F30"/>
    <w:rsid w:val="009B440A"/>
    <w:rsid w:val="009B4884"/>
    <w:rsid w:val="009B653F"/>
    <w:rsid w:val="009C0A78"/>
    <w:rsid w:val="009C0B40"/>
    <w:rsid w:val="009C140E"/>
    <w:rsid w:val="009C1BD1"/>
    <w:rsid w:val="009C1E9B"/>
    <w:rsid w:val="009C22F4"/>
    <w:rsid w:val="009C48A3"/>
    <w:rsid w:val="009C5544"/>
    <w:rsid w:val="009C5CE6"/>
    <w:rsid w:val="009C5D61"/>
    <w:rsid w:val="009C6825"/>
    <w:rsid w:val="009C72C8"/>
    <w:rsid w:val="009D0F34"/>
    <w:rsid w:val="009D1A60"/>
    <w:rsid w:val="009D4100"/>
    <w:rsid w:val="009D4C1B"/>
    <w:rsid w:val="009D5406"/>
    <w:rsid w:val="009D63EC"/>
    <w:rsid w:val="009D6933"/>
    <w:rsid w:val="009D7889"/>
    <w:rsid w:val="009E0ADC"/>
    <w:rsid w:val="009E1DF8"/>
    <w:rsid w:val="009E2F2E"/>
    <w:rsid w:val="009E3E7D"/>
    <w:rsid w:val="009E5093"/>
    <w:rsid w:val="009E512D"/>
    <w:rsid w:val="009E5261"/>
    <w:rsid w:val="009E5FB1"/>
    <w:rsid w:val="009F1D55"/>
    <w:rsid w:val="009F213D"/>
    <w:rsid w:val="009F27B4"/>
    <w:rsid w:val="009F295D"/>
    <w:rsid w:val="009F417C"/>
    <w:rsid w:val="009F5C6A"/>
    <w:rsid w:val="009F5E32"/>
    <w:rsid w:val="009F65EA"/>
    <w:rsid w:val="009F6D7D"/>
    <w:rsid w:val="00A01F35"/>
    <w:rsid w:val="00A043BD"/>
    <w:rsid w:val="00A04998"/>
    <w:rsid w:val="00A04CFB"/>
    <w:rsid w:val="00A0597E"/>
    <w:rsid w:val="00A07F7A"/>
    <w:rsid w:val="00A128EA"/>
    <w:rsid w:val="00A12A7F"/>
    <w:rsid w:val="00A13BC2"/>
    <w:rsid w:val="00A15500"/>
    <w:rsid w:val="00A1610F"/>
    <w:rsid w:val="00A20B81"/>
    <w:rsid w:val="00A225AD"/>
    <w:rsid w:val="00A225C7"/>
    <w:rsid w:val="00A256D4"/>
    <w:rsid w:val="00A26555"/>
    <w:rsid w:val="00A269BE"/>
    <w:rsid w:val="00A30A8B"/>
    <w:rsid w:val="00A310F7"/>
    <w:rsid w:val="00A33B3B"/>
    <w:rsid w:val="00A34F9D"/>
    <w:rsid w:val="00A3594A"/>
    <w:rsid w:val="00A36161"/>
    <w:rsid w:val="00A3789A"/>
    <w:rsid w:val="00A424EA"/>
    <w:rsid w:val="00A425BE"/>
    <w:rsid w:val="00A42613"/>
    <w:rsid w:val="00A431AD"/>
    <w:rsid w:val="00A43207"/>
    <w:rsid w:val="00A45861"/>
    <w:rsid w:val="00A46318"/>
    <w:rsid w:val="00A51C9D"/>
    <w:rsid w:val="00A526E8"/>
    <w:rsid w:val="00A5428B"/>
    <w:rsid w:val="00A5606E"/>
    <w:rsid w:val="00A560BF"/>
    <w:rsid w:val="00A56B3F"/>
    <w:rsid w:val="00A56B7C"/>
    <w:rsid w:val="00A6005A"/>
    <w:rsid w:val="00A60628"/>
    <w:rsid w:val="00A61CB3"/>
    <w:rsid w:val="00A62860"/>
    <w:rsid w:val="00A62ABD"/>
    <w:rsid w:val="00A64C99"/>
    <w:rsid w:val="00A735EC"/>
    <w:rsid w:val="00A74177"/>
    <w:rsid w:val="00A753BE"/>
    <w:rsid w:val="00A80C20"/>
    <w:rsid w:val="00A81493"/>
    <w:rsid w:val="00A823C9"/>
    <w:rsid w:val="00A83523"/>
    <w:rsid w:val="00A84CAB"/>
    <w:rsid w:val="00A85336"/>
    <w:rsid w:val="00A869FB"/>
    <w:rsid w:val="00A873BD"/>
    <w:rsid w:val="00A87E10"/>
    <w:rsid w:val="00A90E70"/>
    <w:rsid w:val="00A9120F"/>
    <w:rsid w:val="00A956DE"/>
    <w:rsid w:val="00A95927"/>
    <w:rsid w:val="00A960AB"/>
    <w:rsid w:val="00A96741"/>
    <w:rsid w:val="00A96B52"/>
    <w:rsid w:val="00A9759E"/>
    <w:rsid w:val="00A977DB"/>
    <w:rsid w:val="00AA181D"/>
    <w:rsid w:val="00AA21F4"/>
    <w:rsid w:val="00AA4C1A"/>
    <w:rsid w:val="00AA5716"/>
    <w:rsid w:val="00AA6AEB"/>
    <w:rsid w:val="00AA781A"/>
    <w:rsid w:val="00AB0213"/>
    <w:rsid w:val="00AB04D3"/>
    <w:rsid w:val="00AB0D40"/>
    <w:rsid w:val="00AB1306"/>
    <w:rsid w:val="00AB421F"/>
    <w:rsid w:val="00AB7EF4"/>
    <w:rsid w:val="00AC0CDA"/>
    <w:rsid w:val="00AC1329"/>
    <w:rsid w:val="00AC194D"/>
    <w:rsid w:val="00AC23A8"/>
    <w:rsid w:val="00AC3D2B"/>
    <w:rsid w:val="00AC402C"/>
    <w:rsid w:val="00AC4463"/>
    <w:rsid w:val="00AC478B"/>
    <w:rsid w:val="00AC5330"/>
    <w:rsid w:val="00AC5D4E"/>
    <w:rsid w:val="00AC64F2"/>
    <w:rsid w:val="00AC7A77"/>
    <w:rsid w:val="00AD068D"/>
    <w:rsid w:val="00AD2C35"/>
    <w:rsid w:val="00AD5C59"/>
    <w:rsid w:val="00AD5F43"/>
    <w:rsid w:val="00AD6170"/>
    <w:rsid w:val="00AE2AA0"/>
    <w:rsid w:val="00AE2CEA"/>
    <w:rsid w:val="00AE3045"/>
    <w:rsid w:val="00AE3C13"/>
    <w:rsid w:val="00AE509A"/>
    <w:rsid w:val="00AE6A20"/>
    <w:rsid w:val="00AF0999"/>
    <w:rsid w:val="00AF12C4"/>
    <w:rsid w:val="00AF21A4"/>
    <w:rsid w:val="00AF3E13"/>
    <w:rsid w:val="00AF4493"/>
    <w:rsid w:val="00AF7EDF"/>
    <w:rsid w:val="00B01670"/>
    <w:rsid w:val="00B02D10"/>
    <w:rsid w:val="00B02ED1"/>
    <w:rsid w:val="00B05254"/>
    <w:rsid w:val="00B05A20"/>
    <w:rsid w:val="00B05EC1"/>
    <w:rsid w:val="00B06717"/>
    <w:rsid w:val="00B0769C"/>
    <w:rsid w:val="00B10C22"/>
    <w:rsid w:val="00B10EED"/>
    <w:rsid w:val="00B1417F"/>
    <w:rsid w:val="00B154A1"/>
    <w:rsid w:val="00B163DB"/>
    <w:rsid w:val="00B17BA1"/>
    <w:rsid w:val="00B20655"/>
    <w:rsid w:val="00B21410"/>
    <w:rsid w:val="00B227ED"/>
    <w:rsid w:val="00B23C22"/>
    <w:rsid w:val="00B25D8D"/>
    <w:rsid w:val="00B265F0"/>
    <w:rsid w:val="00B30587"/>
    <w:rsid w:val="00B34298"/>
    <w:rsid w:val="00B34F5D"/>
    <w:rsid w:val="00B35CE9"/>
    <w:rsid w:val="00B40F5F"/>
    <w:rsid w:val="00B414B2"/>
    <w:rsid w:val="00B41764"/>
    <w:rsid w:val="00B418C8"/>
    <w:rsid w:val="00B4410E"/>
    <w:rsid w:val="00B4527D"/>
    <w:rsid w:val="00B45851"/>
    <w:rsid w:val="00B46633"/>
    <w:rsid w:val="00B47035"/>
    <w:rsid w:val="00B47388"/>
    <w:rsid w:val="00B474E2"/>
    <w:rsid w:val="00B51D47"/>
    <w:rsid w:val="00B522AE"/>
    <w:rsid w:val="00B529F0"/>
    <w:rsid w:val="00B52DB0"/>
    <w:rsid w:val="00B53971"/>
    <w:rsid w:val="00B55F1A"/>
    <w:rsid w:val="00B60EDD"/>
    <w:rsid w:val="00B63160"/>
    <w:rsid w:val="00B64173"/>
    <w:rsid w:val="00B64A01"/>
    <w:rsid w:val="00B64CF8"/>
    <w:rsid w:val="00B65D8F"/>
    <w:rsid w:val="00B65E56"/>
    <w:rsid w:val="00B66C37"/>
    <w:rsid w:val="00B679A9"/>
    <w:rsid w:val="00B67D94"/>
    <w:rsid w:val="00B71FC0"/>
    <w:rsid w:val="00B72013"/>
    <w:rsid w:val="00B7428E"/>
    <w:rsid w:val="00B75CF4"/>
    <w:rsid w:val="00B803CA"/>
    <w:rsid w:val="00B80CC5"/>
    <w:rsid w:val="00B82411"/>
    <w:rsid w:val="00B8716D"/>
    <w:rsid w:val="00B87A29"/>
    <w:rsid w:val="00B87F76"/>
    <w:rsid w:val="00B906F3"/>
    <w:rsid w:val="00B920A9"/>
    <w:rsid w:val="00B93932"/>
    <w:rsid w:val="00B94825"/>
    <w:rsid w:val="00B96776"/>
    <w:rsid w:val="00BA02A6"/>
    <w:rsid w:val="00BA12AB"/>
    <w:rsid w:val="00BA2335"/>
    <w:rsid w:val="00BA2B19"/>
    <w:rsid w:val="00BA516E"/>
    <w:rsid w:val="00BA664A"/>
    <w:rsid w:val="00BA715A"/>
    <w:rsid w:val="00BA7456"/>
    <w:rsid w:val="00BB001C"/>
    <w:rsid w:val="00BB141F"/>
    <w:rsid w:val="00BB2B8E"/>
    <w:rsid w:val="00BB45F4"/>
    <w:rsid w:val="00BB5C92"/>
    <w:rsid w:val="00BB7EE1"/>
    <w:rsid w:val="00BC0F48"/>
    <w:rsid w:val="00BC17F9"/>
    <w:rsid w:val="00BC5030"/>
    <w:rsid w:val="00BC59A0"/>
    <w:rsid w:val="00BC79B3"/>
    <w:rsid w:val="00BD01F7"/>
    <w:rsid w:val="00BD26B6"/>
    <w:rsid w:val="00BD270B"/>
    <w:rsid w:val="00BD4960"/>
    <w:rsid w:val="00BD4CDA"/>
    <w:rsid w:val="00BE2D01"/>
    <w:rsid w:val="00BE2F63"/>
    <w:rsid w:val="00BE4117"/>
    <w:rsid w:val="00BE4D0C"/>
    <w:rsid w:val="00BF1BA2"/>
    <w:rsid w:val="00BF3299"/>
    <w:rsid w:val="00BF3DE4"/>
    <w:rsid w:val="00BF447C"/>
    <w:rsid w:val="00BF5590"/>
    <w:rsid w:val="00BF5D2A"/>
    <w:rsid w:val="00BF6E18"/>
    <w:rsid w:val="00BF7B2A"/>
    <w:rsid w:val="00C00E73"/>
    <w:rsid w:val="00C05AA1"/>
    <w:rsid w:val="00C078C4"/>
    <w:rsid w:val="00C07962"/>
    <w:rsid w:val="00C1272F"/>
    <w:rsid w:val="00C13104"/>
    <w:rsid w:val="00C13CBF"/>
    <w:rsid w:val="00C1618C"/>
    <w:rsid w:val="00C16C18"/>
    <w:rsid w:val="00C17060"/>
    <w:rsid w:val="00C170D7"/>
    <w:rsid w:val="00C17834"/>
    <w:rsid w:val="00C21AF1"/>
    <w:rsid w:val="00C24977"/>
    <w:rsid w:val="00C24BE6"/>
    <w:rsid w:val="00C30167"/>
    <w:rsid w:val="00C30B2D"/>
    <w:rsid w:val="00C33146"/>
    <w:rsid w:val="00C33DFE"/>
    <w:rsid w:val="00C34E13"/>
    <w:rsid w:val="00C373EC"/>
    <w:rsid w:val="00C400DC"/>
    <w:rsid w:val="00C450D4"/>
    <w:rsid w:val="00C46B4A"/>
    <w:rsid w:val="00C50733"/>
    <w:rsid w:val="00C511F1"/>
    <w:rsid w:val="00C513EC"/>
    <w:rsid w:val="00C51566"/>
    <w:rsid w:val="00C5173F"/>
    <w:rsid w:val="00C52F97"/>
    <w:rsid w:val="00C53684"/>
    <w:rsid w:val="00C53871"/>
    <w:rsid w:val="00C54548"/>
    <w:rsid w:val="00C56329"/>
    <w:rsid w:val="00C573F6"/>
    <w:rsid w:val="00C6009B"/>
    <w:rsid w:val="00C609A2"/>
    <w:rsid w:val="00C620F5"/>
    <w:rsid w:val="00C63BCE"/>
    <w:rsid w:val="00C65CED"/>
    <w:rsid w:val="00C675C5"/>
    <w:rsid w:val="00C71CF7"/>
    <w:rsid w:val="00C7382E"/>
    <w:rsid w:val="00C752C1"/>
    <w:rsid w:val="00C76128"/>
    <w:rsid w:val="00C7789D"/>
    <w:rsid w:val="00C80A17"/>
    <w:rsid w:val="00C80B04"/>
    <w:rsid w:val="00C826C2"/>
    <w:rsid w:val="00C858B3"/>
    <w:rsid w:val="00C85C80"/>
    <w:rsid w:val="00C867B8"/>
    <w:rsid w:val="00C86E94"/>
    <w:rsid w:val="00C90196"/>
    <w:rsid w:val="00C9097A"/>
    <w:rsid w:val="00C90B00"/>
    <w:rsid w:val="00C96000"/>
    <w:rsid w:val="00C96A36"/>
    <w:rsid w:val="00C96B2E"/>
    <w:rsid w:val="00C970E6"/>
    <w:rsid w:val="00C9712F"/>
    <w:rsid w:val="00C9773E"/>
    <w:rsid w:val="00CA25CA"/>
    <w:rsid w:val="00CA499C"/>
    <w:rsid w:val="00CA6213"/>
    <w:rsid w:val="00CB06C1"/>
    <w:rsid w:val="00CB11FF"/>
    <w:rsid w:val="00CB1955"/>
    <w:rsid w:val="00CB5465"/>
    <w:rsid w:val="00CB6454"/>
    <w:rsid w:val="00CB64D9"/>
    <w:rsid w:val="00CB76FB"/>
    <w:rsid w:val="00CB799E"/>
    <w:rsid w:val="00CC1B1C"/>
    <w:rsid w:val="00CC2438"/>
    <w:rsid w:val="00CC28A5"/>
    <w:rsid w:val="00CC529C"/>
    <w:rsid w:val="00CC6288"/>
    <w:rsid w:val="00CC792C"/>
    <w:rsid w:val="00CD0219"/>
    <w:rsid w:val="00CD0494"/>
    <w:rsid w:val="00CD165B"/>
    <w:rsid w:val="00CD176C"/>
    <w:rsid w:val="00CD25A6"/>
    <w:rsid w:val="00CD34F8"/>
    <w:rsid w:val="00CD46AB"/>
    <w:rsid w:val="00CD5009"/>
    <w:rsid w:val="00CD725A"/>
    <w:rsid w:val="00CD753C"/>
    <w:rsid w:val="00CE028A"/>
    <w:rsid w:val="00CE0741"/>
    <w:rsid w:val="00CE165E"/>
    <w:rsid w:val="00CE3182"/>
    <w:rsid w:val="00CE4E5B"/>
    <w:rsid w:val="00CE5BD4"/>
    <w:rsid w:val="00CE5DAF"/>
    <w:rsid w:val="00CE678D"/>
    <w:rsid w:val="00CE6E5A"/>
    <w:rsid w:val="00CF1139"/>
    <w:rsid w:val="00CF2FF0"/>
    <w:rsid w:val="00CF309B"/>
    <w:rsid w:val="00CF30D8"/>
    <w:rsid w:val="00CF3159"/>
    <w:rsid w:val="00CF3BFD"/>
    <w:rsid w:val="00CF43CE"/>
    <w:rsid w:val="00CF5A5C"/>
    <w:rsid w:val="00CF61E8"/>
    <w:rsid w:val="00CF651D"/>
    <w:rsid w:val="00CF7D61"/>
    <w:rsid w:val="00D00701"/>
    <w:rsid w:val="00D00A24"/>
    <w:rsid w:val="00D014A0"/>
    <w:rsid w:val="00D046A6"/>
    <w:rsid w:val="00D05F99"/>
    <w:rsid w:val="00D06621"/>
    <w:rsid w:val="00D078F7"/>
    <w:rsid w:val="00D07FD3"/>
    <w:rsid w:val="00D110C6"/>
    <w:rsid w:val="00D11B4A"/>
    <w:rsid w:val="00D1385F"/>
    <w:rsid w:val="00D14741"/>
    <w:rsid w:val="00D151FE"/>
    <w:rsid w:val="00D15A58"/>
    <w:rsid w:val="00D20A0A"/>
    <w:rsid w:val="00D23FC8"/>
    <w:rsid w:val="00D244FF"/>
    <w:rsid w:val="00D2524A"/>
    <w:rsid w:val="00D2690A"/>
    <w:rsid w:val="00D31C35"/>
    <w:rsid w:val="00D328FE"/>
    <w:rsid w:val="00D32D11"/>
    <w:rsid w:val="00D32DE5"/>
    <w:rsid w:val="00D35394"/>
    <w:rsid w:val="00D3750C"/>
    <w:rsid w:val="00D437BC"/>
    <w:rsid w:val="00D44187"/>
    <w:rsid w:val="00D460F3"/>
    <w:rsid w:val="00D4705D"/>
    <w:rsid w:val="00D47F5B"/>
    <w:rsid w:val="00D52EC4"/>
    <w:rsid w:val="00D54C29"/>
    <w:rsid w:val="00D553EE"/>
    <w:rsid w:val="00D5634C"/>
    <w:rsid w:val="00D577E8"/>
    <w:rsid w:val="00D60950"/>
    <w:rsid w:val="00D64EB4"/>
    <w:rsid w:val="00D661F2"/>
    <w:rsid w:val="00D66F5A"/>
    <w:rsid w:val="00D677B3"/>
    <w:rsid w:val="00D72965"/>
    <w:rsid w:val="00D76410"/>
    <w:rsid w:val="00D765CD"/>
    <w:rsid w:val="00D77735"/>
    <w:rsid w:val="00D778DC"/>
    <w:rsid w:val="00D80851"/>
    <w:rsid w:val="00D81AC2"/>
    <w:rsid w:val="00D81ADA"/>
    <w:rsid w:val="00D82D94"/>
    <w:rsid w:val="00D832FC"/>
    <w:rsid w:val="00D83BB6"/>
    <w:rsid w:val="00D83F79"/>
    <w:rsid w:val="00D855DD"/>
    <w:rsid w:val="00D8582D"/>
    <w:rsid w:val="00D870ED"/>
    <w:rsid w:val="00D913D9"/>
    <w:rsid w:val="00D943BB"/>
    <w:rsid w:val="00D94AC7"/>
    <w:rsid w:val="00D96437"/>
    <w:rsid w:val="00D97697"/>
    <w:rsid w:val="00D97905"/>
    <w:rsid w:val="00DA120C"/>
    <w:rsid w:val="00DA19D3"/>
    <w:rsid w:val="00DA4EEF"/>
    <w:rsid w:val="00DA5072"/>
    <w:rsid w:val="00DA7952"/>
    <w:rsid w:val="00DB1D9D"/>
    <w:rsid w:val="00DB3E36"/>
    <w:rsid w:val="00DB41E8"/>
    <w:rsid w:val="00DB444F"/>
    <w:rsid w:val="00DB7061"/>
    <w:rsid w:val="00DB79D2"/>
    <w:rsid w:val="00DC0A82"/>
    <w:rsid w:val="00DC3686"/>
    <w:rsid w:val="00DC43E0"/>
    <w:rsid w:val="00DC5CE6"/>
    <w:rsid w:val="00DC5E32"/>
    <w:rsid w:val="00DC66BC"/>
    <w:rsid w:val="00DC7894"/>
    <w:rsid w:val="00DD3DF6"/>
    <w:rsid w:val="00DD4400"/>
    <w:rsid w:val="00DE2445"/>
    <w:rsid w:val="00DE3692"/>
    <w:rsid w:val="00DE4141"/>
    <w:rsid w:val="00DE6DF3"/>
    <w:rsid w:val="00DF12AE"/>
    <w:rsid w:val="00DF15D5"/>
    <w:rsid w:val="00DF3970"/>
    <w:rsid w:val="00DF4495"/>
    <w:rsid w:val="00DF671A"/>
    <w:rsid w:val="00DF6A62"/>
    <w:rsid w:val="00E00543"/>
    <w:rsid w:val="00E01B25"/>
    <w:rsid w:val="00E0228D"/>
    <w:rsid w:val="00E04507"/>
    <w:rsid w:val="00E0613E"/>
    <w:rsid w:val="00E0645D"/>
    <w:rsid w:val="00E07A83"/>
    <w:rsid w:val="00E11EB4"/>
    <w:rsid w:val="00E15013"/>
    <w:rsid w:val="00E15889"/>
    <w:rsid w:val="00E17206"/>
    <w:rsid w:val="00E176AF"/>
    <w:rsid w:val="00E20669"/>
    <w:rsid w:val="00E2235D"/>
    <w:rsid w:val="00E22C87"/>
    <w:rsid w:val="00E23AF6"/>
    <w:rsid w:val="00E24425"/>
    <w:rsid w:val="00E3183D"/>
    <w:rsid w:val="00E32CAF"/>
    <w:rsid w:val="00E32CCB"/>
    <w:rsid w:val="00E407FC"/>
    <w:rsid w:val="00E42F81"/>
    <w:rsid w:val="00E43E81"/>
    <w:rsid w:val="00E4420B"/>
    <w:rsid w:val="00E449F2"/>
    <w:rsid w:val="00E450AE"/>
    <w:rsid w:val="00E4510B"/>
    <w:rsid w:val="00E45902"/>
    <w:rsid w:val="00E46385"/>
    <w:rsid w:val="00E508BC"/>
    <w:rsid w:val="00E53110"/>
    <w:rsid w:val="00E53629"/>
    <w:rsid w:val="00E53AE9"/>
    <w:rsid w:val="00E54996"/>
    <w:rsid w:val="00E56660"/>
    <w:rsid w:val="00E569E2"/>
    <w:rsid w:val="00E56AA2"/>
    <w:rsid w:val="00E575CB"/>
    <w:rsid w:val="00E60412"/>
    <w:rsid w:val="00E614AD"/>
    <w:rsid w:val="00E62323"/>
    <w:rsid w:val="00E623A4"/>
    <w:rsid w:val="00E62AA9"/>
    <w:rsid w:val="00E62B72"/>
    <w:rsid w:val="00E633B0"/>
    <w:rsid w:val="00E65295"/>
    <w:rsid w:val="00E67891"/>
    <w:rsid w:val="00E7405A"/>
    <w:rsid w:val="00E76864"/>
    <w:rsid w:val="00E775E7"/>
    <w:rsid w:val="00E7781E"/>
    <w:rsid w:val="00E82AEF"/>
    <w:rsid w:val="00E82FE3"/>
    <w:rsid w:val="00E843B4"/>
    <w:rsid w:val="00E86435"/>
    <w:rsid w:val="00E86580"/>
    <w:rsid w:val="00E86788"/>
    <w:rsid w:val="00E86C64"/>
    <w:rsid w:val="00E92520"/>
    <w:rsid w:val="00E9324D"/>
    <w:rsid w:val="00E96D1E"/>
    <w:rsid w:val="00E97D52"/>
    <w:rsid w:val="00E97EAD"/>
    <w:rsid w:val="00E97EEF"/>
    <w:rsid w:val="00EA009F"/>
    <w:rsid w:val="00EA1EBF"/>
    <w:rsid w:val="00EA1FE4"/>
    <w:rsid w:val="00EA326A"/>
    <w:rsid w:val="00EA32B7"/>
    <w:rsid w:val="00EA3D43"/>
    <w:rsid w:val="00EA4935"/>
    <w:rsid w:val="00EB0739"/>
    <w:rsid w:val="00EB0B1D"/>
    <w:rsid w:val="00EB0E0E"/>
    <w:rsid w:val="00EB0E7B"/>
    <w:rsid w:val="00EB211E"/>
    <w:rsid w:val="00EB28C1"/>
    <w:rsid w:val="00EB319F"/>
    <w:rsid w:val="00EB33CE"/>
    <w:rsid w:val="00EB367C"/>
    <w:rsid w:val="00EB3E0D"/>
    <w:rsid w:val="00EB4984"/>
    <w:rsid w:val="00EB6614"/>
    <w:rsid w:val="00EB6BCC"/>
    <w:rsid w:val="00EC0786"/>
    <w:rsid w:val="00EC2806"/>
    <w:rsid w:val="00EC369F"/>
    <w:rsid w:val="00EC62BA"/>
    <w:rsid w:val="00EC73D8"/>
    <w:rsid w:val="00ED011A"/>
    <w:rsid w:val="00ED0BA8"/>
    <w:rsid w:val="00ED2205"/>
    <w:rsid w:val="00ED477A"/>
    <w:rsid w:val="00ED58AA"/>
    <w:rsid w:val="00ED6961"/>
    <w:rsid w:val="00ED6BB6"/>
    <w:rsid w:val="00ED74DD"/>
    <w:rsid w:val="00EE00E5"/>
    <w:rsid w:val="00EE0DB9"/>
    <w:rsid w:val="00EE1154"/>
    <w:rsid w:val="00EE2214"/>
    <w:rsid w:val="00EE3CF4"/>
    <w:rsid w:val="00EE5FDD"/>
    <w:rsid w:val="00EE62DD"/>
    <w:rsid w:val="00EE6659"/>
    <w:rsid w:val="00EE720B"/>
    <w:rsid w:val="00EF0B26"/>
    <w:rsid w:val="00EF11C6"/>
    <w:rsid w:val="00EF1EF8"/>
    <w:rsid w:val="00EF394C"/>
    <w:rsid w:val="00EF524A"/>
    <w:rsid w:val="00EF6473"/>
    <w:rsid w:val="00F0002F"/>
    <w:rsid w:val="00F006F5"/>
    <w:rsid w:val="00F00F9A"/>
    <w:rsid w:val="00F01B8A"/>
    <w:rsid w:val="00F03833"/>
    <w:rsid w:val="00F103B9"/>
    <w:rsid w:val="00F10CCE"/>
    <w:rsid w:val="00F125A2"/>
    <w:rsid w:val="00F146EB"/>
    <w:rsid w:val="00F153CA"/>
    <w:rsid w:val="00F215A6"/>
    <w:rsid w:val="00F216C1"/>
    <w:rsid w:val="00F248CB"/>
    <w:rsid w:val="00F25253"/>
    <w:rsid w:val="00F25C7A"/>
    <w:rsid w:val="00F27029"/>
    <w:rsid w:val="00F2712D"/>
    <w:rsid w:val="00F279E5"/>
    <w:rsid w:val="00F30D44"/>
    <w:rsid w:val="00F32ADF"/>
    <w:rsid w:val="00F3330C"/>
    <w:rsid w:val="00F34AEA"/>
    <w:rsid w:val="00F50B81"/>
    <w:rsid w:val="00F53078"/>
    <w:rsid w:val="00F55870"/>
    <w:rsid w:val="00F56532"/>
    <w:rsid w:val="00F56D59"/>
    <w:rsid w:val="00F57312"/>
    <w:rsid w:val="00F5745D"/>
    <w:rsid w:val="00F578C0"/>
    <w:rsid w:val="00F60225"/>
    <w:rsid w:val="00F60611"/>
    <w:rsid w:val="00F616B0"/>
    <w:rsid w:val="00F63F15"/>
    <w:rsid w:val="00F64AE5"/>
    <w:rsid w:val="00F6669E"/>
    <w:rsid w:val="00F67DC6"/>
    <w:rsid w:val="00F72FA2"/>
    <w:rsid w:val="00F73AC7"/>
    <w:rsid w:val="00F74E79"/>
    <w:rsid w:val="00F754E9"/>
    <w:rsid w:val="00F75A8C"/>
    <w:rsid w:val="00F75CF8"/>
    <w:rsid w:val="00F76E3D"/>
    <w:rsid w:val="00F80CE4"/>
    <w:rsid w:val="00F80E97"/>
    <w:rsid w:val="00F82F23"/>
    <w:rsid w:val="00F8382F"/>
    <w:rsid w:val="00F85733"/>
    <w:rsid w:val="00F85A8A"/>
    <w:rsid w:val="00F8649C"/>
    <w:rsid w:val="00F87064"/>
    <w:rsid w:val="00F90F58"/>
    <w:rsid w:val="00F91260"/>
    <w:rsid w:val="00F9167D"/>
    <w:rsid w:val="00F91C67"/>
    <w:rsid w:val="00F92077"/>
    <w:rsid w:val="00F960AA"/>
    <w:rsid w:val="00F962B2"/>
    <w:rsid w:val="00FA1373"/>
    <w:rsid w:val="00FA3B84"/>
    <w:rsid w:val="00FA4BE1"/>
    <w:rsid w:val="00FA4FE7"/>
    <w:rsid w:val="00FA5F3C"/>
    <w:rsid w:val="00FA64D3"/>
    <w:rsid w:val="00FA6D34"/>
    <w:rsid w:val="00FB130D"/>
    <w:rsid w:val="00FB38A9"/>
    <w:rsid w:val="00FB4EC7"/>
    <w:rsid w:val="00FB5652"/>
    <w:rsid w:val="00FB648A"/>
    <w:rsid w:val="00FC00DE"/>
    <w:rsid w:val="00FC0E2F"/>
    <w:rsid w:val="00FC1239"/>
    <w:rsid w:val="00FC1871"/>
    <w:rsid w:val="00FC3CB9"/>
    <w:rsid w:val="00FC5204"/>
    <w:rsid w:val="00FC5EC6"/>
    <w:rsid w:val="00FC6223"/>
    <w:rsid w:val="00FC685E"/>
    <w:rsid w:val="00FC7844"/>
    <w:rsid w:val="00FD1952"/>
    <w:rsid w:val="00FD2030"/>
    <w:rsid w:val="00FD27EA"/>
    <w:rsid w:val="00FD286B"/>
    <w:rsid w:val="00FD42B1"/>
    <w:rsid w:val="00FD5ACD"/>
    <w:rsid w:val="00FD619D"/>
    <w:rsid w:val="00FE03D5"/>
    <w:rsid w:val="00FE1936"/>
    <w:rsid w:val="00FE1C56"/>
    <w:rsid w:val="00FE2632"/>
    <w:rsid w:val="00FE532E"/>
    <w:rsid w:val="00FE5CFB"/>
    <w:rsid w:val="00FE5D0F"/>
    <w:rsid w:val="00FE759E"/>
    <w:rsid w:val="00FE77A5"/>
    <w:rsid w:val="00FE7DF5"/>
    <w:rsid w:val="00FE7DF7"/>
    <w:rsid w:val="00FE7EF5"/>
    <w:rsid w:val="00FF2D6B"/>
    <w:rsid w:val="00FF31EA"/>
    <w:rsid w:val="00FF5F7E"/>
    <w:rsid w:val="00FF5FAB"/>
    <w:rsid w:val="00FF7209"/>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002D"/>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60"/>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CD5009"/>
    <w:rPr>
      <w:color w:val="0000FF"/>
      <w:u w:val="single"/>
    </w:rPr>
  </w:style>
  <w:style w:type="paragraph" w:styleId="Header">
    <w:name w:val="header"/>
    <w:basedOn w:val="Normal"/>
    <w:link w:val="HeaderChar"/>
    <w:uiPriority w:val="99"/>
    <w:unhideWhenUsed/>
    <w:rsid w:val="007E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2E"/>
  </w:style>
  <w:style w:type="paragraph" w:styleId="Footer">
    <w:name w:val="footer"/>
    <w:basedOn w:val="Normal"/>
    <w:link w:val="FooterChar"/>
    <w:uiPriority w:val="99"/>
    <w:unhideWhenUsed/>
    <w:rsid w:val="007E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2E"/>
  </w:style>
  <w:style w:type="character" w:styleId="CommentReference">
    <w:name w:val="annotation reference"/>
    <w:basedOn w:val="DefaultParagraphFont"/>
    <w:uiPriority w:val="99"/>
    <w:semiHidden/>
    <w:unhideWhenUsed/>
    <w:rsid w:val="00BD270B"/>
    <w:rPr>
      <w:sz w:val="16"/>
      <w:szCs w:val="16"/>
    </w:rPr>
  </w:style>
  <w:style w:type="paragraph" w:styleId="CommentText">
    <w:name w:val="annotation text"/>
    <w:basedOn w:val="Normal"/>
    <w:link w:val="CommentTextChar"/>
    <w:uiPriority w:val="99"/>
    <w:semiHidden/>
    <w:unhideWhenUsed/>
    <w:rsid w:val="00BD270B"/>
    <w:pPr>
      <w:spacing w:line="240" w:lineRule="auto"/>
    </w:pPr>
    <w:rPr>
      <w:sz w:val="20"/>
      <w:szCs w:val="20"/>
    </w:rPr>
  </w:style>
  <w:style w:type="character" w:customStyle="1" w:styleId="CommentTextChar">
    <w:name w:val="Comment Text Char"/>
    <w:basedOn w:val="DefaultParagraphFont"/>
    <w:link w:val="CommentText"/>
    <w:uiPriority w:val="99"/>
    <w:semiHidden/>
    <w:rsid w:val="00BD270B"/>
    <w:rPr>
      <w:sz w:val="20"/>
      <w:szCs w:val="20"/>
    </w:rPr>
  </w:style>
  <w:style w:type="paragraph" w:styleId="CommentSubject">
    <w:name w:val="annotation subject"/>
    <w:basedOn w:val="CommentText"/>
    <w:next w:val="CommentText"/>
    <w:link w:val="CommentSubjectChar"/>
    <w:uiPriority w:val="99"/>
    <w:semiHidden/>
    <w:unhideWhenUsed/>
    <w:rsid w:val="00BD270B"/>
    <w:rPr>
      <w:b/>
      <w:bCs/>
    </w:rPr>
  </w:style>
  <w:style w:type="character" w:customStyle="1" w:styleId="CommentSubjectChar">
    <w:name w:val="Comment Subject Char"/>
    <w:basedOn w:val="CommentTextChar"/>
    <w:link w:val="CommentSubject"/>
    <w:uiPriority w:val="99"/>
    <w:semiHidden/>
    <w:rsid w:val="00BD270B"/>
    <w:rPr>
      <w:b/>
      <w:bCs/>
      <w:sz w:val="20"/>
      <w:szCs w:val="20"/>
    </w:rPr>
  </w:style>
  <w:style w:type="character" w:customStyle="1" w:styleId="NoSpacingChar">
    <w:name w:val="No Spacing Char"/>
    <w:basedOn w:val="DefaultParagraphFont"/>
    <w:link w:val="NoSpacing"/>
    <w:uiPriority w:val="1"/>
    <w:rsid w:val="00782E51"/>
  </w:style>
  <w:style w:type="paragraph" w:styleId="ListParagraph">
    <w:name w:val="List Paragraph"/>
    <w:basedOn w:val="Normal"/>
    <w:uiPriority w:val="34"/>
    <w:qFormat/>
    <w:rsid w:val="00BE4117"/>
    <w:pPr>
      <w:spacing w:after="160" w:line="259" w:lineRule="auto"/>
      <w:ind w:left="720"/>
      <w:contextualSpacing/>
    </w:pPr>
  </w:style>
  <w:style w:type="table" w:customStyle="1" w:styleId="ListTable4-Accent51">
    <w:name w:val="List Table 4 - Accent 51"/>
    <w:basedOn w:val="TableNormal"/>
    <w:uiPriority w:val="49"/>
    <w:rsid w:val="00232B1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456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484712557">
      <w:bodyDiv w:val="1"/>
      <w:marLeft w:val="0"/>
      <w:marRight w:val="0"/>
      <w:marTop w:val="0"/>
      <w:marBottom w:val="0"/>
      <w:divBdr>
        <w:top w:val="none" w:sz="0" w:space="0" w:color="auto"/>
        <w:left w:val="none" w:sz="0" w:space="0" w:color="auto"/>
        <w:bottom w:val="none" w:sz="0" w:space="0" w:color="auto"/>
        <w:right w:val="none" w:sz="0" w:space="0" w:color="auto"/>
      </w:divBdr>
    </w:div>
    <w:div w:id="571233653">
      <w:bodyDiv w:val="1"/>
      <w:marLeft w:val="0"/>
      <w:marRight w:val="0"/>
      <w:marTop w:val="0"/>
      <w:marBottom w:val="0"/>
      <w:divBdr>
        <w:top w:val="none" w:sz="0" w:space="0" w:color="auto"/>
        <w:left w:val="none" w:sz="0" w:space="0" w:color="auto"/>
        <w:bottom w:val="none" w:sz="0" w:space="0" w:color="auto"/>
        <w:right w:val="none" w:sz="0" w:space="0" w:color="auto"/>
      </w:divBdr>
    </w:div>
    <w:div w:id="588974724">
      <w:bodyDiv w:val="1"/>
      <w:marLeft w:val="0"/>
      <w:marRight w:val="0"/>
      <w:marTop w:val="0"/>
      <w:marBottom w:val="0"/>
      <w:divBdr>
        <w:top w:val="none" w:sz="0" w:space="0" w:color="auto"/>
        <w:left w:val="none" w:sz="0" w:space="0" w:color="auto"/>
        <w:bottom w:val="none" w:sz="0" w:space="0" w:color="auto"/>
        <w:right w:val="none" w:sz="0" w:space="0" w:color="auto"/>
      </w:divBdr>
    </w:div>
    <w:div w:id="616985097">
      <w:bodyDiv w:val="1"/>
      <w:marLeft w:val="0"/>
      <w:marRight w:val="0"/>
      <w:marTop w:val="0"/>
      <w:marBottom w:val="0"/>
      <w:divBdr>
        <w:top w:val="none" w:sz="0" w:space="0" w:color="auto"/>
        <w:left w:val="none" w:sz="0" w:space="0" w:color="auto"/>
        <w:bottom w:val="none" w:sz="0" w:space="0" w:color="auto"/>
        <w:right w:val="none" w:sz="0" w:space="0" w:color="auto"/>
      </w:divBdr>
    </w:div>
    <w:div w:id="692338332">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31126497">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908079451">
      <w:bodyDiv w:val="1"/>
      <w:marLeft w:val="0"/>
      <w:marRight w:val="0"/>
      <w:marTop w:val="0"/>
      <w:marBottom w:val="0"/>
      <w:divBdr>
        <w:top w:val="none" w:sz="0" w:space="0" w:color="auto"/>
        <w:left w:val="none" w:sz="0" w:space="0" w:color="auto"/>
        <w:bottom w:val="none" w:sz="0" w:space="0" w:color="auto"/>
        <w:right w:val="none" w:sz="0" w:space="0" w:color="auto"/>
      </w:divBdr>
    </w:div>
    <w:div w:id="920066878">
      <w:bodyDiv w:val="1"/>
      <w:marLeft w:val="0"/>
      <w:marRight w:val="0"/>
      <w:marTop w:val="0"/>
      <w:marBottom w:val="0"/>
      <w:divBdr>
        <w:top w:val="none" w:sz="0" w:space="0" w:color="auto"/>
        <w:left w:val="none" w:sz="0" w:space="0" w:color="auto"/>
        <w:bottom w:val="none" w:sz="0" w:space="0" w:color="auto"/>
        <w:right w:val="none" w:sz="0" w:space="0" w:color="auto"/>
      </w:divBdr>
    </w:div>
    <w:div w:id="958537348">
      <w:bodyDiv w:val="1"/>
      <w:marLeft w:val="0"/>
      <w:marRight w:val="0"/>
      <w:marTop w:val="0"/>
      <w:marBottom w:val="0"/>
      <w:divBdr>
        <w:top w:val="none" w:sz="0" w:space="0" w:color="auto"/>
        <w:left w:val="none" w:sz="0" w:space="0" w:color="auto"/>
        <w:bottom w:val="none" w:sz="0" w:space="0" w:color="auto"/>
        <w:right w:val="none" w:sz="0" w:space="0" w:color="auto"/>
      </w:divBdr>
    </w:div>
    <w:div w:id="1066418647">
      <w:bodyDiv w:val="1"/>
      <w:marLeft w:val="0"/>
      <w:marRight w:val="0"/>
      <w:marTop w:val="0"/>
      <w:marBottom w:val="0"/>
      <w:divBdr>
        <w:top w:val="none" w:sz="0" w:space="0" w:color="auto"/>
        <w:left w:val="none" w:sz="0" w:space="0" w:color="auto"/>
        <w:bottom w:val="none" w:sz="0" w:space="0" w:color="auto"/>
        <w:right w:val="none" w:sz="0" w:space="0" w:color="auto"/>
      </w:divBdr>
    </w:div>
    <w:div w:id="1193878164">
      <w:bodyDiv w:val="1"/>
      <w:marLeft w:val="0"/>
      <w:marRight w:val="0"/>
      <w:marTop w:val="0"/>
      <w:marBottom w:val="0"/>
      <w:divBdr>
        <w:top w:val="none" w:sz="0" w:space="0" w:color="auto"/>
        <w:left w:val="none" w:sz="0" w:space="0" w:color="auto"/>
        <w:bottom w:val="none" w:sz="0" w:space="0" w:color="auto"/>
        <w:right w:val="none" w:sz="0" w:space="0" w:color="auto"/>
      </w:divBdr>
    </w:div>
    <w:div w:id="1209026870">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197628">
      <w:bodyDiv w:val="1"/>
      <w:marLeft w:val="0"/>
      <w:marRight w:val="0"/>
      <w:marTop w:val="0"/>
      <w:marBottom w:val="0"/>
      <w:divBdr>
        <w:top w:val="none" w:sz="0" w:space="0" w:color="auto"/>
        <w:left w:val="none" w:sz="0" w:space="0" w:color="auto"/>
        <w:bottom w:val="none" w:sz="0" w:space="0" w:color="auto"/>
        <w:right w:val="none" w:sz="0" w:space="0" w:color="auto"/>
      </w:divBdr>
    </w:div>
    <w:div w:id="1319967319">
      <w:bodyDiv w:val="1"/>
      <w:marLeft w:val="0"/>
      <w:marRight w:val="0"/>
      <w:marTop w:val="0"/>
      <w:marBottom w:val="0"/>
      <w:divBdr>
        <w:top w:val="none" w:sz="0" w:space="0" w:color="auto"/>
        <w:left w:val="none" w:sz="0" w:space="0" w:color="auto"/>
        <w:bottom w:val="none" w:sz="0" w:space="0" w:color="auto"/>
        <w:right w:val="none" w:sz="0" w:space="0" w:color="auto"/>
      </w:divBdr>
    </w:div>
    <w:div w:id="1476682346">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726249752">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watson@freshprodu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nne-Marie\Documents\210%20Analytics\Clients\IRI\2021\coronavirus\July%20files\share%20of%20meals%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ne-Marie\Documents\210%20Analytics\Clients\IRI\2021\coronavirus\December%20files\Line_graph_produce_Dec_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ne-Marie\Documents\210%20Analytics\Clients\IRI\2021\coronavirus\December%20files\Line_graph_produce_Dec_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ne-Marie\Documents\210%20Analytics\Clients\IRI\2021\coronavirus\December%20files\Line_graph_produce_Dec_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Share of total meals prepared at home by month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MEAN</c:v>
                </c:pt>
              </c:strCache>
            </c:strRef>
          </c:tx>
          <c:spPr>
            <a:ln w="28575" cap="rnd">
              <a:solidFill>
                <a:schemeClr val="accent1"/>
              </a:solidFill>
              <a:round/>
            </a:ln>
            <a:effectLst/>
          </c:spPr>
          <c:marker>
            <c:symbol val="none"/>
          </c:marker>
          <c:dLbls>
            <c:dLbl>
              <c:idx val="15"/>
              <c:layout>
                <c:manualLayout>
                  <c:x val="-3.348717948717958E-2"/>
                  <c:y val="3.26189489471710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3A-4175-9BA3-2CF015857A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Sheet1!$B$1:$W$1</c:f>
              <c:strCache>
                <c:ptCount val="22"/>
                <c:pt idx="0">
                  <c:v>Apr-20</c:v>
                </c:pt>
                <c:pt idx="1">
                  <c:v>May-20</c:v>
                </c:pt>
                <c:pt idx="2">
                  <c:v>Jun-20</c:v>
                </c:pt>
                <c:pt idx="3">
                  <c:v>Jul-20</c:v>
                </c:pt>
                <c:pt idx="4">
                  <c:v>Aug-20</c:v>
                </c:pt>
                <c:pt idx="5">
                  <c:v>Sep-20</c:v>
                </c:pt>
                <c:pt idx="6">
                  <c:v>Oct-20</c:v>
                </c:pt>
                <c:pt idx="7">
                  <c:v>Nov-20</c:v>
                </c:pt>
                <c:pt idx="8">
                  <c:v>Dec-20</c:v>
                </c:pt>
                <c:pt idx="9">
                  <c:v>Jan-21</c:v>
                </c:pt>
                <c:pt idx="10">
                  <c:v>Feb-21</c:v>
                </c:pt>
                <c:pt idx="11">
                  <c:v>Mar-21</c:v>
                </c:pt>
                <c:pt idx="12">
                  <c:v>Apr-21</c:v>
                </c:pt>
                <c:pt idx="13">
                  <c:v>May-21</c:v>
                </c:pt>
                <c:pt idx="14">
                  <c:v>Jun-21</c:v>
                </c:pt>
                <c:pt idx="15">
                  <c:v>Jul-21</c:v>
                </c:pt>
                <c:pt idx="16">
                  <c:v>Aug 21</c:v>
                </c:pt>
                <c:pt idx="17">
                  <c:v>Sep 21</c:v>
                </c:pt>
                <c:pt idx="18">
                  <c:v>Oct 21</c:v>
                </c:pt>
                <c:pt idx="19">
                  <c:v>Nov 21</c:v>
                </c:pt>
                <c:pt idx="20">
                  <c:v>Dec 21</c:v>
                </c:pt>
                <c:pt idx="21">
                  <c:v>Jan 22</c:v>
                </c:pt>
              </c:strCache>
            </c:strRef>
          </c:cat>
          <c:val>
            <c:numRef>
              <c:f>Sheet1!$B$2:$W$2</c:f>
              <c:numCache>
                <c:formatCode>0</c:formatCode>
                <c:ptCount val="22"/>
                <c:pt idx="0">
                  <c:v>88.1</c:v>
                </c:pt>
                <c:pt idx="1">
                  <c:v>85.2</c:v>
                </c:pt>
                <c:pt idx="2">
                  <c:v>84</c:v>
                </c:pt>
                <c:pt idx="3">
                  <c:v>82</c:v>
                </c:pt>
                <c:pt idx="4">
                  <c:v>82.4</c:v>
                </c:pt>
                <c:pt idx="5">
                  <c:v>81.400000000000006</c:v>
                </c:pt>
                <c:pt idx="6">
                  <c:v>81.900000000000006</c:v>
                </c:pt>
                <c:pt idx="7">
                  <c:v>83.6</c:v>
                </c:pt>
                <c:pt idx="8">
                  <c:v>82.4</c:v>
                </c:pt>
                <c:pt idx="9">
                  <c:v>84.2</c:v>
                </c:pt>
                <c:pt idx="10">
                  <c:v>83.4</c:v>
                </c:pt>
                <c:pt idx="11">
                  <c:v>81.400000000000006</c:v>
                </c:pt>
                <c:pt idx="12">
                  <c:v>80.7</c:v>
                </c:pt>
                <c:pt idx="13">
                  <c:v>80.099999999999994</c:v>
                </c:pt>
                <c:pt idx="14">
                  <c:v>80.3</c:v>
                </c:pt>
                <c:pt idx="15">
                  <c:v>76.599999999999994</c:v>
                </c:pt>
                <c:pt idx="16">
                  <c:v>79.900000000000006</c:v>
                </c:pt>
                <c:pt idx="17">
                  <c:v>79.8</c:v>
                </c:pt>
                <c:pt idx="18">
                  <c:v>80.3</c:v>
                </c:pt>
                <c:pt idx="19">
                  <c:v>80</c:v>
                </c:pt>
                <c:pt idx="20">
                  <c:v>79.8</c:v>
                </c:pt>
                <c:pt idx="21">
                  <c:v>82.4</c:v>
                </c:pt>
              </c:numCache>
            </c:numRef>
          </c:val>
          <c:smooth val="0"/>
          <c:extLst>
            <c:ext xmlns:c16="http://schemas.microsoft.com/office/drawing/2014/chart" uri="{C3380CC4-5D6E-409C-BE32-E72D297353CC}">
              <c16:uniqueId val="{00000001-E13A-4175-9BA3-2CF015857A7A}"/>
            </c:ext>
          </c:extLst>
        </c:ser>
        <c:dLbls>
          <c:showLegendKey val="0"/>
          <c:showVal val="0"/>
          <c:showCatName val="0"/>
          <c:showSerName val="0"/>
          <c:showPercent val="0"/>
          <c:showBubbleSize val="0"/>
        </c:dLbls>
        <c:smooth val="0"/>
        <c:axId val="1399798495"/>
        <c:axId val="1866133935"/>
      </c:lineChart>
      <c:catAx>
        <c:axId val="139979849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6133935"/>
        <c:crosses val="autoZero"/>
        <c:auto val="1"/>
        <c:lblAlgn val="ctr"/>
        <c:lblOffset val="100"/>
        <c:noMultiLvlLbl val="1"/>
      </c:catAx>
      <c:valAx>
        <c:axId val="1866133935"/>
        <c:scaling>
          <c:orientation val="minMax"/>
        </c:scaling>
        <c:delete val="0"/>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7984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1050"/>
            </a:pPr>
            <a:r>
              <a:rPr lang="en-US" sz="1050"/>
              <a:t>% Dollar growth versus the same time period year ago</a:t>
            </a:r>
          </a:p>
        </c:rich>
      </c:tx>
      <c:overlay val="0"/>
    </c:title>
    <c:autoTitleDeleted val="0"/>
    <c:plotArea>
      <c:layout/>
      <c:lineChart>
        <c:grouping val="standard"/>
        <c:varyColors val="0"/>
        <c:ser>
          <c:idx val="0"/>
          <c:order val="0"/>
          <c:tx>
            <c:strRef>
              <c:f>Sheet1!$A$30</c:f>
              <c:strCache>
                <c:ptCount val="1"/>
                <c:pt idx="0">
                  <c:v>Produce dpt  </c:v>
                </c:pt>
              </c:strCache>
            </c:strRef>
          </c:tx>
          <c:marker>
            <c:symbol val="none"/>
          </c:marker>
          <c:dLbls>
            <c:dLbl>
              <c:idx val="0"/>
              <c:layout>
                <c:manualLayout>
                  <c:x val="-6.3073042185404743E-2"/>
                  <c:y val="-1.09999965354341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57-4DFB-94D3-2FB1121F6D33}"/>
                </c:ext>
              </c:extLst>
            </c:dLbl>
            <c:dLbl>
              <c:idx val="1"/>
              <c:layout>
                <c:manualLayout>
                  <c:x val="-3.2262228751839012E-2"/>
                  <c:y val="-1.89999940157499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57-4DFB-94D3-2FB1121F6D33}"/>
                </c:ext>
              </c:extLst>
            </c:dLbl>
            <c:dLbl>
              <c:idx val="5"/>
              <c:layout>
                <c:manualLayout>
                  <c:x val="-2.4229214437575215E-2"/>
                  <c:y val="-1.4999995275592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57-4DFB-94D3-2FB1121F6D33}"/>
                </c:ext>
              </c:extLst>
            </c:dLbl>
            <c:dLbl>
              <c:idx val="6"/>
              <c:layout>
                <c:manualLayout>
                  <c:x val="-3.6881075840587842E-2"/>
                  <c:y val="-2.0086386256564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57-4DFB-94D3-2FB1121F6D33}"/>
                </c:ext>
              </c:extLst>
            </c:dLbl>
            <c:dLbl>
              <c:idx val="7"/>
              <c:layout>
                <c:manualLayout>
                  <c:x val="-1.7440512703191361E-2"/>
                  <c:y val="2.39740739191258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57-4DFB-94D3-2FB1121F6D33}"/>
                </c:ext>
              </c:extLst>
            </c:dLbl>
            <c:dLbl>
              <c:idx val="8"/>
              <c:layout>
                <c:manualLayout>
                  <c:x val="-2.4913916143324853E-2"/>
                  <c:y val="2.95747001792327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57-4DFB-94D3-2FB1121F6D33}"/>
                </c:ext>
              </c:extLst>
            </c:dLbl>
            <c:dLbl>
              <c:idx val="9"/>
              <c:layout>
                <c:manualLayout>
                  <c:x val="-2.0064306649689198E-3"/>
                  <c:y val="6.479479437600656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57-4DFB-94D3-2FB1121F6D33}"/>
                </c:ext>
              </c:extLst>
            </c:dLbl>
            <c:dLbl>
              <c:idx val="11"/>
              <c:layout>
                <c:manualLayout>
                  <c:x val="-2.4693211455823771E-2"/>
                  <c:y val="2.81119320555966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57-4DFB-94D3-2FB1121F6D33}"/>
                </c:ext>
              </c:extLst>
            </c:dLbl>
            <c:dLbl>
              <c:idx val="12"/>
              <c:layout>
                <c:manualLayout>
                  <c:x val="-2.3484444590904287E-2"/>
                  <c:y val="-1.79424119166335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57-4DFB-94D3-2FB1121F6D33}"/>
                </c:ext>
              </c:extLst>
            </c:dLbl>
            <c:dLbl>
              <c:idx val="13"/>
              <c:layout>
                <c:manualLayout>
                  <c:x val="-1.8576973326594252E-2"/>
                  <c:y val="3.08599510085453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57-4DFB-94D3-2FB1121F6D33}"/>
                </c:ext>
              </c:extLst>
            </c:dLbl>
            <c:spPr>
              <a:noFill/>
              <a:ln>
                <a:noFill/>
              </a:ln>
              <a:effectLst/>
            </c:spPr>
            <c:txPr>
              <a:bodyPr/>
              <a:lstStyle/>
              <a:p>
                <a:pPr>
                  <a:defRPr sz="900">
                    <a:solidFill>
                      <a:schemeClr val="accent1"/>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Sheet1!$B$29:$K$29</c:f>
              <c:strCache>
                <c:ptCount val="10"/>
                <c:pt idx="0">
                  <c:v>2019</c:v>
                </c:pt>
                <c:pt idx="1">
                  <c:v>Q1 '20</c:v>
                </c:pt>
                <c:pt idx="2">
                  <c:v>Q2 '20</c:v>
                </c:pt>
                <c:pt idx="3">
                  <c:v>Q3 '20</c:v>
                </c:pt>
                <c:pt idx="4">
                  <c:v>Q4 '20</c:v>
                </c:pt>
                <c:pt idx="5">
                  <c:v>Q1 '21</c:v>
                </c:pt>
                <c:pt idx="6">
                  <c:v>Q2 '21</c:v>
                </c:pt>
                <c:pt idx="7">
                  <c:v>Q3 '21</c:v>
                </c:pt>
                <c:pt idx="8">
                  <c:v>Q4 '21</c:v>
                </c:pt>
                <c:pt idx="9">
                  <c:v>Jan 22</c:v>
                </c:pt>
              </c:strCache>
            </c:strRef>
          </c:cat>
          <c:val>
            <c:numRef>
              <c:f>Sheet1!$B$30:$K$30</c:f>
              <c:numCache>
                <c:formatCode>0.0%</c:formatCode>
                <c:ptCount val="10"/>
                <c:pt idx="0">
                  <c:v>1.7999999999999999E-2</c:v>
                </c:pt>
                <c:pt idx="1">
                  <c:v>6.8000000000000005E-2</c:v>
                </c:pt>
                <c:pt idx="2">
                  <c:v>0.151</c:v>
                </c:pt>
                <c:pt idx="3">
                  <c:v>0.121</c:v>
                </c:pt>
                <c:pt idx="4">
                  <c:v>0.11700000000000001</c:v>
                </c:pt>
                <c:pt idx="5">
                  <c:v>4.8000000000000001E-2</c:v>
                </c:pt>
                <c:pt idx="6">
                  <c:v>-1.0999999999999999E-2</c:v>
                </c:pt>
                <c:pt idx="7">
                  <c:v>0.02</c:v>
                </c:pt>
                <c:pt idx="8">
                  <c:v>5.0999999999999997E-2</c:v>
                </c:pt>
                <c:pt idx="9">
                  <c:v>4.3999999999999997E-2</c:v>
                </c:pt>
              </c:numCache>
            </c:numRef>
          </c:val>
          <c:smooth val="0"/>
          <c:extLst>
            <c:ext xmlns:c16="http://schemas.microsoft.com/office/drawing/2014/chart" uri="{C3380CC4-5D6E-409C-BE32-E72D297353CC}">
              <c16:uniqueId val="{0000000A-3D57-4DFB-94D3-2FB1121F6D33}"/>
            </c:ext>
          </c:extLst>
        </c:ser>
        <c:ser>
          <c:idx val="1"/>
          <c:order val="1"/>
          <c:tx>
            <c:strRef>
              <c:f>Sheet1!$A$31</c:f>
              <c:strCache>
                <c:ptCount val="1"/>
                <c:pt idx="0">
                  <c:v>Fresh fruit</c:v>
                </c:pt>
              </c:strCache>
            </c:strRef>
          </c:tx>
          <c:marker>
            <c:symbol val="none"/>
          </c:marker>
          <c:dLbls>
            <c:dLbl>
              <c:idx val="0"/>
              <c:layout>
                <c:manualLayout>
                  <c:x val="-6.4151356812203172E-2"/>
                  <c:y val="-4.999998425197379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57-4DFB-94D3-2FB1121F6D33}"/>
                </c:ext>
              </c:extLst>
            </c:dLbl>
            <c:dLbl>
              <c:idx val="5"/>
              <c:layout>
                <c:manualLayout>
                  <c:x val="-2.5939110462519059E-2"/>
                  <c:y val="4.69999851968550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D57-4DFB-94D3-2FB1121F6D33}"/>
                </c:ext>
              </c:extLst>
            </c:dLbl>
            <c:dLbl>
              <c:idx val="7"/>
              <c:layout>
                <c:manualLayout>
                  <c:x val="-2.0012859709561771E-2"/>
                  <c:y val="1.7494594481524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D57-4DFB-94D3-2FB1121F6D33}"/>
                </c:ext>
              </c:extLst>
            </c:dLbl>
            <c:dLbl>
              <c:idx val="8"/>
              <c:layout>
                <c:manualLayout>
                  <c:x val="-1.9828654425439789E-2"/>
                  <c:y val="3.7306166316460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D57-4DFB-94D3-2FB1121F6D33}"/>
                </c:ext>
              </c:extLst>
            </c:dLbl>
            <c:dLbl>
              <c:idx val="9"/>
              <c:layout>
                <c:manualLayout>
                  <c:x val="-1.3795971440164642E-16"/>
                  <c:y val="1.05148840457059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D57-4DFB-94D3-2FB1121F6D33}"/>
                </c:ext>
              </c:extLst>
            </c:dLbl>
            <c:dLbl>
              <c:idx val="11"/>
              <c:layout>
                <c:manualLayout>
                  <c:x val="-1.6288929183536787E-2"/>
                  <c:y val="-2.811193205559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D57-4DFB-94D3-2FB1121F6D33}"/>
                </c:ext>
              </c:extLst>
            </c:dLbl>
            <c:dLbl>
              <c:idx val="12"/>
              <c:layout>
                <c:manualLayout>
                  <c:x val="-2.6024411456978667E-2"/>
                  <c:y val="-1.67609970915972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D57-4DFB-94D3-2FB1121F6D33}"/>
                </c:ext>
              </c:extLst>
            </c:dLbl>
            <c:spPr>
              <a:noFill/>
              <a:ln>
                <a:noFill/>
              </a:ln>
              <a:effectLst/>
            </c:spPr>
            <c:txPr>
              <a:bodyPr/>
              <a:lstStyle/>
              <a:p>
                <a:pPr>
                  <a:defRPr sz="900">
                    <a:solidFill>
                      <a:schemeClr val="accent2"/>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Sheet1!$B$29:$K$29</c:f>
              <c:strCache>
                <c:ptCount val="10"/>
                <c:pt idx="0">
                  <c:v>2019</c:v>
                </c:pt>
                <c:pt idx="1">
                  <c:v>Q1 '20</c:v>
                </c:pt>
                <c:pt idx="2">
                  <c:v>Q2 '20</c:v>
                </c:pt>
                <c:pt idx="3">
                  <c:v>Q3 '20</c:v>
                </c:pt>
                <c:pt idx="4">
                  <c:v>Q4 '20</c:v>
                </c:pt>
                <c:pt idx="5">
                  <c:v>Q1 '21</c:v>
                </c:pt>
                <c:pt idx="6">
                  <c:v>Q2 '21</c:v>
                </c:pt>
                <c:pt idx="7">
                  <c:v>Q3 '21</c:v>
                </c:pt>
                <c:pt idx="8">
                  <c:v>Q4 '21</c:v>
                </c:pt>
                <c:pt idx="9">
                  <c:v>Jan 22</c:v>
                </c:pt>
              </c:strCache>
            </c:strRef>
          </c:cat>
          <c:val>
            <c:numRef>
              <c:f>Sheet1!$B$31:$K$31</c:f>
              <c:numCache>
                <c:formatCode>0.0%</c:formatCode>
                <c:ptCount val="10"/>
                <c:pt idx="0">
                  <c:v>-2E-3</c:v>
                </c:pt>
                <c:pt idx="1">
                  <c:v>5.2999999999999999E-2</c:v>
                </c:pt>
                <c:pt idx="2">
                  <c:v>0.106</c:v>
                </c:pt>
                <c:pt idx="3">
                  <c:v>9.5000000000000001E-2</c:v>
                </c:pt>
                <c:pt idx="4">
                  <c:v>8.6999999999999994E-2</c:v>
                </c:pt>
                <c:pt idx="5">
                  <c:v>5.0999999999999997E-2</c:v>
                </c:pt>
                <c:pt idx="6">
                  <c:v>4.4999999999999998E-2</c:v>
                </c:pt>
                <c:pt idx="7">
                  <c:v>6.0999999999999999E-2</c:v>
                </c:pt>
                <c:pt idx="8">
                  <c:v>0.109</c:v>
                </c:pt>
                <c:pt idx="9">
                  <c:v>0.10100000000000001</c:v>
                </c:pt>
              </c:numCache>
            </c:numRef>
          </c:val>
          <c:smooth val="0"/>
          <c:extLst>
            <c:ext xmlns:c16="http://schemas.microsoft.com/office/drawing/2014/chart" uri="{C3380CC4-5D6E-409C-BE32-E72D297353CC}">
              <c16:uniqueId val="{00000012-3D57-4DFB-94D3-2FB1121F6D33}"/>
            </c:ext>
          </c:extLst>
        </c:ser>
        <c:ser>
          <c:idx val="2"/>
          <c:order val="2"/>
          <c:tx>
            <c:strRef>
              <c:f>Sheet1!$A$32</c:f>
              <c:strCache>
                <c:ptCount val="1"/>
                <c:pt idx="0">
                  <c:v>Fresh vegetables</c:v>
                </c:pt>
              </c:strCache>
            </c:strRef>
          </c:tx>
          <c:marker>
            <c:symbol val="none"/>
          </c:marker>
          <c:dLbls>
            <c:dLbl>
              <c:idx val="0"/>
              <c:layout>
                <c:manualLayout>
                  <c:x val="-5.6586555146759317E-2"/>
                  <c:y val="-2.69999914960656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D57-4DFB-94D3-2FB1121F6D33}"/>
                </c:ext>
              </c:extLst>
            </c:dLbl>
            <c:dLbl>
              <c:idx val="5"/>
              <c:layout>
                <c:manualLayout>
                  <c:x val="-3.16017390174156E-2"/>
                  <c:y val="-4.69999851968550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D57-4DFB-94D3-2FB1121F6D33}"/>
                </c:ext>
              </c:extLst>
            </c:dLbl>
            <c:dLbl>
              <c:idx val="6"/>
              <c:layout>
                <c:manualLayout>
                  <c:x val="-3.8100874207580487E-2"/>
                  <c:y val="2.67315610778010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1C-4D61-A55A-4C38F3A8A60A}"/>
                </c:ext>
              </c:extLst>
            </c:dLbl>
            <c:dLbl>
              <c:idx val="7"/>
              <c:layout>
                <c:manualLayout>
                  <c:x val="-2.3588569160018714E-2"/>
                  <c:y val="7.5625586939247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D57-4DFB-94D3-2FB1121F6D33}"/>
                </c:ext>
              </c:extLst>
            </c:dLbl>
            <c:dLbl>
              <c:idx val="8"/>
              <c:layout>
                <c:manualLayout>
                  <c:x val="-2.9329616179691393E-2"/>
                  <c:y val="2.32783836225622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D57-4DFB-94D3-2FB1121F6D33}"/>
                </c:ext>
              </c:extLst>
            </c:dLbl>
            <c:dLbl>
              <c:idx val="9"/>
              <c:layout>
                <c:manualLayout>
                  <c:x val="-2.7672747284164497E-3"/>
                  <c:y val="3.809582036818344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D57-4DFB-94D3-2FB1121F6D33}"/>
                </c:ext>
              </c:extLst>
            </c:dLbl>
            <c:dLbl>
              <c:idx val="10"/>
              <c:layout>
                <c:manualLayout>
                  <c:x val="-2.0859923341428201E-2"/>
                  <c:y val="2.53737374959150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D57-4DFB-94D3-2FB1121F6D33}"/>
                </c:ext>
              </c:extLst>
            </c:dLbl>
            <c:dLbl>
              <c:idx val="11"/>
              <c:layout>
                <c:manualLayout>
                  <c:x val="-2.2165180456543882E-2"/>
                  <c:y val="3.6336780868286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D57-4DFB-94D3-2FB1121F6D33}"/>
                </c:ext>
              </c:extLst>
            </c:dLbl>
            <c:dLbl>
              <c:idx val="12"/>
              <c:layout>
                <c:manualLayout>
                  <c:x val="-2.4583776145535061E-2"/>
                  <c:y val="2.830016984271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D57-4DFB-94D3-2FB1121F6D33}"/>
                </c:ext>
              </c:extLst>
            </c:dLbl>
            <c:dLbl>
              <c:idx val="13"/>
              <c:layout>
                <c:manualLayout>
                  <c:x val="-2.1939062981788597E-2"/>
                  <c:y val="5.00616983027511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D57-4DFB-94D3-2FB1121F6D33}"/>
                </c:ext>
              </c:extLst>
            </c:dLbl>
            <c:spPr>
              <a:noFill/>
              <a:ln>
                <a:noFill/>
              </a:ln>
              <a:effectLst/>
            </c:spPr>
            <c:txPr>
              <a:bodyPr/>
              <a:lstStyle/>
              <a:p>
                <a:pPr>
                  <a:defRPr sz="900">
                    <a:solidFill>
                      <a:schemeClr val="accent3">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Sheet1!$B$29:$K$29</c:f>
              <c:strCache>
                <c:ptCount val="10"/>
                <c:pt idx="0">
                  <c:v>2019</c:v>
                </c:pt>
                <c:pt idx="1">
                  <c:v>Q1 '20</c:v>
                </c:pt>
                <c:pt idx="2">
                  <c:v>Q2 '20</c:v>
                </c:pt>
                <c:pt idx="3">
                  <c:v>Q3 '20</c:v>
                </c:pt>
                <c:pt idx="4">
                  <c:v>Q4 '20</c:v>
                </c:pt>
                <c:pt idx="5">
                  <c:v>Q1 '21</c:v>
                </c:pt>
                <c:pt idx="6">
                  <c:v>Q2 '21</c:v>
                </c:pt>
                <c:pt idx="7">
                  <c:v>Q3 '21</c:v>
                </c:pt>
                <c:pt idx="8">
                  <c:v>Q4 '21</c:v>
                </c:pt>
                <c:pt idx="9">
                  <c:v>Jan 22</c:v>
                </c:pt>
              </c:strCache>
            </c:strRef>
          </c:cat>
          <c:val>
            <c:numRef>
              <c:f>Sheet1!$B$32:$K$32</c:f>
              <c:numCache>
                <c:formatCode>0.0%</c:formatCode>
                <c:ptCount val="10"/>
                <c:pt idx="0">
                  <c:v>3.9E-2</c:v>
                </c:pt>
                <c:pt idx="1">
                  <c:v>8.4000000000000005E-2</c:v>
                </c:pt>
                <c:pt idx="2">
                  <c:v>0.20699999999999999</c:v>
                </c:pt>
                <c:pt idx="3">
                  <c:v>0.151</c:v>
                </c:pt>
                <c:pt idx="4">
                  <c:v>0.14799999999999999</c:v>
                </c:pt>
                <c:pt idx="5">
                  <c:v>4.7E-2</c:v>
                </c:pt>
                <c:pt idx="6">
                  <c:v>-7.0999999999999994E-2</c:v>
                </c:pt>
                <c:pt idx="7">
                  <c:v>-2.4E-2</c:v>
                </c:pt>
                <c:pt idx="8">
                  <c:v>1E-3</c:v>
                </c:pt>
                <c:pt idx="9">
                  <c:v>-5.0000000000000001E-3</c:v>
                </c:pt>
              </c:numCache>
            </c:numRef>
          </c:val>
          <c:smooth val="0"/>
          <c:extLst>
            <c:ext xmlns:c16="http://schemas.microsoft.com/office/drawing/2014/chart" uri="{C3380CC4-5D6E-409C-BE32-E72D297353CC}">
              <c16:uniqueId val="{0000001C-3D57-4DFB-94D3-2FB1121F6D33}"/>
            </c:ext>
          </c:extLst>
        </c:ser>
        <c:ser>
          <c:idx val="3"/>
          <c:order val="3"/>
          <c:tx>
            <c:strRef>
              <c:f>Sheet1!$A$33</c:f>
              <c:strCache>
                <c:ptCount val="1"/>
                <c:pt idx="0">
                  <c:v>Produce dpt vs. 2019</c:v>
                </c:pt>
              </c:strCache>
            </c:strRef>
          </c:tx>
          <c:spPr>
            <a:ln>
              <a:noFill/>
            </a:ln>
          </c:spPr>
          <c:marker>
            <c:spPr>
              <a:solidFill>
                <a:srgbClr val="7030A0"/>
              </a:solidFill>
              <a:ln>
                <a:noFill/>
              </a:ln>
            </c:spPr>
          </c:marker>
          <c:dLbls>
            <c:dLbl>
              <c:idx val="7"/>
              <c:layout>
                <c:manualLayout>
                  <c:x val="8.9521073276133262E-3"/>
                  <c:y val="-3.6194795927983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D57-4DFB-94D3-2FB1121F6D33}"/>
                </c:ext>
              </c:extLst>
            </c:dLbl>
            <c:dLbl>
              <c:idx val="11"/>
              <c:layout>
                <c:manualLayout>
                  <c:x val="0"/>
                  <c:y val="-1.37155337815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D57-4DFB-94D3-2FB1121F6D33}"/>
                </c:ext>
              </c:extLst>
            </c:dLbl>
            <c:spPr>
              <a:noFill/>
              <a:ln>
                <a:noFill/>
              </a:ln>
              <a:effectLst/>
            </c:spPr>
            <c:txPr>
              <a:bodyPr/>
              <a:lstStyle/>
              <a:p>
                <a:pPr>
                  <a:defRPr>
                    <a:solidFill>
                      <a:schemeClr val="accent4"/>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Sheet1!$B$29:$K$29</c:f>
              <c:strCache>
                <c:ptCount val="10"/>
                <c:pt idx="0">
                  <c:v>2019</c:v>
                </c:pt>
                <c:pt idx="1">
                  <c:v>Q1 '20</c:v>
                </c:pt>
                <c:pt idx="2">
                  <c:v>Q2 '20</c:v>
                </c:pt>
                <c:pt idx="3">
                  <c:v>Q3 '20</c:v>
                </c:pt>
                <c:pt idx="4">
                  <c:v>Q4 '20</c:v>
                </c:pt>
                <c:pt idx="5">
                  <c:v>Q1 '21</c:v>
                </c:pt>
                <c:pt idx="6">
                  <c:v>Q2 '21</c:v>
                </c:pt>
                <c:pt idx="7">
                  <c:v>Q3 '21</c:v>
                </c:pt>
                <c:pt idx="8">
                  <c:v>Q4 '21</c:v>
                </c:pt>
                <c:pt idx="9">
                  <c:v>Jan 22</c:v>
                </c:pt>
              </c:strCache>
            </c:strRef>
          </c:cat>
          <c:val>
            <c:numRef>
              <c:f>Sheet1!$B$33:$K$33</c:f>
              <c:numCache>
                <c:formatCode>General</c:formatCode>
                <c:ptCount val="10"/>
                <c:pt idx="5" formatCode="0.0%">
                  <c:v>0.12</c:v>
                </c:pt>
                <c:pt idx="6" formatCode="0.0%">
                  <c:v>0.13800000000000001</c:v>
                </c:pt>
                <c:pt idx="7" formatCode="0.0%">
                  <c:v>0.14399999999999999</c:v>
                </c:pt>
                <c:pt idx="8" formatCode="0.0%">
                  <c:v>0.17499999999999999</c:v>
                </c:pt>
                <c:pt idx="9" formatCode="0.0%">
                  <c:v>0.156</c:v>
                </c:pt>
              </c:numCache>
            </c:numRef>
          </c:val>
          <c:smooth val="0"/>
          <c:extLst>
            <c:ext xmlns:c16="http://schemas.microsoft.com/office/drawing/2014/chart" uri="{C3380CC4-5D6E-409C-BE32-E72D297353CC}">
              <c16:uniqueId val="{0000001F-3D57-4DFB-94D3-2FB1121F6D33}"/>
            </c:ext>
          </c:extLst>
        </c:ser>
        <c:ser>
          <c:idx val="4"/>
          <c:order val="4"/>
          <c:tx>
            <c:strRef>
              <c:f>Sheet1!$A$34</c:f>
              <c:strCache>
                <c:ptCount val="1"/>
                <c:pt idx="0">
                  <c:v>Fresh fruit vs. 2019</c:v>
                </c:pt>
              </c:strCache>
            </c:strRef>
          </c:tx>
          <c:spPr>
            <a:ln>
              <a:noFill/>
            </a:ln>
          </c:spPr>
          <c:marker>
            <c:spPr>
              <a:solidFill>
                <a:schemeClr val="accent5"/>
              </a:solidFill>
              <a:ln>
                <a:noFill/>
              </a:ln>
            </c:spPr>
          </c:marker>
          <c:dLbls>
            <c:dLbl>
              <c:idx val="7"/>
              <c:layout>
                <c:manualLayout>
                  <c:x val="3.9861921591190204E-3"/>
                  <c:y val="-2.20209267808502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D57-4DFB-94D3-2FB1121F6D33}"/>
                </c:ext>
              </c:extLst>
            </c:dLbl>
            <c:dLbl>
              <c:idx val="8"/>
              <c:layout>
                <c:manualLayout>
                  <c:x val="2.5723932915874053E-3"/>
                  <c:y val="-1.76176039756705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D57-4DFB-94D3-2FB1121F6D33}"/>
                </c:ext>
              </c:extLst>
            </c:dLbl>
            <c:dLbl>
              <c:idx val="9"/>
              <c:layout>
                <c:manualLayout>
                  <c:x val="2.5212729927190933E-3"/>
                  <c:y val="3.91296256722776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D57-4DFB-94D3-2FB1121F6D33}"/>
                </c:ext>
              </c:extLst>
            </c:dLbl>
            <c:dLbl>
              <c:idx val="11"/>
              <c:layout>
                <c:manualLayout>
                  <c:x val="-2.5193144132161509E-3"/>
                  <c:y val="-4.1146601344727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D57-4DFB-94D3-2FB1121F6D33}"/>
                </c:ext>
              </c:extLst>
            </c:dLbl>
            <c:dLbl>
              <c:idx val="12"/>
              <c:layout>
                <c:manualLayout>
                  <c:x val="-1.850662112055403E-16"/>
                  <c:y val="-1.3712400220694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3D57-4DFB-94D3-2FB1121F6D33}"/>
                </c:ext>
              </c:extLst>
            </c:dLbl>
            <c:spPr>
              <a:noFill/>
              <a:ln>
                <a:noFill/>
              </a:ln>
              <a:effectLst/>
            </c:spPr>
            <c:txPr>
              <a:bodyPr/>
              <a:lstStyle/>
              <a:p>
                <a:pPr>
                  <a:defRPr sz="900">
                    <a:solidFill>
                      <a:schemeClr val="accent5">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Sheet1!$B$29:$K$29</c:f>
              <c:strCache>
                <c:ptCount val="10"/>
                <c:pt idx="0">
                  <c:v>2019</c:v>
                </c:pt>
                <c:pt idx="1">
                  <c:v>Q1 '20</c:v>
                </c:pt>
                <c:pt idx="2">
                  <c:v>Q2 '20</c:v>
                </c:pt>
                <c:pt idx="3">
                  <c:v>Q3 '20</c:v>
                </c:pt>
                <c:pt idx="4">
                  <c:v>Q4 '20</c:v>
                </c:pt>
                <c:pt idx="5">
                  <c:v>Q1 '21</c:v>
                </c:pt>
                <c:pt idx="6">
                  <c:v>Q2 '21</c:v>
                </c:pt>
                <c:pt idx="7">
                  <c:v>Q3 '21</c:v>
                </c:pt>
                <c:pt idx="8">
                  <c:v>Q4 '21</c:v>
                </c:pt>
                <c:pt idx="9">
                  <c:v>Jan 22</c:v>
                </c:pt>
              </c:strCache>
            </c:strRef>
          </c:cat>
          <c:val>
            <c:numRef>
              <c:f>Sheet1!$B$34:$K$34</c:f>
              <c:numCache>
                <c:formatCode>General</c:formatCode>
                <c:ptCount val="10"/>
                <c:pt idx="5" formatCode="0.0%">
                  <c:v>0.106</c:v>
                </c:pt>
                <c:pt idx="6" formatCode="0.0%">
                  <c:v>0.156</c:v>
                </c:pt>
                <c:pt idx="7" formatCode="0.0%">
                  <c:v>0.16300000000000001</c:v>
                </c:pt>
                <c:pt idx="8" formatCode="0.0%">
                  <c:v>0.20599999999999999</c:v>
                </c:pt>
                <c:pt idx="9" formatCode="0.0%">
                  <c:v>0.2</c:v>
                </c:pt>
              </c:numCache>
            </c:numRef>
          </c:val>
          <c:smooth val="0"/>
          <c:extLst>
            <c:ext xmlns:c16="http://schemas.microsoft.com/office/drawing/2014/chart" uri="{C3380CC4-5D6E-409C-BE32-E72D297353CC}">
              <c16:uniqueId val="{00000025-3D57-4DFB-94D3-2FB1121F6D33}"/>
            </c:ext>
          </c:extLst>
        </c:ser>
        <c:ser>
          <c:idx val="5"/>
          <c:order val="5"/>
          <c:tx>
            <c:strRef>
              <c:f>Sheet1!$A$35</c:f>
              <c:strCache>
                <c:ptCount val="1"/>
                <c:pt idx="0">
                  <c:v>Fresh veg vs. 2019</c:v>
                </c:pt>
              </c:strCache>
            </c:strRef>
          </c:tx>
          <c:spPr>
            <a:ln>
              <a:noFill/>
            </a:ln>
          </c:spPr>
          <c:marker>
            <c:spPr>
              <a:ln>
                <a:noFill/>
              </a:ln>
            </c:spPr>
          </c:marker>
          <c:dLbls>
            <c:dLbl>
              <c:idx val="7"/>
              <c:layout>
                <c:manualLayout>
                  <c:x val="6.4308675159260378E-3"/>
                  <c:y val="-5.183583550081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3D57-4DFB-94D3-2FB1121F6D33}"/>
                </c:ext>
              </c:extLst>
            </c:dLbl>
            <c:dLbl>
              <c:idx val="8"/>
              <c:layout>
                <c:manualLayout>
                  <c:x val="3.8585403060229836E-3"/>
                  <c:y val="-4.30305125256425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3D57-4DFB-94D3-2FB1121F6D33}"/>
                </c:ext>
              </c:extLst>
            </c:dLbl>
            <c:dLbl>
              <c:idx val="9"/>
              <c:layout>
                <c:manualLayout>
                  <c:x val="0"/>
                  <c:y val="4.74316789533461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3D57-4DFB-94D3-2FB1121F6D33}"/>
                </c:ext>
              </c:extLst>
            </c:dLbl>
            <c:dLbl>
              <c:idx val="11"/>
              <c:layout>
                <c:manualLayout>
                  <c:x val="0"/>
                  <c:y val="1.6458640537890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3D57-4DFB-94D3-2FB1121F6D33}"/>
                </c:ext>
              </c:extLst>
            </c:dLbl>
            <c:dLbl>
              <c:idx val="12"/>
              <c:layout>
                <c:manualLayout>
                  <c:x val="-1.850662112055403E-16"/>
                  <c:y val="1.919736030897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3D57-4DFB-94D3-2FB1121F6D33}"/>
                </c:ext>
              </c:extLst>
            </c:dLbl>
            <c:spPr>
              <a:noFill/>
              <a:ln>
                <a:noFill/>
              </a:ln>
              <a:effectLst/>
            </c:spPr>
            <c:txPr>
              <a:bodyPr/>
              <a:lstStyle/>
              <a:p>
                <a:pPr>
                  <a:defRPr sz="900">
                    <a:solidFill>
                      <a:schemeClr val="accent6">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Sheet1!$B$29:$K$29</c:f>
              <c:strCache>
                <c:ptCount val="10"/>
                <c:pt idx="0">
                  <c:v>2019</c:v>
                </c:pt>
                <c:pt idx="1">
                  <c:v>Q1 '20</c:v>
                </c:pt>
                <c:pt idx="2">
                  <c:v>Q2 '20</c:v>
                </c:pt>
                <c:pt idx="3">
                  <c:v>Q3 '20</c:v>
                </c:pt>
                <c:pt idx="4">
                  <c:v>Q4 '20</c:v>
                </c:pt>
                <c:pt idx="5">
                  <c:v>Q1 '21</c:v>
                </c:pt>
                <c:pt idx="6">
                  <c:v>Q2 '21</c:v>
                </c:pt>
                <c:pt idx="7">
                  <c:v>Q3 '21</c:v>
                </c:pt>
                <c:pt idx="8">
                  <c:v>Q4 '21</c:v>
                </c:pt>
                <c:pt idx="9">
                  <c:v>Jan 22</c:v>
                </c:pt>
              </c:strCache>
            </c:strRef>
          </c:cat>
          <c:val>
            <c:numRef>
              <c:f>Sheet1!$B$35:$K$35</c:f>
              <c:numCache>
                <c:formatCode>General</c:formatCode>
                <c:ptCount val="10"/>
                <c:pt idx="5" formatCode="0.0%">
                  <c:v>0.13500000000000001</c:v>
                </c:pt>
                <c:pt idx="6" formatCode="0.0%">
                  <c:v>0.121</c:v>
                </c:pt>
                <c:pt idx="7" formatCode="0.0%">
                  <c:v>0.125</c:v>
                </c:pt>
                <c:pt idx="8" formatCode="0.0%">
                  <c:v>0.151</c:v>
                </c:pt>
                <c:pt idx="9" formatCode="0.0%">
                  <c:v>0.122</c:v>
                </c:pt>
              </c:numCache>
            </c:numRef>
          </c:val>
          <c:smooth val="0"/>
          <c:extLst>
            <c:ext xmlns:c16="http://schemas.microsoft.com/office/drawing/2014/chart" uri="{C3380CC4-5D6E-409C-BE32-E72D297353CC}">
              <c16:uniqueId val="{0000002B-3D57-4DFB-94D3-2FB1121F6D33}"/>
            </c:ext>
          </c:extLst>
        </c:ser>
        <c:dLbls>
          <c:showLegendKey val="0"/>
          <c:showVal val="1"/>
          <c:showCatName val="0"/>
          <c:showSerName val="0"/>
          <c:showPercent val="0"/>
          <c:showBubbleSize val="0"/>
        </c:dLbls>
        <c:smooth val="0"/>
        <c:axId val="147893248"/>
        <c:axId val="147837696"/>
      </c:lineChart>
      <c:catAx>
        <c:axId val="147893248"/>
        <c:scaling>
          <c:orientation val="minMax"/>
        </c:scaling>
        <c:delete val="0"/>
        <c:axPos val="b"/>
        <c:numFmt formatCode="General" sourceLinked="0"/>
        <c:majorTickMark val="none"/>
        <c:minorTickMark val="none"/>
        <c:tickLblPos val="nextTo"/>
        <c:crossAx val="147837696"/>
        <c:crosses val="autoZero"/>
        <c:auto val="1"/>
        <c:lblAlgn val="ctr"/>
        <c:lblOffset val="100"/>
        <c:noMultiLvlLbl val="0"/>
      </c:catAx>
      <c:valAx>
        <c:axId val="147837696"/>
        <c:scaling>
          <c:orientation val="minMax"/>
        </c:scaling>
        <c:delete val="1"/>
        <c:axPos val="l"/>
        <c:numFmt formatCode="0.0%" sourceLinked="1"/>
        <c:majorTickMark val="none"/>
        <c:minorTickMark val="none"/>
        <c:tickLblPos val="none"/>
        <c:crossAx val="147893248"/>
        <c:crosses val="autoZero"/>
        <c:crossBetween val="between"/>
      </c:valAx>
    </c:plotArea>
    <c:legend>
      <c:legendPos val="t"/>
      <c:layout>
        <c:manualLayout>
          <c:xMode val="edge"/>
          <c:yMode val="edge"/>
          <c:x val="4.8713872069891723E-2"/>
          <c:y val="0.11871712429478265"/>
          <c:w val="0.89999990885384662"/>
          <c:h val="0.11303149606299212"/>
        </c:manualLayout>
      </c:layout>
      <c:overlay val="0"/>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Share of dollars across temperature zones</a:t>
            </a:r>
          </a:p>
        </c:rich>
      </c:tx>
      <c:layout>
        <c:manualLayout>
          <c:xMode val="edge"/>
          <c:yMode val="edge"/>
          <c:x val="1.0460850088679821E-2"/>
          <c:y val="2.1621621621621651E-2"/>
        </c:manualLayout>
      </c:layout>
      <c:overlay val="0"/>
    </c:title>
    <c:autoTitleDeleted val="0"/>
    <c:plotArea>
      <c:layout/>
      <c:barChart>
        <c:barDir val="col"/>
        <c:grouping val="percentStacked"/>
        <c:varyColors val="0"/>
        <c:ser>
          <c:idx val="0"/>
          <c:order val="0"/>
          <c:tx>
            <c:strRef>
              <c:f>Sheet1!$A$108</c:f>
              <c:strCache>
                <c:ptCount val="1"/>
                <c:pt idx="0">
                  <c:v>Fresh</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Sheet1!$B$107:$E$107</c:f>
              <c:strCache>
                <c:ptCount val="4"/>
                <c:pt idx="0">
                  <c:v>2019</c:v>
                </c:pt>
                <c:pt idx="1">
                  <c:v>2020</c:v>
                </c:pt>
                <c:pt idx="2">
                  <c:v>2021</c:v>
                </c:pt>
                <c:pt idx="3">
                  <c:v>Jan 22</c:v>
                </c:pt>
              </c:strCache>
            </c:strRef>
          </c:cat>
          <c:val>
            <c:numRef>
              <c:f>Sheet1!$B$108:$E$108</c:f>
              <c:numCache>
                <c:formatCode>0.0%</c:formatCode>
                <c:ptCount val="4"/>
                <c:pt idx="0">
                  <c:v>0.80800000000000005</c:v>
                </c:pt>
                <c:pt idx="1">
                  <c:v>0.79400000000000004</c:v>
                </c:pt>
                <c:pt idx="2">
                  <c:v>0.81</c:v>
                </c:pt>
                <c:pt idx="3">
                  <c:v>0.78800000000000003</c:v>
                </c:pt>
              </c:numCache>
            </c:numRef>
          </c:val>
          <c:extLst>
            <c:ext xmlns:c16="http://schemas.microsoft.com/office/drawing/2014/chart" uri="{C3380CC4-5D6E-409C-BE32-E72D297353CC}">
              <c16:uniqueId val="{00000000-7167-4059-B278-DD7B53AC5FBE}"/>
            </c:ext>
          </c:extLst>
        </c:ser>
        <c:ser>
          <c:idx val="1"/>
          <c:order val="1"/>
          <c:tx>
            <c:strRef>
              <c:f>Sheet1!$A$109</c:f>
              <c:strCache>
                <c:ptCount val="1"/>
                <c:pt idx="0">
                  <c:v>Shelf stable</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Sheet1!$B$107:$E$107</c:f>
              <c:strCache>
                <c:ptCount val="4"/>
                <c:pt idx="0">
                  <c:v>2019</c:v>
                </c:pt>
                <c:pt idx="1">
                  <c:v>2020</c:v>
                </c:pt>
                <c:pt idx="2">
                  <c:v>2021</c:v>
                </c:pt>
                <c:pt idx="3">
                  <c:v>Jan 22</c:v>
                </c:pt>
              </c:strCache>
            </c:strRef>
          </c:cat>
          <c:val>
            <c:numRef>
              <c:f>Sheet1!$B$109:$E$109</c:f>
              <c:numCache>
                <c:formatCode>0.0%</c:formatCode>
                <c:ptCount val="4"/>
                <c:pt idx="0">
                  <c:v>0.115</c:v>
                </c:pt>
                <c:pt idx="1">
                  <c:v>0.121</c:v>
                </c:pt>
                <c:pt idx="2">
                  <c:v>0.111</c:v>
                </c:pt>
                <c:pt idx="3">
                  <c:v>0.126</c:v>
                </c:pt>
              </c:numCache>
            </c:numRef>
          </c:val>
          <c:extLst>
            <c:ext xmlns:c16="http://schemas.microsoft.com/office/drawing/2014/chart" uri="{C3380CC4-5D6E-409C-BE32-E72D297353CC}">
              <c16:uniqueId val="{00000001-7167-4059-B278-DD7B53AC5FBE}"/>
            </c:ext>
          </c:extLst>
        </c:ser>
        <c:ser>
          <c:idx val="2"/>
          <c:order val="2"/>
          <c:tx>
            <c:strRef>
              <c:f>Sheet1!$A$110</c:f>
              <c:strCache>
                <c:ptCount val="1"/>
                <c:pt idx="0">
                  <c:v>Frozen</c:v>
                </c:pt>
              </c:strCache>
            </c:strRef>
          </c:tx>
          <c:spPr>
            <a:solidFill>
              <a:srgbClr val="00B0F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Sheet1!$B$107:$E$107</c:f>
              <c:strCache>
                <c:ptCount val="4"/>
                <c:pt idx="0">
                  <c:v>2019</c:v>
                </c:pt>
                <c:pt idx="1">
                  <c:v>2020</c:v>
                </c:pt>
                <c:pt idx="2">
                  <c:v>2021</c:v>
                </c:pt>
                <c:pt idx="3">
                  <c:v>Jan 22</c:v>
                </c:pt>
              </c:strCache>
            </c:strRef>
          </c:cat>
          <c:val>
            <c:numRef>
              <c:f>Sheet1!$B$110:$E$110</c:f>
              <c:numCache>
                <c:formatCode>0.0%</c:formatCode>
                <c:ptCount val="4"/>
                <c:pt idx="0">
                  <c:v>7.6999999999999999E-2</c:v>
                </c:pt>
                <c:pt idx="1">
                  <c:v>8.4000000000000005E-2</c:v>
                </c:pt>
                <c:pt idx="2">
                  <c:v>7.9000000000000001E-2</c:v>
                </c:pt>
                <c:pt idx="3">
                  <c:v>8.5000000000000006E-2</c:v>
                </c:pt>
              </c:numCache>
            </c:numRef>
          </c:val>
          <c:extLst>
            <c:ext xmlns:c16="http://schemas.microsoft.com/office/drawing/2014/chart" uri="{C3380CC4-5D6E-409C-BE32-E72D297353CC}">
              <c16:uniqueId val="{00000002-7167-4059-B278-DD7B53AC5FBE}"/>
            </c:ext>
          </c:extLst>
        </c:ser>
        <c:dLbls>
          <c:showLegendKey val="0"/>
          <c:showVal val="1"/>
          <c:showCatName val="0"/>
          <c:showSerName val="0"/>
          <c:showPercent val="0"/>
          <c:showBubbleSize val="0"/>
        </c:dLbls>
        <c:gapWidth val="95"/>
        <c:overlap val="100"/>
        <c:axId val="148140416"/>
        <c:axId val="148141952"/>
      </c:barChart>
      <c:catAx>
        <c:axId val="148140416"/>
        <c:scaling>
          <c:orientation val="minMax"/>
        </c:scaling>
        <c:delete val="0"/>
        <c:axPos val="b"/>
        <c:numFmt formatCode="General" sourceLinked="0"/>
        <c:majorTickMark val="none"/>
        <c:minorTickMark val="none"/>
        <c:tickLblPos val="nextTo"/>
        <c:crossAx val="148141952"/>
        <c:crosses val="autoZero"/>
        <c:auto val="1"/>
        <c:lblAlgn val="ctr"/>
        <c:lblOffset val="100"/>
        <c:noMultiLvlLbl val="0"/>
      </c:catAx>
      <c:valAx>
        <c:axId val="148141952"/>
        <c:scaling>
          <c:orientation val="minMax"/>
        </c:scaling>
        <c:delete val="1"/>
        <c:axPos val="l"/>
        <c:numFmt formatCode="0%" sourceLinked="1"/>
        <c:majorTickMark val="out"/>
        <c:minorTickMark val="none"/>
        <c:tickLblPos val="none"/>
        <c:crossAx val="148140416"/>
        <c:crosses val="autoZero"/>
        <c:crossBetween val="between"/>
      </c:valAx>
    </c:plotArea>
    <c:legend>
      <c:legendPos val="t"/>
      <c:layout>
        <c:manualLayout>
          <c:xMode val="edge"/>
          <c:yMode val="edge"/>
          <c:x val="7.4020215934037974E-3"/>
          <c:y val="0.1037521297652093"/>
          <c:w val="0.60371623909914474"/>
          <c:h val="8.4873644721111433E-2"/>
        </c:manualLayout>
      </c:layou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Dollar and volume growth total produce (fixed and random weight)</a:t>
            </a:r>
            <a:br>
              <a:rPr lang="en-US" sz="1050"/>
            </a:br>
            <a:r>
              <a:rPr lang="en-US" sz="1050"/>
              <a:t>versus the comparable period YA and 2YA</a:t>
            </a:r>
          </a:p>
        </c:rich>
      </c:tx>
      <c:overlay val="0"/>
    </c:title>
    <c:autoTitleDeleted val="0"/>
    <c:plotArea>
      <c:layout>
        <c:manualLayout>
          <c:layoutTarget val="inner"/>
          <c:xMode val="edge"/>
          <c:yMode val="edge"/>
          <c:x val="1.5534523839044542E-2"/>
          <c:y val="0.1738405967790867"/>
          <c:w val="0.96893095232191095"/>
          <c:h val="0.80986327937037239"/>
        </c:manualLayout>
      </c:layout>
      <c:lineChart>
        <c:grouping val="standard"/>
        <c:varyColors val="0"/>
        <c:ser>
          <c:idx val="0"/>
          <c:order val="0"/>
          <c:tx>
            <c:strRef>
              <c:f>Sheet1!$A$65</c:f>
              <c:strCache>
                <c:ptCount val="1"/>
                <c:pt idx="0">
                  <c:v>Dollar growth</c:v>
                </c:pt>
              </c:strCache>
            </c:strRef>
          </c:tx>
          <c:spPr>
            <a:ln>
              <a:solidFill>
                <a:schemeClr val="tx2">
                  <a:lumMod val="75000"/>
                </a:schemeClr>
              </a:solidFill>
            </a:ln>
          </c:spPr>
          <c:marker>
            <c:symbol val="none"/>
          </c:marker>
          <c:dLbls>
            <c:dLbl>
              <c:idx val="0"/>
              <c:layout>
                <c:manualLayout>
                  <c:x val="-3.4746457593163152E-2"/>
                  <c:y val="-6.055788746505889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0F-4A75-B82E-F0182984E464}"/>
                </c:ext>
              </c:extLst>
            </c:dLbl>
            <c:dLbl>
              <c:idx val="3"/>
              <c:layout>
                <c:manualLayout>
                  <c:x val="-2.3079483993763576E-2"/>
                  <c:y val="-3.67847348306576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0F-4A75-B82E-F0182984E464}"/>
                </c:ext>
              </c:extLst>
            </c:dLbl>
            <c:dLbl>
              <c:idx val="4"/>
              <c:layout>
                <c:manualLayout>
                  <c:x val="-1.8940200502051956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0F-4A75-B82E-F0182984E464}"/>
                </c:ext>
              </c:extLst>
            </c:dLbl>
            <c:dLbl>
              <c:idx val="5"/>
              <c:layout>
                <c:manualLayout>
                  <c:x val="-2.2857501245362351E-2"/>
                  <c:y val="-2.95212790686278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0F-4A75-B82E-F0182984E464}"/>
                </c:ext>
              </c:extLst>
            </c:dLbl>
            <c:dLbl>
              <c:idx val="6"/>
              <c:layout>
                <c:manualLayout>
                  <c:x val="-2.0533236137664852E-2"/>
                  <c:y val="-2.63297894395869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0F-4A75-B82E-F0182984E464}"/>
                </c:ext>
              </c:extLst>
            </c:dLbl>
            <c:dLbl>
              <c:idx val="7"/>
              <c:layout>
                <c:manualLayout>
                  <c:x val="-2.4819779699024668E-2"/>
                  <c:y val="3.14516129032258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0F-4A75-B82E-F0182984E464}"/>
                </c:ext>
              </c:extLst>
            </c:dLbl>
            <c:dLbl>
              <c:idx val="8"/>
              <c:layout>
                <c:manualLayout>
                  <c:x val="-2.0943394110203416E-2"/>
                  <c:y val="3.2915342322617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0F-4A75-B82E-F0182984E464}"/>
                </c:ext>
              </c:extLst>
            </c:dLbl>
            <c:dLbl>
              <c:idx val="9"/>
              <c:layout>
                <c:manualLayout>
                  <c:x val="-3.3237367763419567E-2"/>
                  <c:y val="-4.61245371355607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0F-4A75-B82E-F0182984E464}"/>
                </c:ext>
              </c:extLst>
            </c:dLbl>
            <c:dLbl>
              <c:idx val="10"/>
              <c:layout>
                <c:manualLayout>
                  <c:x val="-2.568672597757363E-2"/>
                  <c:y val="-2.2427209973375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20F-4A75-B82E-F0182984E464}"/>
                </c:ext>
              </c:extLst>
            </c:dLbl>
            <c:dLbl>
              <c:idx val="11"/>
              <c:layout>
                <c:manualLayout>
                  <c:x val="-2.6635130515179177E-2"/>
                  <c:y val="2.0220574201968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20F-4A75-B82E-F0182984E464}"/>
                </c:ext>
              </c:extLst>
            </c:dLbl>
            <c:dLbl>
              <c:idx val="12"/>
              <c:layout>
                <c:manualLayout>
                  <c:x val="-4.3507064647141533E-2"/>
                  <c:y val="-1.47794881744543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20F-4A75-B82E-F0182984E464}"/>
                </c:ext>
              </c:extLst>
            </c:dLbl>
            <c:dLbl>
              <c:idx val="13"/>
              <c:layout>
                <c:manualLayout>
                  <c:x val="-2.5774155342648455E-2"/>
                  <c:y val="-1.71442062823670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20F-4A75-B82E-F0182984E464}"/>
                </c:ext>
              </c:extLst>
            </c:dLbl>
            <c:spPr>
              <a:noFill/>
              <a:ln>
                <a:noFill/>
              </a:ln>
              <a:effectLst/>
            </c:spPr>
            <c:txPr>
              <a:bodyPr/>
              <a:lstStyle/>
              <a:p>
                <a:pPr>
                  <a:defRPr sz="900">
                    <a:solidFill>
                      <a:schemeClr val="tx2">
                        <a:lumMod val="75000"/>
                      </a:scheme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Sheet1!$B$64:$K$64</c:f>
              <c:strCache>
                <c:ptCount val="10"/>
                <c:pt idx="0">
                  <c:v>2019</c:v>
                </c:pt>
                <c:pt idx="1">
                  <c:v>Q1 '20</c:v>
                </c:pt>
                <c:pt idx="2">
                  <c:v>Q2 '20</c:v>
                </c:pt>
                <c:pt idx="3">
                  <c:v>Q3 '20</c:v>
                </c:pt>
                <c:pt idx="4">
                  <c:v>Q4 '20</c:v>
                </c:pt>
                <c:pt idx="5">
                  <c:v>Q1 '21</c:v>
                </c:pt>
                <c:pt idx="6">
                  <c:v>Q2 '21</c:v>
                </c:pt>
                <c:pt idx="7">
                  <c:v>Q3 '21</c:v>
                </c:pt>
                <c:pt idx="8">
                  <c:v>Q4 '21</c:v>
                </c:pt>
                <c:pt idx="9">
                  <c:v>Jan 22</c:v>
                </c:pt>
              </c:strCache>
            </c:strRef>
          </c:cat>
          <c:val>
            <c:numRef>
              <c:f>Sheet1!$B$65:$K$65</c:f>
              <c:numCache>
                <c:formatCode>0%</c:formatCode>
                <c:ptCount val="10"/>
                <c:pt idx="0">
                  <c:v>1.7999999999999999E-2</c:v>
                </c:pt>
                <c:pt idx="1">
                  <c:v>6.8000000000000005E-2</c:v>
                </c:pt>
                <c:pt idx="2">
                  <c:v>0.151</c:v>
                </c:pt>
                <c:pt idx="3">
                  <c:v>0.121</c:v>
                </c:pt>
                <c:pt idx="4">
                  <c:v>0.11700000000000001</c:v>
                </c:pt>
                <c:pt idx="5">
                  <c:v>4.8000000000000001E-2</c:v>
                </c:pt>
                <c:pt idx="6">
                  <c:v>-1.0999999999999999E-2</c:v>
                </c:pt>
                <c:pt idx="7">
                  <c:v>2.1000000000000001E-2</c:v>
                </c:pt>
                <c:pt idx="8">
                  <c:v>5.0999999999999997E-2</c:v>
                </c:pt>
                <c:pt idx="9">
                  <c:v>4.3999999999999997E-2</c:v>
                </c:pt>
              </c:numCache>
            </c:numRef>
          </c:val>
          <c:smooth val="0"/>
          <c:extLst>
            <c:ext xmlns:c16="http://schemas.microsoft.com/office/drawing/2014/chart" uri="{C3380CC4-5D6E-409C-BE32-E72D297353CC}">
              <c16:uniqueId val="{0000000C-D20F-4A75-B82E-F0182984E464}"/>
            </c:ext>
          </c:extLst>
        </c:ser>
        <c:ser>
          <c:idx val="1"/>
          <c:order val="1"/>
          <c:tx>
            <c:strRef>
              <c:f>Sheet1!$A$66</c:f>
              <c:strCache>
                <c:ptCount val="1"/>
                <c:pt idx="0">
                  <c:v>Volume growth</c:v>
                </c:pt>
              </c:strCache>
            </c:strRef>
          </c:tx>
          <c:spPr>
            <a:ln>
              <a:solidFill>
                <a:schemeClr val="accent5"/>
              </a:solidFill>
            </a:ln>
          </c:spPr>
          <c:marker>
            <c:symbol val="none"/>
          </c:marker>
          <c:dLbls>
            <c:dLbl>
              <c:idx val="0"/>
              <c:layout>
                <c:manualLayout>
                  <c:x val="-3.8663758336473515E-2"/>
                  <c:y val="-1.6284638656779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20F-4A75-B82E-F0182984E464}"/>
                </c:ext>
              </c:extLst>
            </c:dLbl>
            <c:dLbl>
              <c:idx val="2"/>
              <c:layout>
                <c:manualLayout>
                  <c:x val="-3.1050774847293273E-2"/>
                  <c:y val="-3.53406256650351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D20F-4A75-B82E-F0182984E464}"/>
                </c:ext>
              </c:extLst>
            </c:dLbl>
            <c:dLbl>
              <c:idx val="3"/>
              <c:layout>
                <c:manualLayout>
                  <c:x val="-2.4672519793166498E-2"/>
                  <c:y val="3.3514980623488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20F-4A75-B82E-F0182984E464}"/>
                </c:ext>
              </c:extLst>
            </c:dLbl>
            <c:dLbl>
              <c:idx val="4"/>
              <c:layout>
                <c:manualLayout>
                  <c:x val="-3.7332359604988305E-2"/>
                  <c:y val="3.2712662268567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20F-4A75-B82E-F0182984E464}"/>
                </c:ext>
              </c:extLst>
            </c:dLbl>
            <c:dLbl>
              <c:idx val="5"/>
              <c:layout>
                <c:manualLayout>
                  <c:x val="-1.8076387803608148E-2"/>
                  <c:y val="-2.01050436263035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20F-4A75-B82E-F0182984E464}"/>
                </c:ext>
              </c:extLst>
            </c:dLbl>
            <c:dLbl>
              <c:idx val="6"/>
              <c:layout>
                <c:manualLayout>
                  <c:x val="-2.0533236137664852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20F-4A75-B82E-F0182984E464}"/>
                </c:ext>
              </c:extLst>
            </c:dLbl>
            <c:dLbl>
              <c:idx val="7"/>
              <c:layout>
                <c:manualLayout>
                  <c:x val="-2.5932035045332438E-2"/>
                  <c:y val="3.52616301340710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20F-4A75-B82E-F0182984E464}"/>
                </c:ext>
              </c:extLst>
            </c:dLbl>
            <c:dLbl>
              <c:idx val="8"/>
              <c:layout>
                <c:manualLayout>
                  <c:x val="-1.992808089141105E-2"/>
                  <c:y val="3.42277806743913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20F-4A75-B82E-F0182984E464}"/>
                </c:ext>
              </c:extLst>
            </c:dLbl>
            <c:dLbl>
              <c:idx val="9"/>
              <c:layout>
                <c:manualLayout>
                  <c:x val="-2.8589820939239265E-2"/>
                  <c:y val="3.90957479557504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20F-4A75-B82E-F0182984E464}"/>
                </c:ext>
              </c:extLst>
            </c:dLbl>
            <c:dLbl>
              <c:idx val="10"/>
              <c:layout>
                <c:manualLayout>
                  <c:x val="-2.0347090283063852E-2"/>
                  <c:y val="2.10169442293336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20F-4A75-B82E-F0182984E464}"/>
                </c:ext>
              </c:extLst>
            </c:dLbl>
            <c:dLbl>
              <c:idx val="11"/>
              <c:layout>
                <c:manualLayout>
                  <c:x val="-3.4819550194175992E-2"/>
                  <c:y val="2.17166773513443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20F-4A75-B82E-F0182984E464}"/>
                </c:ext>
              </c:extLst>
            </c:dLbl>
            <c:dLbl>
              <c:idx val="12"/>
              <c:layout>
                <c:manualLayout>
                  <c:x val="-2.8045278100028978E-2"/>
                  <c:y val="1.9508924390279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20F-4A75-B82E-F0182984E464}"/>
                </c:ext>
              </c:extLst>
            </c:dLbl>
            <c:dLbl>
              <c:idx val="13"/>
              <c:layout>
                <c:manualLayout>
                  <c:x val="-2.8232166423407545E-2"/>
                  <c:y val="3.1332514929843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20F-4A75-B82E-F0182984E464}"/>
                </c:ext>
              </c:extLst>
            </c:dLbl>
            <c:dLbl>
              <c:idx val="14"/>
              <c:layout>
                <c:manualLayout>
                  <c:x val="-2.6888223658378608E-2"/>
                  <c:y val="2.7237512827605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20F-4A75-B82E-F0182984E464}"/>
                </c:ext>
              </c:extLst>
            </c:dLbl>
            <c:dLbl>
              <c:idx val="15"/>
              <c:layout>
                <c:manualLayout>
                  <c:x val="-2.550151795139673E-2"/>
                  <c:y val="1.99741760735773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20F-4A75-B82E-F0182984E464}"/>
                </c:ext>
              </c:extLst>
            </c:dLbl>
            <c:dLbl>
              <c:idx val="16"/>
              <c:layout>
                <c:manualLayout>
                  <c:x val="-2.1762107687852764E-2"/>
                  <c:y val="1.7553063822234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20F-4A75-B82E-F0182984E464}"/>
                </c:ext>
              </c:extLst>
            </c:dLbl>
            <c:spPr>
              <a:noFill/>
              <a:ln>
                <a:noFill/>
              </a:ln>
              <a:effectLst/>
            </c:spPr>
            <c:txPr>
              <a:bodyPr/>
              <a:lstStyle/>
              <a:p>
                <a:pPr>
                  <a:defRPr sz="900">
                    <a:solidFill>
                      <a:schemeClr val="accent5">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Sheet1!$B$64:$K$64</c:f>
              <c:strCache>
                <c:ptCount val="10"/>
                <c:pt idx="0">
                  <c:v>2019</c:v>
                </c:pt>
                <c:pt idx="1">
                  <c:v>Q1 '20</c:v>
                </c:pt>
                <c:pt idx="2">
                  <c:v>Q2 '20</c:v>
                </c:pt>
                <c:pt idx="3">
                  <c:v>Q3 '20</c:v>
                </c:pt>
                <c:pt idx="4">
                  <c:v>Q4 '20</c:v>
                </c:pt>
                <c:pt idx="5">
                  <c:v>Q1 '21</c:v>
                </c:pt>
                <c:pt idx="6">
                  <c:v>Q2 '21</c:v>
                </c:pt>
                <c:pt idx="7">
                  <c:v>Q3 '21</c:v>
                </c:pt>
                <c:pt idx="8">
                  <c:v>Q4 '21</c:v>
                </c:pt>
                <c:pt idx="9">
                  <c:v>Jan 22</c:v>
                </c:pt>
              </c:strCache>
            </c:strRef>
          </c:cat>
          <c:val>
            <c:numRef>
              <c:f>Sheet1!$B$66:$K$66</c:f>
              <c:numCache>
                <c:formatCode>0%</c:formatCode>
                <c:ptCount val="10"/>
                <c:pt idx="0">
                  <c:v>5.0000000000000001E-3</c:v>
                </c:pt>
                <c:pt idx="1">
                  <c:v>9.7000000000000003E-2</c:v>
                </c:pt>
                <c:pt idx="2">
                  <c:v>0.153</c:v>
                </c:pt>
                <c:pt idx="3">
                  <c:v>9.7000000000000003E-2</c:v>
                </c:pt>
                <c:pt idx="4">
                  <c:v>0.1</c:v>
                </c:pt>
                <c:pt idx="5">
                  <c:v>0</c:v>
                </c:pt>
                <c:pt idx="6">
                  <c:v>-0.08</c:v>
                </c:pt>
                <c:pt idx="7">
                  <c:v>-2.5000000000000001E-2</c:v>
                </c:pt>
                <c:pt idx="8">
                  <c:v>-3.5999999999999997E-2</c:v>
                </c:pt>
                <c:pt idx="9">
                  <c:v>-4.2999999999999997E-2</c:v>
                </c:pt>
              </c:numCache>
            </c:numRef>
          </c:val>
          <c:smooth val="0"/>
          <c:extLst>
            <c:ext xmlns:c16="http://schemas.microsoft.com/office/drawing/2014/chart" uri="{C3380CC4-5D6E-409C-BE32-E72D297353CC}">
              <c16:uniqueId val="{0000001C-D20F-4A75-B82E-F0182984E464}"/>
            </c:ext>
          </c:extLst>
        </c:ser>
        <c:ser>
          <c:idx val="2"/>
          <c:order val="2"/>
          <c:tx>
            <c:strRef>
              <c:f>Sheet1!$A$67</c:f>
              <c:strCache>
                <c:ptCount val="1"/>
                <c:pt idx="0">
                  <c:v>Dollars vs. 2019</c:v>
                </c:pt>
              </c:strCache>
            </c:strRef>
          </c:tx>
          <c:spPr>
            <a:ln>
              <a:noFill/>
            </a:ln>
          </c:spPr>
          <c:marker>
            <c:spPr>
              <a:ln>
                <a:noFill/>
              </a:ln>
            </c:spPr>
          </c:marker>
          <c:dLbls>
            <c:dLbl>
              <c:idx val="7"/>
              <c:layout>
                <c:manualLayout>
                  <c:x val="-9.8198923516650532E-3"/>
                  <c:y val="-3.86431155565013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20F-4A75-B82E-F0182984E464}"/>
                </c:ext>
              </c:extLst>
            </c:dLbl>
            <c:dLbl>
              <c:idx val="8"/>
              <c:layout>
                <c:manualLayout>
                  <c:x val="-9.7302718168602049E-3"/>
                  <c:y val="1.22749521174718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20F-4A75-B82E-F0182984E464}"/>
                </c:ext>
              </c:extLst>
            </c:dLbl>
            <c:dLbl>
              <c:idx val="9"/>
              <c:layout>
                <c:manualLayout>
                  <c:x val="-8.3286362791331545E-3"/>
                  <c:y val="-2.170334113641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20F-4A75-B82E-F0182984E464}"/>
                </c:ext>
              </c:extLst>
            </c:dLbl>
            <c:dLbl>
              <c:idx val="10"/>
              <c:layout>
                <c:manualLayout>
                  <c:x val="-2.6268246098989385E-2"/>
                  <c:y val="-1.802336964302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20F-4A75-B82E-F0182984E464}"/>
                </c:ext>
              </c:extLst>
            </c:dLbl>
            <c:dLbl>
              <c:idx val="11"/>
              <c:layout>
                <c:manualLayout>
                  <c:x val="-2.3030779625602561E-2"/>
                  <c:y val="-2.832015034535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20F-4A75-B82E-F0182984E464}"/>
                </c:ext>
              </c:extLst>
            </c:dLbl>
            <c:dLbl>
              <c:idx val="12"/>
              <c:layout>
                <c:manualLayout>
                  <c:x val="-2.8577602453530172E-2"/>
                  <c:y val="-2.6011896239898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20F-4A75-B82E-F0182984E464}"/>
                </c:ext>
              </c:extLst>
            </c:dLbl>
            <c:dLbl>
              <c:idx val="13"/>
              <c:layout>
                <c:manualLayout>
                  <c:x val="-2.1825119143991344E-2"/>
                  <c:y val="-1.8917744863301604E-2"/>
                </c:manualLayout>
              </c:layout>
              <c:showLegendKey val="0"/>
              <c:showVal val="1"/>
              <c:showCatName val="0"/>
              <c:showSerName val="0"/>
              <c:showPercent val="0"/>
              <c:showBubbleSize val="0"/>
              <c:extLst>
                <c:ext xmlns:c15="http://schemas.microsoft.com/office/drawing/2012/chart" uri="{CE6537A1-D6FC-4f65-9D91-7224C49458BB}">
                  <c15:layout>
                    <c:manualLayout>
                      <c:w val="3.606821543859863E-2"/>
                      <c:h val="3.5106127644469388E-2"/>
                    </c:manualLayout>
                  </c15:layout>
                </c:ext>
                <c:ext xmlns:c16="http://schemas.microsoft.com/office/drawing/2014/chart" uri="{C3380CC4-5D6E-409C-BE32-E72D297353CC}">
                  <c16:uniqueId val="{00000023-D20F-4A75-B82E-F0182984E464}"/>
                </c:ext>
              </c:extLst>
            </c:dLbl>
            <c:dLbl>
              <c:idx val="14"/>
              <c:layout>
                <c:manualLayout>
                  <c:x val="-2.7734114139637552E-2"/>
                  <c:y val="-2.4211122513427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20F-4A75-B82E-F0182984E464}"/>
                </c:ext>
              </c:extLst>
            </c:dLbl>
            <c:dLbl>
              <c:idx val="15"/>
              <c:layout>
                <c:manualLayout>
                  <c:x val="-3.1894231260583286E-2"/>
                  <c:y val="-2.4211122513427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20F-4A75-B82E-F0182984E464}"/>
                </c:ext>
              </c:extLst>
            </c:dLbl>
            <c:dLbl>
              <c:idx val="16"/>
              <c:layout>
                <c:manualLayout>
                  <c:x val="-2.3573997018691919E-2"/>
                  <c:y val="-2.6632234764769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D20F-4A75-B82E-F0182984E464}"/>
                </c:ext>
              </c:extLst>
            </c:dLbl>
            <c:spPr>
              <a:noFill/>
              <a:ln>
                <a:noFill/>
              </a:ln>
              <a:effectLst/>
            </c:spPr>
            <c:txPr>
              <a:bodyPr wrap="square" lIns="38100" tIns="19050" rIns="38100" bIns="19050" anchor="ctr">
                <a:spAutoFit/>
              </a:bodyPr>
              <a:lstStyle/>
              <a:p>
                <a:pPr>
                  <a:defRPr sz="900">
                    <a:solidFill>
                      <a:schemeClr val="accent3">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Sheet1!$B$64:$K$64</c:f>
              <c:strCache>
                <c:ptCount val="10"/>
                <c:pt idx="0">
                  <c:v>2019</c:v>
                </c:pt>
                <c:pt idx="1">
                  <c:v>Q1 '20</c:v>
                </c:pt>
                <c:pt idx="2">
                  <c:v>Q2 '20</c:v>
                </c:pt>
                <c:pt idx="3">
                  <c:v>Q3 '20</c:v>
                </c:pt>
                <c:pt idx="4">
                  <c:v>Q4 '20</c:v>
                </c:pt>
                <c:pt idx="5">
                  <c:v>Q1 '21</c:v>
                </c:pt>
                <c:pt idx="6">
                  <c:v>Q2 '21</c:v>
                </c:pt>
                <c:pt idx="7">
                  <c:v>Q3 '21</c:v>
                </c:pt>
                <c:pt idx="8">
                  <c:v>Q4 '21</c:v>
                </c:pt>
                <c:pt idx="9">
                  <c:v>Jan 22</c:v>
                </c:pt>
              </c:strCache>
            </c:strRef>
          </c:cat>
          <c:val>
            <c:numRef>
              <c:f>Sheet1!$B$67:$K$67</c:f>
              <c:numCache>
                <c:formatCode>General</c:formatCode>
                <c:ptCount val="10"/>
                <c:pt idx="5" formatCode="0%">
                  <c:v>0.12</c:v>
                </c:pt>
                <c:pt idx="6" formatCode="0%">
                  <c:v>0.13900000000000001</c:v>
                </c:pt>
                <c:pt idx="7" formatCode="0%">
                  <c:v>0.14499999999999999</c:v>
                </c:pt>
                <c:pt idx="8" formatCode="0%">
                  <c:v>0.17499999999999999</c:v>
                </c:pt>
                <c:pt idx="9" formatCode="0%">
                  <c:v>0.156</c:v>
                </c:pt>
              </c:numCache>
            </c:numRef>
          </c:val>
          <c:smooth val="0"/>
          <c:extLst>
            <c:ext xmlns:c16="http://schemas.microsoft.com/office/drawing/2014/chart" uri="{C3380CC4-5D6E-409C-BE32-E72D297353CC}">
              <c16:uniqueId val="{00000027-D20F-4A75-B82E-F0182984E464}"/>
            </c:ext>
          </c:extLst>
        </c:ser>
        <c:ser>
          <c:idx val="3"/>
          <c:order val="3"/>
          <c:tx>
            <c:strRef>
              <c:f>Sheet1!$A$68</c:f>
              <c:strCache>
                <c:ptCount val="1"/>
                <c:pt idx="0">
                  <c:v>Volume vs. 2019</c:v>
                </c:pt>
              </c:strCache>
            </c:strRef>
          </c:tx>
          <c:spPr>
            <a:ln>
              <a:noFill/>
            </a:ln>
          </c:spPr>
          <c:marker>
            <c:symbol val="square"/>
            <c:size val="5"/>
            <c:spPr>
              <a:solidFill>
                <a:srgbClr val="7030A0"/>
              </a:solidFill>
              <a:ln>
                <a:noFill/>
              </a:ln>
            </c:spPr>
          </c:marker>
          <c:dLbls>
            <c:dLbl>
              <c:idx val="7"/>
              <c:layout>
                <c:manualLayout>
                  <c:x val="-1.181702301322014E-2"/>
                  <c:y val="-4.0737178123005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D20F-4A75-B82E-F0182984E464}"/>
                </c:ext>
              </c:extLst>
            </c:dLbl>
            <c:dLbl>
              <c:idx val="8"/>
              <c:layout>
                <c:manualLayout>
                  <c:x val="-8.0582933435645321E-3"/>
                  <c:y val="-1.27223664609491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D20F-4A75-B82E-F0182984E464}"/>
                </c:ext>
              </c:extLst>
            </c:dLbl>
            <c:dLbl>
              <c:idx val="9"/>
              <c:layout>
                <c:manualLayout>
                  <c:x val="-9.9283257921234554E-3"/>
                  <c:y val="-5.00021281123643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D20F-4A75-B82E-F0182984E464}"/>
                </c:ext>
              </c:extLst>
            </c:dLbl>
            <c:dLbl>
              <c:idx val="10"/>
              <c:layout>
                <c:manualLayout>
                  <c:x val="-2.0725135711537262E-2"/>
                  <c:y val="-2.4718602892409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D20F-4A75-B82E-F0182984E464}"/>
                </c:ext>
              </c:extLst>
            </c:dLbl>
            <c:dLbl>
              <c:idx val="11"/>
              <c:layout>
                <c:manualLayout>
                  <c:x val="-1.8961180538600863E-2"/>
                  <c:y val="-2.3534354915610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D20F-4A75-B82E-F0182984E464}"/>
                </c:ext>
              </c:extLst>
            </c:dLbl>
            <c:dLbl>
              <c:idx val="12"/>
              <c:layout>
                <c:manualLayout>
                  <c:x val="-2.0302572633897901E-2"/>
                  <c:y val="-2.3647213061500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D20F-4A75-B82E-F0182984E464}"/>
                </c:ext>
              </c:extLst>
            </c:dLbl>
            <c:dLbl>
              <c:idx val="13"/>
              <c:layout>
                <c:manualLayout>
                  <c:x val="-2.4553259036990436E-2"/>
                  <c:y val="-1.8917744863301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D20F-4A75-B82E-F0182984E464}"/>
                </c:ext>
              </c:extLst>
            </c:dLbl>
            <c:dLbl>
              <c:idx val="14"/>
              <c:layout>
                <c:manualLayout>
                  <c:x val="-2.3573997018692019E-2"/>
                  <c:y val="-1.9368898010741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D20F-4A75-B82E-F0182984E464}"/>
                </c:ext>
              </c:extLst>
            </c:dLbl>
            <c:dLbl>
              <c:idx val="15"/>
              <c:layout>
                <c:manualLayout>
                  <c:x val="-2.0800585604728163E-2"/>
                  <c:y val="-1.2105561256713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D20F-4A75-B82E-F0182984E464}"/>
                </c:ext>
              </c:extLst>
            </c:dLbl>
            <c:dLbl>
              <c:idx val="16"/>
              <c:layout>
                <c:manualLayout>
                  <c:x val="-2.3573997018691919E-2"/>
                  <c:y val="-2.42111225134272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D20F-4A75-B82E-F0182984E464}"/>
                </c:ext>
              </c:extLst>
            </c:dLbl>
            <c:spPr>
              <a:noFill/>
              <a:ln>
                <a:noFill/>
              </a:ln>
              <a:effectLst/>
            </c:spPr>
            <c:txPr>
              <a:bodyPr wrap="square" lIns="38100" tIns="19050" rIns="38100" bIns="19050" anchor="ctr">
                <a:spAutoFit/>
              </a:bodyPr>
              <a:lstStyle/>
              <a:p>
                <a:pPr>
                  <a:defRPr sz="900">
                    <a:solidFill>
                      <a:srgbClr val="7030A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Sheet1!$B$64:$K$64</c:f>
              <c:strCache>
                <c:ptCount val="10"/>
                <c:pt idx="0">
                  <c:v>2019</c:v>
                </c:pt>
                <c:pt idx="1">
                  <c:v>Q1 '20</c:v>
                </c:pt>
                <c:pt idx="2">
                  <c:v>Q2 '20</c:v>
                </c:pt>
                <c:pt idx="3">
                  <c:v>Q3 '20</c:v>
                </c:pt>
                <c:pt idx="4">
                  <c:v>Q4 '20</c:v>
                </c:pt>
                <c:pt idx="5">
                  <c:v>Q1 '21</c:v>
                </c:pt>
                <c:pt idx="6">
                  <c:v>Q2 '21</c:v>
                </c:pt>
                <c:pt idx="7">
                  <c:v>Q3 '21</c:v>
                </c:pt>
                <c:pt idx="8">
                  <c:v>Q4 '21</c:v>
                </c:pt>
                <c:pt idx="9">
                  <c:v>Jan 22</c:v>
                </c:pt>
              </c:strCache>
            </c:strRef>
          </c:cat>
          <c:val>
            <c:numRef>
              <c:f>Sheet1!$B$68:$K$68</c:f>
              <c:numCache>
                <c:formatCode>General</c:formatCode>
                <c:ptCount val="10"/>
                <c:pt idx="5" formatCode="0%">
                  <c:v>9.5000000000000001E-2</c:v>
                </c:pt>
                <c:pt idx="6" formatCode="0%">
                  <c:v>6.0999999999999999E-2</c:v>
                </c:pt>
                <c:pt idx="7" formatCode="0%">
                  <c:v>6.9000000000000006E-2</c:v>
                </c:pt>
                <c:pt idx="8" formatCode="0%">
                  <c:v>6.0999999999999999E-2</c:v>
                </c:pt>
                <c:pt idx="9" formatCode="0%">
                  <c:v>3.3000000000000002E-2</c:v>
                </c:pt>
              </c:numCache>
            </c:numRef>
          </c:val>
          <c:smooth val="0"/>
          <c:extLst>
            <c:ext xmlns:c16="http://schemas.microsoft.com/office/drawing/2014/chart" uri="{C3380CC4-5D6E-409C-BE32-E72D297353CC}">
              <c16:uniqueId val="{00000032-D20F-4A75-B82E-F0182984E464}"/>
            </c:ext>
          </c:extLst>
        </c:ser>
        <c:dLbls>
          <c:showLegendKey val="0"/>
          <c:showVal val="1"/>
          <c:showCatName val="0"/>
          <c:showSerName val="0"/>
          <c:showPercent val="0"/>
          <c:showBubbleSize val="0"/>
        </c:dLbls>
        <c:smooth val="0"/>
        <c:axId val="147973248"/>
        <c:axId val="147974784"/>
      </c:lineChart>
      <c:catAx>
        <c:axId val="147973248"/>
        <c:scaling>
          <c:orientation val="minMax"/>
        </c:scaling>
        <c:delete val="0"/>
        <c:axPos val="b"/>
        <c:numFmt formatCode="General" sourceLinked="0"/>
        <c:majorTickMark val="none"/>
        <c:minorTickMark val="none"/>
        <c:tickLblPos val="nextTo"/>
        <c:crossAx val="147974784"/>
        <c:crosses val="autoZero"/>
        <c:auto val="1"/>
        <c:lblAlgn val="ctr"/>
        <c:lblOffset val="100"/>
        <c:noMultiLvlLbl val="0"/>
      </c:catAx>
      <c:valAx>
        <c:axId val="147974784"/>
        <c:scaling>
          <c:orientation val="minMax"/>
        </c:scaling>
        <c:delete val="1"/>
        <c:axPos val="l"/>
        <c:numFmt formatCode="0%" sourceLinked="1"/>
        <c:majorTickMark val="none"/>
        <c:minorTickMark val="none"/>
        <c:tickLblPos val="none"/>
        <c:crossAx val="147973248"/>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7BC50A1FC79394A9023C6A5DFA7A09D" ma:contentTypeVersion="13" ma:contentTypeDescription="Create a new document." ma:contentTypeScope="" ma:versionID="79705aaae5de6f9ed494cfeb67a4f3c7">
  <xsd:schema xmlns:xsd="http://www.w3.org/2001/XMLSchema" xmlns:xs="http://www.w3.org/2001/XMLSchema" xmlns:p="http://schemas.microsoft.com/office/2006/metadata/properties" xmlns:ns3="4f61ba3f-198b-401e-8f2f-b2c662dca9cb" xmlns:ns4="b9b95171-1552-4127-953a-44d049f6e73c" targetNamespace="http://schemas.microsoft.com/office/2006/metadata/properties" ma:root="true" ma:fieldsID="b556130ecffddc83dc8ca6d01a721ba0" ns3:_="" ns4:_="">
    <xsd:import namespace="4f61ba3f-198b-401e-8f2f-b2c662dca9cb"/>
    <xsd:import namespace="b9b95171-1552-4127-953a-44d049f6e7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1ba3f-198b-401e-8f2f-b2c662dca9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b95171-1552-4127-953a-44d049f6e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3BEEF-BB43-4692-BD09-7A0D07B70B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B094F-237B-42B9-A007-1B37B12C3D19}">
  <ds:schemaRefs>
    <ds:schemaRef ds:uri="http://schemas.microsoft.com/sharepoint/v3/contenttype/forms"/>
  </ds:schemaRefs>
</ds:datastoreItem>
</file>

<file path=customXml/itemProps3.xml><?xml version="1.0" encoding="utf-8"?>
<ds:datastoreItem xmlns:ds="http://schemas.openxmlformats.org/officeDocument/2006/customXml" ds:itemID="{A489BB5F-1791-4D16-A7A4-E5D20A12264F}">
  <ds:schemaRefs>
    <ds:schemaRef ds:uri="http://schemas.openxmlformats.org/officeDocument/2006/bibliography"/>
  </ds:schemaRefs>
</ds:datastoreItem>
</file>

<file path=customXml/itemProps4.xml><?xml version="1.0" encoding="utf-8"?>
<ds:datastoreItem xmlns:ds="http://schemas.openxmlformats.org/officeDocument/2006/customXml" ds:itemID="{31812EC2-62BE-486D-9F59-FCA114384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1ba3f-198b-401e-8f2f-b2c662dca9cb"/>
    <ds:schemaRef ds:uri="b9b95171-1552-4127-953a-44d049f6e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2921</Words>
  <Characters>16653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Anne-Marie Roerink</cp:lastModifiedBy>
  <cp:revision>3</cp:revision>
  <dcterms:created xsi:type="dcterms:W3CDTF">2022-02-14T16:06:00Z</dcterms:created>
  <dcterms:modified xsi:type="dcterms:W3CDTF">2022-02-15T13:40:00Z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0x010100F7BC50A1FC79394A9023C6A5DFA7A09D</vt:lpwstr>
  </property>
</Properties>
</file>