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E98" w14:textId="3B2BDCA1" w:rsidR="003935EB" w:rsidRPr="001D030C" w:rsidRDefault="00C0573D" w:rsidP="003935EB">
      <w:pPr>
        <w:pStyle w:val="Heading1"/>
        <w:spacing w:before="0"/>
        <w:ind w:right="-142"/>
        <w:rPr>
          <w:rFonts w:ascii="Arial" w:hAnsi="Arial" w:cs="Arial"/>
          <w:color w:val="595959" w:themeColor="text1" w:themeTint="A6"/>
          <w:szCs w:val="32"/>
        </w:rPr>
      </w:pPr>
      <w:r w:rsidRPr="001D030C">
        <w:rPr>
          <w:rFonts w:ascii="Arial" w:hAnsi="Arial" w:cs="Arial"/>
          <w:color w:val="595959" w:themeColor="text1" w:themeTint="A6"/>
          <w:szCs w:val="32"/>
        </w:rPr>
        <w:t>Inflation Remained the Big Story for Fresh Produce in February 2022</w:t>
      </w:r>
    </w:p>
    <w:p w14:paraId="74F26225" w14:textId="77777777" w:rsidR="000B705A" w:rsidRPr="00B35CE9" w:rsidRDefault="000B705A" w:rsidP="000B705A">
      <w:pPr>
        <w:rPr>
          <w:rFonts w:ascii="Arial" w:hAnsi="Arial" w:cs="Arial"/>
          <w:sz w:val="20"/>
          <w:szCs w:val="20"/>
        </w:rPr>
      </w:pPr>
      <w:r w:rsidRPr="00B35CE9">
        <w:rPr>
          <w:rFonts w:ascii="Arial" w:hAnsi="Arial" w:cs="Arial"/>
          <w:sz w:val="20"/>
          <w:szCs w:val="20"/>
        </w:rPr>
        <w:t xml:space="preserve">By: Anne-Marie Roerink, President, 210 Analytics </w:t>
      </w:r>
      <w:r w:rsidRPr="007E1D2E">
        <w:rPr>
          <w:rFonts w:ascii="Arial" w:hAnsi="Arial" w:cs="Arial"/>
          <w:noProof/>
          <w:sz w:val="20"/>
          <w:szCs w:val="20"/>
        </w:rPr>
        <w:drawing>
          <wp:anchor distT="0" distB="0" distL="114300" distR="114300" simplePos="0" relativeHeight="251659264" behindDoc="0" locked="1" layoutInCell="1" allowOverlap="1" wp14:anchorId="124ABB56" wp14:editId="58017E60">
            <wp:simplePos x="0" y="0"/>
            <wp:positionH relativeFrom="page">
              <wp:posOffset>313055</wp:posOffset>
            </wp:positionH>
            <wp:positionV relativeFrom="page">
              <wp:posOffset>1129030</wp:posOffset>
            </wp:positionV>
            <wp:extent cx="721233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shadow PS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2330" cy="634365"/>
                    </a:xfrm>
                    <a:prstGeom prst="rect">
                      <a:avLst/>
                    </a:prstGeom>
                  </pic:spPr>
                </pic:pic>
              </a:graphicData>
            </a:graphic>
          </wp:anchor>
        </w:drawing>
      </w:r>
    </w:p>
    <w:p w14:paraId="11AC18FC" w14:textId="77777777" w:rsidR="000B705A" w:rsidRDefault="000B705A" w:rsidP="000B705A">
      <w:pPr>
        <w:pStyle w:val="NoSpacing"/>
        <w:rPr>
          <w:rFonts w:ascii="Arial" w:hAnsi="Arial" w:cs="Arial"/>
          <w:sz w:val="20"/>
          <w:szCs w:val="20"/>
        </w:rPr>
      </w:pPr>
    </w:p>
    <w:p w14:paraId="1247329F" w14:textId="77777777" w:rsidR="000B705A" w:rsidRPr="009172A3" w:rsidRDefault="000B705A" w:rsidP="000B705A">
      <w:pPr>
        <w:pStyle w:val="NoSpacing"/>
        <w:rPr>
          <w:rFonts w:ascii="Arial" w:hAnsi="Arial" w:cs="Arial"/>
          <w:sz w:val="10"/>
          <w:szCs w:val="10"/>
        </w:rPr>
      </w:pPr>
    </w:p>
    <w:p w14:paraId="39B2064C" w14:textId="77777777" w:rsidR="00BF64A8" w:rsidRPr="00355721" w:rsidRDefault="00BF64A8" w:rsidP="00BF64A8">
      <w:pPr>
        <w:pStyle w:val="NoSpacing"/>
        <w:rPr>
          <w:rFonts w:ascii="Arial" w:hAnsi="Arial" w:cs="Arial"/>
          <w:b/>
          <w:color w:val="595959" w:themeColor="text1" w:themeTint="A6"/>
          <w:sz w:val="24"/>
          <w:szCs w:val="20"/>
        </w:rPr>
      </w:pPr>
      <w:r w:rsidRPr="00355721">
        <w:rPr>
          <w:rFonts w:ascii="Arial" w:hAnsi="Arial" w:cs="Arial"/>
          <w:b/>
          <w:color w:val="595959" w:themeColor="text1" w:themeTint="A6"/>
          <w:sz w:val="24"/>
          <w:szCs w:val="20"/>
        </w:rPr>
        <w:t>Inflation</w:t>
      </w:r>
    </w:p>
    <w:p w14:paraId="7DA854F7" w14:textId="33095955" w:rsidR="00BF64A8" w:rsidRDefault="00BF64A8" w:rsidP="00BF64A8">
      <w:pPr>
        <w:pStyle w:val="NoSpacing"/>
        <w:rPr>
          <w:rFonts w:ascii="Arial" w:hAnsi="Arial" w:cs="Arial"/>
          <w:sz w:val="20"/>
          <w:szCs w:val="20"/>
        </w:rPr>
      </w:pPr>
      <w:r>
        <w:rPr>
          <w:rFonts w:ascii="Arial" w:hAnsi="Arial" w:cs="Arial"/>
          <w:color w:val="000000" w:themeColor="text1"/>
          <w:sz w:val="20"/>
          <w:szCs w:val="20"/>
        </w:rPr>
        <w:t xml:space="preserve">The </w:t>
      </w:r>
      <w:r w:rsidR="002F2661">
        <w:rPr>
          <w:rFonts w:ascii="Arial" w:hAnsi="Arial" w:cs="Arial"/>
          <w:color w:val="000000" w:themeColor="text1"/>
          <w:sz w:val="20"/>
          <w:szCs w:val="20"/>
        </w:rPr>
        <w:t xml:space="preserve">U.S. </w:t>
      </w:r>
      <w:r>
        <w:rPr>
          <w:rFonts w:ascii="Arial" w:hAnsi="Arial" w:cs="Arial"/>
          <w:color w:val="000000" w:themeColor="text1"/>
          <w:sz w:val="20"/>
          <w:szCs w:val="20"/>
        </w:rPr>
        <w:t xml:space="preserve">consumer price index increased </w:t>
      </w:r>
      <w:r w:rsidR="00C23843">
        <w:rPr>
          <w:rFonts w:ascii="Arial" w:hAnsi="Arial" w:cs="Arial"/>
          <w:color w:val="000000" w:themeColor="text1"/>
          <w:sz w:val="20"/>
          <w:szCs w:val="20"/>
        </w:rPr>
        <w:t>+</w:t>
      </w:r>
      <w:r>
        <w:rPr>
          <w:rFonts w:ascii="Arial" w:hAnsi="Arial" w:cs="Arial"/>
          <w:color w:val="000000" w:themeColor="text1"/>
          <w:sz w:val="20"/>
          <w:szCs w:val="20"/>
        </w:rPr>
        <w:t xml:space="preserve">7.9% for the 12 months ending February 2022. This was the largest 12-month increase since July 1981, according to the Bureau of Labor Statistics. </w:t>
      </w:r>
      <w:r>
        <w:rPr>
          <w:rFonts w:ascii="Arial" w:hAnsi="Arial" w:cs="Arial"/>
          <w:sz w:val="20"/>
          <w:szCs w:val="20"/>
        </w:rPr>
        <w:t>IRI-measured multi-outlet stores</w:t>
      </w:r>
      <w:r w:rsidR="002F2661">
        <w:rPr>
          <w:rFonts w:ascii="Arial" w:hAnsi="Arial" w:cs="Arial"/>
          <w:sz w:val="20"/>
          <w:szCs w:val="20"/>
        </w:rPr>
        <w:t xml:space="preserve"> in the U.S.</w:t>
      </w:r>
      <w:r>
        <w:rPr>
          <w:rFonts w:ascii="Arial" w:hAnsi="Arial" w:cs="Arial"/>
          <w:sz w:val="20"/>
          <w:szCs w:val="20"/>
        </w:rPr>
        <w:t xml:space="preserve">, including supermarkets, club, mass, supercenter, drug, military, and other retail food stores, also showed continued </w:t>
      </w:r>
      <w:r w:rsidR="00C23843">
        <w:rPr>
          <w:rFonts w:ascii="Arial" w:hAnsi="Arial" w:cs="Arial"/>
          <w:sz w:val="20"/>
          <w:szCs w:val="20"/>
        </w:rPr>
        <w:t xml:space="preserve">grocery </w:t>
      </w:r>
      <w:r>
        <w:rPr>
          <w:rFonts w:ascii="Arial" w:hAnsi="Arial" w:cs="Arial"/>
          <w:sz w:val="20"/>
          <w:szCs w:val="20"/>
        </w:rPr>
        <w:t>price inflation over and above the elevated 2020 and 2021 leve</w:t>
      </w:r>
      <w:r w:rsidR="00C23843">
        <w:rPr>
          <w:rFonts w:ascii="Arial" w:hAnsi="Arial" w:cs="Arial"/>
          <w:sz w:val="20"/>
          <w:szCs w:val="20"/>
        </w:rPr>
        <w:t>ls</w:t>
      </w:r>
      <w:r>
        <w:rPr>
          <w:rFonts w:ascii="Arial" w:hAnsi="Arial" w:cs="Arial"/>
          <w:sz w:val="20"/>
          <w:szCs w:val="20"/>
        </w:rPr>
        <w:t xml:space="preserve">. </w:t>
      </w:r>
    </w:p>
    <w:p w14:paraId="3DD0933F" w14:textId="77777777" w:rsidR="00BF64A8" w:rsidRDefault="00BF64A8" w:rsidP="00BF64A8">
      <w:pPr>
        <w:pStyle w:val="NoSpacing"/>
        <w:rPr>
          <w:rFonts w:ascii="Arial" w:hAnsi="Arial" w:cs="Arial"/>
          <w:sz w:val="20"/>
          <w:szCs w:val="20"/>
        </w:rPr>
      </w:pPr>
    </w:p>
    <w:p w14:paraId="05ADBA1F" w14:textId="14EB8045" w:rsidR="00BF64A8" w:rsidRDefault="00BF64A8" w:rsidP="00BF64A8">
      <w:pPr>
        <w:pStyle w:val="NoSpacing"/>
        <w:rPr>
          <w:rFonts w:ascii="Arial" w:hAnsi="Arial" w:cs="Arial"/>
          <w:color w:val="000000" w:themeColor="text1"/>
          <w:sz w:val="20"/>
          <w:szCs w:val="20"/>
        </w:rPr>
      </w:pPr>
      <w:r>
        <w:rPr>
          <w:rFonts w:ascii="Arial" w:hAnsi="Arial" w:cs="Arial"/>
          <w:sz w:val="20"/>
          <w:szCs w:val="20"/>
        </w:rPr>
        <w:t xml:space="preserve">In February 2022, the average price per unit across all foods and beverages was up </w:t>
      </w:r>
      <w:r w:rsidR="00C23843">
        <w:rPr>
          <w:rFonts w:ascii="Arial" w:hAnsi="Arial" w:cs="Arial"/>
          <w:sz w:val="20"/>
          <w:szCs w:val="20"/>
        </w:rPr>
        <w:t>+</w:t>
      </w:r>
      <w:r>
        <w:rPr>
          <w:rFonts w:ascii="Arial" w:hAnsi="Arial" w:cs="Arial"/>
          <w:sz w:val="20"/>
          <w:szCs w:val="20"/>
        </w:rPr>
        <w:t xml:space="preserve">10.3% versus the same weeks in 2021 and +16.8% versus February 2020. This means continued acceleration in the rate of inflation since the fall of 2021. For the latest 52 weeks ending February 27, 2022, prices increased </w:t>
      </w:r>
      <w:r w:rsidR="00C23843">
        <w:rPr>
          <w:rFonts w:ascii="Arial" w:hAnsi="Arial" w:cs="Arial"/>
          <w:sz w:val="20"/>
          <w:szCs w:val="20"/>
        </w:rPr>
        <w:t>+</w:t>
      </w:r>
      <w:r>
        <w:rPr>
          <w:rFonts w:ascii="Arial" w:hAnsi="Arial" w:cs="Arial"/>
          <w:sz w:val="20"/>
          <w:szCs w:val="20"/>
        </w:rPr>
        <w:t xml:space="preserve">6.0% — </w:t>
      </w:r>
      <w:r w:rsidR="00C23843">
        <w:rPr>
          <w:rFonts w:ascii="Arial" w:hAnsi="Arial" w:cs="Arial"/>
          <w:sz w:val="20"/>
          <w:szCs w:val="20"/>
        </w:rPr>
        <w:t xml:space="preserve">the annualized number </w:t>
      </w:r>
      <w:r>
        <w:rPr>
          <w:rFonts w:ascii="Arial" w:hAnsi="Arial" w:cs="Arial"/>
          <w:sz w:val="20"/>
          <w:szCs w:val="20"/>
        </w:rPr>
        <w:t>pulled down by much milder inflation in the second quarter of 2021.</w:t>
      </w:r>
      <w:r w:rsidR="00232CD1">
        <w:rPr>
          <w:rFonts w:ascii="Arial" w:hAnsi="Arial" w:cs="Arial"/>
          <w:sz w:val="20"/>
          <w:szCs w:val="20"/>
        </w:rPr>
        <w:t xml:space="preserve"> “In </w:t>
      </w:r>
      <w:r w:rsidR="00C23843">
        <w:rPr>
          <w:rFonts w:ascii="Arial" w:hAnsi="Arial" w:cs="Arial"/>
          <w:sz w:val="20"/>
          <w:szCs w:val="20"/>
        </w:rPr>
        <w:t xml:space="preserve">our </w:t>
      </w:r>
      <w:r w:rsidR="00232CD1">
        <w:rPr>
          <w:rFonts w:ascii="Arial" w:hAnsi="Arial" w:cs="Arial"/>
          <w:sz w:val="20"/>
          <w:szCs w:val="20"/>
        </w:rPr>
        <w:t xml:space="preserve">February IRI shopper survey, we found that 90% of shoppers have noticed the price increases across the various grocery departments and </w:t>
      </w:r>
      <w:r w:rsidR="00C23843">
        <w:rPr>
          <w:rFonts w:ascii="Arial" w:hAnsi="Arial" w:cs="Arial"/>
          <w:sz w:val="20"/>
          <w:szCs w:val="20"/>
        </w:rPr>
        <w:t>a whopping 96%</w:t>
      </w:r>
      <w:r w:rsidR="00232CD1">
        <w:rPr>
          <w:rFonts w:ascii="Arial" w:hAnsi="Arial" w:cs="Arial"/>
          <w:sz w:val="20"/>
          <w:szCs w:val="20"/>
        </w:rPr>
        <w:t xml:space="preserve"> of those consumers are concerned about it,” said Jonna Parker, Team Lead for IRI. “In response, 75% of consumers have already made one or more changes to </w:t>
      </w:r>
      <w:r w:rsidR="00027658">
        <w:rPr>
          <w:rFonts w:ascii="Arial" w:hAnsi="Arial" w:cs="Arial"/>
          <w:sz w:val="20"/>
          <w:szCs w:val="20"/>
        </w:rPr>
        <w:t>their grocery shopping</w:t>
      </w:r>
      <w:r w:rsidR="00B1061E">
        <w:rPr>
          <w:rFonts w:ascii="Arial" w:hAnsi="Arial" w:cs="Arial"/>
          <w:sz w:val="20"/>
          <w:szCs w:val="20"/>
        </w:rPr>
        <w:t>, up considerably from 64%</w:t>
      </w:r>
      <w:r w:rsidR="00C23843">
        <w:rPr>
          <w:rFonts w:ascii="Arial" w:hAnsi="Arial" w:cs="Arial"/>
          <w:sz w:val="20"/>
          <w:szCs w:val="20"/>
        </w:rPr>
        <w:t xml:space="preserve"> in January 2022</w:t>
      </w:r>
      <w:r w:rsidR="00232CD1">
        <w:rPr>
          <w:rFonts w:ascii="Arial" w:hAnsi="Arial" w:cs="Arial"/>
          <w:sz w:val="20"/>
          <w:szCs w:val="20"/>
        </w:rPr>
        <w:t>. Additionally, consumers are pulling back on restaurant visits</w:t>
      </w:r>
      <w:r w:rsidR="00B1061E">
        <w:rPr>
          <w:rFonts w:ascii="Arial" w:hAnsi="Arial" w:cs="Arial"/>
          <w:sz w:val="20"/>
          <w:szCs w:val="20"/>
        </w:rPr>
        <w:t xml:space="preserve">. This is not so much </w:t>
      </w:r>
      <w:r w:rsidR="00232CD1">
        <w:rPr>
          <w:rFonts w:ascii="Arial" w:hAnsi="Arial" w:cs="Arial"/>
          <w:sz w:val="20"/>
          <w:szCs w:val="20"/>
        </w:rPr>
        <w:t>because of COVID-19</w:t>
      </w:r>
      <w:r w:rsidR="00B1061E">
        <w:rPr>
          <w:rFonts w:ascii="Arial" w:hAnsi="Arial" w:cs="Arial"/>
          <w:sz w:val="20"/>
          <w:szCs w:val="20"/>
        </w:rPr>
        <w:t>,</w:t>
      </w:r>
      <w:r w:rsidR="00232CD1">
        <w:rPr>
          <w:rFonts w:ascii="Arial" w:hAnsi="Arial" w:cs="Arial"/>
          <w:sz w:val="20"/>
          <w:szCs w:val="20"/>
        </w:rPr>
        <w:t xml:space="preserve"> but as a means to save. Consumers are estimating that 82% of their meals in a typical week are prepared at home</w:t>
      </w:r>
      <w:r w:rsidR="00B1061E">
        <w:rPr>
          <w:rFonts w:ascii="Arial" w:hAnsi="Arial" w:cs="Arial"/>
          <w:sz w:val="20"/>
          <w:szCs w:val="20"/>
        </w:rPr>
        <w:t xml:space="preserve"> as of February 2022</w:t>
      </w:r>
      <w:r w:rsidR="00232CD1">
        <w:rPr>
          <w:rFonts w:ascii="Arial" w:hAnsi="Arial" w:cs="Arial"/>
          <w:sz w:val="20"/>
          <w:szCs w:val="20"/>
        </w:rPr>
        <w:t>.”</w:t>
      </w:r>
    </w:p>
    <w:p w14:paraId="74C9EFC1" w14:textId="77777777" w:rsidR="00BF64A8" w:rsidRDefault="00BF64A8" w:rsidP="00BF64A8">
      <w:pPr>
        <w:pStyle w:val="NoSpacing"/>
        <w:rPr>
          <w:rFonts w:ascii="Arial" w:hAnsi="Arial" w:cs="Arial"/>
          <w:b/>
          <w:color w:val="595959" w:themeColor="text1" w:themeTint="A6"/>
          <w:sz w:val="24"/>
          <w:szCs w:val="20"/>
        </w:rPr>
      </w:pPr>
    </w:p>
    <w:tbl>
      <w:tblPr>
        <w:tblStyle w:val="LightShading-Accent5"/>
        <w:tblW w:w="10631" w:type="dxa"/>
        <w:tblBorders>
          <w:top w:val="none" w:sz="0" w:space="0" w:color="auto"/>
          <w:bottom w:val="none" w:sz="0" w:space="0" w:color="auto"/>
        </w:tblBorders>
        <w:tblCellMar>
          <w:left w:w="57" w:type="dxa"/>
          <w:right w:w="57" w:type="dxa"/>
        </w:tblCellMar>
        <w:tblLook w:val="04A0" w:firstRow="1" w:lastRow="0" w:firstColumn="1" w:lastColumn="0" w:noHBand="0" w:noVBand="1"/>
      </w:tblPr>
      <w:tblGrid>
        <w:gridCol w:w="2193"/>
        <w:gridCol w:w="1121"/>
        <w:gridCol w:w="1121"/>
        <w:gridCol w:w="1122"/>
        <w:gridCol w:w="1121"/>
        <w:gridCol w:w="1121"/>
        <w:gridCol w:w="1350"/>
        <w:gridCol w:w="1482"/>
      </w:tblGrid>
      <w:tr w:rsidR="00BF64A8" w:rsidRPr="00770F6B" w14:paraId="512D9803" w14:textId="77777777" w:rsidTr="001D030C">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193"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01FFBDAC" w14:textId="77777777" w:rsidR="00BF64A8" w:rsidRPr="006C208B" w:rsidRDefault="00BF64A8" w:rsidP="00671B2D">
            <w:pPr>
              <w:pStyle w:val="NoSpacing"/>
              <w:rPr>
                <w:rFonts w:ascii="Arial" w:hAnsi="Arial" w:cs="Arial"/>
                <w:b w:val="0"/>
                <w:color w:val="F2F2F2" w:themeColor="background1" w:themeShade="F2"/>
                <w:sz w:val="18"/>
                <w:szCs w:val="18"/>
              </w:rPr>
            </w:pPr>
            <w:r w:rsidRPr="006C208B">
              <w:rPr>
                <w:rFonts w:ascii="Arial" w:hAnsi="Arial" w:cs="Arial"/>
                <w:b w:val="0"/>
                <w:color w:val="F2F2F2" w:themeColor="background1" w:themeShade="F2"/>
                <w:sz w:val="18"/>
                <w:szCs w:val="18"/>
              </w:rPr>
              <w:t>Average price</w:t>
            </w:r>
            <w:r>
              <w:rPr>
                <w:rFonts w:ascii="Arial" w:hAnsi="Arial" w:cs="Arial"/>
                <w:b w:val="0"/>
                <w:color w:val="F2F2F2" w:themeColor="background1" w:themeShade="F2"/>
                <w:sz w:val="18"/>
                <w:szCs w:val="18"/>
              </w:rPr>
              <w:t>/unit vs. YA</w:t>
            </w:r>
          </w:p>
        </w:tc>
        <w:tc>
          <w:tcPr>
            <w:tcW w:w="1121"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B1C1B04" w14:textId="77777777" w:rsidR="00BF64A8" w:rsidRPr="006C208B"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Q1 21</w:t>
            </w:r>
          </w:p>
        </w:tc>
        <w:tc>
          <w:tcPr>
            <w:tcW w:w="1121"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104556C1" w14:textId="77777777" w:rsidR="00BF64A8" w:rsidRPr="006C208B"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21</w:t>
            </w:r>
          </w:p>
        </w:tc>
        <w:tc>
          <w:tcPr>
            <w:tcW w:w="1122"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F1DDC9D" w14:textId="77777777" w:rsidR="00BF64A8" w:rsidRPr="006C208B"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Q3 21</w:t>
            </w:r>
          </w:p>
        </w:tc>
        <w:tc>
          <w:tcPr>
            <w:tcW w:w="1121"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7A55D35" w14:textId="77777777" w:rsidR="00BF64A8" w:rsidRPr="006C208B"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Q4 21</w:t>
            </w:r>
          </w:p>
        </w:tc>
        <w:tc>
          <w:tcPr>
            <w:tcW w:w="1121"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DF5A2DB" w14:textId="77777777" w:rsidR="00BF64A8"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 xml:space="preserve">2021 </w:t>
            </w:r>
          </w:p>
        </w:tc>
        <w:tc>
          <w:tcPr>
            <w:tcW w:w="1350"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37574EA" w14:textId="77777777" w:rsidR="00BF64A8"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Jan 2022</w:t>
            </w:r>
          </w:p>
        </w:tc>
        <w:tc>
          <w:tcPr>
            <w:tcW w:w="1482"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0C13082F" w14:textId="77777777" w:rsidR="00BF64A8" w:rsidRPr="006C208B" w:rsidRDefault="00BF64A8" w:rsidP="00671B2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Feb 2022</w:t>
            </w:r>
          </w:p>
        </w:tc>
      </w:tr>
      <w:tr w:rsidR="00BF64A8" w:rsidRPr="00617F9E" w14:paraId="3D2B42AA" w14:textId="77777777" w:rsidTr="001D030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193" w:type="dxa"/>
            <w:tcBorders>
              <w:left w:val="none" w:sz="0" w:space="0" w:color="auto"/>
              <w:right w:val="none" w:sz="0" w:space="0" w:color="auto"/>
            </w:tcBorders>
            <w:vAlign w:val="center"/>
          </w:tcPr>
          <w:p w14:paraId="5D2D99FB" w14:textId="77777777" w:rsidR="00BF64A8" w:rsidRPr="006C208B" w:rsidRDefault="00BF64A8" w:rsidP="00671B2D">
            <w:pPr>
              <w:pStyle w:val="NoSpacing"/>
              <w:rPr>
                <w:rFonts w:ascii="Arial" w:hAnsi="Arial" w:cs="Arial"/>
                <w:sz w:val="18"/>
                <w:szCs w:val="18"/>
              </w:rPr>
            </w:pPr>
            <w:r w:rsidRPr="006C208B">
              <w:rPr>
                <w:rFonts w:ascii="Arial" w:hAnsi="Arial" w:cs="Arial"/>
                <w:sz w:val="18"/>
                <w:szCs w:val="18"/>
              </w:rPr>
              <w:t>Total food and beverages</w:t>
            </w:r>
          </w:p>
        </w:tc>
        <w:tc>
          <w:tcPr>
            <w:tcW w:w="1121" w:type="dxa"/>
            <w:tcBorders>
              <w:left w:val="none" w:sz="0" w:space="0" w:color="auto"/>
              <w:right w:val="none" w:sz="0" w:space="0" w:color="auto"/>
            </w:tcBorders>
            <w:vAlign w:val="center"/>
          </w:tcPr>
          <w:p w14:paraId="39792BCB" w14:textId="77777777" w:rsidR="00BF64A8" w:rsidRPr="006C208B"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+5.5%</w:t>
            </w:r>
          </w:p>
        </w:tc>
        <w:tc>
          <w:tcPr>
            <w:tcW w:w="1121" w:type="dxa"/>
            <w:tcBorders>
              <w:left w:val="none" w:sz="0" w:space="0" w:color="auto"/>
              <w:right w:val="none" w:sz="0" w:space="0" w:color="auto"/>
            </w:tcBorders>
            <w:vAlign w:val="center"/>
          </w:tcPr>
          <w:p w14:paraId="7891DD04" w14:textId="77777777" w:rsidR="00BF64A8" w:rsidRPr="006C208B"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+2.7%</w:t>
            </w:r>
          </w:p>
        </w:tc>
        <w:tc>
          <w:tcPr>
            <w:tcW w:w="1122" w:type="dxa"/>
            <w:tcBorders>
              <w:left w:val="none" w:sz="0" w:space="0" w:color="auto"/>
              <w:right w:val="none" w:sz="0" w:space="0" w:color="auto"/>
            </w:tcBorders>
            <w:vAlign w:val="center"/>
          </w:tcPr>
          <w:p w14:paraId="0ED8CD3B" w14:textId="77777777" w:rsidR="00BF64A8" w:rsidRPr="006C208B"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1121" w:type="dxa"/>
            <w:tcBorders>
              <w:left w:val="none" w:sz="0" w:space="0" w:color="auto"/>
              <w:right w:val="none" w:sz="0" w:space="0" w:color="auto"/>
            </w:tcBorders>
            <w:vAlign w:val="center"/>
          </w:tcPr>
          <w:p w14:paraId="2E45FDC4" w14:textId="77777777" w:rsidR="00BF64A8" w:rsidRPr="006C208B"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+8.0%</w:t>
            </w:r>
          </w:p>
        </w:tc>
        <w:tc>
          <w:tcPr>
            <w:tcW w:w="1121" w:type="dxa"/>
            <w:tcBorders>
              <w:left w:val="none" w:sz="0" w:space="0" w:color="auto"/>
              <w:right w:val="none" w:sz="0" w:space="0" w:color="auto"/>
            </w:tcBorders>
            <w:vAlign w:val="center"/>
          </w:tcPr>
          <w:p w14:paraId="4E251DEC" w14:textId="77777777" w:rsidR="00BF64A8" w:rsidRPr="006C208B"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+5.3%</w:t>
            </w:r>
          </w:p>
        </w:tc>
        <w:tc>
          <w:tcPr>
            <w:tcW w:w="1350" w:type="dxa"/>
            <w:tcBorders>
              <w:left w:val="none" w:sz="0" w:space="0" w:color="auto"/>
              <w:right w:val="none" w:sz="0" w:space="0" w:color="auto"/>
            </w:tcBorders>
            <w:vAlign w:val="center"/>
          </w:tcPr>
          <w:p w14:paraId="00F9B8C9" w14:textId="77777777" w:rsidR="00BF64A8"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+9.1%</w:t>
            </w:r>
          </w:p>
        </w:tc>
        <w:tc>
          <w:tcPr>
            <w:tcW w:w="1482" w:type="dxa"/>
            <w:tcBorders>
              <w:left w:val="none" w:sz="0" w:space="0" w:color="auto"/>
              <w:right w:val="none" w:sz="0" w:space="0" w:color="auto"/>
            </w:tcBorders>
            <w:vAlign w:val="center"/>
          </w:tcPr>
          <w:p w14:paraId="0732A687" w14:textId="77777777" w:rsidR="00BF64A8" w:rsidRPr="006C208B" w:rsidRDefault="00BF64A8" w:rsidP="00671B2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+10.3%</w:t>
            </w:r>
          </w:p>
        </w:tc>
      </w:tr>
    </w:tbl>
    <w:p w14:paraId="3FA94CE3" w14:textId="77777777" w:rsidR="00BF64A8" w:rsidRPr="00392CAA" w:rsidRDefault="00BF64A8" w:rsidP="00BF64A8">
      <w:pPr>
        <w:pStyle w:val="NoSpacing"/>
        <w:rPr>
          <w:rFonts w:ascii="Arial" w:hAnsi="Arial" w:cs="Arial"/>
          <w:sz w:val="10"/>
          <w:szCs w:val="10"/>
        </w:rPr>
      </w:pPr>
    </w:p>
    <w:p w14:paraId="5CF76972" w14:textId="77777777" w:rsidR="00BF64A8" w:rsidRPr="005C6A11" w:rsidRDefault="00BF64A8" w:rsidP="00BF64A8">
      <w:pPr>
        <w:pStyle w:val="NoSpacing"/>
        <w:rPr>
          <w:rFonts w:ascii="Arial" w:hAnsi="Arial" w:cs="Arial"/>
          <w:sz w:val="16"/>
          <w:szCs w:val="16"/>
        </w:rPr>
      </w:pPr>
      <w:r w:rsidRPr="005C6A11">
        <w:rPr>
          <w:rFonts w:ascii="Arial" w:hAnsi="Arial" w:cs="Arial"/>
          <w:sz w:val="16"/>
          <w:szCs w:val="16"/>
        </w:rPr>
        <w:t xml:space="preserve">Source: IRI, </w:t>
      </w:r>
      <w:r>
        <w:rPr>
          <w:rFonts w:ascii="Arial" w:hAnsi="Arial" w:cs="Arial"/>
          <w:sz w:val="16"/>
          <w:szCs w:val="16"/>
        </w:rPr>
        <w:t xml:space="preserve">Integrated Fresh </w:t>
      </w:r>
      <w:r w:rsidRPr="005C6A11">
        <w:rPr>
          <w:rFonts w:ascii="Arial" w:hAnsi="Arial" w:cs="Arial"/>
          <w:sz w:val="16"/>
          <w:szCs w:val="16"/>
        </w:rPr>
        <w:t>Total US, MULO</w:t>
      </w:r>
    </w:p>
    <w:p w14:paraId="5FF597A6" w14:textId="77777777" w:rsidR="000D5607" w:rsidRDefault="000D5607" w:rsidP="00D8582D">
      <w:pPr>
        <w:pStyle w:val="NoSpacing"/>
        <w:rPr>
          <w:rFonts w:ascii="Arial" w:hAnsi="Arial" w:cs="Arial"/>
          <w:sz w:val="20"/>
          <w:szCs w:val="20"/>
        </w:rPr>
      </w:pPr>
    </w:p>
    <w:p w14:paraId="2449661F" w14:textId="138CD1E8" w:rsidR="00DD3DF6" w:rsidRDefault="00DD3DF6" w:rsidP="00DD3DF6">
      <w:pPr>
        <w:pStyle w:val="NoSpacing"/>
        <w:rPr>
          <w:rFonts w:ascii="Arial" w:hAnsi="Arial" w:cs="Arial"/>
          <w:color w:val="000000" w:themeColor="text1"/>
          <w:sz w:val="20"/>
          <w:szCs w:val="20"/>
        </w:rPr>
      </w:pPr>
      <w:r>
        <w:rPr>
          <w:rFonts w:ascii="Arial" w:hAnsi="Arial" w:cs="Arial"/>
          <w:sz w:val="20"/>
          <w:szCs w:val="20"/>
        </w:rPr>
        <w:t xml:space="preserve">Fresh produce prices are also </w:t>
      </w:r>
      <w:r w:rsidR="00B1061E">
        <w:rPr>
          <w:rFonts w:ascii="Arial" w:hAnsi="Arial" w:cs="Arial"/>
          <w:sz w:val="20"/>
          <w:szCs w:val="20"/>
        </w:rPr>
        <w:t xml:space="preserve">up from </w:t>
      </w:r>
      <w:r>
        <w:rPr>
          <w:rFonts w:ascii="Arial" w:hAnsi="Arial" w:cs="Arial"/>
          <w:sz w:val="20"/>
          <w:szCs w:val="20"/>
        </w:rPr>
        <w:t>last year</w:t>
      </w:r>
      <w:r w:rsidR="00C23843">
        <w:rPr>
          <w:rFonts w:ascii="Arial" w:hAnsi="Arial" w:cs="Arial"/>
          <w:sz w:val="20"/>
          <w:szCs w:val="20"/>
        </w:rPr>
        <w:t xml:space="preserve"> at a slightly higher rate than total food and beverages</w:t>
      </w:r>
      <w:r>
        <w:rPr>
          <w:rFonts w:ascii="Arial" w:hAnsi="Arial" w:cs="Arial"/>
          <w:sz w:val="20"/>
          <w:szCs w:val="20"/>
        </w:rPr>
        <w:t xml:space="preserve">. </w:t>
      </w:r>
      <w:r w:rsidR="00A12A7F">
        <w:rPr>
          <w:rFonts w:ascii="Arial" w:hAnsi="Arial" w:cs="Arial"/>
          <w:sz w:val="20"/>
          <w:szCs w:val="20"/>
        </w:rPr>
        <w:t>In</w:t>
      </w:r>
      <w:r w:rsidR="003433C6">
        <w:rPr>
          <w:rFonts w:ascii="Arial" w:hAnsi="Arial" w:cs="Arial"/>
          <w:sz w:val="20"/>
          <w:szCs w:val="20"/>
        </w:rPr>
        <w:t xml:space="preserve"> </w:t>
      </w:r>
      <w:r w:rsidR="00BF64A8">
        <w:rPr>
          <w:rFonts w:ascii="Arial" w:hAnsi="Arial" w:cs="Arial"/>
          <w:sz w:val="20"/>
          <w:szCs w:val="20"/>
        </w:rPr>
        <w:t xml:space="preserve">February </w:t>
      </w:r>
      <w:r w:rsidR="003433C6">
        <w:rPr>
          <w:rFonts w:ascii="Arial" w:hAnsi="Arial" w:cs="Arial"/>
          <w:sz w:val="20"/>
          <w:szCs w:val="20"/>
        </w:rPr>
        <w:t>2022</w:t>
      </w:r>
      <w:r w:rsidR="00A12A7F">
        <w:rPr>
          <w:rFonts w:ascii="Arial" w:hAnsi="Arial" w:cs="Arial"/>
          <w:sz w:val="20"/>
          <w:szCs w:val="20"/>
        </w:rPr>
        <w:t xml:space="preserve">, </w:t>
      </w:r>
      <w:r w:rsidR="003433C6">
        <w:rPr>
          <w:rFonts w:ascii="Arial" w:hAnsi="Arial" w:cs="Arial"/>
          <w:sz w:val="20"/>
          <w:szCs w:val="20"/>
        </w:rPr>
        <w:t xml:space="preserve">the </w:t>
      </w:r>
      <w:r>
        <w:rPr>
          <w:rFonts w:ascii="Arial" w:hAnsi="Arial" w:cs="Arial"/>
          <w:sz w:val="20"/>
          <w:szCs w:val="20"/>
        </w:rPr>
        <w:t>price</w:t>
      </w:r>
      <w:r w:rsidR="001F29DC">
        <w:rPr>
          <w:rFonts w:ascii="Arial" w:hAnsi="Arial" w:cs="Arial"/>
          <w:sz w:val="20"/>
          <w:szCs w:val="20"/>
        </w:rPr>
        <w:t xml:space="preserve"> per pound</w:t>
      </w:r>
      <w:r>
        <w:rPr>
          <w:rFonts w:ascii="Arial" w:hAnsi="Arial" w:cs="Arial"/>
          <w:sz w:val="20"/>
          <w:szCs w:val="20"/>
        </w:rPr>
        <w:t xml:space="preserve"> for total fresh produce </w:t>
      </w:r>
      <w:r w:rsidR="00A12A7F">
        <w:rPr>
          <w:rFonts w:ascii="Arial" w:hAnsi="Arial" w:cs="Arial"/>
          <w:sz w:val="20"/>
          <w:szCs w:val="20"/>
        </w:rPr>
        <w:t xml:space="preserve">increased by </w:t>
      </w:r>
      <w:r w:rsidR="00C23843">
        <w:rPr>
          <w:rFonts w:ascii="Arial" w:hAnsi="Arial" w:cs="Arial"/>
          <w:sz w:val="20"/>
          <w:szCs w:val="20"/>
        </w:rPr>
        <w:t>+</w:t>
      </w:r>
      <w:r w:rsidR="00140B3C">
        <w:rPr>
          <w:rFonts w:ascii="Arial" w:hAnsi="Arial" w:cs="Arial"/>
          <w:sz w:val="20"/>
          <w:szCs w:val="20"/>
        </w:rPr>
        <w:t>10.9</w:t>
      </w:r>
      <w:r w:rsidR="00A12A7F">
        <w:rPr>
          <w:rFonts w:ascii="Arial" w:hAnsi="Arial" w:cs="Arial"/>
          <w:sz w:val="20"/>
          <w:szCs w:val="20"/>
        </w:rPr>
        <w:t>%</w:t>
      </w:r>
      <w:r w:rsidR="003433C6">
        <w:rPr>
          <w:rFonts w:ascii="Arial" w:hAnsi="Arial" w:cs="Arial"/>
          <w:sz w:val="20"/>
          <w:szCs w:val="20"/>
        </w:rPr>
        <w:t xml:space="preserve"> over </w:t>
      </w:r>
      <w:r w:rsidR="00140B3C">
        <w:rPr>
          <w:rFonts w:ascii="Arial" w:hAnsi="Arial" w:cs="Arial"/>
          <w:sz w:val="20"/>
          <w:szCs w:val="20"/>
        </w:rPr>
        <w:t xml:space="preserve">February </w:t>
      </w:r>
      <w:r w:rsidR="003433C6">
        <w:rPr>
          <w:rFonts w:ascii="Arial" w:hAnsi="Arial" w:cs="Arial"/>
          <w:sz w:val="20"/>
          <w:szCs w:val="20"/>
        </w:rPr>
        <w:t xml:space="preserve">2021. The latest 52-week look </w:t>
      </w:r>
      <w:r w:rsidR="00C23843">
        <w:rPr>
          <w:rFonts w:ascii="Arial" w:hAnsi="Arial" w:cs="Arial"/>
          <w:sz w:val="20"/>
          <w:szCs w:val="20"/>
        </w:rPr>
        <w:t>was</w:t>
      </w:r>
      <w:r w:rsidR="00B1061E">
        <w:rPr>
          <w:rFonts w:ascii="Arial" w:hAnsi="Arial" w:cs="Arial"/>
          <w:sz w:val="20"/>
          <w:szCs w:val="20"/>
        </w:rPr>
        <w:t xml:space="preserve"> lower</w:t>
      </w:r>
      <w:r w:rsidR="003433C6">
        <w:rPr>
          <w:rFonts w:ascii="Arial" w:hAnsi="Arial" w:cs="Arial"/>
          <w:sz w:val="20"/>
          <w:szCs w:val="20"/>
        </w:rPr>
        <w:t>, at +</w:t>
      </w:r>
      <w:r w:rsidR="00140B3C">
        <w:rPr>
          <w:rFonts w:ascii="Arial" w:hAnsi="Arial" w:cs="Arial"/>
          <w:sz w:val="20"/>
          <w:szCs w:val="20"/>
        </w:rPr>
        <w:t>7.6</w:t>
      </w:r>
      <w:r w:rsidR="003433C6">
        <w:rPr>
          <w:rFonts w:ascii="Arial" w:hAnsi="Arial" w:cs="Arial"/>
          <w:sz w:val="20"/>
          <w:szCs w:val="20"/>
        </w:rPr>
        <w:t>%</w:t>
      </w:r>
      <w:r w:rsidR="00551D01">
        <w:rPr>
          <w:rFonts w:ascii="Arial" w:hAnsi="Arial" w:cs="Arial"/>
          <w:sz w:val="20"/>
          <w:szCs w:val="20"/>
        </w:rPr>
        <w:t>,</w:t>
      </w:r>
      <w:r w:rsidR="003433C6">
        <w:rPr>
          <w:rFonts w:ascii="Arial" w:hAnsi="Arial" w:cs="Arial"/>
          <w:sz w:val="20"/>
          <w:szCs w:val="20"/>
        </w:rPr>
        <w:t xml:space="preserve"> given the</w:t>
      </w:r>
      <w:r w:rsidR="00A12A7F">
        <w:rPr>
          <w:rFonts w:ascii="Arial" w:hAnsi="Arial" w:cs="Arial"/>
          <w:sz w:val="20"/>
          <w:szCs w:val="20"/>
        </w:rPr>
        <w:t xml:space="preserve"> much milder inflation </w:t>
      </w:r>
      <w:r w:rsidR="003433C6">
        <w:rPr>
          <w:rFonts w:ascii="Arial" w:hAnsi="Arial" w:cs="Arial"/>
          <w:sz w:val="20"/>
          <w:szCs w:val="20"/>
        </w:rPr>
        <w:t>in the second quarter of 2021.</w:t>
      </w:r>
      <w:r w:rsidR="00A12A7F">
        <w:rPr>
          <w:rFonts w:ascii="Arial" w:hAnsi="Arial" w:cs="Arial"/>
          <w:sz w:val="20"/>
          <w:szCs w:val="20"/>
        </w:rPr>
        <w:t xml:space="preserve"> </w:t>
      </w:r>
      <w:r w:rsidR="00C23843">
        <w:rPr>
          <w:rFonts w:ascii="Arial" w:hAnsi="Arial" w:cs="Arial"/>
          <w:sz w:val="20"/>
          <w:szCs w:val="20"/>
        </w:rPr>
        <w:t>Fresh v</w:t>
      </w:r>
      <w:r w:rsidR="003433C6">
        <w:rPr>
          <w:rFonts w:ascii="Arial" w:hAnsi="Arial" w:cs="Arial"/>
          <w:sz w:val="20"/>
          <w:szCs w:val="20"/>
        </w:rPr>
        <w:t xml:space="preserve">egetable inflation </w:t>
      </w:r>
      <w:r w:rsidR="00140B3C">
        <w:rPr>
          <w:rFonts w:ascii="Arial" w:hAnsi="Arial" w:cs="Arial"/>
          <w:sz w:val="20"/>
          <w:szCs w:val="20"/>
        </w:rPr>
        <w:t>was far below average, at +6.2 in February</w:t>
      </w:r>
      <w:r w:rsidR="00C23843">
        <w:rPr>
          <w:rFonts w:ascii="Arial" w:hAnsi="Arial" w:cs="Arial"/>
          <w:sz w:val="20"/>
          <w:szCs w:val="20"/>
        </w:rPr>
        <w:t>,</w:t>
      </w:r>
      <w:r w:rsidR="00140B3C">
        <w:rPr>
          <w:rFonts w:ascii="Arial" w:hAnsi="Arial" w:cs="Arial"/>
          <w:sz w:val="20"/>
          <w:szCs w:val="20"/>
        </w:rPr>
        <w:t xml:space="preserve"> contrary to fruit that reached its highest levels </w:t>
      </w:r>
      <w:r w:rsidR="0070607D">
        <w:rPr>
          <w:rFonts w:ascii="Arial" w:hAnsi="Arial" w:cs="Arial"/>
          <w:sz w:val="20"/>
          <w:szCs w:val="20"/>
        </w:rPr>
        <w:t>seen yet, at +16.1%</w:t>
      </w:r>
      <w:r w:rsidR="003433C6">
        <w:rPr>
          <w:rFonts w:ascii="Arial" w:hAnsi="Arial" w:cs="Arial"/>
          <w:sz w:val="20"/>
          <w:szCs w:val="20"/>
        </w:rPr>
        <w:t>.</w:t>
      </w:r>
      <w:r w:rsidR="006B3E16">
        <w:rPr>
          <w:rFonts w:ascii="Arial" w:hAnsi="Arial" w:cs="Arial"/>
          <w:sz w:val="20"/>
          <w:szCs w:val="20"/>
        </w:rPr>
        <w:t xml:space="preserve"> </w:t>
      </w:r>
      <w:r w:rsidR="00B1061E">
        <w:rPr>
          <w:rFonts w:ascii="Arial" w:hAnsi="Arial" w:cs="Arial"/>
          <w:color w:val="000000" w:themeColor="text1"/>
          <w:sz w:val="20"/>
          <w:szCs w:val="20"/>
        </w:rPr>
        <w:t xml:space="preserve">“Fresh produce inflation reached double digits and consumers’ concern over these kinds of price increases is shared by the industry,” said </w:t>
      </w:r>
      <w:r w:rsidR="00B1061E">
        <w:rPr>
          <w:rFonts w:ascii="Arial" w:hAnsi="Arial" w:cs="Arial"/>
          <w:sz w:val="20"/>
          <w:szCs w:val="20"/>
        </w:rPr>
        <w:t>Joe Watson, VP, Retail, Foodservice &amp; Wholesale for IFPA. “Consumers are focused on finding good prices and promotions and minimizing waste at home, which puts great emphasis on freshness and shelf life in the store. At the same time, consumers balance their spending across canned, frozen and fresh purchases and many simply buy less to stick to their budgets.</w:t>
      </w:r>
      <w:r w:rsidR="00B1061E">
        <w:rPr>
          <w:rFonts w:ascii="Arial" w:hAnsi="Arial" w:cs="Arial"/>
          <w:sz w:val="20"/>
          <w:szCs w:val="20"/>
        </w:rPr>
        <w:t xml:space="preserve"> Many of the measures pressure volume sales.</w:t>
      </w:r>
      <w:r w:rsidR="00B1061E">
        <w:rPr>
          <w:rFonts w:ascii="Arial" w:hAnsi="Arial" w:cs="Arial"/>
          <w:sz w:val="20"/>
          <w:szCs w:val="20"/>
        </w:rPr>
        <w:t>”</w:t>
      </w:r>
    </w:p>
    <w:p w14:paraId="2EDF8097" w14:textId="77777777" w:rsidR="00DD3DF6" w:rsidRPr="000A543A" w:rsidRDefault="00DD3DF6" w:rsidP="00DD3DF6">
      <w:pPr>
        <w:pStyle w:val="NoSpacing"/>
        <w:rPr>
          <w:rFonts w:ascii="Arial" w:hAnsi="Arial" w:cs="Arial"/>
          <w:sz w:val="20"/>
          <w:szCs w:val="20"/>
        </w:rPr>
      </w:pPr>
    </w:p>
    <w:tbl>
      <w:tblPr>
        <w:tblStyle w:val="LightShading-Accent5"/>
        <w:tblW w:w="10008" w:type="dxa"/>
        <w:tblBorders>
          <w:top w:val="none" w:sz="0" w:space="0" w:color="auto"/>
          <w:bottom w:val="none" w:sz="0" w:space="0" w:color="auto"/>
        </w:tblBorders>
        <w:tblLook w:val="04A0" w:firstRow="1" w:lastRow="0" w:firstColumn="1" w:lastColumn="0" w:noHBand="0" w:noVBand="1"/>
      </w:tblPr>
      <w:tblGrid>
        <w:gridCol w:w="4260"/>
        <w:gridCol w:w="2130"/>
        <w:gridCol w:w="1702"/>
        <w:gridCol w:w="1916"/>
      </w:tblGrid>
      <w:tr w:rsidR="00DD3DF6" w:rsidRPr="002A71C0" w14:paraId="34E708B3" w14:textId="77777777" w:rsidTr="001F29DC">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260" w:type="dxa"/>
            <w:tcBorders>
              <w:top w:val="none" w:sz="0" w:space="0" w:color="auto"/>
              <w:bottom w:val="none" w:sz="0" w:space="0" w:color="auto"/>
            </w:tcBorders>
            <w:shd w:val="clear" w:color="auto" w:fill="17365D" w:themeFill="text2" w:themeFillShade="BF"/>
            <w:vAlign w:val="center"/>
          </w:tcPr>
          <w:p w14:paraId="4F54E5B7" w14:textId="474BD8CB" w:rsidR="00DD3DF6" w:rsidRPr="004850A1" w:rsidRDefault="00DD3DF6" w:rsidP="001F29DC">
            <w:pPr>
              <w:pStyle w:val="NoSpacing"/>
              <w:rPr>
                <w:rFonts w:ascii="Arial" w:hAnsi="Arial" w:cs="Arial"/>
                <w:color w:val="FFFFFF" w:themeColor="background1"/>
                <w:sz w:val="18"/>
                <w:szCs w:val="18"/>
              </w:rPr>
            </w:pPr>
            <w:r w:rsidRPr="004850A1">
              <w:rPr>
                <w:rFonts w:ascii="Arial" w:hAnsi="Arial" w:cs="Arial"/>
                <w:color w:val="FFFFFF" w:themeColor="background1"/>
                <w:sz w:val="18"/>
                <w:szCs w:val="18"/>
              </w:rPr>
              <w:t>Price per volume</w:t>
            </w:r>
            <w:r w:rsidR="00551D01">
              <w:rPr>
                <w:rFonts w:ascii="Arial" w:hAnsi="Arial" w:cs="Arial"/>
                <w:color w:val="FFFFFF" w:themeColor="background1"/>
                <w:sz w:val="18"/>
                <w:szCs w:val="18"/>
              </w:rPr>
              <w:t xml:space="preserve"> (</w:t>
            </w:r>
            <w:proofErr w:type="spellStart"/>
            <w:r w:rsidR="00551D01">
              <w:rPr>
                <w:rFonts w:ascii="Arial" w:hAnsi="Arial" w:cs="Arial"/>
                <w:color w:val="FFFFFF" w:themeColor="background1"/>
                <w:sz w:val="18"/>
                <w:szCs w:val="18"/>
              </w:rPr>
              <w:t>lb</w:t>
            </w:r>
            <w:proofErr w:type="spellEnd"/>
            <w:r w:rsidR="00551D01">
              <w:rPr>
                <w:rFonts w:ascii="Arial" w:hAnsi="Arial" w:cs="Arial"/>
                <w:color w:val="FFFFFF" w:themeColor="background1"/>
                <w:sz w:val="18"/>
                <w:szCs w:val="18"/>
              </w:rPr>
              <w:t>)</w:t>
            </w:r>
          </w:p>
        </w:tc>
        <w:tc>
          <w:tcPr>
            <w:tcW w:w="2130" w:type="dxa"/>
            <w:tcBorders>
              <w:top w:val="none" w:sz="0" w:space="0" w:color="auto"/>
              <w:bottom w:val="none" w:sz="0" w:space="0" w:color="auto"/>
            </w:tcBorders>
            <w:shd w:val="clear" w:color="auto" w:fill="17365D" w:themeFill="text2" w:themeFillShade="BF"/>
            <w:vAlign w:val="center"/>
          </w:tcPr>
          <w:p w14:paraId="06FD748D"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Price/volume</w:t>
            </w:r>
          </w:p>
        </w:tc>
        <w:tc>
          <w:tcPr>
            <w:tcW w:w="1702" w:type="dxa"/>
            <w:tcBorders>
              <w:top w:val="none" w:sz="0" w:space="0" w:color="auto"/>
              <w:bottom w:val="none" w:sz="0" w:space="0" w:color="auto"/>
            </w:tcBorders>
            <w:shd w:val="clear" w:color="auto" w:fill="17365D" w:themeFill="text2" w:themeFillShade="BF"/>
            <w:vAlign w:val="center"/>
          </w:tcPr>
          <w:p w14:paraId="446CFB3F"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Change vs. 202</w:t>
            </w:r>
            <w:r w:rsidR="0038781D">
              <w:rPr>
                <w:rFonts w:ascii="Arial" w:hAnsi="Arial" w:cs="Arial"/>
                <w:color w:val="FFFFFF" w:themeColor="background1"/>
                <w:sz w:val="18"/>
                <w:szCs w:val="18"/>
              </w:rPr>
              <w:t>1</w:t>
            </w:r>
          </w:p>
        </w:tc>
        <w:tc>
          <w:tcPr>
            <w:tcW w:w="1916" w:type="dxa"/>
            <w:tcBorders>
              <w:top w:val="none" w:sz="0" w:space="0" w:color="auto"/>
              <w:bottom w:val="none" w:sz="0" w:space="0" w:color="auto"/>
            </w:tcBorders>
            <w:shd w:val="clear" w:color="auto" w:fill="17365D" w:themeFill="text2" w:themeFillShade="BF"/>
            <w:vAlign w:val="center"/>
          </w:tcPr>
          <w:p w14:paraId="23EF784E"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Change vs. 20</w:t>
            </w:r>
            <w:r w:rsidR="0038781D">
              <w:rPr>
                <w:rFonts w:ascii="Arial" w:hAnsi="Arial" w:cs="Arial"/>
                <w:color w:val="FFFFFF" w:themeColor="background1"/>
                <w:sz w:val="18"/>
                <w:szCs w:val="18"/>
              </w:rPr>
              <w:t>20</w:t>
            </w:r>
          </w:p>
        </w:tc>
      </w:tr>
      <w:tr w:rsidR="00BF64A8" w:rsidRPr="00BF64A8" w14:paraId="1434C87A" w14:textId="77777777" w:rsidTr="001F29D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1E4595FE" w14:textId="70568E87" w:rsidR="00BF64A8" w:rsidRPr="00BF64A8" w:rsidRDefault="00BF64A8" w:rsidP="00BF64A8">
            <w:pPr>
              <w:pStyle w:val="NoSpacing"/>
              <w:jc w:val="right"/>
              <w:rPr>
                <w:rFonts w:ascii="Arial" w:hAnsi="Arial" w:cs="Arial"/>
                <w:color w:val="215868" w:themeColor="accent5" w:themeShade="80"/>
                <w:sz w:val="18"/>
                <w:szCs w:val="18"/>
              </w:rPr>
            </w:pPr>
            <w:r w:rsidRPr="00BF64A8">
              <w:rPr>
                <w:rFonts w:ascii="Arial" w:hAnsi="Arial" w:cs="Arial"/>
                <w:color w:val="215868" w:themeColor="accent5" w:themeShade="80"/>
                <w:sz w:val="18"/>
                <w:szCs w:val="18"/>
              </w:rPr>
              <w:t>Total fresh produce February 2022</w:t>
            </w:r>
          </w:p>
        </w:tc>
        <w:tc>
          <w:tcPr>
            <w:tcW w:w="2130" w:type="dxa"/>
            <w:vAlign w:val="center"/>
          </w:tcPr>
          <w:p w14:paraId="6E97F861" w14:textId="5E0169A1" w:rsidR="00BF64A8" w:rsidRPr="00BF64A8" w:rsidRDefault="00BF64A8" w:rsidP="00BF64A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18"/>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1.91</w:t>
            </w:r>
          </w:p>
        </w:tc>
        <w:tc>
          <w:tcPr>
            <w:tcW w:w="1702" w:type="dxa"/>
            <w:vAlign w:val="center"/>
          </w:tcPr>
          <w:p w14:paraId="5720898A" w14:textId="32FD0018"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18"/>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10.9</w:t>
            </w:r>
            <w:r w:rsidRPr="00BF64A8">
              <w:rPr>
                <w:rFonts w:ascii="Arial" w:hAnsi="Arial" w:cs="Arial"/>
                <w:b/>
                <w:bCs/>
                <w:color w:val="215868" w:themeColor="accent5" w:themeShade="80"/>
                <w:sz w:val="18"/>
                <w:szCs w:val="18"/>
              </w:rPr>
              <w:t>%</w:t>
            </w:r>
          </w:p>
        </w:tc>
        <w:tc>
          <w:tcPr>
            <w:tcW w:w="1916" w:type="dxa"/>
          </w:tcPr>
          <w:p w14:paraId="164946FB" w14:textId="7F818F57"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14.2</w:t>
            </w:r>
            <w:r w:rsidRPr="00BF64A8">
              <w:rPr>
                <w:rFonts w:ascii="Arial" w:hAnsi="Arial" w:cs="Arial"/>
                <w:b/>
                <w:bCs/>
                <w:color w:val="215868" w:themeColor="accent5" w:themeShade="80"/>
                <w:sz w:val="18"/>
                <w:szCs w:val="18"/>
              </w:rPr>
              <w:t>%</w:t>
            </w:r>
          </w:p>
        </w:tc>
      </w:tr>
      <w:tr w:rsidR="00BF64A8" w:rsidRPr="003C65CF" w14:paraId="5A66D034" w14:textId="77777777" w:rsidTr="00846100">
        <w:trPr>
          <w:trHeight w:val="259"/>
        </w:trPr>
        <w:tc>
          <w:tcPr>
            <w:cnfStyle w:val="001000000000" w:firstRow="0" w:lastRow="0" w:firstColumn="1" w:lastColumn="0" w:oddVBand="0" w:evenVBand="0" w:oddHBand="0" w:evenHBand="0" w:firstRowFirstColumn="0" w:firstRowLastColumn="0" w:lastRowFirstColumn="0" w:lastRowLastColumn="0"/>
            <w:tcW w:w="4260" w:type="dxa"/>
          </w:tcPr>
          <w:p w14:paraId="47FBBA20" w14:textId="0A386F92" w:rsidR="00BF64A8" w:rsidRPr="004850A1" w:rsidRDefault="00BF64A8" w:rsidP="00BF64A8">
            <w:pPr>
              <w:pStyle w:val="NoSpacing"/>
              <w:jc w:val="right"/>
              <w:rPr>
                <w:rFonts w:ascii="Arial" w:hAnsi="Arial" w:cs="Arial"/>
                <w:b w:val="0"/>
                <w:bCs w:val="0"/>
                <w:color w:val="215868" w:themeColor="accent5" w:themeShade="80"/>
                <w:sz w:val="18"/>
                <w:szCs w:val="18"/>
              </w:rPr>
            </w:pPr>
            <w:r>
              <w:rPr>
                <w:rFonts w:ascii="Arial" w:hAnsi="Arial" w:cs="Arial"/>
                <w:b w:val="0"/>
                <w:bCs w:val="0"/>
                <w:color w:val="215868" w:themeColor="accent5" w:themeShade="80"/>
                <w:sz w:val="18"/>
                <w:szCs w:val="18"/>
              </w:rPr>
              <w:t>Total fresh produce latest 52 weeks</w:t>
            </w:r>
          </w:p>
        </w:tc>
        <w:tc>
          <w:tcPr>
            <w:tcW w:w="2130" w:type="dxa"/>
            <w:vAlign w:val="center"/>
          </w:tcPr>
          <w:p w14:paraId="1F20343F" w14:textId="747C2033"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1.70</w:t>
            </w:r>
          </w:p>
        </w:tc>
        <w:tc>
          <w:tcPr>
            <w:tcW w:w="1702" w:type="dxa"/>
            <w:vAlign w:val="center"/>
          </w:tcPr>
          <w:p w14:paraId="31810777" w14:textId="4AAB79C1"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7.6</w:t>
            </w:r>
            <w:r w:rsidRPr="00BF64A8">
              <w:rPr>
                <w:rFonts w:ascii="Arial" w:hAnsi="Arial" w:cs="Arial"/>
                <w:color w:val="215868" w:themeColor="accent5" w:themeShade="80"/>
                <w:sz w:val="18"/>
                <w:szCs w:val="18"/>
              </w:rPr>
              <w:t>%</w:t>
            </w:r>
          </w:p>
        </w:tc>
        <w:tc>
          <w:tcPr>
            <w:tcW w:w="1916" w:type="dxa"/>
          </w:tcPr>
          <w:p w14:paraId="3E082B02" w14:textId="5B1C73D4"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8.7</w:t>
            </w:r>
            <w:r w:rsidRPr="00BF64A8">
              <w:rPr>
                <w:rFonts w:ascii="Arial" w:hAnsi="Arial" w:cs="Arial"/>
                <w:color w:val="215868" w:themeColor="accent5" w:themeShade="80"/>
                <w:sz w:val="18"/>
                <w:szCs w:val="18"/>
              </w:rPr>
              <w:t>%</w:t>
            </w:r>
          </w:p>
        </w:tc>
      </w:tr>
      <w:tr w:rsidR="00BF64A8" w:rsidRPr="00BF64A8" w14:paraId="5B57AE54" w14:textId="77777777" w:rsidTr="0084610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71D907A4" w14:textId="16FDB8D8" w:rsidR="00BF64A8" w:rsidRPr="00BF64A8" w:rsidRDefault="00BF64A8" w:rsidP="00BF64A8">
            <w:pPr>
              <w:pStyle w:val="NoSpacing"/>
              <w:jc w:val="right"/>
              <w:rPr>
                <w:rFonts w:ascii="Arial" w:hAnsi="Arial" w:cs="Arial"/>
                <w:color w:val="215868" w:themeColor="accent5" w:themeShade="80"/>
                <w:sz w:val="18"/>
                <w:szCs w:val="18"/>
              </w:rPr>
            </w:pPr>
            <w:r w:rsidRPr="00BF64A8">
              <w:rPr>
                <w:rFonts w:ascii="Arial" w:hAnsi="Arial" w:cs="Arial"/>
                <w:color w:val="215868" w:themeColor="accent5" w:themeShade="80"/>
                <w:sz w:val="18"/>
                <w:szCs w:val="18"/>
              </w:rPr>
              <w:t>Fresh fruit February 2022</w:t>
            </w:r>
          </w:p>
        </w:tc>
        <w:tc>
          <w:tcPr>
            <w:tcW w:w="2130" w:type="dxa"/>
            <w:vAlign w:val="center"/>
          </w:tcPr>
          <w:p w14:paraId="2E070CA6" w14:textId="20FC184B"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1.86</w:t>
            </w:r>
          </w:p>
        </w:tc>
        <w:tc>
          <w:tcPr>
            <w:tcW w:w="1702" w:type="dxa"/>
            <w:vAlign w:val="center"/>
          </w:tcPr>
          <w:p w14:paraId="5F7D0FB3" w14:textId="192D4001"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16.1</w:t>
            </w:r>
            <w:r w:rsidRPr="00BF64A8">
              <w:rPr>
                <w:rFonts w:ascii="Arial" w:hAnsi="Arial" w:cs="Arial"/>
                <w:b/>
                <w:bCs/>
                <w:color w:val="215868" w:themeColor="accent5" w:themeShade="80"/>
                <w:sz w:val="18"/>
                <w:szCs w:val="18"/>
              </w:rPr>
              <w:t>%</w:t>
            </w:r>
          </w:p>
        </w:tc>
        <w:tc>
          <w:tcPr>
            <w:tcW w:w="1916" w:type="dxa"/>
          </w:tcPr>
          <w:p w14:paraId="5BD0263C" w14:textId="753B6EA4"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21.1</w:t>
            </w:r>
            <w:r w:rsidRPr="00BF64A8">
              <w:rPr>
                <w:rFonts w:ascii="Arial" w:hAnsi="Arial" w:cs="Arial"/>
                <w:b/>
                <w:bCs/>
                <w:color w:val="215868" w:themeColor="accent5" w:themeShade="80"/>
                <w:sz w:val="18"/>
                <w:szCs w:val="18"/>
              </w:rPr>
              <w:t>%</w:t>
            </w:r>
          </w:p>
        </w:tc>
      </w:tr>
      <w:tr w:rsidR="00BF64A8" w:rsidRPr="003C65CF" w14:paraId="1144520F" w14:textId="77777777" w:rsidTr="00846100">
        <w:trPr>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4DC7A0E2" w14:textId="77777777" w:rsidR="00BF64A8" w:rsidRPr="004850A1" w:rsidRDefault="00BF64A8" w:rsidP="00BF64A8">
            <w:pPr>
              <w:pStyle w:val="NoSpacing"/>
              <w:jc w:val="right"/>
              <w:rPr>
                <w:rFonts w:ascii="Arial" w:hAnsi="Arial" w:cs="Arial"/>
                <w:b w:val="0"/>
                <w:bCs w:val="0"/>
                <w:color w:val="215868" w:themeColor="accent5" w:themeShade="80"/>
                <w:sz w:val="18"/>
                <w:szCs w:val="18"/>
              </w:rPr>
            </w:pPr>
            <w:r>
              <w:rPr>
                <w:rFonts w:ascii="Arial" w:hAnsi="Arial" w:cs="Arial"/>
                <w:b w:val="0"/>
                <w:bCs w:val="0"/>
                <w:color w:val="215868" w:themeColor="accent5" w:themeShade="80"/>
                <w:sz w:val="18"/>
                <w:szCs w:val="18"/>
              </w:rPr>
              <w:t xml:space="preserve"> Fresh fruit latest 52 weeks</w:t>
            </w:r>
          </w:p>
        </w:tc>
        <w:tc>
          <w:tcPr>
            <w:tcW w:w="2130" w:type="dxa"/>
            <w:vAlign w:val="center"/>
          </w:tcPr>
          <w:p w14:paraId="7E73EC2B" w14:textId="0B8D16E7"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1.58</w:t>
            </w:r>
          </w:p>
        </w:tc>
        <w:tc>
          <w:tcPr>
            <w:tcW w:w="1702" w:type="dxa"/>
            <w:vAlign w:val="center"/>
          </w:tcPr>
          <w:p w14:paraId="4038274E" w14:textId="0F8624ED"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10.3</w:t>
            </w:r>
            <w:r w:rsidRPr="00BF64A8">
              <w:rPr>
                <w:rFonts w:ascii="Arial" w:hAnsi="Arial" w:cs="Arial"/>
                <w:color w:val="215868" w:themeColor="accent5" w:themeShade="80"/>
                <w:sz w:val="18"/>
                <w:szCs w:val="18"/>
              </w:rPr>
              <w:t>%</w:t>
            </w:r>
          </w:p>
        </w:tc>
        <w:tc>
          <w:tcPr>
            <w:tcW w:w="1916" w:type="dxa"/>
          </w:tcPr>
          <w:p w14:paraId="4548B493" w14:textId="30793D00"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11.4</w:t>
            </w:r>
            <w:r w:rsidRPr="00BF64A8">
              <w:rPr>
                <w:rFonts w:ascii="Arial" w:hAnsi="Arial" w:cs="Arial"/>
                <w:color w:val="215868" w:themeColor="accent5" w:themeShade="80"/>
                <w:sz w:val="18"/>
                <w:szCs w:val="18"/>
              </w:rPr>
              <w:t>%</w:t>
            </w:r>
          </w:p>
        </w:tc>
      </w:tr>
      <w:tr w:rsidR="00BF64A8" w:rsidRPr="00BF64A8" w14:paraId="49DE74F5" w14:textId="77777777" w:rsidTr="0084610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354E4AFC" w14:textId="73DFBBFC" w:rsidR="00BF64A8" w:rsidRPr="00BF64A8" w:rsidRDefault="00BF64A8" w:rsidP="00BF64A8">
            <w:pPr>
              <w:pStyle w:val="NoSpacing"/>
              <w:jc w:val="right"/>
              <w:rPr>
                <w:rFonts w:ascii="Arial" w:hAnsi="Arial" w:cs="Arial"/>
                <w:color w:val="215868" w:themeColor="accent5" w:themeShade="80"/>
                <w:sz w:val="18"/>
                <w:szCs w:val="18"/>
              </w:rPr>
            </w:pPr>
            <w:r w:rsidRPr="00BF64A8">
              <w:rPr>
                <w:rFonts w:ascii="Arial" w:hAnsi="Arial" w:cs="Arial"/>
                <w:color w:val="215868" w:themeColor="accent5" w:themeShade="80"/>
                <w:sz w:val="18"/>
                <w:szCs w:val="18"/>
              </w:rPr>
              <w:t>Fresh vegetables February 2022</w:t>
            </w:r>
          </w:p>
        </w:tc>
        <w:tc>
          <w:tcPr>
            <w:tcW w:w="2130" w:type="dxa"/>
            <w:vAlign w:val="center"/>
          </w:tcPr>
          <w:p w14:paraId="179F7533" w14:textId="2DD88C6B"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1.93</w:t>
            </w:r>
          </w:p>
        </w:tc>
        <w:tc>
          <w:tcPr>
            <w:tcW w:w="1702" w:type="dxa"/>
            <w:vAlign w:val="center"/>
          </w:tcPr>
          <w:p w14:paraId="5B5FDC39" w14:textId="49124B43"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6.2</w:t>
            </w:r>
            <w:r w:rsidRPr="00BF64A8">
              <w:rPr>
                <w:rFonts w:ascii="Arial" w:hAnsi="Arial" w:cs="Arial"/>
                <w:b/>
                <w:bCs/>
                <w:color w:val="215868" w:themeColor="accent5" w:themeShade="80"/>
                <w:sz w:val="18"/>
                <w:szCs w:val="18"/>
              </w:rPr>
              <w:t>%</w:t>
            </w:r>
          </w:p>
        </w:tc>
        <w:tc>
          <w:tcPr>
            <w:tcW w:w="1916" w:type="dxa"/>
          </w:tcPr>
          <w:p w14:paraId="0790677A" w14:textId="3AA619ED" w:rsidR="00BF64A8" w:rsidRPr="00BF64A8" w:rsidRDefault="00BF64A8" w:rsidP="00BF64A8">
            <w:pPr>
              <w:jc w:val="right"/>
              <w:cnfStyle w:val="000000100000" w:firstRow="0" w:lastRow="0" w:firstColumn="0" w:lastColumn="0" w:oddVBand="0" w:evenVBand="0" w:oddHBand="1" w:evenHBand="0" w:firstRowFirstColumn="0" w:firstRowLastColumn="0" w:lastRowFirstColumn="0" w:lastRowLastColumn="0"/>
              <w:rPr>
                <w:b/>
                <w:bCs/>
              </w:rPr>
            </w:pPr>
            <w:r w:rsidRPr="00BF64A8">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7.7</w:t>
            </w:r>
            <w:r w:rsidRPr="00BF64A8">
              <w:rPr>
                <w:rFonts w:ascii="Arial" w:hAnsi="Arial" w:cs="Arial"/>
                <w:b/>
                <w:bCs/>
                <w:color w:val="215868" w:themeColor="accent5" w:themeShade="80"/>
                <w:sz w:val="18"/>
                <w:szCs w:val="18"/>
              </w:rPr>
              <w:t>%</w:t>
            </w:r>
          </w:p>
        </w:tc>
      </w:tr>
      <w:tr w:rsidR="00BF64A8" w:rsidRPr="003C65CF" w14:paraId="0E7328F7" w14:textId="77777777" w:rsidTr="00846100">
        <w:trPr>
          <w:trHeight w:val="259"/>
        </w:trPr>
        <w:tc>
          <w:tcPr>
            <w:cnfStyle w:val="001000000000" w:firstRow="0" w:lastRow="0" w:firstColumn="1" w:lastColumn="0" w:oddVBand="0" w:evenVBand="0" w:oddHBand="0" w:evenHBand="0" w:firstRowFirstColumn="0" w:firstRowLastColumn="0" w:lastRowFirstColumn="0" w:lastRowLastColumn="0"/>
            <w:tcW w:w="4260" w:type="dxa"/>
          </w:tcPr>
          <w:p w14:paraId="7639B956" w14:textId="1EF08D42" w:rsidR="00BF64A8" w:rsidRPr="004850A1" w:rsidRDefault="00BF64A8" w:rsidP="00BF64A8">
            <w:pPr>
              <w:pStyle w:val="NoSpacing"/>
              <w:jc w:val="right"/>
              <w:rPr>
                <w:rFonts w:ascii="Arial" w:hAnsi="Arial" w:cs="Arial"/>
                <w:b w:val="0"/>
                <w:bCs w:val="0"/>
                <w:color w:val="215868" w:themeColor="accent5" w:themeShade="80"/>
                <w:sz w:val="18"/>
                <w:szCs w:val="18"/>
              </w:rPr>
            </w:pPr>
            <w:r>
              <w:rPr>
                <w:rFonts w:ascii="Arial" w:hAnsi="Arial" w:cs="Arial"/>
                <w:b w:val="0"/>
                <w:bCs w:val="0"/>
                <w:color w:val="215868" w:themeColor="accent5" w:themeShade="80"/>
                <w:sz w:val="18"/>
                <w:szCs w:val="18"/>
              </w:rPr>
              <w:t>Fresh vegetables latest 52 weeks</w:t>
            </w:r>
          </w:p>
        </w:tc>
        <w:tc>
          <w:tcPr>
            <w:tcW w:w="2130" w:type="dxa"/>
            <w:vAlign w:val="center"/>
          </w:tcPr>
          <w:p w14:paraId="1F880C62" w14:textId="263EB96A"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1.81</w:t>
            </w:r>
          </w:p>
        </w:tc>
        <w:tc>
          <w:tcPr>
            <w:tcW w:w="1702" w:type="dxa"/>
            <w:vAlign w:val="center"/>
          </w:tcPr>
          <w:p w14:paraId="414FD40F" w14:textId="49E44987"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5.3</w:t>
            </w:r>
            <w:r w:rsidRPr="00BF64A8">
              <w:rPr>
                <w:rFonts w:ascii="Arial" w:hAnsi="Arial" w:cs="Arial"/>
                <w:color w:val="215868" w:themeColor="accent5" w:themeShade="80"/>
                <w:sz w:val="18"/>
                <w:szCs w:val="18"/>
              </w:rPr>
              <w:t>%</w:t>
            </w:r>
          </w:p>
        </w:tc>
        <w:tc>
          <w:tcPr>
            <w:tcW w:w="1916" w:type="dxa"/>
          </w:tcPr>
          <w:p w14:paraId="2E870FBA" w14:textId="0ACA094F" w:rsidR="00BF64A8" w:rsidRPr="00BF64A8" w:rsidRDefault="00BF64A8" w:rsidP="00BF64A8">
            <w:pPr>
              <w:jc w:val="right"/>
              <w:cnfStyle w:val="000000000000" w:firstRow="0" w:lastRow="0" w:firstColumn="0" w:lastColumn="0" w:oddVBand="0" w:evenVBand="0" w:oddHBand="0" w:evenHBand="0" w:firstRowFirstColumn="0" w:firstRowLastColumn="0" w:lastRowFirstColumn="0" w:lastRowLastColumn="0"/>
            </w:pPr>
            <w:r w:rsidRPr="00BF64A8">
              <w:rPr>
                <w:rFonts w:ascii="Arial" w:hAnsi="Arial" w:cs="Arial"/>
                <w:color w:val="215868" w:themeColor="accent5" w:themeShade="80"/>
                <w:sz w:val="18"/>
                <w:szCs w:val="18"/>
              </w:rPr>
              <w:t>+</w:t>
            </w:r>
            <w:r>
              <w:rPr>
                <w:rFonts w:ascii="Arial" w:hAnsi="Arial" w:cs="Arial"/>
                <w:color w:val="215868" w:themeColor="accent5" w:themeShade="80"/>
                <w:sz w:val="18"/>
                <w:szCs w:val="18"/>
              </w:rPr>
              <w:t>6.2</w:t>
            </w:r>
            <w:r w:rsidRPr="00BF64A8">
              <w:rPr>
                <w:rFonts w:ascii="Arial" w:hAnsi="Arial" w:cs="Arial"/>
                <w:color w:val="215868" w:themeColor="accent5" w:themeShade="80"/>
                <w:sz w:val="18"/>
                <w:szCs w:val="18"/>
              </w:rPr>
              <w:t>%</w:t>
            </w:r>
          </w:p>
        </w:tc>
      </w:tr>
    </w:tbl>
    <w:p w14:paraId="0F3442BC" w14:textId="77777777" w:rsidR="00DD3DF6" w:rsidRPr="008A1AD9" w:rsidRDefault="00DD3DF6" w:rsidP="00DD3DF6">
      <w:pPr>
        <w:pStyle w:val="NoSpacing"/>
        <w:rPr>
          <w:rFonts w:ascii="Arial" w:hAnsi="Arial" w:cs="Arial"/>
          <w:sz w:val="6"/>
          <w:szCs w:val="6"/>
        </w:rPr>
      </w:pPr>
    </w:p>
    <w:p w14:paraId="62F0D49A" w14:textId="77777777" w:rsidR="00DD3DF6" w:rsidRPr="006879B2" w:rsidRDefault="00DD3DF6" w:rsidP="00DD3DF6">
      <w:pPr>
        <w:pStyle w:val="NoSpacing"/>
        <w:rPr>
          <w:rFonts w:ascii="Arial" w:hAnsi="Arial" w:cs="Arial"/>
          <w:sz w:val="16"/>
          <w:szCs w:val="16"/>
        </w:rPr>
      </w:pPr>
      <w:r>
        <w:rPr>
          <w:rFonts w:ascii="Arial" w:hAnsi="Arial" w:cs="Arial"/>
          <w:sz w:val="16"/>
          <w:szCs w:val="16"/>
        </w:rPr>
        <w:t>Source: IRI, Integrated Fresh, Total US, MULO, average price per volume and % gain versus YA and 2YA</w:t>
      </w:r>
    </w:p>
    <w:p w14:paraId="4C18FB86" w14:textId="77777777" w:rsidR="00D8582D" w:rsidRDefault="00D8582D" w:rsidP="001210D2">
      <w:pPr>
        <w:pStyle w:val="NoSpacing"/>
        <w:rPr>
          <w:rFonts w:ascii="Arial" w:hAnsi="Arial" w:cs="Arial"/>
          <w:sz w:val="20"/>
          <w:szCs w:val="20"/>
        </w:rPr>
      </w:pPr>
    </w:p>
    <w:p w14:paraId="75762CE0" w14:textId="77777777" w:rsidR="00D8582D" w:rsidRDefault="00D8582D" w:rsidP="001210D2">
      <w:pPr>
        <w:pStyle w:val="NoSpacing"/>
        <w:rPr>
          <w:rFonts w:ascii="Arial" w:hAnsi="Arial" w:cs="Arial"/>
          <w:sz w:val="20"/>
          <w:szCs w:val="20"/>
        </w:rPr>
      </w:pPr>
    </w:p>
    <w:p w14:paraId="5C0A0277" w14:textId="08625A7F" w:rsidR="007B7C7D" w:rsidRPr="00CF43CE" w:rsidRDefault="00DC4415" w:rsidP="007B7C7D">
      <w:pPr>
        <w:pStyle w:val="NoSpacing"/>
        <w:rPr>
          <w:rFonts w:ascii="Arial" w:hAnsi="Arial" w:cs="Arial"/>
          <w:b/>
          <w:bCs/>
          <w:color w:val="595959" w:themeColor="text1" w:themeTint="A6"/>
          <w:sz w:val="24"/>
          <w:szCs w:val="24"/>
        </w:rPr>
      </w:pPr>
      <w:r>
        <w:rPr>
          <w:rFonts w:ascii="Arial" w:hAnsi="Arial" w:cs="Arial"/>
          <w:b/>
          <w:bCs/>
          <w:color w:val="595959" w:themeColor="text1" w:themeTint="A6"/>
          <w:sz w:val="24"/>
          <w:szCs w:val="24"/>
        </w:rPr>
        <w:t xml:space="preserve">February </w:t>
      </w:r>
      <w:r w:rsidR="007B7C7D">
        <w:rPr>
          <w:rFonts w:ascii="Arial" w:hAnsi="Arial" w:cs="Arial"/>
          <w:b/>
          <w:bCs/>
          <w:color w:val="595959" w:themeColor="text1" w:themeTint="A6"/>
          <w:sz w:val="24"/>
          <w:szCs w:val="24"/>
        </w:rPr>
        <w:t>2022 Sales</w:t>
      </w:r>
    </w:p>
    <w:p w14:paraId="070D8865" w14:textId="33EF41C1" w:rsidR="007B7C7D" w:rsidRDefault="007B7C7D" w:rsidP="007B7C7D">
      <w:pPr>
        <w:pStyle w:val="NoSpacing"/>
        <w:rPr>
          <w:rFonts w:ascii="Arial" w:hAnsi="Arial" w:cs="Arial"/>
          <w:sz w:val="20"/>
          <w:szCs w:val="20"/>
        </w:rPr>
      </w:pPr>
      <w:r>
        <w:rPr>
          <w:rFonts w:ascii="Arial" w:hAnsi="Arial" w:cs="Arial"/>
          <w:sz w:val="20"/>
          <w:szCs w:val="20"/>
        </w:rPr>
        <w:t xml:space="preserve">January 2022 brought $67 billion in food and beverage sales — up </w:t>
      </w:r>
      <w:r w:rsidR="00C23843">
        <w:rPr>
          <w:rFonts w:ascii="Arial" w:hAnsi="Arial" w:cs="Arial"/>
          <w:sz w:val="20"/>
          <w:szCs w:val="20"/>
        </w:rPr>
        <w:t>+</w:t>
      </w:r>
      <w:r>
        <w:rPr>
          <w:rFonts w:ascii="Arial" w:hAnsi="Arial" w:cs="Arial"/>
          <w:sz w:val="20"/>
          <w:szCs w:val="20"/>
        </w:rPr>
        <w:t xml:space="preserve">5.8% over 2021 and </w:t>
      </w:r>
      <w:r w:rsidR="00C23843">
        <w:rPr>
          <w:rFonts w:ascii="Arial" w:hAnsi="Arial" w:cs="Arial"/>
          <w:sz w:val="20"/>
          <w:szCs w:val="20"/>
        </w:rPr>
        <w:t>+</w:t>
      </w:r>
      <w:r>
        <w:rPr>
          <w:rFonts w:ascii="Arial" w:hAnsi="Arial" w:cs="Arial"/>
          <w:sz w:val="20"/>
          <w:szCs w:val="20"/>
        </w:rPr>
        <w:t xml:space="preserve">18.6% over 2020. However, inflation played a significant role with year-on-year unit sales down </w:t>
      </w:r>
      <w:r w:rsidR="00C23843">
        <w:rPr>
          <w:rFonts w:ascii="Arial" w:hAnsi="Arial" w:cs="Arial"/>
          <w:sz w:val="20"/>
          <w:szCs w:val="20"/>
        </w:rPr>
        <w:t>-</w:t>
      </w:r>
      <w:r>
        <w:rPr>
          <w:rFonts w:ascii="Arial" w:hAnsi="Arial" w:cs="Arial"/>
          <w:sz w:val="20"/>
          <w:szCs w:val="20"/>
        </w:rPr>
        <w:t xml:space="preserve">3.0%. Perishables, including produce, seafood, meat, bakery and deli, had the highest year-over-year </w:t>
      </w:r>
      <w:r w:rsidR="00551D01">
        <w:rPr>
          <w:rFonts w:ascii="Arial" w:hAnsi="Arial" w:cs="Arial"/>
          <w:sz w:val="20"/>
          <w:szCs w:val="20"/>
        </w:rPr>
        <w:t xml:space="preserve">sales </w:t>
      </w:r>
      <w:r>
        <w:rPr>
          <w:rFonts w:ascii="Arial" w:hAnsi="Arial" w:cs="Arial"/>
          <w:sz w:val="20"/>
          <w:szCs w:val="20"/>
        </w:rPr>
        <w:t>growth in 2021, at +6.2%.</w:t>
      </w:r>
      <w:r w:rsidR="00865026">
        <w:rPr>
          <w:rFonts w:ascii="Arial" w:hAnsi="Arial" w:cs="Arial"/>
          <w:sz w:val="20"/>
          <w:szCs w:val="20"/>
        </w:rPr>
        <w:t xml:space="preserve"> However, fresh produce sales gains were below average</w:t>
      </w:r>
      <w:r w:rsidR="00B92479">
        <w:rPr>
          <w:rFonts w:ascii="Arial" w:hAnsi="Arial" w:cs="Arial"/>
          <w:sz w:val="20"/>
          <w:szCs w:val="20"/>
        </w:rPr>
        <w:t xml:space="preserve"> in both dollars and units. </w:t>
      </w:r>
    </w:p>
    <w:p w14:paraId="2D363327" w14:textId="77777777" w:rsidR="007B7C7D" w:rsidRDefault="007B7C7D" w:rsidP="007B7C7D">
      <w:pPr>
        <w:pStyle w:val="NoSpacing"/>
        <w:rPr>
          <w:rFonts w:ascii="Arial" w:hAnsi="Arial" w:cs="Arial"/>
          <w:sz w:val="20"/>
          <w:szCs w:val="20"/>
        </w:rPr>
      </w:pPr>
    </w:p>
    <w:tbl>
      <w:tblPr>
        <w:tblStyle w:val="LightShading-Accent5"/>
        <w:tblW w:w="10847" w:type="dxa"/>
        <w:tblBorders>
          <w:top w:val="none" w:sz="0" w:space="0" w:color="auto"/>
          <w:bottom w:val="none" w:sz="0" w:space="0" w:color="auto"/>
        </w:tblBorders>
        <w:tblLayout w:type="fixed"/>
        <w:tblLook w:val="04A0" w:firstRow="1" w:lastRow="0" w:firstColumn="1" w:lastColumn="0" w:noHBand="0" w:noVBand="1"/>
      </w:tblPr>
      <w:tblGrid>
        <w:gridCol w:w="2538"/>
        <w:gridCol w:w="1014"/>
        <w:gridCol w:w="647"/>
        <w:gridCol w:w="1662"/>
        <w:gridCol w:w="1662"/>
        <w:gridCol w:w="1662"/>
        <w:gridCol w:w="1662"/>
      </w:tblGrid>
      <w:tr w:rsidR="007B7C7D" w:rsidRPr="00706DE2" w14:paraId="7124B18F" w14:textId="77777777" w:rsidTr="002409F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38" w:type="dxa"/>
            <w:vMerge w:val="restart"/>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13553C4F" w14:textId="38E99DE6" w:rsidR="007B7C7D" w:rsidRPr="00706DE2" w:rsidRDefault="00DC4415" w:rsidP="006E6284">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 xml:space="preserve">February </w:t>
            </w:r>
            <w:r w:rsidR="007B7C7D">
              <w:rPr>
                <w:rFonts w:ascii="Arial" w:eastAsia="Times New Roman" w:hAnsi="Arial" w:cs="Arial"/>
                <w:color w:val="FFFFFF" w:themeColor="background1"/>
                <w:sz w:val="18"/>
                <w:szCs w:val="20"/>
              </w:rPr>
              <w:t>2022</w:t>
            </w:r>
          </w:p>
        </w:tc>
        <w:tc>
          <w:tcPr>
            <w:tcW w:w="101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47F74DB5" w14:textId="77777777" w:rsidR="007B7C7D" w:rsidRPr="00706DE2" w:rsidRDefault="007B7C7D" w:rsidP="006E628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p>
        </w:tc>
        <w:tc>
          <w:tcPr>
            <w:tcW w:w="7295" w:type="dxa"/>
            <w:gridSpan w:val="5"/>
            <w:tcBorders>
              <w:top w:val="none" w:sz="0" w:space="0" w:color="auto"/>
              <w:left w:val="none" w:sz="0" w:space="0" w:color="auto"/>
              <w:bottom w:val="none" w:sz="0" w:space="0" w:color="auto"/>
              <w:right w:val="none" w:sz="0" w:space="0" w:color="auto"/>
            </w:tcBorders>
            <w:shd w:val="clear" w:color="auto" w:fill="17365D" w:themeFill="text2" w:themeFillShade="BF"/>
          </w:tcPr>
          <w:p w14:paraId="756CFCA1" w14:textId="77777777" w:rsidR="007B7C7D" w:rsidRPr="00706DE2" w:rsidRDefault="007B7C7D" w:rsidP="006E628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706DE2">
              <w:rPr>
                <w:rFonts w:ascii="Arial" w:eastAsia="Times New Roman" w:hAnsi="Arial" w:cs="Arial"/>
                <w:color w:val="FFFFFF" w:themeColor="background1"/>
                <w:sz w:val="18"/>
                <w:szCs w:val="20"/>
              </w:rPr>
              <w:t>% sales change</w:t>
            </w:r>
            <w:r>
              <w:rPr>
                <w:rFonts w:ascii="Arial" w:eastAsia="Times New Roman" w:hAnsi="Arial" w:cs="Arial"/>
                <w:color w:val="FFFFFF" w:themeColor="background1"/>
                <w:sz w:val="18"/>
                <w:szCs w:val="20"/>
              </w:rPr>
              <w:t xml:space="preserve"> </w:t>
            </w:r>
            <w:r w:rsidRPr="00706DE2">
              <w:rPr>
                <w:rFonts w:ascii="Arial" w:eastAsia="Times New Roman" w:hAnsi="Arial" w:cs="Arial"/>
                <w:color w:val="FFFFFF" w:themeColor="background1"/>
                <w:sz w:val="18"/>
                <w:szCs w:val="20"/>
              </w:rPr>
              <w:t>versus year ago</w:t>
            </w:r>
          </w:p>
        </w:tc>
      </w:tr>
      <w:tr w:rsidR="007B7C7D" w:rsidRPr="00706DE2" w14:paraId="72C95700" w14:textId="77777777" w:rsidTr="002409F7">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right w:val="none" w:sz="0" w:space="0" w:color="auto"/>
            </w:tcBorders>
            <w:hideMark/>
          </w:tcPr>
          <w:p w14:paraId="27BCAB91" w14:textId="77777777" w:rsidR="007B7C7D" w:rsidRPr="00706DE2" w:rsidRDefault="007B7C7D" w:rsidP="006E6284">
            <w:pPr>
              <w:rPr>
                <w:rFonts w:ascii="Arial" w:eastAsia="Times New Roman" w:hAnsi="Arial" w:cs="Arial"/>
                <w:color w:val="FFFFFF" w:themeColor="background1"/>
                <w:sz w:val="18"/>
                <w:szCs w:val="20"/>
              </w:rPr>
            </w:pPr>
          </w:p>
        </w:tc>
        <w:tc>
          <w:tcPr>
            <w:tcW w:w="1661" w:type="dxa"/>
            <w:gridSpan w:val="2"/>
            <w:tcBorders>
              <w:left w:val="none" w:sz="0" w:space="0" w:color="auto"/>
              <w:right w:val="none" w:sz="0" w:space="0" w:color="auto"/>
            </w:tcBorders>
            <w:shd w:val="clear" w:color="auto" w:fill="17365D" w:themeFill="text2" w:themeFillShade="BF"/>
          </w:tcPr>
          <w:p w14:paraId="0C0EB3D1"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 </w:t>
            </w:r>
          </w:p>
          <w:p w14:paraId="2B15201C" w14:textId="77777777" w:rsidR="007B7C7D" w:rsidRPr="00706DE2"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size</w:t>
            </w:r>
          </w:p>
        </w:tc>
        <w:tc>
          <w:tcPr>
            <w:tcW w:w="1662" w:type="dxa"/>
            <w:tcBorders>
              <w:left w:val="none" w:sz="0" w:space="0" w:color="auto"/>
              <w:right w:val="none" w:sz="0" w:space="0" w:color="auto"/>
            </w:tcBorders>
            <w:shd w:val="clear" w:color="auto" w:fill="17365D" w:themeFill="text2" w:themeFillShade="BF"/>
          </w:tcPr>
          <w:p w14:paraId="647D9B13"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sidRPr="00706DE2">
              <w:rPr>
                <w:rFonts w:ascii="Arial" w:eastAsia="Times New Roman" w:hAnsi="Arial" w:cs="Arial"/>
                <w:b/>
                <w:color w:val="FFFFFF" w:themeColor="background1"/>
                <w:sz w:val="18"/>
                <w:szCs w:val="20"/>
              </w:rPr>
              <w:t>Dollar</w:t>
            </w:r>
            <w:r>
              <w:rPr>
                <w:rFonts w:ascii="Arial" w:eastAsia="Times New Roman" w:hAnsi="Arial" w:cs="Arial"/>
                <w:b/>
                <w:color w:val="FFFFFF" w:themeColor="background1"/>
                <w:sz w:val="18"/>
                <w:szCs w:val="20"/>
              </w:rPr>
              <w:t>s</w:t>
            </w:r>
          </w:p>
          <w:p w14:paraId="41B31DFD" w14:textId="77777777" w:rsidR="007B7C7D" w:rsidRPr="00706DE2"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vs. 2021</w:t>
            </w:r>
          </w:p>
        </w:tc>
        <w:tc>
          <w:tcPr>
            <w:tcW w:w="1662" w:type="dxa"/>
            <w:tcBorders>
              <w:left w:val="none" w:sz="0" w:space="0" w:color="auto"/>
              <w:right w:val="none" w:sz="0" w:space="0" w:color="auto"/>
            </w:tcBorders>
            <w:shd w:val="clear" w:color="auto" w:fill="17365D" w:themeFill="text2" w:themeFillShade="BF"/>
          </w:tcPr>
          <w:p w14:paraId="0F9256F1"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Dollars </w:t>
            </w:r>
            <w:r>
              <w:rPr>
                <w:rFonts w:ascii="Arial" w:eastAsia="Times New Roman" w:hAnsi="Arial" w:cs="Arial"/>
                <w:b/>
                <w:color w:val="FFFFFF" w:themeColor="background1"/>
                <w:sz w:val="18"/>
                <w:szCs w:val="20"/>
              </w:rPr>
              <w:br/>
              <w:t xml:space="preserve"> vs. 2020</w:t>
            </w:r>
          </w:p>
        </w:tc>
        <w:tc>
          <w:tcPr>
            <w:tcW w:w="1662" w:type="dxa"/>
            <w:tcBorders>
              <w:left w:val="none" w:sz="0" w:space="0" w:color="auto"/>
              <w:right w:val="none" w:sz="0" w:space="0" w:color="auto"/>
            </w:tcBorders>
            <w:shd w:val="clear" w:color="auto" w:fill="17365D" w:themeFill="text2" w:themeFillShade="BF"/>
          </w:tcPr>
          <w:p w14:paraId="7C1E21D5" w14:textId="77777777" w:rsidR="007B7C7D" w:rsidRPr="00706DE2"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Units</w:t>
            </w:r>
            <w:r>
              <w:rPr>
                <w:rFonts w:ascii="Arial" w:eastAsia="Times New Roman" w:hAnsi="Arial" w:cs="Arial"/>
                <w:b/>
                <w:color w:val="FFFFFF" w:themeColor="background1"/>
                <w:sz w:val="18"/>
                <w:szCs w:val="20"/>
              </w:rPr>
              <w:br/>
              <w:t xml:space="preserve"> vs. 2021</w:t>
            </w:r>
          </w:p>
        </w:tc>
        <w:tc>
          <w:tcPr>
            <w:tcW w:w="1662" w:type="dxa"/>
            <w:tcBorders>
              <w:left w:val="none" w:sz="0" w:space="0" w:color="auto"/>
              <w:right w:val="none" w:sz="0" w:space="0" w:color="auto"/>
            </w:tcBorders>
            <w:shd w:val="clear" w:color="auto" w:fill="17365D" w:themeFill="text2" w:themeFillShade="BF"/>
          </w:tcPr>
          <w:p w14:paraId="2B04D0C1"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Units </w:t>
            </w:r>
            <w:r>
              <w:rPr>
                <w:rFonts w:ascii="Arial" w:eastAsia="Times New Roman" w:hAnsi="Arial" w:cs="Arial"/>
                <w:b/>
                <w:color w:val="FFFFFF" w:themeColor="background1"/>
                <w:sz w:val="18"/>
                <w:szCs w:val="20"/>
              </w:rPr>
              <w:br/>
              <w:t xml:space="preserve">vs. 2020 </w:t>
            </w:r>
          </w:p>
        </w:tc>
      </w:tr>
      <w:tr w:rsidR="007B7C7D" w:rsidRPr="00295B72" w14:paraId="0ED5FB59" w14:textId="77777777" w:rsidTr="002409F7">
        <w:trPr>
          <w:trHeight w:val="113"/>
        </w:trPr>
        <w:tc>
          <w:tcPr>
            <w:cnfStyle w:val="001000000000" w:firstRow="0" w:lastRow="0" w:firstColumn="1" w:lastColumn="0" w:oddVBand="0" w:evenVBand="0" w:oddHBand="0" w:evenHBand="0" w:firstRowFirstColumn="0" w:firstRowLastColumn="0" w:lastRowFirstColumn="0" w:lastRowLastColumn="0"/>
            <w:tcW w:w="2538" w:type="dxa"/>
            <w:noWrap/>
            <w:hideMark/>
          </w:tcPr>
          <w:p w14:paraId="311B8181" w14:textId="77777777" w:rsidR="007B7C7D" w:rsidRPr="002F5F30" w:rsidRDefault="007B7C7D" w:rsidP="006E6284">
            <w:pPr>
              <w:rPr>
                <w:rFonts w:ascii="Arial" w:eastAsia="Times New Roman" w:hAnsi="Arial" w:cs="Arial"/>
                <w:b w:val="0"/>
                <w:color w:val="215868" w:themeColor="accent5" w:themeShade="80"/>
                <w:sz w:val="18"/>
                <w:szCs w:val="18"/>
              </w:rPr>
            </w:pPr>
            <w:r w:rsidRPr="002F5F30">
              <w:rPr>
                <w:rFonts w:ascii="Arial" w:eastAsia="Times New Roman" w:hAnsi="Arial" w:cs="Arial"/>
                <w:b w:val="0"/>
                <w:color w:val="215868" w:themeColor="accent5" w:themeShade="80"/>
                <w:sz w:val="18"/>
                <w:szCs w:val="18"/>
              </w:rPr>
              <w:lastRenderedPageBreak/>
              <w:t>Total food and beverages</w:t>
            </w:r>
          </w:p>
        </w:tc>
        <w:tc>
          <w:tcPr>
            <w:tcW w:w="1661" w:type="dxa"/>
            <w:gridSpan w:val="2"/>
          </w:tcPr>
          <w:p w14:paraId="0743F7ED"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67</w:t>
            </w:r>
            <w:r w:rsidRPr="002F5F30">
              <w:rPr>
                <w:rFonts w:ascii="Arial" w:eastAsia="Times New Roman" w:hAnsi="Arial" w:cs="Arial"/>
                <w:color w:val="215868" w:themeColor="accent5" w:themeShade="80"/>
                <w:sz w:val="18"/>
                <w:szCs w:val="18"/>
              </w:rPr>
              <w:t>B</w:t>
            </w:r>
          </w:p>
        </w:tc>
        <w:tc>
          <w:tcPr>
            <w:tcW w:w="1662" w:type="dxa"/>
          </w:tcPr>
          <w:p w14:paraId="558AEC34"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+5.8</w:t>
            </w:r>
            <w:r w:rsidRPr="002F5F30">
              <w:rPr>
                <w:rFonts w:ascii="Arial" w:eastAsia="Times New Roman" w:hAnsi="Arial" w:cs="Arial"/>
                <w:color w:val="215868" w:themeColor="accent5" w:themeShade="80"/>
                <w:sz w:val="18"/>
                <w:szCs w:val="18"/>
              </w:rPr>
              <w:t>%</w:t>
            </w:r>
          </w:p>
        </w:tc>
        <w:tc>
          <w:tcPr>
            <w:tcW w:w="1662" w:type="dxa"/>
          </w:tcPr>
          <w:p w14:paraId="4D946E11"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18.6</w:t>
            </w:r>
            <w:r w:rsidRPr="002F5F30">
              <w:rPr>
                <w:rFonts w:ascii="Arial" w:eastAsia="Times New Roman" w:hAnsi="Arial" w:cs="Arial"/>
                <w:color w:val="215868" w:themeColor="accent5" w:themeShade="80"/>
                <w:sz w:val="18"/>
                <w:szCs w:val="18"/>
              </w:rPr>
              <w:t>%</w:t>
            </w:r>
          </w:p>
        </w:tc>
        <w:tc>
          <w:tcPr>
            <w:tcW w:w="1662" w:type="dxa"/>
          </w:tcPr>
          <w:p w14:paraId="524F6096"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rFonts w:ascii="Arial" w:eastAsia="Times New Roman" w:hAnsi="Arial" w:cs="Arial"/>
                <w:color w:val="215868" w:themeColor="accent5" w:themeShade="80"/>
                <w:sz w:val="18"/>
                <w:szCs w:val="18"/>
              </w:rPr>
              <w:t>-3.0</w:t>
            </w:r>
            <w:r w:rsidRPr="002F5F30">
              <w:rPr>
                <w:rFonts w:ascii="Arial" w:eastAsia="Times New Roman" w:hAnsi="Arial" w:cs="Arial"/>
                <w:color w:val="215868" w:themeColor="accent5" w:themeShade="80"/>
                <w:sz w:val="18"/>
                <w:szCs w:val="18"/>
              </w:rPr>
              <w:t>%</w:t>
            </w:r>
          </w:p>
        </w:tc>
        <w:tc>
          <w:tcPr>
            <w:tcW w:w="1662" w:type="dxa"/>
          </w:tcPr>
          <w:p w14:paraId="4A392F3C"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+2.9%</w:t>
            </w:r>
          </w:p>
        </w:tc>
      </w:tr>
      <w:tr w:rsidR="007B7C7D" w:rsidRPr="00295B72" w14:paraId="640C72A1" w14:textId="77777777" w:rsidTr="002409F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right w:val="none" w:sz="0" w:space="0" w:color="auto"/>
            </w:tcBorders>
            <w:noWrap/>
          </w:tcPr>
          <w:p w14:paraId="4218440C" w14:textId="77777777" w:rsidR="007B7C7D" w:rsidRPr="002F5F30" w:rsidRDefault="007B7C7D" w:rsidP="006E6284">
            <w:pPr>
              <w:rPr>
                <w:rFonts w:ascii="Arial" w:eastAsia="Times New Roman" w:hAnsi="Arial" w:cs="Arial"/>
                <w:b w:val="0"/>
                <w:color w:val="215868" w:themeColor="accent5" w:themeShade="80"/>
                <w:sz w:val="18"/>
                <w:szCs w:val="18"/>
              </w:rPr>
            </w:pPr>
            <w:r w:rsidRPr="002F5F30">
              <w:rPr>
                <w:rFonts w:ascii="Arial" w:eastAsia="Times New Roman" w:hAnsi="Arial" w:cs="Arial"/>
                <w:b w:val="0"/>
                <w:color w:val="215868" w:themeColor="accent5" w:themeShade="80"/>
                <w:sz w:val="18"/>
                <w:szCs w:val="18"/>
              </w:rPr>
              <w:t>Total perishables</w:t>
            </w:r>
          </w:p>
        </w:tc>
        <w:tc>
          <w:tcPr>
            <w:tcW w:w="1661" w:type="dxa"/>
            <w:gridSpan w:val="2"/>
            <w:tcBorders>
              <w:left w:val="none" w:sz="0" w:space="0" w:color="auto"/>
              <w:right w:val="none" w:sz="0" w:space="0" w:color="auto"/>
            </w:tcBorders>
          </w:tcPr>
          <w:p w14:paraId="37F75B79"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$31</w:t>
            </w:r>
            <w:r w:rsidRPr="002F5F30">
              <w:rPr>
                <w:rFonts w:ascii="Arial" w:eastAsia="Times New Roman" w:hAnsi="Arial" w:cs="Arial"/>
                <w:color w:val="215868" w:themeColor="accent5" w:themeShade="80"/>
                <w:sz w:val="18"/>
                <w:szCs w:val="18"/>
              </w:rPr>
              <w:t>B</w:t>
            </w:r>
          </w:p>
        </w:tc>
        <w:tc>
          <w:tcPr>
            <w:tcW w:w="1662" w:type="dxa"/>
            <w:tcBorders>
              <w:left w:val="none" w:sz="0" w:space="0" w:color="auto"/>
              <w:right w:val="none" w:sz="0" w:space="0" w:color="auto"/>
            </w:tcBorders>
          </w:tcPr>
          <w:p w14:paraId="277D0601"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+6.2</w:t>
            </w:r>
            <w:r w:rsidRPr="002F5F30">
              <w:rPr>
                <w:rFonts w:ascii="Arial" w:eastAsia="Times New Roman" w:hAnsi="Arial" w:cs="Arial"/>
                <w:color w:val="215868" w:themeColor="accent5" w:themeShade="80"/>
                <w:sz w:val="18"/>
                <w:szCs w:val="18"/>
              </w:rPr>
              <w:t>%</w:t>
            </w:r>
          </w:p>
        </w:tc>
        <w:tc>
          <w:tcPr>
            <w:tcW w:w="1662" w:type="dxa"/>
            <w:tcBorders>
              <w:left w:val="none" w:sz="0" w:space="0" w:color="auto"/>
              <w:right w:val="none" w:sz="0" w:space="0" w:color="auto"/>
            </w:tcBorders>
          </w:tcPr>
          <w:p w14:paraId="025C0E10"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18.0</w:t>
            </w:r>
            <w:r w:rsidRPr="002F5F30">
              <w:rPr>
                <w:rFonts w:ascii="Arial" w:eastAsia="Times New Roman" w:hAnsi="Arial" w:cs="Arial"/>
                <w:color w:val="215868" w:themeColor="accent5" w:themeShade="80"/>
                <w:sz w:val="18"/>
                <w:szCs w:val="18"/>
              </w:rPr>
              <w:t>%</w:t>
            </w:r>
          </w:p>
        </w:tc>
        <w:tc>
          <w:tcPr>
            <w:tcW w:w="1662" w:type="dxa"/>
            <w:tcBorders>
              <w:left w:val="none" w:sz="0" w:space="0" w:color="auto"/>
              <w:right w:val="none" w:sz="0" w:space="0" w:color="auto"/>
            </w:tcBorders>
          </w:tcPr>
          <w:p w14:paraId="20942A0C"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2.9</w:t>
            </w:r>
            <w:r w:rsidRPr="002F5F30">
              <w:rPr>
                <w:rFonts w:ascii="Arial" w:eastAsia="Times New Roman" w:hAnsi="Arial" w:cs="Arial"/>
                <w:color w:val="215868" w:themeColor="accent5" w:themeShade="80"/>
                <w:sz w:val="18"/>
                <w:szCs w:val="18"/>
              </w:rPr>
              <w:t>%</w:t>
            </w:r>
          </w:p>
        </w:tc>
        <w:tc>
          <w:tcPr>
            <w:tcW w:w="1662" w:type="dxa"/>
            <w:tcBorders>
              <w:left w:val="none" w:sz="0" w:space="0" w:color="auto"/>
              <w:right w:val="none" w:sz="0" w:space="0" w:color="auto"/>
            </w:tcBorders>
          </w:tcPr>
          <w:p w14:paraId="6F1DC49B"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+2.6%</w:t>
            </w:r>
          </w:p>
        </w:tc>
      </w:tr>
      <w:tr w:rsidR="007B7C7D" w:rsidRPr="00A30CAC" w14:paraId="3817523B" w14:textId="77777777" w:rsidTr="002409F7">
        <w:trPr>
          <w:trHeight w:val="113"/>
        </w:trPr>
        <w:tc>
          <w:tcPr>
            <w:cnfStyle w:val="001000000000" w:firstRow="0" w:lastRow="0" w:firstColumn="1" w:lastColumn="0" w:oddVBand="0" w:evenVBand="0" w:oddHBand="0" w:evenHBand="0" w:firstRowFirstColumn="0" w:firstRowLastColumn="0" w:lastRowFirstColumn="0" w:lastRowLastColumn="0"/>
            <w:tcW w:w="2538" w:type="dxa"/>
            <w:noWrap/>
          </w:tcPr>
          <w:p w14:paraId="4C96824C" w14:textId="77777777" w:rsidR="007B7C7D" w:rsidRPr="002F5F30" w:rsidRDefault="007B7C7D" w:rsidP="006E6284">
            <w:pPr>
              <w:rPr>
                <w:rFonts w:ascii="Arial" w:eastAsia="Times New Roman" w:hAnsi="Arial" w:cs="Arial"/>
                <w:b w:val="0"/>
                <w:color w:val="215868" w:themeColor="accent5" w:themeShade="80"/>
                <w:sz w:val="18"/>
                <w:szCs w:val="18"/>
              </w:rPr>
            </w:pPr>
            <w:r w:rsidRPr="002F5F30">
              <w:rPr>
                <w:rFonts w:ascii="Arial" w:eastAsia="Times New Roman" w:hAnsi="Arial" w:cs="Arial"/>
                <w:b w:val="0"/>
                <w:color w:val="215868" w:themeColor="accent5" w:themeShade="80"/>
                <w:sz w:val="18"/>
                <w:szCs w:val="18"/>
              </w:rPr>
              <w:t>Total frozen</w:t>
            </w:r>
          </w:p>
        </w:tc>
        <w:tc>
          <w:tcPr>
            <w:tcW w:w="1661" w:type="dxa"/>
            <w:gridSpan w:val="2"/>
          </w:tcPr>
          <w:p w14:paraId="45118875"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rFonts w:ascii="Arial" w:eastAsia="Times New Roman" w:hAnsi="Arial" w:cs="Arial"/>
                <w:color w:val="215868" w:themeColor="accent5" w:themeShade="80"/>
                <w:sz w:val="18"/>
                <w:szCs w:val="18"/>
              </w:rPr>
              <w:t>$7</w:t>
            </w:r>
            <w:r w:rsidRPr="002F5F30">
              <w:rPr>
                <w:rFonts w:ascii="Arial" w:eastAsia="Times New Roman" w:hAnsi="Arial" w:cs="Arial"/>
                <w:color w:val="215868" w:themeColor="accent5" w:themeShade="80"/>
                <w:sz w:val="18"/>
                <w:szCs w:val="18"/>
              </w:rPr>
              <w:t>B</w:t>
            </w:r>
          </w:p>
        </w:tc>
        <w:tc>
          <w:tcPr>
            <w:tcW w:w="1662" w:type="dxa"/>
          </w:tcPr>
          <w:p w14:paraId="4CACCB17"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+5.7</w:t>
            </w:r>
            <w:r w:rsidRPr="002F5F30">
              <w:rPr>
                <w:rFonts w:ascii="Arial" w:eastAsia="Times New Roman" w:hAnsi="Arial" w:cs="Arial"/>
                <w:color w:val="215868" w:themeColor="accent5" w:themeShade="80"/>
                <w:sz w:val="18"/>
                <w:szCs w:val="18"/>
              </w:rPr>
              <w:t>%</w:t>
            </w:r>
          </w:p>
        </w:tc>
        <w:tc>
          <w:tcPr>
            <w:tcW w:w="1662" w:type="dxa"/>
          </w:tcPr>
          <w:p w14:paraId="1BF8225A"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26.0</w:t>
            </w:r>
            <w:r w:rsidRPr="002F5F30">
              <w:rPr>
                <w:rFonts w:ascii="Arial" w:eastAsia="Times New Roman" w:hAnsi="Arial" w:cs="Arial"/>
                <w:color w:val="215868" w:themeColor="accent5" w:themeShade="80"/>
                <w:sz w:val="18"/>
                <w:szCs w:val="18"/>
              </w:rPr>
              <w:t>%</w:t>
            </w:r>
          </w:p>
        </w:tc>
        <w:tc>
          <w:tcPr>
            <w:tcW w:w="1662" w:type="dxa"/>
          </w:tcPr>
          <w:p w14:paraId="194A86E0"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rFonts w:ascii="Arial" w:eastAsia="Times New Roman" w:hAnsi="Arial" w:cs="Arial"/>
                <w:color w:val="215868" w:themeColor="accent5" w:themeShade="80"/>
                <w:sz w:val="18"/>
                <w:szCs w:val="18"/>
              </w:rPr>
              <w:t>-3.6</w:t>
            </w:r>
            <w:r w:rsidRPr="002F5F30">
              <w:rPr>
                <w:rFonts w:ascii="Arial" w:eastAsia="Times New Roman" w:hAnsi="Arial" w:cs="Arial"/>
                <w:color w:val="215868" w:themeColor="accent5" w:themeShade="80"/>
                <w:sz w:val="18"/>
                <w:szCs w:val="18"/>
              </w:rPr>
              <w:t>%</w:t>
            </w:r>
          </w:p>
        </w:tc>
        <w:tc>
          <w:tcPr>
            <w:tcW w:w="1662" w:type="dxa"/>
          </w:tcPr>
          <w:p w14:paraId="5B251158" w14:textId="77777777" w:rsidR="007B7C7D"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+8.4%</w:t>
            </w:r>
          </w:p>
        </w:tc>
      </w:tr>
      <w:tr w:rsidR="007B7C7D" w:rsidRPr="007B7C7D" w14:paraId="474B4A14" w14:textId="77777777" w:rsidTr="002409F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38" w:type="dxa"/>
            <w:noWrap/>
          </w:tcPr>
          <w:p w14:paraId="05BDC399" w14:textId="08E1B4BA" w:rsidR="007B7C7D" w:rsidRPr="007B7C7D" w:rsidRDefault="007B7C7D" w:rsidP="006E6284">
            <w:pPr>
              <w:rPr>
                <w:rFonts w:ascii="Arial" w:eastAsia="Times New Roman" w:hAnsi="Arial" w:cs="Arial"/>
                <w:b w:val="0"/>
                <w:bCs w:val="0"/>
                <w:color w:val="215868" w:themeColor="accent5" w:themeShade="80"/>
                <w:sz w:val="18"/>
                <w:szCs w:val="18"/>
              </w:rPr>
            </w:pPr>
            <w:r w:rsidRPr="007B7C7D">
              <w:rPr>
                <w:rFonts w:ascii="Arial" w:eastAsia="Times New Roman" w:hAnsi="Arial" w:cs="Arial"/>
                <w:b w:val="0"/>
                <w:bCs w:val="0"/>
                <w:color w:val="215868" w:themeColor="accent5" w:themeShade="80"/>
                <w:sz w:val="18"/>
                <w:szCs w:val="18"/>
              </w:rPr>
              <w:t>Total fresh produce</w:t>
            </w:r>
          </w:p>
        </w:tc>
        <w:tc>
          <w:tcPr>
            <w:tcW w:w="1661" w:type="dxa"/>
            <w:gridSpan w:val="2"/>
          </w:tcPr>
          <w:p w14:paraId="5C0584B8" w14:textId="68922604" w:rsidR="007B7C7D" w:rsidRP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B92479">
              <w:rPr>
                <w:rFonts w:ascii="Arial" w:eastAsia="Times New Roman" w:hAnsi="Arial" w:cs="Arial"/>
                <w:color w:val="215868" w:themeColor="accent5" w:themeShade="80"/>
                <w:sz w:val="18"/>
                <w:szCs w:val="18"/>
              </w:rPr>
              <w:t>5.6</w:t>
            </w:r>
            <w:r>
              <w:rPr>
                <w:rFonts w:ascii="Arial" w:eastAsia="Times New Roman" w:hAnsi="Arial" w:cs="Arial"/>
                <w:color w:val="215868" w:themeColor="accent5" w:themeShade="80"/>
                <w:sz w:val="18"/>
                <w:szCs w:val="18"/>
              </w:rPr>
              <w:t>B</w:t>
            </w:r>
          </w:p>
        </w:tc>
        <w:tc>
          <w:tcPr>
            <w:tcW w:w="1662" w:type="dxa"/>
          </w:tcPr>
          <w:p w14:paraId="5AC17344" w14:textId="312A3020"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B92479">
              <w:rPr>
                <w:rFonts w:ascii="Arial" w:eastAsia="Times New Roman" w:hAnsi="Arial" w:cs="Arial"/>
                <w:color w:val="215868" w:themeColor="accent5" w:themeShade="80"/>
                <w:sz w:val="18"/>
                <w:szCs w:val="18"/>
              </w:rPr>
              <w:t>4.6</w:t>
            </w:r>
            <w:r>
              <w:rPr>
                <w:rFonts w:ascii="Arial" w:eastAsia="Times New Roman" w:hAnsi="Arial" w:cs="Arial"/>
                <w:color w:val="215868" w:themeColor="accent5" w:themeShade="80"/>
                <w:sz w:val="18"/>
                <w:szCs w:val="18"/>
              </w:rPr>
              <w:t>%</w:t>
            </w:r>
          </w:p>
        </w:tc>
        <w:tc>
          <w:tcPr>
            <w:tcW w:w="1662" w:type="dxa"/>
          </w:tcPr>
          <w:p w14:paraId="4A6FCB2C" w14:textId="2D063F42"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B92479">
              <w:rPr>
                <w:rFonts w:ascii="Arial" w:eastAsia="Times New Roman" w:hAnsi="Arial" w:cs="Arial"/>
                <w:color w:val="215868" w:themeColor="accent5" w:themeShade="80"/>
                <w:sz w:val="18"/>
                <w:szCs w:val="18"/>
              </w:rPr>
              <w:t>16.4</w:t>
            </w:r>
            <w:r>
              <w:rPr>
                <w:rFonts w:ascii="Arial" w:eastAsia="Times New Roman" w:hAnsi="Arial" w:cs="Arial"/>
                <w:color w:val="215868" w:themeColor="accent5" w:themeShade="80"/>
                <w:sz w:val="18"/>
                <w:szCs w:val="18"/>
              </w:rPr>
              <w:t>%</w:t>
            </w:r>
          </w:p>
        </w:tc>
        <w:tc>
          <w:tcPr>
            <w:tcW w:w="1662" w:type="dxa"/>
          </w:tcPr>
          <w:p w14:paraId="3DD23E29" w14:textId="07A2205F"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B92479">
              <w:rPr>
                <w:rFonts w:ascii="Arial" w:eastAsia="Times New Roman" w:hAnsi="Arial" w:cs="Arial"/>
                <w:color w:val="215868" w:themeColor="accent5" w:themeShade="80"/>
                <w:sz w:val="18"/>
                <w:szCs w:val="18"/>
              </w:rPr>
              <w:t>5.0</w:t>
            </w:r>
            <w:r>
              <w:rPr>
                <w:rFonts w:ascii="Arial" w:eastAsia="Times New Roman" w:hAnsi="Arial" w:cs="Arial"/>
                <w:color w:val="215868" w:themeColor="accent5" w:themeShade="80"/>
                <w:sz w:val="18"/>
                <w:szCs w:val="18"/>
              </w:rPr>
              <w:t>%</w:t>
            </w:r>
          </w:p>
        </w:tc>
        <w:tc>
          <w:tcPr>
            <w:tcW w:w="1662" w:type="dxa"/>
          </w:tcPr>
          <w:p w14:paraId="45A7894E" w14:textId="79F40402" w:rsidR="007B7C7D" w:rsidRPr="007B7C7D" w:rsidRDefault="00B92479"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+3.2</w:t>
            </w:r>
            <w:r w:rsidR="00865026">
              <w:rPr>
                <w:rFonts w:ascii="Arial" w:eastAsia="Times New Roman" w:hAnsi="Arial" w:cs="Arial"/>
                <w:color w:val="215868" w:themeColor="accent5" w:themeShade="80"/>
                <w:sz w:val="18"/>
                <w:szCs w:val="18"/>
              </w:rPr>
              <w:t>%</w:t>
            </w:r>
          </w:p>
        </w:tc>
      </w:tr>
    </w:tbl>
    <w:p w14:paraId="71BA8589" w14:textId="77777777" w:rsidR="007B7C7D" w:rsidRPr="00B64ECF" w:rsidRDefault="007B7C7D" w:rsidP="007B7C7D">
      <w:pPr>
        <w:pStyle w:val="NoSpacing"/>
        <w:rPr>
          <w:rFonts w:ascii="Arial" w:hAnsi="Arial" w:cs="Arial"/>
          <w:sz w:val="12"/>
          <w:szCs w:val="16"/>
        </w:rPr>
      </w:pPr>
    </w:p>
    <w:p w14:paraId="1BA1CC63" w14:textId="77777777" w:rsidR="007B7C7D" w:rsidRPr="00A04CFB" w:rsidRDefault="007B7C7D" w:rsidP="007B7C7D">
      <w:pPr>
        <w:pStyle w:val="NoSpacing"/>
        <w:rPr>
          <w:rFonts w:ascii="Arial" w:hAnsi="Arial" w:cs="Arial"/>
          <w:color w:val="7F7F7F" w:themeColor="text1" w:themeTint="80"/>
          <w:sz w:val="16"/>
          <w:szCs w:val="16"/>
        </w:rPr>
      </w:pPr>
      <w:r w:rsidRPr="00A04CFB">
        <w:rPr>
          <w:rFonts w:ascii="Arial" w:hAnsi="Arial" w:cs="Arial"/>
          <w:color w:val="7F7F7F" w:themeColor="text1" w:themeTint="80"/>
          <w:sz w:val="16"/>
          <w:szCs w:val="16"/>
        </w:rPr>
        <w:t>Source: IRI, Integrated Fresh, Total US, MULO</w:t>
      </w:r>
    </w:p>
    <w:p w14:paraId="6E461028" w14:textId="77777777" w:rsidR="004349A0" w:rsidRPr="00B64ECF" w:rsidRDefault="004349A0" w:rsidP="004349A0">
      <w:pPr>
        <w:pStyle w:val="NoSpacing"/>
        <w:rPr>
          <w:rFonts w:ascii="Arial" w:hAnsi="Arial" w:cs="Arial"/>
          <w:sz w:val="12"/>
          <w:szCs w:val="16"/>
        </w:rPr>
      </w:pPr>
    </w:p>
    <w:p w14:paraId="014557AB" w14:textId="77777777" w:rsidR="00CF43CE" w:rsidRDefault="00CF43CE" w:rsidP="00CF43CE">
      <w:pPr>
        <w:pStyle w:val="NoSpacing"/>
        <w:rPr>
          <w:rFonts w:ascii="Arial" w:hAnsi="Arial" w:cs="Arial"/>
          <w:sz w:val="20"/>
          <w:szCs w:val="20"/>
        </w:rPr>
      </w:pPr>
    </w:p>
    <w:p w14:paraId="5C40F56A" w14:textId="4611B699" w:rsidR="001C641C" w:rsidRDefault="001C641C" w:rsidP="00CF43CE">
      <w:pPr>
        <w:pStyle w:val="NoSpacing"/>
        <w:rPr>
          <w:rFonts w:ascii="Arial" w:hAnsi="Arial" w:cs="Arial"/>
          <w:sz w:val="20"/>
          <w:szCs w:val="20"/>
        </w:rPr>
      </w:pPr>
      <w:r>
        <w:rPr>
          <w:rFonts w:ascii="Arial" w:hAnsi="Arial" w:cs="Arial"/>
          <w:sz w:val="20"/>
          <w:szCs w:val="20"/>
        </w:rPr>
        <w:t xml:space="preserve">From a dollar sales perspective, </w:t>
      </w:r>
      <w:r w:rsidR="00D046CF">
        <w:rPr>
          <w:rFonts w:ascii="Arial" w:hAnsi="Arial" w:cs="Arial"/>
          <w:sz w:val="20"/>
          <w:szCs w:val="20"/>
        </w:rPr>
        <w:t xml:space="preserve">February </w:t>
      </w:r>
      <w:r w:rsidR="00647DD6">
        <w:rPr>
          <w:rFonts w:ascii="Arial" w:hAnsi="Arial" w:cs="Arial"/>
          <w:sz w:val="20"/>
          <w:szCs w:val="20"/>
        </w:rPr>
        <w:t xml:space="preserve">2022 </w:t>
      </w:r>
      <w:r w:rsidR="00D046CF">
        <w:rPr>
          <w:rFonts w:ascii="Arial" w:hAnsi="Arial" w:cs="Arial"/>
          <w:sz w:val="20"/>
          <w:szCs w:val="20"/>
        </w:rPr>
        <w:t>reached sales of $5.6 billion</w:t>
      </w:r>
      <w:r>
        <w:rPr>
          <w:rFonts w:ascii="Arial" w:hAnsi="Arial" w:cs="Arial"/>
          <w:sz w:val="20"/>
          <w:szCs w:val="20"/>
        </w:rPr>
        <w:t xml:space="preserve">, surpassing the record set in </w:t>
      </w:r>
      <w:r w:rsidR="002741C9">
        <w:rPr>
          <w:rFonts w:ascii="Arial" w:hAnsi="Arial" w:cs="Arial"/>
          <w:sz w:val="20"/>
          <w:szCs w:val="20"/>
        </w:rPr>
        <w:t>2021</w:t>
      </w:r>
      <w:r>
        <w:rPr>
          <w:rFonts w:ascii="Arial" w:hAnsi="Arial" w:cs="Arial"/>
          <w:sz w:val="20"/>
          <w:szCs w:val="20"/>
        </w:rPr>
        <w:t>. However, dollar gains were inflation</w:t>
      </w:r>
      <w:r w:rsidR="00551D01">
        <w:rPr>
          <w:rFonts w:ascii="Arial" w:hAnsi="Arial" w:cs="Arial"/>
          <w:sz w:val="20"/>
          <w:szCs w:val="20"/>
        </w:rPr>
        <w:t>-</w:t>
      </w:r>
      <w:r>
        <w:rPr>
          <w:rFonts w:ascii="Arial" w:hAnsi="Arial" w:cs="Arial"/>
          <w:sz w:val="20"/>
          <w:szCs w:val="20"/>
        </w:rPr>
        <w:t xml:space="preserve">boosted </w:t>
      </w:r>
      <w:r w:rsidR="00D046CF">
        <w:rPr>
          <w:rFonts w:ascii="Arial" w:hAnsi="Arial" w:cs="Arial"/>
          <w:sz w:val="20"/>
          <w:szCs w:val="20"/>
        </w:rPr>
        <w:t xml:space="preserve">and </w:t>
      </w:r>
      <w:r>
        <w:rPr>
          <w:rFonts w:ascii="Arial" w:hAnsi="Arial" w:cs="Arial"/>
          <w:sz w:val="20"/>
          <w:szCs w:val="20"/>
        </w:rPr>
        <w:t>units and volume sales declined year-on-year. “</w:t>
      </w:r>
      <w:r w:rsidR="00262B72">
        <w:rPr>
          <w:rFonts w:ascii="Arial" w:hAnsi="Arial" w:cs="Arial"/>
          <w:sz w:val="20"/>
          <w:szCs w:val="20"/>
        </w:rPr>
        <w:t>We certainly have to acknowledge that big price increase</w:t>
      </w:r>
      <w:r w:rsidR="00027658">
        <w:rPr>
          <w:rFonts w:ascii="Arial" w:hAnsi="Arial" w:cs="Arial"/>
          <w:sz w:val="20"/>
          <w:szCs w:val="20"/>
        </w:rPr>
        <w:t>s tend to</w:t>
      </w:r>
      <w:r w:rsidR="00262B72">
        <w:rPr>
          <w:rFonts w:ascii="Arial" w:hAnsi="Arial" w:cs="Arial"/>
          <w:sz w:val="20"/>
          <w:szCs w:val="20"/>
        </w:rPr>
        <w:t xml:space="preserve"> pressure volume sales</w:t>
      </w:r>
      <w:r w:rsidR="00667BC4">
        <w:rPr>
          <w:rFonts w:ascii="Arial" w:hAnsi="Arial" w:cs="Arial"/>
          <w:sz w:val="20"/>
          <w:szCs w:val="20"/>
        </w:rPr>
        <w:t>,” said Watson. “</w:t>
      </w:r>
      <w:r w:rsidR="00262B72">
        <w:rPr>
          <w:rFonts w:ascii="Arial" w:hAnsi="Arial" w:cs="Arial"/>
          <w:sz w:val="20"/>
          <w:szCs w:val="20"/>
        </w:rPr>
        <w:t>But it is also important to note that</w:t>
      </w:r>
      <w:r w:rsidR="002741C9">
        <w:rPr>
          <w:rFonts w:ascii="Arial" w:hAnsi="Arial" w:cs="Arial"/>
          <w:sz w:val="20"/>
          <w:szCs w:val="20"/>
        </w:rPr>
        <w:t xml:space="preserve"> it is hard to measure the effect of supply chain disruption</w:t>
      </w:r>
      <w:r w:rsidR="00262B72">
        <w:rPr>
          <w:rFonts w:ascii="Arial" w:hAnsi="Arial" w:cs="Arial"/>
          <w:sz w:val="20"/>
          <w:szCs w:val="20"/>
        </w:rPr>
        <w:t xml:space="preserve">: </w:t>
      </w:r>
      <w:r w:rsidR="00B1061E">
        <w:rPr>
          <w:rFonts w:ascii="Arial" w:hAnsi="Arial" w:cs="Arial"/>
          <w:sz w:val="20"/>
          <w:szCs w:val="20"/>
        </w:rPr>
        <w:t>w</w:t>
      </w:r>
      <w:r w:rsidR="00262B72">
        <w:rPr>
          <w:rFonts w:ascii="Arial" w:hAnsi="Arial" w:cs="Arial"/>
          <w:sz w:val="20"/>
          <w:szCs w:val="20"/>
        </w:rPr>
        <w:t>e cannot sell what we do not have. Out-of-stocks have been a severe problem for departments across the store since the start of the pandemic and fresh produce</w:t>
      </w:r>
      <w:r w:rsidR="00027658">
        <w:rPr>
          <w:rFonts w:ascii="Arial" w:hAnsi="Arial" w:cs="Arial"/>
          <w:sz w:val="20"/>
          <w:szCs w:val="20"/>
        </w:rPr>
        <w:t xml:space="preserve"> has also been affected by the labor, transportation and other supply chain issues</w:t>
      </w:r>
      <w:r w:rsidR="00262B72">
        <w:rPr>
          <w:rFonts w:ascii="Arial" w:hAnsi="Arial" w:cs="Arial"/>
          <w:sz w:val="20"/>
          <w:szCs w:val="20"/>
        </w:rPr>
        <w:t xml:space="preserve">. Actively communicating </w:t>
      </w:r>
      <w:r w:rsidR="00EC0FFF">
        <w:rPr>
          <w:rFonts w:ascii="Arial" w:hAnsi="Arial" w:cs="Arial"/>
          <w:sz w:val="20"/>
          <w:szCs w:val="20"/>
        </w:rPr>
        <w:t>and providing recommendations</w:t>
      </w:r>
      <w:r w:rsidR="00C23843">
        <w:rPr>
          <w:rFonts w:ascii="Arial" w:hAnsi="Arial" w:cs="Arial"/>
          <w:sz w:val="20"/>
          <w:szCs w:val="20"/>
        </w:rPr>
        <w:t xml:space="preserve"> for alternatives</w:t>
      </w:r>
      <w:r w:rsidR="00EC0FFF">
        <w:rPr>
          <w:rFonts w:ascii="Arial" w:hAnsi="Arial" w:cs="Arial"/>
          <w:sz w:val="20"/>
          <w:szCs w:val="20"/>
        </w:rPr>
        <w:t xml:space="preserve"> </w:t>
      </w:r>
      <w:r w:rsidR="002F2661">
        <w:rPr>
          <w:rFonts w:ascii="Arial" w:hAnsi="Arial" w:cs="Arial"/>
          <w:sz w:val="20"/>
          <w:szCs w:val="20"/>
        </w:rPr>
        <w:t>are important best practices</w:t>
      </w:r>
      <w:r w:rsidR="00027658">
        <w:rPr>
          <w:rFonts w:ascii="Arial" w:hAnsi="Arial" w:cs="Arial"/>
          <w:sz w:val="20"/>
          <w:szCs w:val="20"/>
        </w:rPr>
        <w:t xml:space="preserve"> in case of out-of-stocks</w:t>
      </w:r>
      <w:r w:rsidR="009D7889">
        <w:rPr>
          <w:rFonts w:ascii="Arial" w:hAnsi="Arial" w:cs="Arial"/>
          <w:sz w:val="20"/>
          <w:szCs w:val="20"/>
        </w:rPr>
        <w:t>.</w:t>
      </w:r>
      <w:r w:rsidR="00A84CAB">
        <w:rPr>
          <w:rFonts w:ascii="Arial" w:hAnsi="Arial" w:cs="Arial"/>
          <w:sz w:val="20"/>
          <w:szCs w:val="20"/>
        </w:rPr>
        <w:t>”</w:t>
      </w:r>
      <w:r>
        <w:rPr>
          <w:rFonts w:ascii="Arial" w:hAnsi="Arial" w:cs="Arial"/>
          <w:sz w:val="20"/>
          <w:szCs w:val="20"/>
        </w:rPr>
        <w:t xml:space="preserve">  </w:t>
      </w:r>
    </w:p>
    <w:p w14:paraId="4313C97D" w14:textId="77777777" w:rsidR="00E97D52" w:rsidRDefault="00E97D52" w:rsidP="00CF43CE">
      <w:pPr>
        <w:pStyle w:val="NoSpacing"/>
        <w:rPr>
          <w:rFonts w:ascii="Arial" w:hAnsi="Arial" w:cs="Arial"/>
          <w:sz w:val="20"/>
          <w:szCs w:val="20"/>
        </w:rPr>
      </w:pPr>
    </w:p>
    <w:tbl>
      <w:tblPr>
        <w:tblStyle w:val="LightShading-Accent5"/>
        <w:tblW w:w="10728" w:type="dxa"/>
        <w:tblBorders>
          <w:top w:val="none" w:sz="0" w:space="0" w:color="auto"/>
          <w:bottom w:val="none" w:sz="0" w:space="0" w:color="auto"/>
        </w:tblBorders>
        <w:tblLayout w:type="fixed"/>
        <w:tblLook w:val="04A0" w:firstRow="1" w:lastRow="0" w:firstColumn="1" w:lastColumn="0" w:noHBand="0" w:noVBand="1"/>
      </w:tblPr>
      <w:tblGrid>
        <w:gridCol w:w="1872"/>
        <w:gridCol w:w="1265"/>
        <w:gridCol w:w="1265"/>
        <w:gridCol w:w="1265"/>
        <w:gridCol w:w="1265"/>
        <w:gridCol w:w="1265"/>
        <w:gridCol w:w="1265"/>
        <w:gridCol w:w="1266"/>
      </w:tblGrid>
      <w:tr w:rsidR="001729EA" w:rsidRPr="001729EA" w14:paraId="5E5E5D5E" w14:textId="77777777" w:rsidTr="001729EA">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69258784" w14:textId="6B9D42DD" w:rsidR="001729EA" w:rsidRPr="001729EA" w:rsidRDefault="002D178D" w:rsidP="00E97D52">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 xml:space="preserve">February </w:t>
            </w:r>
            <w:r w:rsidR="001729EA" w:rsidRPr="001729EA">
              <w:rPr>
                <w:rFonts w:ascii="Arial" w:eastAsia="Times New Roman" w:hAnsi="Arial" w:cs="Arial"/>
                <w:color w:val="FFFFFF" w:themeColor="background1"/>
                <w:sz w:val="18"/>
                <w:szCs w:val="20"/>
              </w:rPr>
              <w:t>202</w:t>
            </w:r>
            <w:r w:rsidR="0038781D">
              <w:rPr>
                <w:rFonts w:ascii="Arial" w:eastAsia="Times New Roman" w:hAnsi="Arial" w:cs="Arial"/>
                <w:color w:val="FFFFFF" w:themeColor="background1"/>
                <w:sz w:val="18"/>
                <w:szCs w:val="20"/>
              </w:rPr>
              <w:t>2</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5FCCBB40"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size</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C388075"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‘2</w:t>
            </w:r>
            <w:r w:rsidR="0038781D">
              <w:rPr>
                <w:rFonts w:ascii="Arial" w:eastAsia="Times New Roman" w:hAnsi="Arial" w:cs="Arial"/>
                <w:color w:val="FFFFFF" w:themeColor="background1"/>
                <w:sz w:val="18"/>
                <w:szCs w:val="20"/>
              </w:rPr>
              <w:t>1</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EA4EC29"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w:t>
            </w:r>
            <w:r w:rsidR="0038781D">
              <w:rPr>
                <w:rFonts w:ascii="Arial" w:eastAsia="Times New Roman" w:hAnsi="Arial" w:cs="Arial"/>
                <w:color w:val="FFFFFF" w:themeColor="background1"/>
                <w:sz w:val="18"/>
                <w:szCs w:val="20"/>
              </w:rPr>
              <w:t>20</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0804AAB4"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Unit growth vs. ‘2</w:t>
            </w:r>
            <w:r w:rsidR="0038781D">
              <w:rPr>
                <w:rFonts w:ascii="Arial" w:eastAsia="Times New Roman" w:hAnsi="Arial" w:cs="Arial"/>
                <w:color w:val="FFFFFF" w:themeColor="background1"/>
                <w:sz w:val="18"/>
                <w:szCs w:val="20"/>
              </w:rPr>
              <w:t>1</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6156BA5"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Unit growth vs. ‘</w:t>
            </w:r>
            <w:r w:rsidR="0038781D">
              <w:rPr>
                <w:rFonts w:ascii="Arial" w:eastAsia="Times New Roman" w:hAnsi="Arial" w:cs="Arial"/>
                <w:color w:val="FFFFFF" w:themeColor="background1"/>
                <w:sz w:val="18"/>
                <w:szCs w:val="20"/>
              </w:rPr>
              <w:t>20</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6ECF71E1"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Volume growth vs. ‘2</w:t>
            </w:r>
            <w:r w:rsidR="0038781D">
              <w:rPr>
                <w:rFonts w:ascii="Arial" w:eastAsia="Times New Roman" w:hAnsi="Arial" w:cs="Arial"/>
                <w:color w:val="FFFFFF" w:themeColor="background1"/>
                <w:sz w:val="18"/>
                <w:szCs w:val="20"/>
              </w:rPr>
              <w:t>1</w:t>
            </w:r>
          </w:p>
        </w:tc>
        <w:tc>
          <w:tcPr>
            <w:tcW w:w="1266"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750B5E2"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Volume growth vs. ‘</w:t>
            </w:r>
            <w:r w:rsidR="0038781D">
              <w:rPr>
                <w:rFonts w:ascii="Arial" w:eastAsia="Times New Roman" w:hAnsi="Arial" w:cs="Arial"/>
                <w:color w:val="FFFFFF" w:themeColor="background1"/>
                <w:sz w:val="18"/>
                <w:szCs w:val="20"/>
              </w:rPr>
              <w:t>20</w:t>
            </w:r>
          </w:p>
        </w:tc>
      </w:tr>
      <w:tr w:rsidR="001729EA" w:rsidRPr="000A733E" w14:paraId="4C79F54A"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72" w:type="dxa"/>
            <w:tcBorders>
              <w:left w:val="none" w:sz="0" w:space="0" w:color="auto"/>
              <w:right w:val="none" w:sz="0" w:space="0" w:color="auto"/>
            </w:tcBorders>
            <w:noWrap/>
          </w:tcPr>
          <w:p w14:paraId="6530B6D0" w14:textId="77777777" w:rsidR="001729EA" w:rsidRPr="000A733E" w:rsidRDefault="001729EA" w:rsidP="00E97D52">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Total fresh produce</w:t>
            </w:r>
          </w:p>
        </w:tc>
        <w:tc>
          <w:tcPr>
            <w:tcW w:w="1265" w:type="dxa"/>
            <w:tcBorders>
              <w:left w:val="none" w:sz="0" w:space="0" w:color="auto"/>
              <w:right w:val="none" w:sz="0" w:space="0" w:color="auto"/>
            </w:tcBorders>
            <w:vAlign w:val="center"/>
          </w:tcPr>
          <w:p w14:paraId="18E23756" w14:textId="58241D5C"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97D52">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5.6</w:t>
            </w:r>
            <w:r w:rsidRPr="00E97D52">
              <w:rPr>
                <w:rFonts w:ascii="Arial" w:eastAsia="Times New Roman" w:hAnsi="Arial" w:cs="Arial"/>
                <w:color w:val="17365D" w:themeColor="text2" w:themeShade="BF"/>
                <w:sz w:val="18"/>
                <w:szCs w:val="18"/>
              </w:rPr>
              <w:t>B</w:t>
            </w:r>
          </w:p>
        </w:tc>
        <w:tc>
          <w:tcPr>
            <w:tcW w:w="1265" w:type="dxa"/>
            <w:tcBorders>
              <w:left w:val="none" w:sz="0" w:space="0" w:color="auto"/>
              <w:right w:val="none" w:sz="0" w:space="0" w:color="auto"/>
            </w:tcBorders>
          </w:tcPr>
          <w:p w14:paraId="397195B1" w14:textId="172CE78D"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4.6</w:t>
            </w:r>
            <w:r w:rsidRPr="005913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55886AA9" w14:textId="55C7B9B9"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16.4</w:t>
            </w:r>
            <w:r w:rsidRPr="005913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6D70BA8C" w14:textId="5D1118CA"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5.0</w:t>
            </w:r>
            <w:r w:rsidRPr="000A05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18B16EF1" w14:textId="4514B3D1"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3.2</w:t>
            </w:r>
            <w:r w:rsidRPr="007650CC">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69F9E48C" w14:textId="16936044"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5.7</w:t>
            </w:r>
            <w:r w:rsidRPr="00E87888">
              <w:rPr>
                <w:rFonts w:ascii="Arial" w:eastAsia="Times New Roman" w:hAnsi="Arial" w:cs="Arial"/>
                <w:color w:val="17365D" w:themeColor="text2" w:themeShade="BF"/>
                <w:sz w:val="18"/>
                <w:szCs w:val="18"/>
              </w:rPr>
              <w:t>%</w:t>
            </w:r>
          </w:p>
        </w:tc>
        <w:tc>
          <w:tcPr>
            <w:tcW w:w="1266" w:type="dxa"/>
            <w:tcBorders>
              <w:left w:val="none" w:sz="0" w:space="0" w:color="auto"/>
              <w:right w:val="none" w:sz="0" w:space="0" w:color="auto"/>
            </w:tcBorders>
          </w:tcPr>
          <w:p w14:paraId="32C1B643" w14:textId="15EAA3AA"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1.9</w:t>
            </w:r>
            <w:r w:rsidRPr="00560673">
              <w:rPr>
                <w:rFonts w:ascii="Arial" w:eastAsia="Times New Roman" w:hAnsi="Arial" w:cs="Arial"/>
                <w:color w:val="17365D" w:themeColor="text2" w:themeShade="BF"/>
                <w:sz w:val="18"/>
                <w:szCs w:val="18"/>
              </w:rPr>
              <w:t>%</w:t>
            </w:r>
          </w:p>
        </w:tc>
      </w:tr>
      <w:tr w:rsidR="002D178D" w:rsidRPr="000A733E" w14:paraId="00EC79C9" w14:textId="77777777" w:rsidTr="006E6284">
        <w:trPr>
          <w:trHeight w:val="113"/>
        </w:trPr>
        <w:tc>
          <w:tcPr>
            <w:cnfStyle w:val="001000000000" w:firstRow="0" w:lastRow="0" w:firstColumn="1" w:lastColumn="0" w:oddVBand="0" w:evenVBand="0" w:oddHBand="0" w:evenHBand="0" w:firstRowFirstColumn="0" w:firstRowLastColumn="0" w:lastRowFirstColumn="0" w:lastRowLastColumn="0"/>
            <w:tcW w:w="1872" w:type="dxa"/>
            <w:noWrap/>
          </w:tcPr>
          <w:p w14:paraId="21B21BAF" w14:textId="77777777" w:rsidR="002D178D" w:rsidRPr="000A733E" w:rsidRDefault="002D178D" w:rsidP="002D178D">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Fresh fruit</w:t>
            </w:r>
          </w:p>
        </w:tc>
        <w:tc>
          <w:tcPr>
            <w:tcW w:w="1265" w:type="dxa"/>
            <w:vAlign w:val="center"/>
          </w:tcPr>
          <w:p w14:paraId="48DCBDB3" w14:textId="5C07EE81"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2.8</w:t>
            </w:r>
            <w:r w:rsidRPr="00E97D52">
              <w:rPr>
                <w:rFonts w:ascii="Arial" w:eastAsia="Times New Roman" w:hAnsi="Arial" w:cs="Arial"/>
                <w:color w:val="17365D" w:themeColor="text2" w:themeShade="BF"/>
                <w:sz w:val="18"/>
                <w:szCs w:val="18"/>
              </w:rPr>
              <w:t>B</w:t>
            </w:r>
          </w:p>
        </w:tc>
        <w:tc>
          <w:tcPr>
            <w:tcW w:w="1265" w:type="dxa"/>
          </w:tcPr>
          <w:p w14:paraId="57664D8C" w14:textId="4B7C086B"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11.5</w:t>
            </w:r>
            <w:r w:rsidRPr="00591300">
              <w:rPr>
                <w:rFonts w:ascii="Arial" w:eastAsia="Times New Roman" w:hAnsi="Arial" w:cs="Arial"/>
                <w:color w:val="17365D" w:themeColor="text2" w:themeShade="BF"/>
                <w:sz w:val="18"/>
                <w:szCs w:val="18"/>
              </w:rPr>
              <w:t>%</w:t>
            </w:r>
          </w:p>
        </w:tc>
        <w:tc>
          <w:tcPr>
            <w:tcW w:w="1265" w:type="dxa"/>
          </w:tcPr>
          <w:p w14:paraId="0AB9E5AE" w14:textId="032FCDA1"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21.8</w:t>
            </w:r>
            <w:r w:rsidRPr="00591300">
              <w:rPr>
                <w:rFonts w:ascii="Arial" w:eastAsia="Times New Roman" w:hAnsi="Arial" w:cs="Arial"/>
                <w:color w:val="17365D" w:themeColor="text2" w:themeShade="BF"/>
                <w:sz w:val="18"/>
                <w:szCs w:val="18"/>
              </w:rPr>
              <w:t>%</w:t>
            </w:r>
          </w:p>
        </w:tc>
        <w:tc>
          <w:tcPr>
            <w:tcW w:w="1265" w:type="dxa"/>
          </w:tcPr>
          <w:p w14:paraId="18ACF451" w14:textId="55227BE9"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1.3</w:t>
            </w:r>
            <w:r w:rsidRPr="000A0500">
              <w:rPr>
                <w:rFonts w:ascii="Arial" w:eastAsia="Times New Roman" w:hAnsi="Arial" w:cs="Arial"/>
                <w:color w:val="17365D" w:themeColor="text2" w:themeShade="BF"/>
                <w:sz w:val="18"/>
                <w:szCs w:val="18"/>
              </w:rPr>
              <w:t>%</w:t>
            </w:r>
          </w:p>
        </w:tc>
        <w:tc>
          <w:tcPr>
            <w:tcW w:w="1265" w:type="dxa"/>
          </w:tcPr>
          <w:p w14:paraId="3E25926E" w14:textId="579E5A7D"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2.8</w:t>
            </w:r>
            <w:r w:rsidRPr="007650CC">
              <w:rPr>
                <w:rFonts w:ascii="Arial" w:eastAsia="Times New Roman" w:hAnsi="Arial" w:cs="Arial"/>
                <w:color w:val="17365D" w:themeColor="text2" w:themeShade="BF"/>
                <w:sz w:val="18"/>
                <w:szCs w:val="18"/>
              </w:rPr>
              <w:t>%</w:t>
            </w:r>
          </w:p>
        </w:tc>
        <w:tc>
          <w:tcPr>
            <w:tcW w:w="1265" w:type="dxa"/>
          </w:tcPr>
          <w:p w14:paraId="426F58FB" w14:textId="064D0E6D"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3.9</w:t>
            </w:r>
            <w:r w:rsidRPr="00E87888">
              <w:rPr>
                <w:rFonts w:ascii="Arial" w:eastAsia="Times New Roman" w:hAnsi="Arial" w:cs="Arial"/>
                <w:color w:val="17365D" w:themeColor="text2" w:themeShade="BF"/>
                <w:sz w:val="18"/>
                <w:szCs w:val="18"/>
              </w:rPr>
              <w:t>%</w:t>
            </w:r>
          </w:p>
        </w:tc>
        <w:tc>
          <w:tcPr>
            <w:tcW w:w="1266" w:type="dxa"/>
          </w:tcPr>
          <w:p w14:paraId="44B578EA" w14:textId="6D6BEA38" w:rsidR="002D178D" w:rsidRPr="00E97D52"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0.6</w:t>
            </w:r>
            <w:r w:rsidRPr="00560673">
              <w:rPr>
                <w:rFonts w:ascii="Arial" w:eastAsia="Times New Roman" w:hAnsi="Arial" w:cs="Arial"/>
                <w:color w:val="17365D" w:themeColor="text2" w:themeShade="BF"/>
                <w:sz w:val="18"/>
                <w:szCs w:val="18"/>
              </w:rPr>
              <w:t>%</w:t>
            </w:r>
          </w:p>
        </w:tc>
      </w:tr>
      <w:tr w:rsidR="002D178D" w:rsidRPr="000A733E" w14:paraId="52DE1385"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72" w:type="dxa"/>
            <w:noWrap/>
          </w:tcPr>
          <w:p w14:paraId="7DC406A0" w14:textId="77777777" w:rsidR="002D178D" w:rsidRPr="000A733E" w:rsidRDefault="002D178D" w:rsidP="002D178D">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Fresh vegetables</w:t>
            </w:r>
          </w:p>
        </w:tc>
        <w:tc>
          <w:tcPr>
            <w:tcW w:w="1265" w:type="dxa"/>
            <w:vAlign w:val="center"/>
          </w:tcPr>
          <w:p w14:paraId="643F13CC" w14:textId="60826632" w:rsidR="002D178D" w:rsidRPr="00E97D52"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2.7</w:t>
            </w:r>
            <w:r w:rsidRPr="00E97D52">
              <w:rPr>
                <w:rFonts w:ascii="Arial" w:eastAsia="Times New Roman" w:hAnsi="Arial" w:cs="Arial"/>
                <w:color w:val="17365D" w:themeColor="text2" w:themeShade="BF"/>
                <w:sz w:val="18"/>
                <w:szCs w:val="18"/>
              </w:rPr>
              <w:t>B</w:t>
            </w:r>
          </w:p>
        </w:tc>
        <w:tc>
          <w:tcPr>
            <w:tcW w:w="1265" w:type="dxa"/>
          </w:tcPr>
          <w:p w14:paraId="62E753B2" w14:textId="3AF46DAE" w:rsidR="002D178D" w:rsidRPr="00E97D52" w:rsidRDefault="00D046CF" w:rsidP="002D178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-1.8</w:t>
            </w:r>
            <w:r w:rsidR="002D178D" w:rsidRPr="00591300">
              <w:rPr>
                <w:rFonts w:ascii="Arial" w:eastAsia="Times New Roman" w:hAnsi="Arial" w:cs="Arial"/>
                <w:color w:val="17365D" w:themeColor="text2" w:themeShade="BF"/>
                <w:sz w:val="18"/>
                <w:szCs w:val="18"/>
              </w:rPr>
              <w:t>%</w:t>
            </w:r>
          </w:p>
        </w:tc>
        <w:tc>
          <w:tcPr>
            <w:tcW w:w="1265" w:type="dxa"/>
          </w:tcPr>
          <w:p w14:paraId="5F82C4A8" w14:textId="673E45C5" w:rsidR="002D178D" w:rsidRPr="00E97D52"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11.3</w:t>
            </w:r>
            <w:r w:rsidRPr="00591300">
              <w:rPr>
                <w:rFonts w:ascii="Arial" w:eastAsia="Times New Roman" w:hAnsi="Arial" w:cs="Arial"/>
                <w:color w:val="17365D" w:themeColor="text2" w:themeShade="BF"/>
                <w:sz w:val="18"/>
                <w:szCs w:val="18"/>
              </w:rPr>
              <w:t>%</w:t>
            </w:r>
          </w:p>
        </w:tc>
        <w:tc>
          <w:tcPr>
            <w:tcW w:w="1265" w:type="dxa"/>
          </w:tcPr>
          <w:p w14:paraId="36BF3793" w14:textId="74FF18EE" w:rsidR="002D178D" w:rsidRPr="00E97D52"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7.7</w:t>
            </w:r>
            <w:r w:rsidRPr="000A0500">
              <w:rPr>
                <w:rFonts w:ascii="Arial" w:eastAsia="Times New Roman" w:hAnsi="Arial" w:cs="Arial"/>
                <w:color w:val="17365D" w:themeColor="text2" w:themeShade="BF"/>
                <w:sz w:val="18"/>
                <w:szCs w:val="18"/>
              </w:rPr>
              <w:t>%</w:t>
            </w:r>
          </w:p>
        </w:tc>
        <w:tc>
          <w:tcPr>
            <w:tcW w:w="1265" w:type="dxa"/>
          </w:tcPr>
          <w:p w14:paraId="60C3D45F" w14:textId="29632DE9" w:rsidR="002D178D" w:rsidRPr="00E97D52"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3.6</w:t>
            </w:r>
            <w:r w:rsidRPr="007650CC">
              <w:rPr>
                <w:rFonts w:ascii="Arial" w:eastAsia="Times New Roman" w:hAnsi="Arial" w:cs="Arial"/>
                <w:color w:val="17365D" w:themeColor="text2" w:themeShade="BF"/>
                <w:sz w:val="18"/>
                <w:szCs w:val="18"/>
              </w:rPr>
              <w:t>%</w:t>
            </w:r>
          </w:p>
        </w:tc>
        <w:tc>
          <w:tcPr>
            <w:tcW w:w="1265" w:type="dxa"/>
          </w:tcPr>
          <w:p w14:paraId="53B735C6" w14:textId="154AFA25" w:rsidR="002D178D" w:rsidRPr="00E97D52"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7.6</w:t>
            </w:r>
            <w:r w:rsidRPr="00E87888">
              <w:rPr>
                <w:rFonts w:ascii="Arial" w:eastAsia="Times New Roman" w:hAnsi="Arial" w:cs="Arial"/>
                <w:color w:val="17365D" w:themeColor="text2" w:themeShade="BF"/>
                <w:sz w:val="18"/>
                <w:szCs w:val="18"/>
              </w:rPr>
              <w:t>%</w:t>
            </w:r>
          </w:p>
        </w:tc>
        <w:tc>
          <w:tcPr>
            <w:tcW w:w="1266" w:type="dxa"/>
          </w:tcPr>
          <w:p w14:paraId="3696D109" w14:textId="0F6D3EC8" w:rsidR="002D178D" w:rsidRPr="00E97D52"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D046CF">
              <w:rPr>
                <w:rFonts w:ascii="Arial" w:eastAsia="Times New Roman" w:hAnsi="Arial" w:cs="Arial"/>
                <w:color w:val="17365D" w:themeColor="text2" w:themeShade="BF"/>
                <w:sz w:val="18"/>
                <w:szCs w:val="18"/>
              </w:rPr>
              <w:t>3.4</w:t>
            </w:r>
            <w:r w:rsidRPr="00560673">
              <w:rPr>
                <w:rFonts w:ascii="Arial" w:eastAsia="Times New Roman" w:hAnsi="Arial" w:cs="Arial"/>
                <w:color w:val="17365D" w:themeColor="text2" w:themeShade="BF"/>
                <w:sz w:val="18"/>
                <w:szCs w:val="18"/>
              </w:rPr>
              <w:t>%</w:t>
            </w:r>
          </w:p>
        </w:tc>
      </w:tr>
    </w:tbl>
    <w:p w14:paraId="76F803AD" w14:textId="77777777" w:rsidR="00E97D52" w:rsidRPr="00B64ECF" w:rsidRDefault="00E97D52" w:rsidP="00E97D52">
      <w:pPr>
        <w:pStyle w:val="NoSpacing"/>
        <w:rPr>
          <w:rFonts w:ascii="Arial" w:hAnsi="Arial" w:cs="Arial"/>
          <w:sz w:val="12"/>
          <w:szCs w:val="16"/>
        </w:rPr>
      </w:pPr>
    </w:p>
    <w:p w14:paraId="7B8E71ED" w14:textId="39D7F5F7" w:rsidR="0053257C" w:rsidRDefault="00E97D52" w:rsidP="002D178D">
      <w:pPr>
        <w:pStyle w:val="NoSpacing"/>
        <w:rPr>
          <w:rFonts w:ascii="Arial" w:hAnsi="Arial" w:cs="Arial"/>
          <w:sz w:val="16"/>
          <w:szCs w:val="16"/>
        </w:rPr>
      </w:pPr>
      <w:r w:rsidRPr="005C6A11">
        <w:rPr>
          <w:rFonts w:ascii="Arial" w:hAnsi="Arial" w:cs="Arial"/>
          <w:sz w:val="16"/>
          <w:szCs w:val="16"/>
        </w:rPr>
        <w:t xml:space="preserve">Source: IRI, </w:t>
      </w:r>
      <w:r>
        <w:rPr>
          <w:rFonts w:ascii="Arial" w:hAnsi="Arial" w:cs="Arial"/>
          <w:sz w:val="16"/>
          <w:szCs w:val="16"/>
        </w:rPr>
        <w:t xml:space="preserve">Integrated Fresh, Total </w:t>
      </w:r>
      <w:r w:rsidRPr="005C6A11">
        <w:rPr>
          <w:rFonts w:ascii="Arial" w:hAnsi="Arial" w:cs="Arial"/>
          <w:sz w:val="16"/>
          <w:szCs w:val="16"/>
        </w:rPr>
        <w:t>US, MULO, % change vs. year ago.</w:t>
      </w:r>
    </w:p>
    <w:p w14:paraId="2D03CADD" w14:textId="77777777" w:rsidR="002D178D" w:rsidRPr="00C227BA" w:rsidRDefault="002D178D" w:rsidP="002D178D">
      <w:pPr>
        <w:pStyle w:val="NoSpacing"/>
        <w:rPr>
          <w:rFonts w:ascii="Arial" w:hAnsi="Arial" w:cs="Arial"/>
          <w:color w:val="595959" w:themeColor="text1" w:themeTint="A6"/>
          <w:sz w:val="24"/>
        </w:rPr>
      </w:pPr>
    </w:p>
    <w:tbl>
      <w:tblPr>
        <w:tblStyle w:val="LightShading-Accent5"/>
        <w:tblpPr w:leftFromText="180" w:rightFromText="180" w:vertAnchor="text" w:horzAnchor="margin" w:tblpXSpec="right" w:tblpY="320"/>
        <w:tblOverlap w:val="never"/>
        <w:tblW w:w="5701" w:type="dxa"/>
        <w:tblBorders>
          <w:top w:val="none" w:sz="0" w:space="0" w:color="auto"/>
          <w:bottom w:val="none" w:sz="0" w:space="0" w:color="auto"/>
        </w:tblBorders>
        <w:tblLook w:val="04A0" w:firstRow="1" w:lastRow="0" w:firstColumn="1" w:lastColumn="0" w:noHBand="0" w:noVBand="1"/>
      </w:tblPr>
      <w:tblGrid>
        <w:gridCol w:w="1843"/>
        <w:gridCol w:w="1276"/>
        <w:gridCol w:w="1291"/>
        <w:gridCol w:w="1291"/>
      </w:tblGrid>
      <w:tr w:rsidR="00A225AD" w:rsidRPr="00DE633B" w14:paraId="789E18F0" w14:textId="77777777" w:rsidTr="009D788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2B589CF" w14:textId="77777777" w:rsidR="00A225AD" w:rsidRPr="00DE633B" w:rsidRDefault="00A225AD" w:rsidP="00340AA9">
            <w:pPr>
              <w:rPr>
                <w:rFonts w:ascii="Arial" w:hAnsi="Arial" w:cs="Arial"/>
                <w:color w:val="FFFFFF" w:themeColor="background1"/>
                <w:sz w:val="18"/>
                <w:szCs w:val="20"/>
              </w:rPr>
            </w:pPr>
            <w:r>
              <w:rPr>
                <w:rFonts w:ascii="Arial" w:hAnsi="Arial" w:cs="Arial"/>
                <w:color w:val="FFFFFF" w:themeColor="background1"/>
                <w:sz w:val="18"/>
                <w:szCs w:val="20"/>
              </w:rPr>
              <w:t xml:space="preserve">Produce </w:t>
            </w:r>
            <w:r w:rsidRPr="00DE633B">
              <w:rPr>
                <w:rFonts w:ascii="Arial" w:hAnsi="Arial" w:cs="Arial"/>
                <w:color w:val="FFFFFF" w:themeColor="background1"/>
                <w:sz w:val="18"/>
                <w:szCs w:val="20"/>
              </w:rPr>
              <w:t>department</w:t>
            </w:r>
          </w:p>
        </w:tc>
        <w:tc>
          <w:tcPr>
            <w:tcW w:w="1276"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97495A7" w14:textId="77777777" w:rsidR="00A225AD" w:rsidRPr="00DE633B" w:rsidRDefault="00A225AD"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DE633B">
              <w:rPr>
                <w:rFonts w:ascii="Arial" w:hAnsi="Arial" w:cs="Arial"/>
                <w:color w:val="FFFFFF" w:themeColor="background1"/>
                <w:sz w:val="18"/>
                <w:szCs w:val="20"/>
              </w:rPr>
              <w:t xml:space="preserve">Dollar </w:t>
            </w:r>
            <w:r>
              <w:rPr>
                <w:rFonts w:ascii="Arial" w:hAnsi="Arial" w:cs="Arial"/>
                <w:color w:val="FFFFFF" w:themeColor="background1"/>
                <w:sz w:val="18"/>
                <w:szCs w:val="20"/>
              </w:rPr>
              <w:br/>
            </w:r>
            <w:r w:rsidRPr="00DE633B">
              <w:rPr>
                <w:rFonts w:ascii="Arial" w:hAnsi="Arial" w:cs="Arial"/>
                <w:color w:val="FFFFFF" w:themeColor="background1"/>
                <w:sz w:val="18"/>
                <w:szCs w:val="20"/>
              </w:rPr>
              <w:t>sales</w:t>
            </w:r>
          </w:p>
        </w:tc>
        <w:tc>
          <w:tcPr>
            <w:tcW w:w="1291"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F6EDA89" w14:textId="77777777" w:rsidR="009D7889"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 </w:t>
            </w:r>
          </w:p>
          <w:p w14:paraId="789DFE22" w14:textId="5D3683E5" w:rsidR="00A225AD" w:rsidRPr="00DE633B" w:rsidRDefault="00A225AD"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vs. </w:t>
            </w:r>
            <w:r w:rsidR="009D7889">
              <w:rPr>
                <w:rFonts w:ascii="Arial" w:hAnsi="Arial" w:cs="Arial"/>
                <w:color w:val="FFFFFF" w:themeColor="background1"/>
                <w:sz w:val="18"/>
                <w:szCs w:val="20"/>
              </w:rPr>
              <w:t>YA</w:t>
            </w:r>
          </w:p>
        </w:tc>
        <w:tc>
          <w:tcPr>
            <w:tcW w:w="1291"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00F40F68" w14:textId="77777777" w:rsidR="009D7889"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proofErr w:type="spellStart"/>
            <w:r>
              <w:rPr>
                <w:rFonts w:ascii="Arial" w:hAnsi="Arial" w:cs="Arial"/>
                <w:color w:val="FFFFFF" w:themeColor="background1"/>
                <w:sz w:val="18"/>
                <w:szCs w:val="20"/>
              </w:rPr>
              <w:t>Lbs</w:t>
            </w:r>
            <w:proofErr w:type="spellEnd"/>
            <w:r>
              <w:rPr>
                <w:rFonts w:ascii="Arial" w:hAnsi="Arial" w:cs="Arial"/>
                <w:color w:val="FFFFFF" w:themeColor="background1"/>
                <w:sz w:val="18"/>
                <w:szCs w:val="20"/>
              </w:rPr>
              <w:t xml:space="preserve"> </w:t>
            </w:r>
          </w:p>
          <w:p w14:paraId="602B4FB7" w14:textId="2AC2744A" w:rsidR="00A225AD" w:rsidRPr="00DE633B"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r>
      <w:tr w:rsidR="00A225AD" w:rsidRPr="00361BCC" w14:paraId="2B024870" w14:textId="77777777" w:rsidTr="009D78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642F99E2" w14:textId="450E9179" w:rsidR="00A225AD" w:rsidRPr="00361BCC" w:rsidRDefault="002D178D" w:rsidP="00340AA9">
            <w:pPr>
              <w:pStyle w:val="NoSpacing"/>
              <w:rPr>
                <w:rFonts w:ascii="Arial" w:hAnsi="Arial" w:cs="Arial"/>
                <w:color w:val="215868" w:themeColor="accent5" w:themeShade="80"/>
                <w:sz w:val="18"/>
                <w:szCs w:val="18"/>
              </w:rPr>
            </w:pPr>
            <w:r>
              <w:rPr>
                <w:rFonts w:ascii="Arial" w:hAnsi="Arial" w:cs="Arial"/>
                <w:color w:val="215868" w:themeColor="accent5" w:themeShade="80"/>
                <w:sz w:val="18"/>
                <w:szCs w:val="18"/>
              </w:rPr>
              <w:t xml:space="preserve">February </w:t>
            </w:r>
            <w:r w:rsidR="00112E9A">
              <w:rPr>
                <w:rFonts w:ascii="Arial" w:hAnsi="Arial" w:cs="Arial"/>
                <w:color w:val="215868" w:themeColor="accent5" w:themeShade="80"/>
                <w:sz w:val="18"/>
                <w:szCs w:val="18"/>
              </w:rPr>
              <w:t>2022</w:t>
            </w:r>
          </w:p>
        </w:tc>
        <w:tc>
          <w:tcPr>
            <w:tcW w:w="1276" w:type="dxa"/>
            <w:tcBorders>
              <w:left w:val="none" w:sz="0" w:space="0" w:color="auto"/>
              <w:right w:val="none" w:sz="0" w:space="0" w:color="auto"/>
            </w:tcBorders>
            <w:vAlign w:val="center"/>
          </w:tcPr>
          <w:p w14:paraId="112F661F" w14:textId="41FDCA0C" w:rsidR="00A225AD" w:rsidRPr="00361BCC" w:rsidRDefault="00A225AD"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sidRPr="00361BCC">
              <w:rPr>
                <w:rFonts w:ascii="Arial" w:hAnsi="Arial" w:cs="Arial"/>
                <w:b/>
                <w:bCs/>
                <w:color w:val="215868" w:themeColor="accent5" w:themeShade="80"/>
                <w:sz w:val="18"/>
                <w:szCs w:val="20"/>
              </w:rPr>
              <w:t>$</w:t>
            </w:r>
            <w:r w:rsidR="002F2661">
              <w:rPr>
                <w:rFonts w:ascii="Arial" w:hAnsi="Arial" w:cs="Arial"/>
                <w:b/>
                <w:bCs/>
                <w:color w:val="215868" w:themeColor="accent5" w:themeShade="80"/>
                <w:sz w:val="18"/>
                <w:szCs w:val="20"/>
              </w:rPr>
              <w:t>5.6</w:t>
            </w:r>
            <w:r w:rsidRPr="00361BCC">
              <w:rPr>
                <w:rFonts w:ascii="Arial" w:hAnsi="Arial" w:cs="Arial"/>
                <w:b/>
                <w:bCs/>
                <w:color w:val="215868" w:themeColor="accent5" w:themeShade="80"/>
                <w:sz w:val="18"/>
                <w:szCs w:val="20"/>
              </w:rPr>
              <w:t>B</w:t>
            </w:r>
          </w:p>
        </w:tc>
        <w:tc>
          <w:tcPr>
            <w:tcW w:w="1291" w:type="dxa"/>
            <w:tcBorders>
              <w:left w:val="none" w:sz="0" w:space="0" w:color="auto"/>
              <w:right w:val="none" w:sz="0" w:space="0" w:color="auto"/>
            </w:tcBorders>
            <w:vAlign w:val="center"/>
          </w:tcPr>
          <w:p w14:paraId="626D5FC4" w14:textId="63429656" w:rsidR="00A225AD" w:rsidRPr="00361BCC" w:rsidRDefault="00BA7456"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2F2661">
              <w:rPr>
                <w:rFonts w:ascii="Arial" w:hAnsi="Arial" w:cs="Arial"/>
                <w:b/>
                <w:bCs/>
                <w:color w:val="215868" w:themeColor="accent5" w:themeShade="80"/>
                <w:sz w:val="18"/>
                <w:szCs w:val="20"/>
              </w:rPr>
              <w:t>4.6</w:t>
            </w:r>
            <w:r w:rsidR="00A225AD" w:rsidRPr="00361BCC">
              <w:rPr>
                <w:rFonts w:ascii="Arial" w:hAnsi="Arial" w:cs="Arial"/>
                <w:b/>
                <w:bCs/>
                <w:color w:val="215868" w:themeColor="accent5" w:themeShade="80"/>
                <w:sz w:val="18"/>
                <w:szCs w:val="20"/>
              </w:rPr>
              <w:t>%</w:t>
            </w:r>
          </w:p>
        </w:tc>
        <w:tc>
          <w:tcPr>
            <w:tcW w:w="1291" w:type="dxa"/>
            <w:tcBorders>
              <w:left w:val="none" w:sz="0" w:space="0" w:color="auto"/>
              <w:right w:val="none" w:sz="0" w:space="0" w:color="auto"/>
            </w:tcBorders>
            <w:vAlign w:val="center"/>
          </w:tcPr>
          <w:p w14:paraId="18FFDE5D" w14:textId="490A60F4" w:rsidR="00A225AD" w:rsidRPr="00361BCC" w:rsidRDefault="009D7889"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2F2661">
              <w:rPr>
                <w:rFonts w:ascii="Arial" w:hAnsi="Arial" w:cs="Arial"/>
                <w:b/>
                <w:bCs/>
                <w:color w:val="215868" w:themeColor="accent5" w:themeShade="80"/>
                <w:sz w:val="18"/>
                <w:szCs w:val="20"/>
              </w:rPr>
              <w:t>5.7</w:t>
            </w:r>
            <w:r w:rsidR="00A225AD" w:rsidRPr="00361BCC">
              <w:rPr>
                <w:rFonts w:ascii="Arial" w:hAnsi="Arial" w:cs="Arial"/>
                <w:b/>
                <w:bCs/>
                <w:color w:val="215868" w:themeColor="accent5" w:themeShade="80"/>
                <w:sz w:val="18"/>
                <w:szCs w:val="20"/>
              </w:rPr>
              <w:t>%</w:t>
            </w:r>
          </w:p>
        </w:tc>
      </w:tr>
      <w:tr w:rsidR="002D178D" w:rsidRPr="00E736B9" w14:paraId="0E6C1C11" w14:textId="77777777" w:rsidTr="00340AA9">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1A1C270" w14:textId="3E4422BD" w:rsidR="002D178D" w:rsidRPr="00E736B9" w:rsidRDefault="002D178D" w:rsidP="002D178D">
            <w:pPr>
              <w:pStyle w:val="NoSpacing"/>
              <w:rPr>
                <w:rFonts w:ascii="Arial" w:hAnsi="Arial" w:cs="Arial"/>
                <w:b w:val="0"/>
                <w:color w:val="215868" w:themeColor="accent5" w:themeShade="80"/>
                <w:sz w:val="18"/>
                <w:szCs w:val="18"/>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2/6/2022</w:t>
            </w:r>
          </w:p>
        </w:tc>
        <w:tc>
          <w:tcPr>
            <w:tcW w:w="1276" w:type="dxa"/>
            <w:vAlign w:val="center"/>
          </w:tcPr>
          <w:p w14:paraId="05ACFCB0" w14:textId="22DC46CC" w:rsidR="002D178D" w:rsidRPr="002D178D"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1.4</w:t>
            </w:r>
            <w:r w:rsidRPr="002D178D">
              <w:rPr>
                <w:rFonts w:ascii="Arial" w:hAnsi="Arial" w:cs="Arial"/>
                <w:color w:val="215868" w:themeColor="accent5" w:themeShade="80"/>
                <w:sz w:val="18"/>
                <w:szCs w:val="20"/>
              </w:rPr>
              <w:t>B</w:t>
            </w:r>
          </w:p>
        </w:tc>
        <w:tc>
          <w:tcPr>
            <w:tcW w:w="1291" w:type="dxa"/>
            <w:vAlign w:val="center"/>
          </w:tcPr>
          <w:p w14:paraId="58668FAD" w14:textId="75AAC8A0" w:rsidR="002D178D" w:rsidRPr="002D178D"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1.5</w:t>
            </w:r>
            <w:r w:rsidRPr="002D178D">
              <w:rPr>
                <w:rFonts w:ascii="Arial" w:hAnsi="Arial" w:cs="Arial"/>
                <w:color w:val="215868" w:themeColor="accent5" w:themeShade="80"/>
                <w:sz w:val="18"/>
                <w:szCs w:val="20"/>
              </w:rPr>
              <w:t>%</w:t>
            </w:r>
          </w:p>
        </w:tc>
        <w:tc>
          <w:tcPr>
            <w:tcW w:w="1291" w:type="dxa"/>
            <w:vAlign w:val="center"/>
          </w:tcPr>
          <w:p w14:paraId="71A2D256" w14:textId="140DE582" w:rsidR="002D178D" w:rsidRPr="002D178D"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6.9</w:t>
            </w:r>
            <w:r w:rsidRPr="002D178D">
              <w:rPr>
                <w:rFonts w:ascii="Arial" w:hAnsi="Arial" w:cs="Arial"/>
                <w:color w:val="215868" w:themeColor="accent5" w:themeShade="80"/>
                <w:sz w:val="18"/>
                <w:szCs w:val="20"/>
              </w:rPr>
              <w:t>%</w:t>
            </w:r>
          </w:p>
        </w:tc>
      </w:tr>
      <w:tr w:rsidR="002D178D" w:rsidRPr="00E736B9" w14:paraId="6851F49E" w14:textId="77777777" w:rsidTr="009D78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647D5E2A" w14:textId="74116BAC" w:rsidR="002D178D" w:rsidRPr="00E736B9" w:rsidRDefault="002D178D" w:rsidP="002D178D">
            <w:pPr>
              <w:rPr>
                <w:color w:val="215868" w:themeColor="accent5" w:themeShade="80"/>
              </w:rPr>
            </w:pPr>
            <w:proofErr w:type="spellStart"/>
            <w:r w:rsidRPr="00E736B9">
              <w:rPr>
                <w:rFonts w:ascii="Arial" w:hAnsi="Arial" w:cs="Arial"/>
                <w:b w:val="0"/>
                <w:color w:val="215868" w:themeColor="accent5" w:themeShade="80"/>
                <w:sz w:val="18"/>
                <w:szCs w:val="18"/>
              </w:rPr>
              <w:t>w.e</w:t>
            </w:r>
            <w:proofErr w:type="spellEnd"/>
            <w:r w:rsidRPr="00E736B9">
              <w:rPr>
                <w:rFonts w:ascii="Arial" w:hAnsi="Arial" w:cs="Arial"/>
                <w:b w:val="0"/>
                <w:color w:val="215868" w:themeColor="accent5" w:themeShade="80"/>
                <w:sz w:val="18"/>
                <w:szCs w:val="18"/>
              </w:rPr>
              <w:t xml:space="preserve">. </w:t>
            </w:r>
            <w:r>
              <w:rPr>
                <w:rFonts w:ascii="Arial" w:hAnsi="Arial" w:cs="Arial"/>
                <w:b w:val="0"/>
                <w:color w:val="215868" w:themeColor="accent5" w:themeShade="80"/>
                <w:sz w:val="18"/>
                <w:szCs w:val="18"/>
              </w:rPr>
              <w:t>2/13/2022</w:t>
            </w:r>
          </w:p>
        </w:tc>
        <w:tc>
          <w:tcPr>
            <w:tcW w:w="1276" w:type="dxa"/>
            <w:tcBorders>
              <w:left w:val="none" w:sz="0" w:space="0" w:color="auto"/>
              <w:right w:val="none" w:sz="0" w:space="0" w:color="auto"/>
            </w:tcBorders>
            <w:vAlign w:val="center"/>
          </w:tcPr>
          <w:p w14:paraId="38924E9F" w14:textId="20EDD571" w:rsidR="002D178D" w:rsidRPr="002D178D"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1.5</w:t>
            </w:r>
            <w:r w:rsidRPr="002D178D">
              <w:rPr>
                <w:rFonts w:ascii="Arial" w:hAnsi="Arial" w:cs="Arial"/>
                <w:color w:val="215868" w:themeColor="accent5" w:themeShade="80"/>
                <w:sz w:val="18"/>
                <w:szCs w:val="20"/>
              </w:rPr>
              <w:t>B</w:t>
            </w:r>
          </w:p>
        </w:tc>
        <w:tc>
          <w:tcPr>
            <w:tcW w:w="1291" w:type="dxa"/>
            <w:tcBorders>
              <w:left w:val="none" w:sz="0" w:space="0" w:color="auto"/>
              <w:right w:val="none" w:sz="0" w:space="0" w:color="auto"/>
            </w:tcBorders>
            <w:vAlign w:val="center"/>
          </w:tcPr>
          <w:p w14:paraId="5FDEE9AD" w14:textId="7FB17BF9" w:rsidR="002D178D" w:rsidRPr="002D178D"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6.4</w:t>
            </w:r>
            <w:r w:rsidRPr="002D178D">
              <w:rPr>
                <w:rFonts w:ascii="Arial" w:hAnsi="Arial" w:cs="Arial"/>
                <w:color w:val="215868" w:themeColor="accent5" w:themeShade="80"/>
                <w:sz w:val="18"/>
                <w:szCs w:val="20"/>
              </w:rPr>
              <w:t>%</w:t>
            </w:r>
          </w:p>
        </w:tc>
        <w:tc>
          <w:tcPr>
            <w:tcW w:w="1291" w:type="dxa"/>
            <w:tcBorders>
              <w:left w:val="none" w:sz="0" w:space="0" w:color="auto"/>
              <w:right w:val="none" w:sz="0" w:space="0" w:color="auto"/>
            </w:tcBorders>
            <w:vAlign w:val="center"/>
          </w:tcPr>
          <w:p w14:paraId="05B7695E" w14:textId="67F7338C" w:rsidR="002D178D" w:rsidRPr="002D178D"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5.1</w:t>
            </w:r>
            <w:r w:rsidRPr="002D178D">
              <w:rPr>
                <w:rFonts w:ascii="Arial" w:hAnsi="Arial" w:cs="Arial"/>
                <w:color w:val="215868" w:themeColor="accent5" w:themeShade="80"/>
                <w:sz w:val="18"/>
                <w:szCs w:val="20"/>
              </w:rPr>
              <w:t>%</w:t>
            </w:r>
          </w:p>
        </w:tc>
      </w:tr>
      <w:tr w:rsidR="002D178D" w:rsidRPr="00E736B9" w14:paraId="0D2847A6" w14:textId="77777777" w:rsidTr="002073DC">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B223774" w14:textId="1E68A155" w:rsidR="002D178D" w:rsidRPr="00E736B9" w:rsidRDefault="002D178D" w:rsidP="002D178D">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2/20/2022</w:t>
            </w:r>
          </w:p>
        </w:tc>
        <w:tc>
          <w:tcPr>
            <w:tcW w:w="1276" w:type="dxa"/>
            <w:vAlign w:val="center"/>
          </w:tcPr>
          <w:p w14:paraId="5AB61FC0" w14:textId="3F1992ED" w:rsidR="002D178D" w:rsidRPr="002D178D" w:rsidRDefault="002D178D" w:rsidP="002D178D">
            <w:pPr>
              <w:jc w:val="right"/>
              <w:cnfStyle w:val="000000000000" w:firstRow="0" w:lastRow="0" w:firstColumn="0" w:lastColumn="0" w:oddVBand="0" w:evenVBand="0" w:oddHBand="0" w:evenHBand="0" w:firstRowFirstColumn="0" w:firstRowLastColumn="0" w:lastRowFirstColumn="0" w:lastRowLastColumn="0"/>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1.4</w:t>
            </w:r>
            <w:r w:rsidRPr="002D178D">
              <w:rPr>
                <w:rFonts w:ascii="Arial" w:hAnsi="Arial" w:cs="Arial"/>
                <w:color w:val="215868" w:themeColor="accent5" w:themeShade="80"/>
                <w:sz w:val="18"/>
                <w:szCs w:val="20"/>
              </w:rPr>
              <w:t>B</w:t>
            </w:r>
          </w:p>
        </w:tc>
        <w:tc>
          <w:tcPr>
            <w:tcW w:w="1291" w:type="dxa"/>
            <w:vAlign w:val="center"/>
          </w:tcPr>
          <w:p w14:paraId="17ECF4F3" w14:textId="50A8519C" w:rsidR="002D178D" w:rsidRPr="002D178D"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6.3</w:t>
            </w:r>
            <w:r w:rsidRPr="002D178D">
              <w:rPr>
                <w:rFonts w:ascii="Arial" w:hAnsi="Arial" w:cs="Arial"/>
                <w:color w:val="215868" w:themeColor="accent5" w:themeShade="80"/>
                <w:sz w:val="18"/>
                <w:szCs w:val="20"/>
              </w:rPr>
              <w:t>%</w:t>
            </w:r>
          </w:p>
        </w:tc>
        <w:tc>
          <w:tcPr>
            <w:tcW w:w="1291" w:type="dxa"/>
            <w:vAlign w:val="center"/>
          </w:tcPr>
          <w:p w14:paraId="787DCCD7" w14:textId="0C150CF9" w:rsidR="002D178D" w:rsidRPr="002D178D" w:rsidRDefault="002D178D" w:rsidP="002D178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5.0</w:t>
            </w:r>
            <w:r w:rsidRPr="002D178D">
              <w:rPr>
                <w:rFonts w:ascii="Arial" w:hAnsi="Arial" w:cs="Arial"/>
                <w:color w:val="215868" w:themeColor="accent5" w:themeShade="80"/>
                <w:sz w:val="18"/>
                <w:szCs w:val="20"/>
              </w:rPr>
              <w:t>%</w:t>
            </w:r>
          </w:p>
        </w:tc>
      </w:tr>
      <w:tr w:rsidR="002D178D" w:rsidRPr="00E736B9" w14:paraId="480D89B1" w14:textId="77777777" w:rsidTr="002073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5D516260" w14:textId="131F1E6A" w:rsidR="002D178D" w:rsidRPr="00E736B9" w:rsidRDefault="002D178D" w:rsidP="002D178D">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2/27/2022</w:t>
            </w:r>
          </w:p>
        </w:tc>
        <w:tc>
          <w:tcPr>
            <w:tcW w:w="1276" w:type="dxa"/>
            <w:tcBorders>
              <w:left w:val="none" w:sz="0" w:space="0" w:color="auto"/>
              <w:right w:val="none" w:sz="0" w:space="0" w:color="auto"/>
            </w:tcBorders>
            <w:vAlign w:val="center"/>
          </w:tcPr>
          <w:p w14:paraId="1637EA20" w14:textId="06AD9980" w:rsidR="002D178D" w:rsidRPr="002D178D" w:rsidRDefault="002D178D" w:rsidP="002D178D">
            <w:pPr>
              <w:jc w:val="right"/>
              <w:cnfStyle w:val="000000100000" w:firstRow="0" w:lastRow="0" w:firstColumn="0" w:lastColumn="0" w:oddVBand="0" w:evenVBand="0" w:oddHBand="1" w:evenHBand="0" w:firstRowFirstColumn="0" w:firstRowLastColumn="0" w:lastRowFirstColumn="0" w:lastRowLastColumn="0"/>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1.4</w:t>
            </w:r>
            <w:r w:rsidRPr="002D178D">
              <w:rPr>
                <w:rFonts w:ascii="Arial" w:hAnsi="Arial" w:cs="Arial"/>
                <w:color w:val="215868" w:themeColor="accent5" w:themeShade="80"/>
                <w:sz w:val="18"/>
                <w:szCs w:val="20"/>
              </w:rPr>
              <w:t>B</w:t>
            </w:r>
          </w:p>
        </w:tc>
        <w:tc>
          <w:tcPr>
            <w:tcW w:w="1291" w:type="dxa"/>
            <w:tcBorders>
              <w:left w:val="none" w:sz="0" w:space="0" w:color="auto"/>
              <w:right w:val="none" w:sz="0" w:space="0" w:color="auto"/>
            </w:tcBorders>
            <w:vAlign w:val="center"/>
          </w:tcPr>
          <w:p w14:paraId="7A1D7AA7" w14:textId="6EEB36F5" w:rsidR="002D178D" w:rsidRPr="002D178D"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4.4</w:t>
            </w:r>
            <w:r w:rsidRPr="002D178D">
              <w:rPr>
                <w:rFonts w:ascii="Arial" w:hAnsi="Arial" w:cs="Arial"/>
                <w:color w:val="215868" w:themeColor="accent5" w:themeShade="80"/>
                <w:sz w:val="18"/>
                <w:szCs w:val="20"/>
              </w:rPr>
              <w:t>%</w:t>
            </w:r>
          </w:p>
        </w:tc>
        <w:tc>
          <w:tcPr>
            <w:tcW w:w="1291" w:type="dxa"/>
            <w:tcBorders>
              <w:left w:val="none" w:sz="0" w:space="0" w:color="auto"/>
              <w:right w:val="none" w:sz="0" w:space="0" w:color="auto"/>
            </w:tcBorders>
            <w:vAlign w:val="center"/>
          </w:tcPr>
          <w:p w14:paraId="57F75F3D" w14:textId="3AD22D39" w:rsidR="002D178D" w:rsidRPr="002D178D" w:rsidRDefault="002D178D" w:rsidP="002D178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2D178D">
              <w:rPr>
                <w:rFonts w:ascii="Arial" w:hAnsi="Arial" w:cs="Arial"/>
                <w:color w:val="215868" w:themeColor="accent5" w:themeShade="80"/>
                <w:sz w:val="18"/>
                <w:szCs w:val="20"/>
              </w:rPr>
              <w:t>-</w:t>
            </w:r>
            <w:r w:rsidR="002F2661">
              <w:rPr>
                <w:rFonts w:ascii="Arial" w:hAnsi="Arial" w:cs="Arial"/>
                <w:color w:val="215868" w:themeColor="accent5" w:themeShade="80"/>
                <w:sz w:val="18"/>
                <w:szCs w:val="20"/>
              </w:rPr>
              <w:t>5.8</w:t>
            </w:r>
            <w:r w:rsidRPr="002D178D">
              <w:rPr>
                <w:rFonts w:ascii="Arial" w:hAnsi="Arial" w:cs="Arial"/>
                <w:color w:val="215868" w:themeColor="accent5" w:themeShade="80"/>
                <w:sz w:val="18"/>
                <w:szCs w:val="20"/>
              </w:rPr>
              <w:t>%</w:t>
            </w:r>
          </w:p>
        </w:tc>
      </w:tr>
    </w:tbl>
    <w:p w14:paraId="275DFD20" w14:textId="77777777" w:rsidR="002F2661" w:rsidRDefault="009D7889" w:rsidP="00A225AD">
      <w:pPr>
        <w:spacing w:after="0" w:line="240" w:lineRule="auto"/>
        <w:rPr>
          <w:rFonts w:ascii="Arial" w:hAnsi="Arial" w:cs="Arial"/>
          <w:sz w:val="20"/>
          <w:szCs w:val="20"/>
        </w:rPr>
      </w:pPr>
      <w:r>
        <w:rPr>
          <w:rFonts w:ascii="Arial" w:hAnsi="Arial" w:cs="Arial"/>
          <w:sz w:val="20"/>
          <w:szCs w:val="20"/>
        </w:rPr>
        <w:t xml:space="preserve">Each of the </w:t>
      </w:r>
      <w:r w:rsidR="002F2661">
        <w:rPr>
          <w:rFonts w:ascii="Arial" w:hAnsi="Arial" w:cs="Arial"/>
          <w:sz w:val="20"/>
          <w:szCs w:val="20"/>
        </w:rPr>
        <w:t xml:space="preserve">four February </w:t>
      </w:r>
      <w:r w:rsidR="0047723D">
        <w:rPr>
          <w:rFonts w:ascii="Arial" w:hAnsi="Arial" w:cs="Arial"/>
          <w:sz w:val="20"/>
          <w:szCs w:val="20"/>
        </w:rPr>
        <w:t xml:space="preserve">weeks generated </w:t>
      </w:r>
      <w:r w:rsidR="002F2661">
        <w:rPr>
          <w:rFonts w:ascii="Arial" w:hAnsi="Arial" w:cs="Arial"/>
          <w:sz w:val="20"/>
          <w:szCs w:val="20"/>
        </w:rPr>
        <w:t xml:space="preserve">around </w:t>
      </w:r>
      <w:r w:rsidR="0047723D">
        <w:rPr>
          <w:rFonts w:ascii="Arial" w:hAnsi="Arial" w:cs="Arial"/>
          <w:sz w:val="20"/>
          <w:szCs w:val="20"/>
        </w:rPr>
        <w:t>$1.</w:t>
      </w:r>
      <w:r w:rsidR="002F2661">
        <w:rPr>
          <w:rFonts w:ascii="Arial" w:hAnsi="Arial" w:cs="Arial"/>
          <w:sz w:val="20"/>
          <w:szCs w:val="20"/>
        </w:rPr>
        <w:t>4</w:t>
      </w:r>
      <w:r w:rsidR="0047723D">
        <w:rPr>
          <w:rFonts w:ascii="Arial" w:hAnsi="Arial" w:cs="Arial"/>
          <w:sz w:val="20"/>
          <w:szCs w:val="20"/>
        </w:rPr>
        <w:t xml:space="preserve"> billion</w:t>
      </w:r>
      <w:r w:rsidR="002F2661">
        <w:rPr>
          <w:rFonts w:ascii="Arial" w:hAnsi="Arial" w:cs="Arial"/>
          <w:sz w:val="20"/>
          <w:szCs w:val="20"/>
        </w:rPr>
        <w:t xml:space="preserve">, which is stable, if not elevated, from the levels seen in the December and January weeks. </w:t>
      </w:r>
    </w:p>
    <w:p w14:paraId="19983696" w14:textId="77777777" w:rsidR="002F2661" w:rsidRDefault="002F2661" w:rsidP="00A225AD">
      <w:pPr>
        <w:spacing w:after="0" w:line="240" w:lineRule="auto"/>
        <w:rPr>
          <w:rFonts w:ascii="Arial" w:hAnsi="Arial" w:cs="Arial"/>
          <w:sz w:val="20"/>
          <w:szCs w:val="20"/>
        </w:rPr>
      </w:pPr>
    </w:p>
    <w:p w14:paraId="0C85A19E" w14:textId="644817FC" w:rsidR="003B4FA0" w:rsidRDefault="002F2661" w:rsidP="00A225AD">
      <w:pPr>
        <w:spacing w:after="0" w:line="240" w:lineRule="auto"/>
        <w:rPr>
          <w:rFonts w:ascii="Arial" w:hAnsi="Arial" w:cs="Arial"/>
          <w:sz w:val="20"/>
          <w:szCs w:val="20"/>
        </w:rPr>
      </w:pPr>
      <w:r>
        <w:rPr>
          <w:rFonts w:ascii="Arial" w:hAnsi="Arial" w:cs="Arial"/>
          <w:sz w:val="20"/>
          <w:szCs w:val="20"/>
        </w:rPr>
        <w:t>Valentine’s Day week was the biggest, with sales reaching nearly $1.5 billion.</w:t>
      </w:r>
      <w:r w:rsidR="003B4FA0">
        <w:rPr>
          <w:rFonts w:ascii="Arial" w:hAnsi="Arial" w:cs="Arial"/>
          <w:sz w:val="20"/>
          <w:szCs w:val="20"/>
        </w:rPr>
        <w:t xml:space="preserve"> </w:t>
      </w:r>
      <w:r w:rsidR="00D4285A">
        <w:rPr>
          <w:rFonts w:ascii="Arial" w:hAnsi="Arial" w:cs="Arial"/>
          <w:sz w:val="20"/>
          <w:szCs w:val="20"/>
        </w:rPr>
        <w:t>While dollars gained versus year ago for each of the weeks, volume was down between 5.0</w:t>
      </w:r>
      <w:r w:rsidR="00027658">
        <w:rPr>
          <w:rFonts w:ascii="Arial" w:hAnsi="Arial" w:cs="Arial"/>
          <w:sz w:val="20"/>
          <w:szCs w:val="20"/>
        </w:rPr>
        <w:t>%</w:t>
      </w:r>
      <w:r w:rsidR="00D4285A">
        <w:rPr>
          <w:rFonts w:ascii="Arial" w:hAnsi="Arial" w:cs="Arial"/>
          <w:sz w:val="20"/>
          <w:szCs w:val="20"/>
        </w:rPr>
        <w:t xml:space="preserve"> and 6.9% when compared to the same four February weeks in 2021. </w:t>
      </w:r>
    </w:p>
    <w:p w14:paraId="73D448D5" w14:textId="77777777" w:rsidR="00D4285A" w:rsidRDefault="00D4285A" w:rsidP="00A225AD">
      <w:pPr>
        <w:spacing w:after="0" w:line="240" w:lineRule="auto"/>
        <w:rPr>
          <w:rFonts w:ascii="Arial" w:hAnsi="Arial" w:cs="Arial"/>
          <w:sz w:val="20"/>
          <w:szCs w:val="20"/>
        </w:rPr>
      </w:pPr>
    </w:p>
    <w:p w14:paraId="2A5AD534" w14:textId="23104FC8" w:rsidR="009759B0" w:rsidRDefault="00D4285A" w:rsidP="00D4285A">
      <w:pPr>
        <w:spacing w:after="0" w:line="240" w:lineRule="auto"/>
        <w:rPr>
          <w:noProof/>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21DE452" wp14:editId="79D5545C">
                <wp:simplePos x="0" y="0"/>
                <wp:positionH relativeFrom="column">
                  <wp:posOffset>3068403</wp:posOffset>
                </wp:positionH>
                <wp:positionV relativeFrom="paragraph">
                  <wp:posOffset>4832</wp:posOffset>
                </wp:positionV>
                <wp:extent cx="3547745" cy="20066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00660"/>
                        </a:xfrm>
                        <a:prstGeom prst="rect">
                          <a:avLst/>
                        </a:prstGeom>
                        <a:solidFill>
                          <a:srgbClr val="FFFFFF"/>
                        </a:solidFill>
                        <a:ln>
                          <a:noFill/>
                        </a:ln>
                      </wps:spPr>
                      <wps:txbx>
                        <w:txbxContent>
                          <w:p w14:paraId="61B6AA1E" w14:textId="77777777" w:rsidR="00112E9A" w:rsidRDefault="00112E9A" w:rsidP="0053257C">
                            <w:pPr>
                              <w:pStyle w:val="NoSpacing"/>
                            </w:pPr>
                            <w:r>
                              <w:rPr>
                                <w:rFonts w:ascii="Arial" w:hAnsi="Arial" w:cs="Arial"/>
                                <w:sz w:val="16"/>
                                <w:szCs w:val="16"/>
                              </w:rPr>
                              <w:t>Source: IRI, Integrated Fresh, Total US, MULO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E452" id="_x0000_t202" coordsize="21600,21600" o:spt="202" path="m,l,21600r21600,l21600,xe">
                <v:stroke joinstyle="miter"/>
                <v:path gradientshapeok="t" o:connecttype="rect"/>
              </v:shapetype>
              <v:shape id="Text Box 7" o:spid="_x0000_s1026" type="#_x0000_t202" style="position:absolute;margin-left:241.6pt;margin-top:.4pt;width:279.3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" stroked="f">
                <v:textbox>
                  <w:txbxContent>
                    <w:p w14:paraId="61B6AA1E" w14:textId="77777777" w:rsidR="00112E9A" w:rsidRDefault="00112E9A" w:rsidP="0053257C">
                      <w:pPr>
                        <w:pStyle w:val="NoSpacing"/>
                      </w:pPr>
                      <w:r>
                        <w:rPr>
                          <w:rFonts w:ascii="Arial" w:hAnsi="Arial" w:cs="Arial"/>
                          <w:sz w:val="16"/>
                          <w:szCs w:val="16"/>
                        </w:rPr>
                        <w:t>Source: IRI, Integrated Fresh, Total US, MULO</w:t>
                      </w:r>
                    </w:p>
                  </w:txbxContent>
                </v:textbox>
                <w10:wrap type="square"/>
              </v:shape>
            </w:pict>
          </mc:Fallback>
        </mc:AlternateContent>
      </w:r>
      <w:r w:rsidR="00EC4A60">
        <w:rPr>
          <w:rFonts w:ascii="Arial" w:hAnsi="Arial" w:cs="Arial"/>
          <w:sz w:val="20"/>
          <w:szCs w:val="20"/>
        </w:rPr>
        <w:t>While fruit sales growth never dipped below year-ago levels, vegetable sales growth ha</w:t>
      </w:r>
      <w:r w:rsidR="002409F7">
        <w:rPr>
          <w:rFonts w:ascii="Arial" w:hAnsi="Arial" w:cs="Arial"/>
          <w:sz w:val="20"/>
          <w:szCs w:val="20"/>
        </w:rPr>
        <w:t>s</w:t>
      </w:r>
      <w:r w:rsidR="00EC4A60">
        <w:rPr>
          <w:rFonts w:ascii="Arial" w:hAnsi="Arial" w:cs="Arial"/>
          <w:sz w:val="20"/>
          <w:szCs w:val="20"/>
        </w:rPr>
        <w:t xml:space="preserve"> been</w:t>
      </w:r>
      <w:r w:rsidR="002409F7">
        <w:rPr>
          <w:rFonts w:ascii="Arial" w:hAnsi="Arial" w:cs="Arial"/>
          <w:sz w:val="20"/>
          <w:szCs w:val="20"/>
        </w:rPr>
        <w:t xml:space="preserve"> mostly</w:t>
      </w:r>
      <w:r w:rsidR="00EC4A60">
        <w:rPr>
          <w:rFonts w:ascii="Arial" w:hAnsi="Arial" w:cs="Arial"/>
          <w:sz w:val="20"/>
          <w:szCs w:val="20"/>
        </w:rPr>
        <w:t xml:space="preserve"> trending in the negative since lapping March 2020. </w:t>
      </w:r>
      <w:r w:rsidR="00C23843">
        <w:rPr>
          <w:rFonts w:ascii="Arial" w:hAnsi="Arial" w:cs="Arial"/>
          <w:sz w:val="20"/>
          <w:szCs w:val="20"/>
        </w:rPr>
        <w:t>Despite a lower-than-average price increase, o</w:t>
      </w:r>
      <w:r w:rsidR="00EC4A60">
        <w:rPr>
          <w:rFonts w:ascii="Arial" w:hAnsi="Arial" w:cs="Arial"/>
          <w:sz w:val="20"/>
          <w:szCs w:val="20"/>
        </w:rPr>
        <w:t>nly very briefly did vegetable sales exceed year-ago levels in the fourth quarter of 2021.</w:t>
      </w:r>
      <w:r w:rsidR="00D2690A">
        <w:rPr>
          <w:rFonts w:ascii="Arial" w:hAnsi="Arial" w:cs="Arial"/>
          <w:sz w:val="20"/>
          <w:szCs w:val="20"/>
        </w:rPr>
        <w:t xml:space="preserve"> </w:t>
      </w:r>
    </w:p>
    <w:p w14:paraId="15CF0133" w14:textId="79EF7375" w:rsidR="003E1441" w:rsidRDefault="00D4285A" w:rsidP="00151CCC">
      <w:pPr>
        <w:pStyle w:val="NoSpacing"/>
        <w:rPr>
          <w:rFonts w:ascii="Arial" w:hAnsi="Arial" w:cs="Arial"/>
          <w:sz w:val="20"/>
          <w:szCs w:val="20"/>
        </w:rPr>
      </w:pPr>
      <w:r>
        <w:rPr>
          <w:noProof/>
        </w:rPr>
        <w:drawing>
          <wp:inline distT="0" distB="0" distL="0" distR="0" wp14:anchorId="722D3BEC" wp14:editId="2B2D9193">
            <wp:extent cx="6750685" cy="3107690"/>
            <wp:effectExtent l="0" t="0" r="0" b="0"/>
            <wp:docPr id="4" name="Chart 4">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B2008E" w14:textId="77777777" w:rsidR="0068309E" w:rsidRDefault="0068309E" w:rsidP="0068309E">
      <w:pPr>
        <w:pStyle w:val="NoSpacing"/>
        <w:rPr>
          <w:rFonts w:ascii="Arial" w:hAnsi="Arial" w:cs="Arial"/>
          <w:sz w:val="16"/>
          <w:szCs w:val="16"/>
        </w:rPr>
      </w:pPr>
      <w:r w:rsidRPr="00B35CE9">
        <w:rPr>
          <w:rFonts w:ascii="Arial" w:hAnsi="Arial" w:cs="Arial"/>
          <w:sz w:val="16"/>
          <w:szCs w:val="16"/>
        </w:rPr>
        <w:t>Source</w:t>
      </w:r>
      <w:r>
        <w:rPr>
          <w:rFonts w:ascii="Arial" w:hAnsi="Arial" w:cs="Arial"/>
          <w:sz w:val="16"/>
          <w:szCs w:val="16"/>
        </w:rPr>
        <w:t>: IRI Integrated Fresh, Total U.S., MULO</w:t>
      </w:r>
    </w:p>
    <w:p w14:paraId="3CCC5188" w14:textId="77777777" w:rsidR="0068309E" w:rsidRDefault="0068309E" w:rsidP="00151CCC">
      <w:pPr>
        <w:pStyle w:val="NoSpacing"/>
        <w:rPr>
          <w:rFonts w:ascii="Arial" w:hAnsi="Arial" w:cs="Arial"/>
          <w:sz w:val="20"/>
          <w:szCs w:val="20"/>
        </w:rPr>
      </w:pPr>
    </w:p>
    <w:p w14:paraId="05609152" w14:textId="77777777" w:rsidR="000A543A" w:rsidRDefault="000A543A" w:rsidP="00160D1A">
      <w:pPr>
        <w:pStyle w:val="NoSpacing"/>
        <w:rPr>
          <w:rFonts w:ascii="Arial" w:hAnsi="Arial" w:cs="Arial"/>
          <w:b/>
          <w:color w:val="595959" w:themeColor="text1" w:themeTint="A6"/>
          <w:sz w:val="24"/>
          <w:szCs w:val="24"/>
        </w:rPr>
      </w:pPr>
    </w:p>
    <w:p w14:paraId="64B3B221" w14:textId="5DC9080B" w:rsidR="00C573F6" w:rsidRPr="00507D74" w:rsidRDefault="00043B43" w:rsidP="00160D1A">
      <w:pPr>
        <w:pStyle w:val="NoSpacing"/>
        <w:rPr>
          <w:rFonts w:ascii="Arial" w:hAnsi="Arial" w:cs="Arial"/>
          <w:b/>
          <w:color w:val="595959" w:themeColor="text1" w:themeTint="A6"/>
          <w:sz w:val="24"/>
          <w:szCs w:val="24"/>
        </w:rPr>
      </w:pPr>
      <w:r w:rsidRPr="00507D74">
        <w:rPr>
          <w:rFonts w:ascii="Arial" w:hAnsi="Arial" w:cs="Arial"/>
          <w:b/>
          <w:color w:val="595959" w:themeColor="text1" w:themeTint="A6"/>
          <w:sz w:val="24"/>
          <w:szCs w:val="24"/>
        </w:rPr>
        <w:t xml:space="preserve">Fresh </w:t>
      </w:r>
      <w:r w:rsidR="00C23843">
        <w:rPr>
          <w:rFonts w:ascii="Arial" w:hAnsi="Arial" w:cs="Arial"/>
          <w:b/>
          <w:color w:val="595959" w:themeColor="text1" w:themeTint="A6"/>
          <w:sz w:val="24"/>
          <w:szCs w:val="24"/>
        </w:rPr>
        <w:t xml:space="preserve">Produce </w:t>
      </w:r>
      <w:r w:rsidRPr="00507D74">
        <w:rPr>
          <w:rFonts w:ascii="Arial" w:hAnsi="Arial" w:cs="Arial"/>
          <w:b/>
          <w:color w:val="595959" w:themeColor="text1" w:themeTint="A6"/>
          <w:sz w:val="24"/>
          <w:szCs w:val="24"/>
        </w:rPr>
        <w:t>Share</w:t>
      </w:r>
      <w:r w:rsidR="00EB33CE">
        <w:rPr>
          <w:rFonts w:ascii="Arial" w:hAnsi="Arial" w:cs="Arial"/>
          <w:b/>
          <w:color w:val="595959" w:themeColor="text1" w:themeTint="A6"/>
          <w:sz w:val="24"/>
          <w:szCs w:val="24"/>
        </w:rPr>
        <w:t xml:space="preserve"> </w:t>
      </w:r>
      <w:r w:rsidR="00C23843">
        <w:rPr>
          <w:rFonts w:ascii="Arial" w:hAnsi="Arial" w:cs="Arial"/>
          <w:b/>
          <w:color w:val="595959" w:themeColor="text1" w:themeTint="A6"/>
          <w:sz w:val="24"/>
          <w:szCs w:val="24"/>
        </w:rPr>
        <w:t>of Total Fruits and Vegetables</w:t>
      </w:r>
    </w:p>
    <w:p w14:paraId="5CC596CB" w14:textId="564C1778" w:rsidR="00AC0CDA" w:rsidRDefault="00770809" w:rsidP="00AC0CDA">
      <w:pPr>
        <w:pStyle w:val="NoSpacing"/>
        <w:rPr>
          <w:rFonts w:ascii="Arial" w:hAnsi="Arial" w:cs="Arial"/>
          <w:sz w:val="20"/>
          <w:szCs w:val="20"/>
        </w:rPr>
      </w:pPr>
      <w:r>
        <w:rPr>
          <w:rFonts w:ascii="Arial" w:hAnsi="Arial" w:cs="Arial"/>
          <w:sz w:val="20"/>
          <w:szCs w:val="20"/>
        </w:rPr>
        <w:t>Shelf-stable fruits</w:t>
      </w:r>
      <w:r w:rsidR="00551D01">
        <w:rPr>
          <w:rFonts w:ascii="Arial" w:hAnsi="Arial" w:cs="Arial"/>
          <w:sz w:val="20"/>
          <w:szCs w:val="20"/>
        </w:rPr>
        <w:t xml:space="preserve"> </w:t>
      </w:r>
      <w:r>
        <w:rPr>
          <w:rFonts w:ascii="Arial" w:hAnsi="Arial" w:cs="Arial"/>
          <w:sz w:val="20"/>
          <w:szCs w:val="20"/>
        </w:rPr>
        <w:t>had a strong</w:t>
      </w:r>
      <w:r w:rsidR="00D4006C">
        <w:rPr>
          <w:rFonts w:ascii="Arial" w:hAnsi="Arial" w:cs="Arial"/>
          <w:sz w:val="20"/>
          <w:szCs w:val="20"/>
        </w:rPr>
        <w:t>, though inflation-boosted</w:t>
      </w:r>
      <w:r>
        <w:rPr>
          <w:rFonts w:ascii="Arial" w:hAnsi="Arial" w:cs="Arial"/>
          <w:sz w:val="20"/>
          <w:szCs w:val="20"/>
        </w:rPr>
        <w:t xml:space="preserve"> </w:t>
      </w:r>
      <w:r w:rsidR="007A36E0">
        <w:rPr>
          <w:rFonts w:ascii="Arial" w:hAnsi="Arial" w:cs="Arial"/>
          <w:sz w:val="20"/>
          <w:szCs w:val="20"/>
        </w:rPr>
        <w:t xml:space="preserve">February </w:t>
      </w:r>
      <w:r>
        <w:rPr>
          <w:rFonts w:ascii="Arial" w:hAnsi="Arial" w:cs="Arial"/>
          <w:sz w:val="20"/>
          <w:szCs w:val="20"/>
        </w:rPr>
        <w:t xml:space="preserve">with sales gains of </w:t>
      </w:r>
      <w:r w:rsidR="007A36E0">
        <w:rPr>
          <w:rFonts w:ascii="Arial" w:hAnsi="Arial" w:cs="Arial"/>
          <w:sz w:val="20"/>
          <w:szCs w:val="20"/>
        </w:rPr>
        <w:t>10.3</w:t>
      </w:r>
      <w:r>
        <w:rPr>
          <w:rFonts w:ascii="Arial" w:hAnsi="Arial" w:cs="Arial"/>
          <w:sz w:val="20"/>
          <w:szCs w:val="20"/>
        </w:rPr>
        <w:t xml:space="preserve">% year-on-year. </w:t>
      </w:r>
      <w:r w:rsidR="00334F5C">
        <w:rPr>
          <w:rFonts w:ascii="Arial" w:hAnsi="Arial" w:cs="Arial"/>
          <w:sz w:val="20"/>
          <w:szCs w:val="20"/>
        </w:rPr>
        <w:t xml:space="preserve">Both frozen and shelf-stable are heavily impacted by supply chain disruptions and assortment as well as inventory levels have been down significantly over recent months. </w:t>
      </w:r>
    </w:p>
    <w:p w14:paraId="2336DEC9" w14:textId="77777777" w:rsidR="00770809" w:rsidRPr="00B265F0" w:rsidRDefault="00770809" w:rsidP="00770809">
      <w:pPr>
        <w:pStyle w:val="NoSpacing"/>
        <w:rPr>
          <w:rFonts w:ascii="Arial" w:hAnsi="Arial" w:cs="Arial"/>
          <w:sz w:val="16"/>
          <w:szCs w:val="16"/>
        </w:rPr>
      </w:pPr>
    </w:p>
    <w:tbl>
      <w:tblPr>
        <w:tblStyle w:val="LightShading-Accent5"/>
        <w:tblW w:w="10847" w:type="dxa"/>
        <w:tblBorders>
          <w:top w:val="none" w:sz="0" w:space="0" w:color="auto"/>
          <w:bottom w:val="none" w:sz="0" w:space="0" w:color="auto"/>
        </w:tblBorders>
        <w:tblLook w:val="04A0" w:firstRow="1" w:lastRow="0" w:firstColumn="1" w:lastColumn="0" w:noHBand="0" w:noVBand="1"/>
      </w:tblPr>
      <w:tblGrid>
        <w:gridCol w:w="4312"/>
        <w:gridCol w:w="1279"/>
        <w:gridCol w:w="1339"/>
        <w:gridCol w:w="1417"/>
        <w:gridCol w:w="1250"/>
        <w:gridCol w:w="1250"/>
      </w:tblGrid>
      <w:tr w:rsidR="00770809" w:rsidRPr="00B265F0" w14:paraId="6403B5CC" w14:textId="77777777" w:rsidTr="0045675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12"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B0D9439" w14:textId="049FC6DF" w:rsidR="00770809" w:rsidRPr="00B265F0" w:rsidRDefault="006D4E7C" w:rsidP="001F29DC">
            <w:pPr>
              <w:pStyle w:val="NoSpacing"/>
              <w:rPr>
                <w:rFonts w:ascii="Arial" w:hAnsi="Arial" w:cs="Arial"/>
                <w:color w:val="FFFFFF" w:themeColor="background1"/>
                <w:sz w:val="18"/>
                <w:szCs w:val="20"/>
              </w:rPr>
            </w:pPr>
            <w:r>
              <w:rPr>
                <w:rFonts w:ascii="Arial" w:hAnsi="Arial" w:cs="Arial"/>
                <w:color w:val="FFFFFF" w:themeColor="background1"/>
                <w:sz w:val="18"/>
                <w:szCs w:val="20"/>
              </w:rPr>
              <w:t xml:space="preserve">February </w:t>
            </w:r>
            <w:r w:rsidR="00112E9A">
              <w:rPr>
                <w:rFonts w:ascii="Arial" w:hAnsi="Arial" w:cs="Arial"/>
                <w:color w:val="FFFFFF" w:themeColor="background1"/>
                <w:sz w:val="18"/>
                <w:szCs w:val="20"/>
              </w:rPr>
              <w:t>2022</w:t>
            </w:r>
          </w:p>
        </w:tc>
        <w:tc>
          <w:tcPr>
            <w:tcW w:w="127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2FC01F6"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Dollar</w:t>
            </w:r>
            <w:r>
              <w:rPr>
                <w:rFonts w:ascii="Arial" w:hAnsi="Arial" w:cs="Arial"/>
                <w:color w:val="FFFFFF" w:themeColor="background1"/>
                <w:sz w:val="18"/>
                <w:szCs w:val="20"/>
              </w:rPr>
              <w:br/>
              <w:t>sales</w:t>
            </w:r>
          </w:p>
        </w:tc>
        <w:tc>
          <w:tcPr>
            <w:tcW w:w="1339"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38E3F723"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 gains v</w:t>
            </w:r>
            <w:r>
              <w:rPr>
                <w:rFonts w:ascii="Arial" w:hAnsi="Arial" w:cs="Arial"/>
                <w:color w:val="FFFFFF" w:themeColor="background1"/>
                <w:sz w:val="18"/>
                <w:szCs w:val="20"/>
              </w:rPr>
              <w:t>s. 202</w:t>
            </w:r>
            <w:r w:rsidR="00112E9A">
              <w:rPr>
                <w:rFonts w:ascii="Arial" w:hAnsi="Arial" w:cs="Arial"/>
                <w:color w:val="FFFFFF" w:themeColor="background1"/>
                <w:sz w:val="18"/>
                <w:szCs w:val="20"/>
              </w:rPr>
              <w:t>1</w:t>
            </w:r>
          </w:p>
        </w:tc>
        <w:tc>
          <w:tcPr>
            <w:tcW w:w="1417"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1C8CB91B"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w:t>
            </w:r>
            <w:r>
              <w:rPr>
                <w:rFonts w:ascii="Arial" w:hAnsi="Arial" w:cs="Arial"/>
                <w:color w:val="FFFFFF" w:themeColor="background1"/>
                <w:sz w:val="18"/>
                <w:szCs w:val="20"/>
              </w:rPr>
              <w:br/>
            </w:r>
            <w:r w:rsidRPr="00B265F0">
              <w:rPr>
                <w:rFonts w:ascii="Arial" w:hAnsi="Arial" w:cs="Arial"/>
                <w:color w:val="FFFFFF" w:themeColor="background1"/>
                <w:sz w:val="18"/>
                <w:szCs w:val="20"/>
              </w:rPr>
              <w:t xml:space="preserve"> gains v</w:t>
            </w:r>
            <w:r>
              <w:rPr>
                <w:rFonts w:ascii="Arial" w:hAnsi="Arial" w:cs="Arial"/>
                <w:color w:val="FFFFFF" w:themeColor="background1"/>
                <w:sz w:val="18"/>
                <w:szCs w:val="20"/>
              </w:rPr>
              <w:t>s. 20</w:t>
            </w:r>
            <w:r w:rsidR="00112E9A">
              <w:rPr>
                <w:rFonts w:ascii="Arial" w:hAnsi="Arial" w:cs="Arial"/>
                <w:color w:val="FFFFFF" w:themeColor="background1"/>
                <w:sz w:val="18"/>
                <w:szCs w:val="20"/>
              </w:rPr>
              <w:t>20</w:t>
            </w:r>
          </w:p>
        </w:tc>
        <w:tc>
          <w:tcPr>
            <w:tcW w:w="125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5DA60DE9"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Average price per unit</w:t>
            </w:r>
          </w:p>
        </w:tc>
        <w:tc>
          <w:tcPr>
            <w:tcW w:w="125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467079F6"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Increase price vs. YA</w:t>
            </w:r>
          </w:p>
        </w:tc>
      </w:tr>
      <w:tr w:rsidR="00770809" w:rsidRPr="00E43E81" w14:paraId="5658F647" w14:textId="77777777" w:rsidTr="004567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12" w:type="dxa"/>
            <w:tcBorders>
              <w:left w:val="none" w:sz="0" w:space="0" w:color="auto"/>
              <w:right w:val="none" w:sz="0" w:space="0" w:color="auto"/>
            </w:tcBorders>
          </w:tcPr>
          <w:p w14:paraId="7D622E5E" w14:textId="77777777" w:rsidR="00770809" w:rsidRPr="000D5031" w:rsidRDefault="00770809" w:rsidP="001F29DC">
            <w:pPr>
              <w:pStyle w:val="NoSpacing"/>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Fresh produce department</w:t>
            </w:r>
          </w:p>
        </w:tc>
        <w:tc>
          <w:tcPr>
            <w:tcW w:w="1279" w:type="dxa"/>
            <w:tcBorders>
              <w:left w:val="none" w:sz="0" w:space="0" w:color="auto"/>
              <w:right w:val="none" w:sz="0" w:space="0" w:color="auto"/>
            </w:tcBorders>
            <w:vAlign w:val="center"/>
          </w:tcPr>
          <w:p w14:paraId="3A99D57E" w14:textId="1DAC3D9C" w:rsidR="00770809" w:rsidRPr="000D5031" w:rsidRDefault="006D4E7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b/>
                <w:bCs/>
                <w:color w:val="215868" w:themeColor="accent5" w:themeShade="80"/>
                <w:sz w:val="18"/>
                <w:szCs w:val="20"/>
              </w:rPr>
              <w:t>$5.6</w:t>
            </w:r>
            <w:r w:rsidR="00770809" w:rsidRPr="00361BCC">
              <w:rPr>
                <w:rFonts w:ascii="Arial" w:hAnsi="Arial" w:cs="Arial"/>
                <w:b/>
                <w:bCs/>
                <w:color w:val="215868" w:themeColor="accent5" w:themeShade="80"/>
                <w:sz w:val="18"/>
                <w:szCs w:val="20"/>
              </w:rPr>
              <w:t>B</w:t>
            </w:r>
          </w:p>
        </w:tc>
        <w:tc>
          <w:tcPr>
            <w:tcW w:w="1339" w:type="dxa"/>
            <w:tcBorders>
              <w:left w:val="none" w:sz="0" w:space="0" w:color="auto"/>
              <w:right w:val="none" w:sz="0" w:space="0" w:color="auto"/>
            </w:tcBorders>
            <w:vAlign w:val="center"/>
          </w:tcPr>
          <w:p w14:paraId="3AA01AAA" w14:textId="20E6CC6C" w:rsidR="00770809" w:rsidRPr="000D5031"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b/>
                <w:bCs/>
                <w:color w:val="215868" w:themeColor="accent5" w:themeShade="80"/>
                <w:sz w:val="18"/>
                <w:szCs w:val="20"/>
              </w:rPr>
              <w:t>+</w:t>
            </w:r>
            <w:r w:rsidR="006D4E7C">
              <w:rPr>
                <w:rFonts w:ascii="Arial" w:hAnsi="Arial" w:cs="Arial"/>
                <w:b/>
                <w:bCs/>
                <w:color w:val="215868" w:themeColor="accent5" w:themeShade="80"/>
                <w:sz w:val="18"/>
                <w:szCs w:val="20"/>
              </w:rPr>
              <w:t>4.6</w:t>
            </w:r>
            <w:r w:rsidR="00770809" w:rsidRPr="00361BCC">
              <w:rPr>
                <w:rFonts w:ascii="Arial" w:hAnsi="Arial" w:cs="Arial"/>
                <w:b/>
                <w:bCs/>
                <w:color w:val="215868" w:themeColor="accent5" w:themeShade="80"/>
                <w:sz w:val="18"/>
                <w:szCs w:val="20"/>
              </w:rPr>
              <w:t>%</w:t>
            </w:r>
          </w:p>
        </w:tc>
        <w:tc>
          <w:tcPr>
            <w:tcW w:w="1417" w:type="dxa"/>
            <w:tcBorders>
              <w:left w:val="none" w:sz="0" w:space="0" w:color="auto"/>
              <w:right w:val="none" w:sz="0" w:space="0" w:color="auto"/>
            </w:tcBorders>
            <w:vAlign w:val="center"/>
          </w:tcPr>
          <w:p w14:paraId="2B2BC812" w14:textId="2CCE866E" w:rsidR="00770809" w:rsidRPr="000D5031" w:rsidRDefault="00770809"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rPr>
            </w:pPr>
            <w:r w:rsidRPr="00361BCC">
              <w:rPr>
                <w:rFonts w:ascii="Arial" w:hAnsi="Arial" w:cs="Arial"/>
                <w:b/>
                <w:bCs/>
                <w:color w:val="215868" w:themeColor="accent5" w:themeShade="80"/>
                <w:sz w:val="18"/>
                <w:szCs w:val="20"/>
              </w:rPr>
              <w:t>+</w:t>
            </w:r>
            <w:r w:rsidR="006D4E7C">
              <w:rPr>
                <w:rFonts w:ascii="Arial" w:hAnsi="Arial" w:cs="Arial"/>
                <w:b/>
                <w:bCs/>
                <w:color w:val="215868" w:themeColor="accent5" w:themeShade="80"/>
                <w:sz w:val="18"/>
                <w:szCs w:val="20"/>
              </w:rPr>
              <w:t>16.4</w:t>
            </w:r>
            <w:r w:rsidRPr="00361BCC">
              <w:rPr>
                <w:rFonts w:ascii="Arial" w:hAnsi="Arial" w:cs="Arial"/>
                <w:b/>
                <w:bCs/>
                <w:color w:val="215868" w:themeColor="accent5" w:themeShade="80"/>
                <w:sz w:val="18"/>
                <w:szCs w:val="20"/>
              </w:rPr>
              <w:t>%</w:t>
            </w:r>
          </w:p>
        </w:tc>
        <w:tc>
          <w:tcPr>
            <w:tcW w:w="1250" w:type="dxa"/>
            <w:tcBorders>
              <w:left w:val="none" w:sz="0" w:space="0" w:color="auto"/>
              <w:right w:val="none" w:sz="0" w:space="0" w:color="auto"/>
            </w:tcBorders>
          </w:tcPr>
          <w:p w14:paraId="49A72BFC" w14:textId="387081BD" w:rsidR="00770809" w:rsidRPr="00361BCC" w:rsidRDefault="00770809"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6D4E7C">
              <w:rPr>
                <w:rFonts w:ascii="Arial" w:hAnsi="Arial" w:cs="Arial"/>
                <w:b/>
                <w:bCs/>
                <w:color w:val="215868" w:themeColor="accent5" w:themeShade="80"/>
                <w:sz w:val="18"/>
                <w:szCs w:val="20"/>
              </w:rPr>
              <w:t>2.57</w:t>
            </w:r>
          </w:p>
        </w:tc>
        <w:tc>
          <w:tcPr>
            <w:tcW w:w="1250" w:type="dxa"/>
            <w:tcBorders>
              <w:left w:val="none" w:sz="0" w:space="0" w:color="auto"/>
              <w:right w:val="none" w:sz="0" w:space="0" w:color="auto"/>
            </w:tcBorders>
          </w:tcPr>
          <w:p w14:paraId="2D4F4D65" w14:textId="50916E45" w:rsidR="00770809" w:rsidRPr="00361BCC"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6D4E7C">
              <w:rPr>
                <w:rFonts w:ascii="Arial" w:hAnsi="Arial" w:cs="Arial"/>
                <w:b/>
                <w:bCs/>
                <w:color w:val="215868" w:themeColor="accent5" w:themeShade="80"/>
                <w:sz w:val="18"/>
                <w:szCs w:val="20"/>
              </w:rPr>
              <w:t>10.1</w:t>
            </w:r>
            <w:r w:rsidR="00770809">
              <w:rPr>
                <w:rFonts w:ascii="Arial" w:hAnsi="Arial" w:cs="Arial"/>
                <w:b/>
                <w:bCs/>
                <w:color w:val="215868" w:themeColor="accent5" w:themeShade="80"/>
                <w:sz w:val="18"/>
                <w:szCs w:val="20"/>
              </w:rPr>
              <w:t>%</w:t>
            </w:r>
          </w:p>
        </w:tc>
      </w:tr>
      <w:tr w:rsidR="00770809" w:rsidRPr="00E43E81" w14:paraId="6436AB32" w14:textId="77777777" w:rsidTr="001F29DC">
        <w:trPr>
          <w:trHeight w:val="227"/>
        </w:trPr>
        <w:tc>
          <w:tcPr>
            <w:cnfStyle w:val="001000000000" w:firstRow="0" w:lastRow="0" w:firstColumn="1" w:lastColumn="0" w:oddVBand="0" w:evenVBand="0" w:oddHBand="0" w:evenHBand="0" w:firstRowFirstColumn="0" w:firstRowLastColumn="0" w:lastRowFirstColumn="0" w:lastRowLastColumn="0"/>
            <w:tcW w:w="4312" w:type="dxa"/>
          </w:tcPr>
          <w:p w14:paraId="2DECF2C9" w14:textId="77777777" w:rsidR="00770809" w:rsidRPr="000D5031" w:rsidRDefault="00770809" w:rsidP="001F29D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 xml:space="preserve">Shelf stable fruits </w:t>
            </w:r>
          </w:p>
        </w:tc>
        <w:tc>
          <w:tcPr>
            <w:tcW w:w="1279" w:type="dxa"/>
          </w:tcPr>
          <w:p w14:paraId="762ADF8F" w14:textId="49429771"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6D4E7C">
              <w:rPr>
                <w:rFonts w:ascii="Arial" w:hAnsi="Arial" w:cs="Arial"/>
                <w:color w:val="215868" w:themeColor="accent5" w:themeShade="80"/>
                <w:sz w:val="18"/>
                <w:szCs w:val="20"/>
              </w:rPr>
              <w:t>342M</w:t>
            </w:r>
          </w:p>
        </w:tc>
        <w:tc>
          <w:tcPr>
            <w:tcW w:w="1339" w:type="dxa"/>
          </w:tcPr>
          <w:p w14:paraId="65CF6948" w14:textId="1E9D1256"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6D4E7C">
              <w:rPr>
                <w:rFonts w:ascii="Arial" w:hAnsi="Arial" w:cs="Arial"/>
                <w:color w:val="215868" w:themeColor="accent5" w:themeShade="80"/>
                <w:sz w:val="18"/>
                <w:szCs w:val="20"/>
              </w:rPr>
              <w:t>10.3</w:t>
            </w:r>
            <w:r w:rsidR="00770809" w:rsidRPr="000D5031">
              <w:rPr>
                <w:rFonts w:ascii="Arial" w:hAnsi="Arial" w:cs="Arial"/>
                <w:color w:val="215868" w:themeColor="accent5" w:themeShade="80"/>
                <w:sz w:val="18"/>
                <w:szCs w:val="20"/>
              </w:rPr>
              <w:t>%</w:t>
            </w:r>
          </w:p>
        </w:tc>
        <w:tc>
          <w:tcPr>
            <w:tcW w:w="1417" w:type="dxa"/>
          </w:tcPr>
          <w:p w14:paraId="6106E491" w14:textId="005083BC"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highlight w:val="red"/>
              </w:rPr>
            </w:pPr>
            <w:r>
              <w:rPr>
                <w:rFonts w:ascii="Arial" w:hAnsi="Arial" w:cs="Arial"/>
                <w:color w:val="215868" w:themeColor="accent5" w:themeShade="80"/>
                <w:sz w:val="18"/>
                <w:szCs w:val="20"/>
              </w:rPr>
              <w:t>+</w:t>
            </w:r>
            <w:r w:rsidR="006D4E7C">
              <w:rPr>
                <w:rFonts w:ascii="Arial" w:hAnsi="Arial" w:cs="Arial"/>
                <w:color w:val="215868" w:themeColor="accent5" w:themeShade="80"/>
                <w:sz w:val="18"/>
                <w:szCs w:val="20"/>
              </w:rPr>
              <w:t>16.7</w:t>
            </w:r>
            <w:r w:rsidR="00770809" w:rsidRPr="000D5031">
              <w:rPr>
                <w:rFonts w:ascii="Arial" w:hAnsi="Arial" w:cs="Arial"/>
                <w:color w:val="215868" w:themeColor="accent5" w:themeShade="80"/>
                <w:sz w:val="18"/>
                <w:szCs w:val="20"/>
              </w:rPr>
              <w:t>%</w:t>
            </w:r>
          </w:p>
        </w:tc>
        <w:tc>
          <w:tcPr>
            <w:tcW w:w="1250" w:type="dxa"/>
          </w:tcPr>
          <w:p w14:paraId="607B80B7" w14:textId="574C8FB7" w:rsidR="00770809"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6D4E7C">
              <w:rPr>
                <w:rFonts w:ascii="Arial" w:hAnsi="Arial" w:cs="Arial"/>
                <w:color w:val="215868" w:themeColor="accent5" w:themeShade="80"/>
                <w:sz w:val="18"/>
                <w:szCs w:val="20"/>
              </w:rPr>
              <w:t>2.93</w:t>
            </w:r>
          </w:p>
        </w:tc>
        <w:tc>
          <w:tcPr>
            <w:tcW w:w="1250" w:type="dxa"/>
          </w:tcPr>
          <w:p w14:paraId="7D05D7D9" w14:textId="567BA919" w:rsidR="00770809"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6D4E7C">
              <w:rPr>
                <w:rFonts w:ascii="Arial" w:hAnsi="Arial" w:cs="Arial"/>
                <w:color w:val="215868" w:themeColor="accent5" w:themeShade="80"/>
                <w:sz w:val="18"/>
                <w:szCs w:val="20"/>
              </w:rPr>
              <w:t>11.9%</w:t>
            </w:r>
          </w:p>
        </w:tc>
      </w:tr>
      <w:tr w:rsidR="006D4E7C" w:rsidRPr="00E43E81" w14:paraId="136DBAD7" w14:textId="77777777" w:rsidTr="004567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12" w:type="dxa"/>
            <w:tcBorders>
              <w:left w:val="none" w:sz="0" w:space="0" w:color="auto"/>
              <w:right w:val="none" w:sz="0" w:space="0" w:color="auto"/>
            </w:tcBorders>
          </w:tcPr>
          <w:p w14:paraId="205297AD" w14:textId="77777777" w:rsidR="006D4E7C" w:rsidRPr="000D5031" w:rsidRDefault="006D4E7C" w:rsidP="006D4E7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Shelf stable vegetables</w:t>
            </w:r>
          </w:p>
        </w:tc>
        <w:tc>
          <w:tcPr>
            <w:tcW w:w="1279" w:type="dxa"/>
            <w:tcBorders>
              <w:left w:val="none" w:sz="0" w:space="0" w:color="auto"/>
              <w:right w:val="none" w:sz="0" w:space="0" w:color="auto"/>
            </w:tcBorders>
          </w:tcPr>
          <w:p w14:paraId="1B917AA7" w14:textId="06367CD0" w:rsidR="006D4E7C" w:rsidRPr="000D5031" w:rsidRDefault="006D4E7C" w:rsidP="006D4E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$490M</w:t>
            </w:r>
          </w:p>
        </w:tc>
        <w:tc>
          <w:tcPr>
            <w:tcW w:w="1339" w:type="dxa"/>
            <w:tcBorders>
              <w:left w:val="none" w:sz="0" w:space="0" w:color="auto"/>
              <w:right w:val="none" w:sz="0" w:space="0" w:color="auto"/>
            </w:tcBorders>
          </w:tcPr>
          <w:p w14:paraId="371B11FD" w14:textId="2D3B182E" w:rsidR="006D4E7C" w:rsidRPr="000D5031" w:rsidRDefault="006D4E7C" w:rsidP="006D4E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+1.1</w:t>
            </w:r>
            <w:r w:rsidRPr="000D5031">
              <w:rPr>
                <w:rFonts w:ascii="Arial" w:hAnsi="Arial" w:cs="Arial"/>
                <w:color w:val="215868" w:themeColor="accent5" w:themeShade="80"/>
                <w:sz w:val="18"/>
                <w:szCs w:val="20"/>
              </w:rPr>
              <w:t>%</w:t>
            </w:r>
          </w:p>
        </w:tc>
        <w:tc>
          <w:tcPr>
            <w:tcW w:w="1417" w:type="dxa"/>
            <w:tcBorders>
              <w:left w:val="none" w:sz="0" w:space="0" w:color="auto"/>
              <w:right w:val="none" w:sz="0" w:space="0" w:color="auto"/>
            </w:tcBorders>
          </w:tcPr>
          <w:p w14:paraId="248DEF07" w14:textId="00BE34C2" w:rsidR="006D4E7C" w:rsidRPr="000D5031" w:rsidRDefault="006D4E7C" w:rsidP="006D4E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highlight w:val="red"/>
              </w:rPr>
            </w:pPr>
            <w:r>
              <w:rPr>
                <w:rFonts w:ascii="Arial" w:hAnsi="Arial" w:cs="Arial"/>
                <w:color w:val="215868" w:themeColor="accent5" w:themeShade="80"/>
                <w:sz w:val="18"/>
                <w:szCs w:val="20"/>
              </w:rPr>
              <w:t>+8.7</w:t>
            </w:r>
            <w:r w:rsidRPr="000D5031">
              <w:rPr>
                <w:rFonts w:ascii="Arial" w:hAnsi="Arial" w:cs="Arial"/>
                <w:color w:val="215868" w:themeColor="accent5" w:themeShade="80"/>
                <w:sz w:val="18"/>
                <w:szCs w:val="20"/>
              </w:rPr>
              <w:t>%</w:t>
            </w:r>
          </w:p>
        </w:tc>
        <w:tc>
          <w:tcPr>
            <w:tcW w:w="1250" w:type="dxa"/>
            <w:tcBorders>
              <w:left w:val="none" w:sz="0" w:space="0" w:color="auto"/>
              <w:right w:val="none" w:sz="0" w:space="0" w:color="auto"/>
            </w:tcBorders>
          </w:tcPr>
          <w:p w14:paraId="7417AA65" w14:textId="30D25891" w:rsidR="006D4E7C" w:rsidRDefault="006D4E7C" w:rsidP="006D4E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$1.29</w:t>
            </w:r>
          </w:p>
        </w:tc>
        <w:tc>
          <w:tcPr>
            <w:tcW w:w="1250" w:type="dxa"/>
            <w:tcBorders>
              <w:left w:val="none" w:sz="0" w:space="0" w:color="auto"/>
              <w:right w:val="none" w:sz="0" w:space="0" w:color="auto"/>
            </w:tcBorders>
          </w:tcPr>
          <w:p w14:paraId="4AF0D023" w14:textId="5F93E60C" w:rsidR="006D4E7C" w:rsidRDefault="006D4E7C" w:rsidP="006D4E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+8.2%</w:t>
            </w:r>
          </w:p>
        </w:tc>
      </w:tr>
      <w:tr w:rsidR="006D4E7C" w:rsidRPr="00E43E81" w14:paraId="5F847BCF" w14:textId="77777777" w:rsidTr="001F29DC">
        <w:trPr>
          <w:trHeight w:val="227"/>
        </w:trPr>
        <w:tc>
          <w:tcPr>
            <w:cnfStyle w:val="001000000000" w:firstRow="0" w:lastRow="0" w:firstColumn="1" w:lastColumn="0" w:oddVBand="0" w:evenVBand="0" w:oddHBand="0" w:evenHBand="0" w:firstRowFirstColumn="0" w:firstRowLastColumn="0" w:lastRowFirstColumn="0" w:lastRowLastColumn="0"/>
            <w:tcW w:w="4312" w:type="dxa"/>
          </w:tcPr>
          <w:p w14:paraId="73A581B3" w14:textId="77777777" w:rsidR="006D4E7C" w:rsidRPr="000D5031" w:rsidRDefault="006D4E7C" w:rsidP="006D4E7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Frozen fruits and vegetables</w:t>
            </w:r>
          </w:p>
        </w:tc>
        <w:tc>
          <w:tcPr>
            <w:tcW w:w="1279" w:type="dxa"/>
          </w:tcPr>
          <w:p w14:paraId="2F6DA7B0" w14:textId="0BA972C5" w:rsidR="006D4E7C" w:rsidRPr="000D5031" w:rsidRDefault="006D4E7C" w:rsidP="006D4E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$579M</w:t>
            </w:r>
          </w:p>
        </w:tc>
        <w:tc>
          <w:tcPr>
            <w:tcW w:w="1339" w:type="dxa"/>
          </w:tcPr>
          <w:p w14:paraId="1CC6E7ED" w14:textId="5E6E4E13" w:rsidR="006D4E7C" w:rsidRPr="000D5031" w:rsidRDefault="006D4E7C" w:rsidP="006D4E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-2.1</w:t>
            </w:r>
            <w:r w:rsidRPr="000D5031">
              <w:rPr>
                <w:rFonts w:ascii="Arial" w:hAnsi="Arial" w:cs="Arial"/>
                <w:color w:val="215868" w:themeColor="accent5" w:themeShade="80"/>
                <w:sz w:val="18"/>
                <w:szCs w:val="20"/>
              </w:rPr>
              <w:t>%</w:t>
            </w:r>
          </w:p>
        </w:tc>
        <w:tc>
          <w:tcPr>
            <w:tcW w:w="1417" w:type="dxa"/>
          </w:tcPr>
          <w:p w14:paraId="15BC3289" w14:textId="04810DA3" w:rsidR="006D4E7C" w:rsidRPr="000D5031" w:rsidRDefault="006D4E7C" w:rsidP="006D4E7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+12.9</w:t>
            </w:r>
            <w:r w:rsidRPr="000D5031">
              <w:rPr>
                <w:rFonts w:ascii="Arial" w:hAnsi="Arial" w:cs="Arial"/>
                <w:color w:val="215868" w:themeColor="accent5" w:themeShade="80"/>
                <w:sz w:val="18"/>
                <w:szCs w:val="20"/>
              </w:rPr>
              <w:t>%</w:t>
            </w:r>
          </w:p>
        </w:tc>
        <w:tc>
          <w:tcPr>
            <w:tcW w:w="1250" w:type="dxa"/>
          </w:tcPr>
          <w:p w14:paraId="6FEB7786" w14:textId="6C840F03" w:rsidR="006D4E7C" w:rsidRPr="000D5031" w:rsidRDefault="006D4E7C" w:rsidP="006D4E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$2.68</w:t>
            </w:r>
          </w:p>
        </w:tc>
        <w:tc>
          <w:tcPr>
            <w:tcW w:w="1250" w:type="dxa"/>
          </w:tcPr>
          <w:p w14:paraId="37555401" w14:textId="0BEB0AD4" w:rsidR="006D4E7C" w:rsidRPr="000D5031" w:rsidRDefault="006D4E7C" w:rsidP="006D4E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hAnsi="Arial" w:cs="Arial"/>
                <w:color w:val="215868" w:themeColor="accent5" w:themeShade="80"/>
                <w:sz w:val="18"/>
                <w:szCs w:val="20"/>
              </w:rPr>
              <w:t>+7.1%</w:t>
            </w:r>
          </w:p>
        </w:tc>
      </w:tr>
    </w:tbl>
    <w:p w14:paraId="788E9F0B" w14:textId="77777777" w:rsidR="00770809" w:rsidRPr="00B265F0" w:rsidRDefault="00770809" w:rsidP="00770809">
      <w:pPr>
        <w:pStyle w:val="NoSpacing"/>
        <w:rPr>
          <w:rFonts w:ascii="Arial" w:hAnsi="Arial" w:cs="Arial"/>
          <w:sz w:val="10"/>
          <w:szCs w:val="10"/>
        </w:rPr>
      </w:pPr>
    </w:p>
    <w:p w14:paraId="127869F3" w14:textId="77777777" w:rsidR="00770809" w:rsidRPr="00B35CE9" w:rsidRDefault="00770809" w:rsidP="00770809">
      <w:pPr>
        <w:pStyle w:val="NoSpacing"/>
        <w:rPr>
          <w:rFonts w:ascii="Arial" w:hAnsi="Arial" w:cs="Arial"/>
          <w:sz w:val="16"/>
          <w:szCs w:val="16"/>
        </w:rPr>
      </w:pPr>
      <w:r w:rsidRPr="00B265F0">
        <w:rPr>
          <w:rFonts w:ascii="Arial" w:hAnsi="Arial" w:cs="Arial"/>
          <w:sz w:val="16"/>
          <w:szCs w:val="16"/>
        </w:rPr>
        <w:t>Source: IRI</w:t>
      </w:r>
      <w:r>
        <w:rPr>
          <w:rFonts w:ascii="Arial" w:hAnsi="Arial" w:cs="Arial"/>
          <w:sz w:val="16"/>
          <w:szCs w:val="16"/>
        </w:rPr>
        <w:t xml:space="preserve"> Integrated Fresh, </w:t>
      </w:r>
      <w:r w:rsidRPr="00B265F0">
        <w:rPr>
          <w:rFonts w:ascii="Arial" w:hAnsi="Arial" w:cs="Arial"/>
          <w:sz w:val="16"/>
          <w:szCs w:val="16"/>
        </w:rPr>
        <w:t>Total US, MULO</w:t>
      </w:r>
    </w:p>
    <w:p w14:paraId="308559FB" w14:textId="77777777" w:rsidR="00770809" w:rsidRDefault="00770809" w:rsidP="00770809">
      <w:pPr>
        <w:pStyle w:val="NoSpacing"/>
        <w:rPr>
          <w:rFonts w:ascii="Arial" w:hAnsi="Arial" w:cs="Arial"/>
          <w:sz w:val="20"/>
          <w:szCs w:val="20"/>
        </w:rPr>
      </w:pPr>
    </w:p>
    <w:p w14:paraId="6D01AD83" w14:textId="21825A2B" w:rsidR="00C05AA1" w:rsidRDefault="00C05AA1" w:rsidP="00770809">
      <w:pPr>
        <w:pStyle w:val="NoSpacing"/>
        <w:rPr>
          <w:rFonts w:ascii="Arial" w:hAnsi="Arial" w:cs="Arial"/>
          <w:sz w:val="20"/>
          <w:szCs w:val="20"/>
        </w:rPr>
      </w:pPr>
      <w:r>
        <w:rPr>
          <w:rFonts w:ascii="Arial" w:hAnsi="Arial" w:cs="Arial"/>
          <w:sz w:val="20"/>
          <w:szCs w:val="20"/>
        </w:rPr>
        <w:t xml:space="preserve">The </w:t>
      </w:r>
      <w:r w:rsidR="007A36E0">
        <w:rPr>
          <w:rFonts w:ascii="Arial" w:hAnsi="Arial" w:cs="Arial"/>
          <w:sz w:val="20"/>
          <w:szCs w:val="20"/>
        </w:rPr>
        <w:t xml:space="preserve">February </w:t>
      </w:r>
      <w:r w:rsidR="00C54548">
        <w:rPr>
          <w:rFonts w:ascii="Arial" w:hAnsi="Arial" w:cs="Arial"/>
          <w:sz w:val="20"/>
          <w:szCs w:val="20"/>
        </w:rPr>
        <w:t xml:space="preserve">2022 </w:t>
      </w:r>
      <w:r>
        <w:rPr>
          <w:rFonts w:ascii="Arial" w:hAnsi="Arial" w:cs="Arial"/>
          <w:sz w:val="20"/>
          <w:szCs w:val="20"/>
        </w:rPr>
        <w:t>share of dollars for fresh produce was 7</w:t>
      </w:r>
      <w:r w:rsidR="007A36E0">
        <w:rPr>
          <w:rFonts w:ascii="Arial" w:hAnsi="Arial" w:cs="Arial"/>
          <w:sz w:val="20"/>
          <w:szCs w:val="20"/>
        </w:rPr>
        <w:t>9.9</w:t>
      </w:r>
      <w:r>
        <w:rPr>
          <w:rFonts w:ascii="Arial" w:hAnsi="Arial" w:cs="Arial"/>
          <w:sz w:val="20"/>
          <w:szCs w:val="20"/>
        </w:rPr>
        <w:t>%</w:t>
      </w:r>
      <w:r w:rsidR="007A36E0">
        <w:rPr>
          <w:rFonts w:ascii="Arial" w:hAnsi="Arial" w:cs="Arial"/>
          <w:sz w:val="20"/>
          <w:szCs w:val="20"/>
        </w:rPr>
        <w:t xml:space="preserve">, </w:t>
      </w:r>
      <w:r w:rsidR="00C23843">
        <w:rPr>
          <w:rFonts w:ascii="Arial" w:hAnsi="Arial" w:cs="Arial"/>
          <w:sz w:val="20"/>
          <w:szCs w:val="20"/>
        </w:rPr>
        <w:t xml:space="preserve">two points </w:t>
      </w:r>
      <w:r w:rsidR="007A36E0">
        <w:rPr>
          <w:rFonts w:ascii="Arial" w:hAnsi="Arial" w:cs="Arial"/>
          <w:sz w:val="20"/>
          <w:szCs w:val="20"/>
        </w:rPr>
        <w:t>below its typical levels despite above-average inflation. As a share of total volume sold across frozen, center store and fresh, fresh produce made up 77.4%. Shelf-stable fruits and vegetables represented 1</w:t>
      </w:r>
      <w:r w:rsidR="00EA0010">
        <w:rPr>
          <w:rFonts w:ascii="Arial" w:hAnsi="Arial" w:cs="Arial"/>
          <w:sz w:val="20"/>
          <w:szCs w:val="20"/>
        </w:rPr>
        <w:t>4.4</w:t>
      </w:r>
      <w:r w:rsidR="007A36E0">
        <w:rPr>
          <w:rFonts w:ascii="Arial" w:hAnsi="Arial" w:cs="Arial"/>
          <w:sz w:val="20"/>
          <w:szCs w:val="20"/>
        </w:rPr>
        <w:t>% of pounds in February 2022</w:t>
      </w:r>
      <w:r>
        <w:rPr>
          <w:rFonts w:ascii="Arial" w:hAnsi="Arial" w:cs="Arial"/>
          <w:sz w:val="20"/>
          <w:szCs w:val="20"/>
        </w:rPr>
        <w:t xml:space="preserve">. </w:t>
      </w:r>
    </w:p>
    <w:p w14:paraId="17D2A6B3" w14:textId="7C90AC5B" w:rsidR="00983F3F" w:rsidRDefault="00983F3F" w:rsidP="00983F3F">
      <w:pPr>
        <w:spacing w:after="0" w:line="240" w:lineRule="auto"/>
        <w:rPr>
          <w:rFonts w:ascii="Arial" w:hAnsi="Arial" w:cs="Arial"/>
          <w:color w:val="000000" w:themeColor="text1"/>
          <w:sz w:val="10"/>
          <w:szCs w:val="10"/>
          <w:shd w:val="clear" w:color="auto" w:fill="FFFFFF"/>
        </w:rPr>
      </w:pPr>
    </w:p>
    <w:p w14:paraId="55311572" w14:textId="76A87434" w:rsidR="003508FD" w:rsidRPr="00983F3F" w:rsidRDefault="00EA0010" w:rsidP="00983F3F">
      <w:pPr>
        <w:spacing w:after="0" w:line="240" w:lineRule="auto"/>
        <w:rPr>
          <w:rFonts w:ascii="Arial" w:hAnsi="Arial" w:cs="Arial"/>
          <w:color w:val="000000" w:themeColor="text1"/>
          <w:sz w:val="10"/>
          <w:szCs w:val="10"/>
          <w:shd w:val="clear" w:color="auto" w:fill="FFFFFF"/>
        </w:rPr>
      </w:pPr>
      <w:r>
        <w:rPr>
          <w:noProof/>
        </w:rPr>
        <w:drawing>
          <wp:inline distT="0" distB="0" distL="0" distR="0" wp14:anchorId="377EF949" wp14:editId="41A0E488">
            <wp:extent cx="6388100" cy="2828925"/>
            <wp:effectExtent l="0" t="0" r="0" b="0"/>
            <wp:docPr id="8" name="Chart 8">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51DC13" w14:textId="77777777" w:rsidR="008111C0" w:rsidRDefault="008111C0" w:rsidP="00983F3F">
      <w:pPr>
        <w:spacing w:after="0" w:line="240" w:lineRule="auto"/>
        <w:rPr>
          <w:rFonts w:ascii="Arial" w:hAnsi="Arial" w:cs="Arial"/>
          <w:sz w:val="16"/>
          <w:szCs w:val="16"/>
        </w:rPr>
      </w:pPr>
      <w:r w:rsidRPr="00507D74">
        <w:rPr>
          <w:rFonts w:ascii="Arial" w:hAnsi="Arial" w:cs="Arial"/>
          <w:sz w:val="16"/>
          <w:szCs w:val="16"/>
        </w:rPr>
        <w:t>Source: Source: IRI Integrated Fresh, Total U.S., MULO</w:t>
      </w:r>
    </w:p>
    <w:p w14:paraId="6A747D79" w14:textId="77777777" w:rsidR="008111C0" w:rsidRDefault="008111C0" w:rsidP="0053257C">
      <w:pPr>
        <w:spacing w:after="0" w:line="240" w:lineRule="auto"/>
        <w:rPr>
          <w:rFonts w:ascii="Arial" w:hAnsi="Arial" w:cs="Arial"/>
          <w:sz w:val="20"/>
          <w:shd w:val="clear" w:color="auto" w:fill="FFFFFF"/>
        </w:rPr>
      </w:pPr>
    </w:p>
    <w:p w14:paraId="11FE6A1E" w14:textId="77777777" w:rsidR="00FA1373" w:rsidRDefault="00FA1373" w:rsidP="006069A6">
      <w:pPr>
        <w:pStyle w:val="NoSpacing"/>
        <w:rPr>
          <w:rFonts w:ascii="Arial" w:hAnsi="Arial" w:cs="Arial"/>
          <w:b/>
          <w:color w:val="595959" w:themeColor="text1" w:themeTint="A6"/>
          <w:sz w:val="24"/>
          <w:szCs w:val="24"/>
        </w:rPr>
      </w:pPr>
    </w:p>
    <w:p w14:paraId="6839CE99" w14:textId="77777777" w:rsidR="002137F5" w:rsidRPr="00CF309B" w:rsidRDefault="006C3FCE" w:rsidP="006069A6">
      <w:pPr>
        <w:pStyle w:val="NoSpacing"/>
        <w:rPr>
          <w:rFonts w:ascii="Arial" w:hAnsi="Arial" w:cs="Arial"/>
          <w:b/>
          <w:color w:val="595959" w:themeColor="text1" w:themeTint="A6"/>
          <w:sz w:val="24"/>
          <w:szCs w:val="24"/>
        </w:rPr>
      </w:pPr>
      <w:r w:rsidRPr="00CF309B">
        <w:rPr>
          <w:rFonts w:ascii="Arial" w:hAnsi="Arial" w:cs="Arial"/>
          <w:b/>
          <w:color w:val="595959" w:themeColor="text1" w:themeTint="A6"/>
          <w:sz w:val="24"/>
          <w:szCs w:val="24"/>
        </w:rPr>
        <w:t xml:space="preserve">Fresh Produce </w:t>
      </w:r>
      <w:r w:rsidR="002137F5" w:rsidRPr="00CF309B">
        <w:rPr>
          <w:rFonts w:ascii="Arial" w:hAnsi="Arial" w:cs="Arial"/>
          <w:b/>
          <w:color w:val="595959" w:themeColor="text1" w:themeTint="A6"/>
          <w:sz w:val="24"/>
          <w:szCs w:val="24"/>
        </w:rPr>
        <w:t>Dollars versus Volume</w:t>
      </w:r>
    </w:p>
    <w:p w14:paraId="0CB7AB49" w14:textId="4ADBF20A" w:rsidR="0005157F" w:rsidRDefault="00223410" w:rsidP="006069A6">
      <w:pPr>
        <w:pStyle w:val="NoSpacing"/>
        <w:rPr>
          <w:rFonts w:ascii="Arial" w:hAnsi="Arial" w:cs="Arial"/>
          <w:sz w:val="20"/>
          <w:szCs w:val="20"/>
        </w:rPr>
      </w:pPr>
      <w:r>
        <w:rPr>
          <w:rFonts w:ascii="Arial" w:hAnsi="Arial" w:cs="Arial"/>
          <w:sz w:val="20"/>
          <w:szCs w:val="20"/>
        </w:rPr>
        <w:t xml:space="preserve">Fresh produce pound sales trailed behind year ago levels all throughout 2021. In January 2022, pound growth dropped to </w:t>
      </w:r>
      <w:r w:rsidR="00AB0D40">
        <w:rPr>
          <w:rFonts w:ascii="Arial" w:hAnsi="Arial" w:cs="Arial"/>
          <w:sz w:val="20"/>
          <w:szCs w:val="20"/>
        </w:rPr>
        <w:t xml:space="preserve">its </w:t>
      </w:r>
      <w:r>
        <w:rPr>
          <w:rFonts w:ascii="Arial" w:hAnsi="Arial" w:cs="Arial"/>
          <w:sz w:val="20"/>
          <w:szCs w:val="20"/>
        </w:rPr>
        <w:t>lowest level since the second quarter of 2021</w:t>
      </w:r>
      <w:r w:rsidR="00EA0010">
        <w:rPr>
          <w:rFonts w:ascii="Arial" w:hAnsi="Arial" w:cs="Arial"/>
          <w:sz w:val="20"/>
          <w:szCs w:val="20"/>
        </w:rPr>
        <w:t xml:space="preserve"> and the performance worsened in February</w:t>
      </w:r>
      <w:r>
        <w:rPr>
          <w:rFonts w:ascii="Arial" w:hAnsi="Arial" w:cs="Arial"/>
          <w:sz w:val="20"/>
          <w:szCs w:val="20"/>
        </w:rPr>
        <w:t xml:space="preserve">. </w:t>
      </w:r>
      <w:r w:rsidR="00D44AC8">
        <w:rPr>
          <w:rFonts w:ascii="Arial" w:hAnsi="Arial" w:cs="Arial"/>
          <w:sz w:val="20"/>
          <w:szCs w:val="20"/>
        </w:rPr>
        <w:t xml:space="preserve">While dollars increased by 4.6%, volume dropped by 5.7%, creating a 10.3 percentage point gap between volume and dollars due to inflation as well as lower levels of promoting. </w:t>
      </w:r>
      <w:r>
        <w:rPr>
          <w:rFonts w:ascii="Arial" w:hAnsi="Arial" w:cs="Arial"/>
          <w:sz w:val="20"/>
          <w:szCs w:val="20"/>
        </w:rPr>
        <w:t xml:space="preserve"> </w:t>
      </w:r>
    </w:p>
    <w:p w14:paraId="7D32D1FA" w14:textId="77777777" w:rsidR="00CB76FB" w:rsidRDefault="00CB76FB" w:rsidP="006069A6">
      <w:pPr>
        <w:pStyle w:val="NoSpacing"/>
        <w:rPr>
          <w:rFonts w:ascii="Arial" w:hAnsi="Arial" w:cs="Arial"/>
          <w:sz w:val="20"/>
          <w:szCs w:val="20"/>
        </w:rPr>
      </w:pPr>
    </w:p>
    <w:p w14:paraId="21AE6872" w14:textId="05FC346D" w:rsidR="00AC478B" w:rsidRPr="009D1A60" w:rsidRDefault="00EA0010" w:rsidP="009D1A60">
      <w:pPr>
        <w:pStyle w:val="NoSpacing"/>
      </w:pPr>
      <w:r>
        <w:rPr>
          <w:noProof/>
        </w:rPr>
        <w:lastRenderedPageBreak/>
        <w:drawing>
          <wp:inline distT="0" distB="0" distL="0" distR="0" wp14:anchorId="37740008" wp14:editId="232F1606">
            <wp:extent cx="6750685" cy="2790825"/>
            <wp:effectExtent l="0" t="0" r="0" b="0"/>
            <wp:docPr id="9" name="Chart 9">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9A45F" w14:textId="77777777" w:rsidR="00441E8F" w:rsidRPr="00CF309B" w:rsidRDefault="00441E8F" w:rsidP="00441E8F">
      <w:pPr>
        <w:pStyle w:val="NoSpacing"/>
        <w:rPr>
          <w:rFonts w:ascii="Arial" w:hAnsi="Arial" w:cs="Arial"/>
          <w:sz w:val="16"/>
          <w:szCs w:val="16"/>
        </w:rPr>
      </w:pPr>
      <w:r w:rsidRPr="00CF309B">
        <w:rPr>
          <w:rFonts w:ascii="Arial" w:hAnsi="Arial" w:cs="Arial"/>
          <w:sz w:val="16"/>
          <w:szCs w:val="16"/>
        </w:rPr>
        <w:t>Source: Source: IRI</w:t>
      </w:r>
      <w:r w:rsidR="00906C46">
        <w:rPr>
          <w:rFonts w:ascii="Arial" w:hAnsi="Arial" w:cs="Arial"/>
          <w:sz w:val="16"/>
          <w:szCs w:val="16"/>
        </w:rPr>
        <w:t xml:space="preserve"> Integrated Fresh</w:t>
      </w:r>
      <w:r w:rsidRPr="00CF309B">
        <w:rPr>
          <w:rFonts w:ascii="Arial" w:hAnsi="Arial" w:cs="Arial"/>
          <w:sz w:val="16"/>
          <w:szCs w:val="16"/>
        </w:rPr>
        <w:t>, Total U.S., MULO</w:t>
      </w:r>
      <w:r w:rsidR="00AA6AEB">
        <w:rPr>
          <w:rFonts w:ascii="Arial" w:hAnsi="Arial" w:cs="Arial"/>
          <w:sz w:val="16"/>
          <w:szCs w:val="16"/>
        </w:rPr>
        <w:t xml:space="preserve"> </w:t>
      </w:r>
    </w:p>
    <w:p w14:paraId="3053AAE0" w14:textId="77777777" w:rsidR="00043B43" w:rsidRPr="00CF309B" w:rsidRDefault="00043B43" w:rsidP="006069A6">
      <w:pPr>
        <w:pStyle w:val="NoSpacing"/>
        <w:rPr>
          <w:rFonts w:ascii="Arial" w:hAnsi="Arial" w:cs="Arial"/>
          <w:sz w:val="20"/>
          <w:szCs w:val="20"/>
        </w:rPr>
      </w:pPr>
    </w:p>
    <w:p w14:paraId="14CF2F77" w14:textId="48106491" w:rsidR="00EF524A" w:rsidRDefault="00AF0D02" w:rsidP="007C430F">
      <w:pPr>
        <w:pStyle w:val="NoSpacing"/>
        <w:rPr>
          <w:rFonts w:ascii="Arial" w:hAnsi="Arial" w:cs="Arial"/>
          <w:color w:val="000000" w:themeColor="text1"/>
          <w:sz w:val="20"/>
          <w:szCs w:val="18"/>
          <w:shd w:val="clear" w:color="auto" w:fill="FFFFFF"/>
        </w:rPr>
      </w:pPr>
      <w:r>
        <w:rPr>
          <w:rFonts w:ascii="Arial" w:hAnsi="Arial" w:cs="Arial"/>
          <w:color w:val="000000" w:themeColor="text1"/>
          <w:sz w:val="20"/>
          <w:szCs w:val="18"/>
          <w:shd w:val="clear" w:color="auto" w:fill="FFFFFF"/>
        </w:rPr>
        <w:t xml:space="preserve">The inflationary impact is highest for fruit, with a 15-point gap between dollar and volume growth versus year ago. </w:t>
      </w:r>
    </w:p>
    <w:p w14:paraId="6B5CA4C5" w14:textId="77777777" w:rsidR="000F7932" w:rsidRPr="002E09F5" w:rsidRDefault="000F7932" w:rsidP="006069A6">
      <w:pPr>
        <w:pStyle w:val="NoSpacing"/>
        <w:rPr>
          <w:rFonts w:ascii="Arial" w:hAnsi="Arial" w:cs="Arial"/>
          <w:sz w:val="16"/>
          <w:szCs w:val="16"/>
        </w:rPr>
      </w:pPr>
    </w:p>
    <w:tbl>
      <w:tblPr>
        <w:tblStyle w:val="LightShading-Accent5"/>
        <w:tblW w:w="10631" w:type="dxa"/>
        <w:tblBorders>
          <w:top w:val="none" w:sz="0" w:space="0" w:color="auto"/>
          <w:bottom w:val="none" w:sz="0" w:space="0" w:color="auto"/>
        </w:tblBorders>
        <w:tblLook w:val="04A0" w:firstRow="1" w:lastRow="0" w:firstColumn="1" w:lastColumn="0" w:noHBand="0" w:noVBand="1"/>
      </w:tblPr>
      <w:tblGrid>
        <w:gridCol w:w="993"/>
        <w:gridCol w:w="355"/>
        <w:gridCol w:w="912"/>
        <w:gridCol w:w="943"/>
        <w:gridCol w:w="944"/>
        <w:gridCol w:w="913"/>
        <w:gridCol w:w="914"/>
        <w:gridCol w:w="944"/>
        <w:gridCol w:w="944"/>
        <w:gridCol w:w="868"/>
        <w:gridCol w:w="832"/>
        <w:gridCol w:w="1069"/>
      </w:tblGrid>
      <w:tr w:rsidR="00D44AC8" w:rsidRPr="00CF309B" w14:paraId="54D27BD5" w14:textId="77777777" w:rsidTr="00D44AC8">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93" w:type="dxa"/>
            <w:shd w:val="clear" w:color="auto" w:fill="17365D" w:themeFill="text2" w:themeFillShade="BF"/>
          </w:tcPr>
          <w:p w14:paraId="41D9731B" w14:textId="77777777" w:rsidR="00D44AC8" w:rsidRPr="00CF309B" w:rsidRDefault="00D44AC8" w:rsidP="00EC62BA">
            <w:pPr>
              <w:pStyle w:val="NoSpacing"/>
              <w:jc w:val="center"/>
              <w:rPr>
                <w:rFonts w:ascii="Arial" w:hAnsi="Arial" w:cs="Arial"/>
                <w:color w:val="FFFFFF" w:themeColor="background1"/>
                <w:sz w:val="18"/>
                <w:szCs w:val="18"/>
              </w:rPr>
            </w:pPr>
          </w:p>
        </w:tc>
        <w:tc>
          <w:tcPr>
            <w:tcW w:w="9638" w:type="dxa"/>
            <w:gridSpan w:val="11"/>
            <w:shd w:val="clear" w:color="auto" w:fill="17365D" w:themeFill="text2" w:themeFillShade="BF"/>
          </w:tcPr>
          <w:p w14:paraId="5C2A10C7" w14:textId="3F2D2461" w:rsidR="00D44AC8" w:rsidRPr="00CF309B" w:rsidRDefault="00D44AC8"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F309B">
              <w:rPr>
                <w:rFonts w:ascii="Arial" w:hAnsi="Arial" w:cs="Arial"/>
                <w:color w:val="FFFFFF" w:themeColor="background1"/>
                <w:sz w:val="18"/>
                <w:szCs w:val="18"/>
              </w:rPr>
              <w:t>Growth over comparable period</w:t>
            </w:r>
          </w:p>
        </w:tc>
      </w:tr>
      <w:tr w:rsidR="00D44AC8" w:rsidRPr="00CF309B" w14:paraId="2188E4FF" w14:textId="77777777" w:rsidTr="00D44AC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48" w:type="dxa"/>
            <w:gridSpan w:val="2"/>
            <w:shd w:val="clear" w:color="auto" w:fill="17365D" w:themeFill="text2" w:themeFillShade="BF"/>
            <w:vAlign w:val="center"/>
          </w:tcPr>
          <w:p w14:paraId="29E5768B" w14:textId="77777777" w:rsidR="00D44AC8" w:rsidRPr="00CF309B" w:rsidRDefault="00D44AC8" w:rsidP="00D44AC8">
            <w:pPr>
              <w:pStyle w:val="NoSpacing"/>
              <w:jc w:val="right"/>
              <w:rPr>
                <w:rFonts w:ascii="Arial" w:hAnsi="Arial" w:cs="Arial"/>
                <w:color w:val="FFFFFF" w:themeColor="background1"/>
                <w:sz w:val="18"/>
                <w:szCs w:val="18"/>
              </w:rPr>
            </w:pPr>
          </w:p>
        </w:tc>
        <w:tc>
          <w:tcPr>
            <w:tcW w:w="912" w:type="dxa"/>
            <w:shd w:val="clear" w:color="auto" w:fill="17365D" w:themeFill="text2" w:themeFillShade="BF"/>
            <w:vAlign w:val="center"/>
          </w:tcPr>
          <w:p w14:paraId="63017601" w14:textId="77777777" w:rsidR="00D44AC8" w:rsidRPr="003C245B"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943" w:type="dxa"/>
            <w:shd w:val="clear" w:color="auto" w:fill="17365D" w:themeFill="text2" w:themeFillShade="BF"/>
            <w:vAlign w:val="center"/>
          </w:tcPr>
          <w:p w14:paraId="4A18F774" w14:textId="77777777" w:rsidR="00D44AC8" w:rsidRPr="003C245B"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2020</w:t>
            </w:r>
          </w:p>
        </w:tc>
        <w:tc>
          <w:tcPr>
            <w:tcW w:w="944" w:type="dxa"/>
            <w:shd w:val="clear" w:color="auto" w:fill="17365D" w:themeFill="text2" w:themeFillShade="BF"/>
            <w:vAlign w:val="center"/>
          </w:tcPr>
          <w:p w14:paraId="3AD9F6FB"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‘21</w:t>
            </w:r>
          </w:p>
        </w:tc>
        <w:tc>
          <w:tcPr>
            <w:tcW w:w="913" w:type="dxa"/>
            <w:shd w:val="clear" w:color="auto" w:fill="17365D" w:themeFill="text2" w:themeFillShade="BF"/>
            <w:vAlign w:val="center"/>
          </w:tcPr>
          <w:p w14:paraId="56E4CCDB"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‘21</w:t>
            </w:r>
          </w:p>
        </w:tc>
        <w:tc>
          <w:tcPr>
            <w:tcW w:w="914" w:type="dxa"/>
            <w:shd w:val="clear" w:color="auto" w:fill="17365D" w:themeFill="text2" w:themeFillShade="BF"/>
            <w:vAlign w:val="center"/>
          </w:tcPr>
          <w:p w14:paraId="2293C6F3"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944" w:type="dxa"/>
            <w:shd w:val="clear" w:color="auto" w:fill="17365D" w:themeFill="text2" w:themeFillShade="BF"/>
            <w:vAlign w:val="center"/>
          </w:tcPr>
          <w:p w14:paraId="1A442681"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944" w:type="dxa"/>
            <w:shd w:val="clear" w:color="auto" w:fill="17365D" w:themeFill="text2" w:themeFillShade="BF"/>
            <w:vAlign w:val="center"/>
          </w:tcPr>
          <w:p w14:paraId="4385EE9E"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‘22</w:t>
            </w:r>
          </w:p>
        </w:tc>
        <w:tc>
          <w:tcPr>
            <w:tcW w:w="868" w:type="dxa"/>
            <w:shd w:val="clear" w:color="auto" w:fill="17365D" w:themeFill="text2" w:themeFillShade="BF"/>
            <w:vAlign w:val="center"/>
          </w:tcPr>
          <w:p w14:paraId="7DD4E35E" w14:textId="43171D4D"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Feb ‘22</w:t>
            </w:r>
          </w:p>
        </w:tc>
        <w:tc>
          <w:tcPr>
            <w:tcW w:w="832" w:type="dxa"/>
            <w:shd w:val="clear" w:color="auto" w:fill="17365D" w:themeFill="text2" w:themeFillShade="BF"/>
            <w:vAlign w:val="center"/>
          </w:tcPr>
          <w:p w14:paraId="041FEF61" w14:textId="4E21B2CB"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YA</w:t>
            </w:r>
          </w:p>
        </w:tc>
        <w:tc>
          <w:tcPr>
            <w:tcW w:w="1069" w:type="dxa"/>
            <w:shd w:val="clear" w:color="auto" w:fill="17365D" w:themeFill="text2" w:themeFillShade="BF"/>
            <w:vAlign w:val="center"/>
          </w:tcPr>
          <w:p w14:paraId="582F16C2" w14:textId="3F0D6A1F"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2YA</w:t>
            </w:r>
          </w:p>
        </w:tc>
      </w:tr>
      <w:tr w:rsidR="00D44AC8" w:rsidRPr="00E43E81" w14:paraId="63E25688" w14:textId="77777777" w:rsidTr="00D44AC8">
        <w:trPr>
          <w:trHeight w:val="140"/>
        </w:trPr>
        <w:tc>
          <w:tcPr>
            <w:cnfStyle w:val="001000000000" w:firstRow="0" w:lastRow="0" w:firstColumn="1" w:lastColumn="0" w:oddVBand="0" w:evenVBand="0" w:oddHBand="0" w:evenHBand="0" w:firstRowFirstColumn="0" w:firstRowLastColumn="0" w:lastRowFirstColumn="0" w:lastRowLastColumn="0"/>
            <w:tcW w:w="1348" w:type="dxa"/>
            <w:gridSpan w:val="2"/>
            <w:vAlign w:val="center"/>
          </w:tcPr>
          <w:p w14:paraId="1BC5E048" w14:textId="77777777" w:rsidR="00D44AC8" w:rsidRPr="00E43E81" w:rsidRDefault="00D44AC8" w:rsidP="003A7E92">
            <w:pPr>
              <w:rPr>
                <w:rFonts w:ascii="Arial" w:hAnsi="Arial" w:cs="Arial"/>
                <w:color w:val="215868" w:themeColor="accent5" w:themeShade="80"/>
                <w:sz w:val="18"/>
                <w:szCs w:val="18"/>
              </w:rPr>
            </w:pPr>
            <w:r w:rsidRPr="00E43E81">
              <w:rPr>
                <w:rFonts w:ascii="Arial" w:hAnsi="Arial" w:cs="Arial"/>
                <w:color w:val="215868" w:themeColor="accent5" w:themeShade="80"/>
                <w:sz w:val="18"/>
                <w:szCs w:val="18"/>
              </w:rPr>
              <w:t>Fruit</w:t>
            </w:r>
          </w:p>
        </w:tc>
        <w:tc>
          <w:tcPr>
            <w:tcW w:w="912" w:type="dxa"/>
            <w:vAlign w:val="center"/>
          </w:tcPr>
          <w:p w14:paraId="1139F53D" w14:textId="77777777" w:rsidR="00D44AC8" w:rsidRPr="00E43E81" w:rsidRDefault="00D44AC8"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43" w:type="dxa"/>
            <w:vAlign w:val="center"/>
          </w:tcPr>
          <w:p w14:paraId="7781D8C8" w14:textId="77777777" w:rsidR="00D44AC8" w:rsidRPr="00E43E81" w:rsidRDefault="00D44AC8"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44" w:type="dxa"/>
            <w:vAlign w:val="center"/>
          </w:tcPr>
          <w:p w14:paraId="4B6676A1" w14:textId="77777777" w:rsidR="00D44AC8" w:rsidRPr="00E43E81" w:rsidRDefault="00D44AC8"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13" w:type="dxa"/>
          </w:tcPr>
          <w:p w14:paraId="34E1CFA3" w14:textId="77777777" w:rsidR="00D44AC8" w:rsidRPr="00E43E81" w:rsidRDefault="00D44AC8"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14" w:type="dxa"/>
          </w:tcPr>
          <w:p w14:paraId="55E76F30" w14:textId="77777777" w:rsidR="00D44AC8" w:rsidRPr="00E43E81" w:rsidRDefault="00D44AC8"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44" w:type="dxa"/>
          </w:tcPr>
          <w:p w14:paraId="2AA16F83" w14:textId="77777777" w:rsidR="00D44AC8" w:rsidRPr="00E43E81" w:rsidRDefault="00D44AC8"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44" w:type="dxa"/>
          </w:tcPr>
          <w:p w14:paraId="0E3FBDB9" w14:textId="77777777" w:rsidR="00D44AC8" w:rsidRPr="00E43E81" w:rsidRDefault="00D44AC8"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68" w:type="dxa"/>
          </w:tcPr>
          <w:p w14:paraId="4EFAFB8B" w14:textId="77777777" w:rsidR="00D44AC8" w:rsidRPr="00E43E81" w:rsidRDefault="00D44AC8"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832" w:type="dxa"/>
          </w:tcPr>
          <w:p w14:paraId="3E5E2079" w14:textId="6B23943E" w:rsidR="00D44AC8" w:rsidRPr="00E43E81" w:rsidRDefault="00D44AC8"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1069" w:type="dxa"/>
          </w:tcPr>
          <w:p w14:paraId="3C1099A0" w14:textId="77777777" w:rsidR="00D44AC8" w:rsidRPr="00E43E81" w:rsidRDefault="00D44AC8"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r>
      <w:tr w:rsidR="00D44AC8" w:rsidRPr="00EF524A" w14:paraId="5AEC7600" w14:textId="77777777" w:rsidTr="00D44AC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48" w:type="dxa"/>
            <w:gridSpan w:val="2"/>
            <w:vAlign w:val="center"/>
          </w:tcPr>
          <w:p w14:paraId="7D1E7D37" w14:textId="77777777" w:rsidR="00D44AC8" w:rsidRPr="00EF524A" w:rsidRDefault="00D44AC8" w:rsidP="00D44AC8">
            <w:pPr>
              <w:pStyle w:val="NoSpacing"/>
              <w:jc w:val="right"/>
              <w:rPr>
                <w:rFonts w:ascii="Arial" w:hAnsi="Arial" w:cs="Arial"/>
                <w:b w:val="0"/>
                <w:color w:val="215868" w:themeColor="accent5" w:themeShade="80"/>
                <w:sz w:val="18"/>
                <w:szCs w:val="18"/>
              </w:rPr>
            </w:pPr>
            <w:r w:rsidRPr="00EF524A">
              <w:rPr>
                <w:rFonts w:ascii="Arial" w:hAnsi="Arial" w:cs="Arial"/>
                <w:b w:val="0"/>
                <w:color w:val="215868" w:themeColor="accent5" w:themeShade="80"/>
                <w:sz w:val="18"/>
                <w:szCs w:val="18"/>
              </w:rPr>
              <w:t xml:space="preserve">   Dollars</w:t>
            </w:r>
          </w:p>
        </w:tc>
        <w:tc>
          <w:tcPr>
            <w:tcW w:w="912" w:type="dxa"/>
            <w:vAlign w:val="bottom"/>
          </w:tcPr>
          <w:p w14:paraId="15B690B5" w14:textId="2D5E8518"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-0.2</w:t>
            </w:r>
            <w:r w:rsidRPr="00EF524A">
              <w:rPr>
                <w:rFonts w:ascii="Arial" w:hAnsi="Arial" w:cs="Arial"/>
                <w:bCs/>
                <w:color w:val="215868"/>
                <w:sz w:val="18"/>
                <w:szCs w:val="18"/>
              </w:rPr>
              <w:t>%</w:t>
            </w:r>
          </w:p>
        </w:tc>
        <w:tc>
          <w:tcPr>
            <w:tcW w:w="943" w:type="dxa"/>
            <w:vAlign w:val="bottom"/>
          </w:tcPr>
          <w:p w14:paraId="17DA2E9F" w14:textId="31E8E4EC"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sidRPr="00EF524A">
              <w:rPr>
                <w:rFonts w:ascii="Arial" w:hAnsi="Arial" w:cs="Arial"/>
                <w:bCs/>
                <w:color w:val="215868"/>
                <w:sz w:val="18"/>
                <w:szCs w:val="18"/>
              </w:rPr>
              <w:t>+</w:t>
            </w:r>
            <w:r>
              <w:rPr>
                <w:rFonts w:ascii="Arial" w:hAnsi="Arial" w:cs="Arial"/>
                <w:bCs/>
                <w:color w:val="215868"/>
                <w:sz w:val="18"/>
                <w:szCs w:val="18"/>
              </w:rPr>
              <w:t>8.7</w:t>
            </w:r>
            <w:r w:rsidRPr="00EF524A">
              <w:rPr>
                <w:rFonts w:ascii="Arial" w:hAnsi="Arial" w:cs="Arial"/>
                <w:bCs/>
                <w:color w:val="215868"/>
                <w:sz w:val="18"/>
                <w:szCs w:val="18"/>
              </w:rPr>
              <w:t>%</w:t>
            </w:r>
          </w:p>
        </w:tc>
        <w:tc>
          <w:tcPr>
            <w:tcW w:w="944" w:type="dxa"/>
            <w:vAlign w:val="bottom"/>
          </w:tcPr>
          <w:p w14:paraId="283B4C73" w14:textId="4E5BDF02"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+5.1</w:t>
            </w:r>
            <w:r w:rsidRPr="00EF524A">
              <w:rPr>
                <w:rFonts w:ascii="Arial" w:hAnsi="Arial" w:cs="Arial"/>
                <w:bCs/>
                <w:color w:val="215868"/>
                <w:sz w:val="18"/>
                <w:szCs w:val="18"/>
              </w:rPr>
              <w:t>%</w:t>
            </w:r>
          </w:p>
        </w:tc>
        <w:tc>
          <w:tcPr>
            <w:tcW w:w="913" w:type="dxa"/>
          </w:tcPr>
          <w:p w14:paraId="05F0A495" w14:textId="76FC154B"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+4.5</w:t>
            </w:r>
            <w:r w:rsidRPr="00EF524A">
              <w:rPr>
                <w:rFonts w:ascii="Arial" w:hAnsi="Arial" w:cs="Arial"/>
                <w:bCs/>
                <w:color w:val="215868"/>
                <w:sz w:val="18"/>
                <w:szCs w:val="18"/>
              </w:rPr>
              <w:t>%</w:t>
            </w:r>
          </w:p>
        </w:tc>
        <w:tc>
          <w:tcPr>
            <w:tcW w:w="914" w:type="dxa"/>
          </w:tcPr>
          <w:p w14:paraId="7BE6A292" w14:textId="269A829D"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+6.2</w:t>
            </w:r>
            <w:r w:rsidRPr="00EF524A">
              <w:rPr>
                <w:rFonts w:ascii="Arial" w:hAnsi="Arial" w:cs="Arial"/>
                <w:bCs/>
                <w:color w:val="215868"/>
                <w:sz w:val="18"/>
                <w:szCs w:val="18"/>
              </w:rPr>
              <w:t>%</w:t>
            </w:r>
          </w:p>
        </w:tc>
        <w:tc>
          <w:tcPr>
            <w:tcW w:w="944" w:type="dxa"/>
          </w:tcPr>
          <w:p w14:paraId="59F7AEF4" w14:textId="14B767C5"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Pr>
                <w:rFonts w:ascii="Arial" w:hAnsi="Arial" w:cs="Arial"/>
                <w:bCs/>
                <w:color w:val="215868" w:themeColor="accent5" w:themeShade="80"/>
                <w:sz w:val="18"/>
                <w:szCs w:val="18"/>
              </w:rPr>
              <w:t>10.9</w:t>
            </w:r>
            <w:r w:rsidRPr="00EF524A">
              <w:rPr>
                <w:rFonts w:ascii="Arial" w:hAnsi="Arial" w:cs="Arial"/>
                <w:bCs/>
                <w:color w:val="215868" w:themeColor="accent5" w:themeShade="80"/>
                <w:sz w:val="18"/>
                <w:szCs w:val="18"/>
              </w:rPr>
              <w:t>%</w:t>
            </w:r>
          </w:p>
        </w:tc>
        <w:tc>
          <w:tcPr>
            <w:tcW w:w="944" w:type="dxa"/>
          </w:tcPr>
          <w:p w14:paraId="0DFFA07C" w14:textId="456E8214"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Pr>
                <w:rFonts w:ascii="Arial" w:hAnsi="Arial" w:cs="Arial"/>
                <w:bCs/>
                <w:color w:val="215868" w:themeColor="accent5" w:themeShade="80"/>
                <w:sz w:val="18"/>
                <w:szCs w:val="18"/>
              </w:rPr>
              <w:t>10.1</w:t>
            </w:r>
            <w:r w:rsidRPr="00EF524A">
              <w:rPr>
                <w:rFonts w:ascii="Arial" w:hAnsi="Arial" w:cs="Arial"/>
                <w:bCs/>
                <w:color w:val="215868" w:themeColor="accent5" w:themeShade="80"/>
                <w:sz w:val="18"/>
                <w:szCs w:val="18"/>
              </w:rPr>
              <w:t>%</w:t>
            </w:r>
          </w:p>
        </w:tc>
        <w:tc>
          <w:tcPr>
            <w:tcW w:w="868" w:type="dxa"/>
          </w:tcPr>
          <w:p w14:paraId="0B316AC7" w14:textId="74AA5F23"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AF0D02">
              <w:rPr>
                <w:rFonts w:ascii="Arial" w:hAnsi="Arial" w:cs="Arial"/>
                <w:bCs/>
                <w:color w:val="215868" w:themeColor="accent5" w:themeShade="80"/>
                <w:sz w:val="18"/>
                <w:szCs w:val="18"/>
              </w:rPr>
              <w:t>2.8B</w:t>
            </w:r>
          </w:p>
        </w:tc>
        <w:tc>
          <w:tcPr>
            <w:tcW w:w="832" w:type="dxa"/>
          </w:tcPr>
          <w:p w14:paraId="22BC605C" w14:textId="3B9AD6AF"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sidR="00AF0D02">
              <w:rPr>
                <w:rFonts w:ascii="Arial" w:hAnsi="Arial" w:cs="Arial"/>
                <w:bCs/>
                <w:color w:val="215868" w:themeColor="accent5" w:themeShade="80"/>
                <w:sz w:val="18"/>
                <w:szCs w:val="18"/>
              </w:rPr>
              <w:t>11.5</w:t>
            </w:r>
            <w:r w:rsidRPr="00EF524A">
              <w:rPr>
                <w:rFonts w:ascii="Arial" w:hAnsi="Arial" w:cs="Arial"/>
                <w:bCs/>
                <w:color w:val="215868" w:themeColor="accent5" w:themeShade="80"/>
                <w:sz w:val="18"/>
                <w:szCs w:val="18"/>
              </w:rPr>
              <w:t>%</w:t>
            </w:r>
          </w:p>
        </w:tc>
        <w:tc>
          <w:tcPr>
            <w:tcW w:w="1069" w:type="dxa"/>
          </w:tcPr>
          <w:p w14:paraId="2FC95C73" w14:textId="6A27F06B"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AF0D02">
              <w:rPr>
                <w:rFonts w:ascii="Arial" w:hAnsi="Arial" w:cs="Arial"/>
                <w:bCs/>
                <w:color w:val="215868" w:themeColor="accent5" w:themeShade="80"/>
                <w:sz w:val="18"/>
                <w:szCs w:val="18"/>
              </w:rPr>
              <w:t>21.8</w:t>
            </w:r>
            <w:r w:rsidRPr="00EF524A">
              <w:rPr>
                <w:rFonts w:ascii="Arial" w:hAnsi="Arial" w:cs="Arial"/>
                <w:bCs/>
                <w:color w:val="215868" w:themeColor="accent5" w:themeShade="80"/>
                <w:sz w:val="18"/>
                <w:szCs w:val="18"/>
              </w:rPr>
              <w:t>%</w:t>
            </w:r>
          </w:p>
        </w:tc>
      </w:tr>
      <w:tr w:rsidR="00D44AC8" w:rsidRPr="00E43E81" w14:paraId="3476271B" w14:textId="77777777" w:rsidTr="00D44AC8">
        <w:trPr>
          <w:trHeight w:val="140"/>
        </w:trPr>
        <w:tc>
          <w:tcPr>
            <w:cnfStyle w:val="001000000000" w:firstRow="0" w:lastRow="0" w:firstColumn="1" w:lastColumn="0" w:oddVBand="0" w:evenVBand="0" w:oddHBand="0" w:evenHBand="0" w:firstRowFirstColumn="0" w:firstRowLastColumn="0" w:lastRowFirstColumn="0" w:lastRowLastColumn="0"/>
            <w:tcW w:w="1348" w:type="dxa"/>
            <w:gridSpan w:val="2"/>
            <w:vAlign w:val="center"/>
          </w:tcPr>
          <w:p w14:paraId="3C77D01E" w14:textId="77777777" w:rsidR="00D44AC8" w:rsidRPr="00E43E81" w:rsidRDefault="00D44AC8" w:rsidP="00D44AC8">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Volume</w:t>
            </w:r>
          </w:p>
        </w:tc>
        <w:tc>
          <w:tcPr>
            <w:tcW w:w="912" w:type="dxa"/>
            <w:vAlign w:val="bottom"/>
          </w:tcPr>
          <w:p w14:paraId="5B77DAE0" w14:textId="4B2A03E1" w:rsidR="00D44AC8" w:rsidRPr="00EF524A"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-0.6</w:t>
            </w:r>
            <w:r w:rsidRPr="00EF524A">
              <w:rPr>
                <w:rFonts w:ascii="Arial" w:hAnsi="Arial" w:cs="Arial"/>
                <w:color w:val="215868"/>
                <w:sz w:val="18"/>
                <w:szCs w:val="18"/>
              </w:rPr>
              <w:t>%</w:t>
            </w:r>
          </w:p>
        </w:tc>
        <w:tc>
          <w:tcPr>
            <w:tcW w:w="943" w:type="dxa"/>
            <w:vAlign w:val="bottom"/>
          </w:tcPr>
          <w:p w14:paraId="2014A442" w14:textId="08B1A478"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+8.8%</w:t>
            </w:r>
          </w:p>
        </w:tc>
        <w:tc>
          <w:tcPr>
            <w:tcW w:w="944" w:type="dxa"/>
            <w:vAlign w:val="bottom"/>
          </w:tcPr>
          <w:p w14:paraId="52EE4C7F" w14:textId="31CCBE58"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-0.5%</w:t>
            </w:r>
          </w:p>
        </w:tc>
        <w:tc>
          <w:tcPr>
            <w:tcW w:w="913" w:type="dxa"/>
          </w:tcPr>
          <w:p w14:paraId="1AF979C8" w14:textId="3295E934"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-5.1%</w:t>
            </w:r>
          </w:p>
        </w:tc>
        <w:tc>
          <w:tcPr>
            <w:tcW w:w="914" w:type="dxa"/>
          </w:tcPr>
          <w:p w14:paraId="6FC1B8BB" w14:textId="0D832A70"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-0.6%</w:t>
            </w:r>
          </w:p>
        </w:tc>
        <w:tc>
          <w:tcPr>
            <w:tcW w:w="944" w:type="dxa"/>
          </w:tcPr>
          <w:p w14:paraId="75D8DE48" w14:textId="3904B9C4"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-1.1%</w:t>
            </w:r>
          </w:p>
        </w:tc>
        <w:tc>
          <w:tcPr>
            <w:tcW w:w="944" w:type="dxa"/>
          </w:tcPr>
          <w:p w14:paraId="1BD47635" w14:textId="61484A2B"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-3.3</w:t>
            </w:r>
            <w:r w:rsidRPr="00E43E81">
              <w:rPr>
                <w:rFonts w:ascii="Arial" w:hAnsi="Arial" w:cs="Arial"/>
                <w:color w:val="215868" w:themeColor="accent5" w:themeShade="80"/>
                <w:sz w:val="18"/>
                <w:szCs w:val="18"/>
              </w:rPr>
              <w:t>%</w:t>
            </w:r>
          </w:p>
        </w:tc>
        <w:tc>
          <w:tcPr>
            <w:tcW w:w="868" w:type="dxa"/>
          </w:tcPr>
          <w:p w14:paraId="24ED1C4B" w14:textId="75904605" w:rsidR="00D44AC8" w:rsidRDefault="00AF0D02"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1.5B</w:t>
            </w:r>
          </w:p>
        </w:tc>
        <w:tc>
          <w:tcPr>
            <w:tcW w:w="832" w:type="dxa"/>
          </w:tcPr>
          <w:p w14:paraId="40C78115" w14:textId="1D6B889D" w:rsidR="00D44AC8" w:rsidRPr="00E43E81" w:rsidRDefault="00AF0D02"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-3.9</w:t>
            </w:r>
            <w:r w:rsidR="00D44AC8" w:rsidRPr="00EF524A">
              <w:rPr>
                <w:rFonts w:ascii="Arial" w:hAnsi="Arial" w:cs="Arial"/>
                <w:bCs/>
                <w:color w:val="215868" w:themeColor="accent5" w:themeShade="80"/>
                <w:sz w:val="18"/>
                <w:szCs w:val="18"/>
              </w:rPr>
              <w:t>%</w:t>
            </w:r>
          </w:p>
        </w:tc>
        <w:tc>
          <w:tcPr>
            <w:tcW w:w="1069" w:type="dxa"/>
          </w:tcPr>
          <w:p w14:paraId="40AFD473" w14:textId="52B289CB" w:rsidR="00D44AC8" w:rsidRPr="00E43E81"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w:t>
            </w:r>
            <w:r w:rsidR="00AF0D02">
              <w:rPr>
                <w:rFonts w:ascii="Arial" w:hAnsi="Arial" w:cs="Arial"/>
                <w:bCs/>
                <w:color w:val="215868" w:themeColor="accent5" w:themeShade="80"/>
                <w:sz w:val="18"/>
                <w:szCs w:val="18"/>
              </w:rPr>
              <w:t>0.6</w:t>
            </w:r>
            <w:r w:rsidRPr="00EF524A">
              <w:rPr>
                <w:rFonts w:ascii="Arial" w:hAnsi="Arial" w:cs="Arial"/>
                <w:bCs/>
                <w:color w:val="215868" w:themeColor="accent5" w:themeShade="80"/>
                <w:sz w:val="18"/>
                <w:szCs w:val="18"/>
              </w:rPr>
              <w:t>%</w:t>
            </w:r>
          </w:p>
        </w:tc>
      </w:tr>
      <w:tr w:rsidR="00D44AC8" w:rsidRPr="00E43E81" w14:paraId="086B8DCB" w14:textId="77777777" w:rsidTr="00D44AC8">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48" w:type="dxa"/>
            <w:gridSpan w:val="2"/>
            <w:vAlign w:val="center"/>
          </w:tcPr>
          <w:p w14:paraId="33C6FCCB" w14:textId="77777777" w:rsidR="00D44AC8" w:rsidRPr="00E43E81" w:rsidRDefault="00D44AC8" w:rsidP="00D44AC8">
            <w:pPr>
              <w:pStyle w:val="NoSpacing"/>
              <w:rPr>
                <w:rFonts w:ascii="Arial" w:hAnsi="Arial" w:cs="Arial"/>
                <w:color w:val="215868" w:themeColor="accent5" w:themeShade="80"/>
                <w:sz w:val="18"/>
                <w:szCs w:val="18"/>
              </w:rPr>
            </w:pPr>
            <w:r w:rsidRPr="00E43E81">
              <w:rPr>
                <w:rFonts w:ascii="Arial" w:hAnsi="Arial" w:cs="Arial"/>
                <w:color w:val="215868" w:themeColor="accent5" w:themeShade="80"/>
                <w:sz w:val="18"/>
                <w:szCs w:val="18"/>
              </w:rPr>
              <w:t>Vegetables</w:t>
            </w:r>
          </w:p>
        </w:tc>
        <w:tc>
          <w:tcPr>
            <w:tcW w:w="912" w:type="dxa"/>
            <w:vAlign w:val="bottom"/>
          </w:tcPr>
          <w:p w14:paraId="73DCC43F" w14:textId="77777777"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43" w:type="dxa"/>
            <w:vAlign w:val="bottom"/>
          </w:tcPr>
          <w:p w14:paraId="7761902E"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44" w:type="dxa"/>
            <w:vAlign w:val="bottom"/>
          </w:tcPr>
          <w:p w14:paraId="74E5391B" w14:textId="7777777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13" w:type="dxa"/>
          </w:tcPr>
          <w:p w14:paraId="18CCBF84" w14:textId="77777777" w:rsidR="00D44AC8" w:rsidRDefault="00D44AC8" w:rsidP="00D44A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14" w:type="dxa"/>
          </w:tcPr>
          <w:p w14:paraId="01DBE46D" w14:textId="77777777" w:rsidR="00D44AC8" w:rsidRDefault="00D44AC8" w:rsidP="00D44AC8">
            <w:pPr>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44" w:type="dxa"/>
          </w:tcPr>
          <w:p w14:paraId="6BD6E949" w14:textId="77777777" w:rsidR="00D44AC8" w:rsidRPr="00E43E81" w:rsidRDefault="00D44AC8" w:rsidP="00D44AC8">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944" w:type="dxa"/>
          </w:tcPr>
          <w:p w14:paraId="2EC07E7F" w14:textId="77777777" w:rsidR="00D44AC8" w:rsidRPr="00E43E81" w:rsidRDefault="00D44AC8" w:rsidP="00D44AC8">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68" w:type="dxa"/>
          </w:tcPr>
          <w:p w14:paraId="7096CAC7" w14:textId="77777777" w:rsidR="00D44AC8" w:rsidRPr="00E43E81" w:rsidRDefault="00D44AC8" w:rsidP="00D44AC8">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832" w:type="dxa"/>
          </w:tcPr>
          <w:p w14:paraId="29C1AAF9" w14:textId="37631E86" w:rsidR="00D44AC8" w:rsidRPr="00E43E81" w:rsidRDefault="00D44AC8" w:rsidP="00D44AC8">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1069" w:type="dxa"/>
          </w:tcPr>
          <w:p w14:paraId="05C8EE53" w14:textId="77777777" w:rsidR="00D44AC8" w:rsidRPr="00E43E81" w:rsidRDefault="00D44AC8" w:rsidP="00D44AC8">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r>
      <w:tr w:rsidR="00D44AC8" w:rsidRPr="00E43E81" w14:paraId="21073A7E" w14:textId="77777777" w:rsidTr="00D44AC8">
        <w:trPr>
          <w:trHeight w:val="140"/>
        </w:trPr>
        <w:tc>
          <w:tcPr>
            <w:cnfStyle w:val="001000000000" w:firstRow="0" w:lastRow="0" w:firstColumn="1" w:lastColumn="0" w:oddVBand="0" w:evenVBand="0" w:oddHBand="0" w:evenHBand="0" w:firstRowFirstColumn="0" w:firstRowLastColumn="0" w:lastRowFirstColumn="0" w:lastRowLastColumn="0"/>
            <w:tcW w:w="1348" w:type="dxa"/>
            <w:gridSpan w:val="2"/>
            <w:vAlign w:val="center"/>
          </w:tcPr>
          <w:p w14:paraId="212B5B99" w14:textId="77777777" w:rsidR="00D44AC8" w:rsidRPr="00E43E81" w:rsidRDefault="00D44AC8" w:rsidP="00D44AC8">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Dollars</w:t>
            </w:r>
          </w:p>
        </w:tc>
        <w:tc>
          <w:tcPr>
            <w:tcW w:w="912" w:type="dxa"/>
            <w:vAlign w:val="bottom"/>
          </w:tcPr>
          <w:p w14:paraId="1765AE90" w14:textId="72591C81" w:rsidR="00D44AC8" w:rsidRPr="00EF524A"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EF524A">
              <w:rPr>
                <w:rFonts w:ascii="Arial" w:hAnsi="Arial" w:cs="Arial"/>
                <w:color w:val="215868"/>
                <w:sz w:val="18"/>
                <w:szCs w:val="18"/>
              </w:rPr>
              <w:t>+</w:t>
            </w:r>
            <w:r>
              <w:rPr>
                <w:rFonts w:ascii="Arial" w:hAnsi="Arial" w:cs="Arial"/>
                <w:color w:val="215868"/>
                <w:sz w:val="18"/>
                <w:szCs w:val="18"/>
              </w:rPr>
              <w:t>3.9</w:t>
            </w:r>
            <w:r w:rsidRPr="00EF524A">
              <w:rPr>
                <w:rFonts w:ascii="Arial" w:hAnsi="Arial" w:cs="Arial"/>
                <w:color w:val="215868"/>
                <w:sz w:val="18"/>
                <w:szCs w:val="18"/>
              </w:rPr>
              <w:t>%</w:t>
            </w:r>
          </w:p>
        </w:tc>
        <w:tc>
          <w:tcPr>
            <w:tcW w:w="943" w:type="dxa"/>
            <w:vAlign w:val="bottom"/>
          </w:tcPr>
          <w:p w14:paraId="32E683B5" w14:textId="21A20A32"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+14.8%</w:t>
            </w:r>
          </w:p>
        </w:tc>
        <w:tc>
          <w:tcPr>
            <w:tcW w:w="944" w:type="dxa"/>
            <w:vAlign w:val="bottom"/>
          </w:tcPr>
          <w:p w14:paraId="505795D6" w14:textId="430CA0F4"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+4.7%</w:t>
            </w:r>
          </w:p>
        </w:tc>
        <w:tc>
          <w:tcPr>
            <w:tcW w:w="913" w:type="dxa"/>
          </w:tcPr>
          <w:p w14:paraId="4B1C1FD6" w14:textId="16BEDA07"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-7.1%</w:t>
            </w:r>
          </w:p>
        </w:tc>
        <w:tc>
          <w:tcPr>
            <w:tcW w:w="914" w:type="dxa"/>
          </w:tcPr>
          <w:p w14:paraId="10FE4091" w14:textId="07896E09"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-2.3%</w:t>
            </w:r>
          </w:p>
        </w:tc>
        <w:tc>
          <w:tcPr>
            <w:tcW w:w="944" w:type="dxa"/>
          </w:tcPr>
          <w:p w14:paraId="04FFBCC4" w14:textId="7AC5FC90"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+0.1%</w:t>
            </w:r>
          </w:p>
        </w:tc>
        <w:tc>
          <w:tcPr>
            <w:tcW w:w="944" w:type="dxa"/>
          </w:tcPr>
          <w:p w14:paraId="61F9669F" w14:textId="48C2EA35"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-0.5</w:t>
            </w:r>
            <w:r w:rsidRPr="00E43E81">
              <w:rPr>
                <w:rFonts w:ascii="Arial" w:hAnsi="Arial" w:cs="Arial"/>
                <w:color w:val="215868" w:themeColor="accent5" w:themeShade="80"/>
                <w:sz w:val="18"/>
              </w:rPr>
              <w:t>%</w:t>
            </w:r>
          </w:p>
        </w:tc>
        <w:tc>
          <w:tcPr>
            <w:tcW w:w="868" w:type="dxa"/>
          </w:tcPr>
          <w:p w14:paraId="3FA0D484" w14:textId="7381F530" w:rsidR="00D44AC8"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AF0D02">
              <w:rPr>
                <w:rFonts w:ascii="Arial" w:hAnsi="Arial" w:cs="Arial"/>
                <w:color w:val="215868" w:themeColor="accent5" w:themeShade="80"/>
                <w:sz w:val="18"/>
              </w:rPr>
              <w:t>2.7B</w:t>
            </w:r>
          </w:p>
        </w:tc>
        <w:tc>
          <w:tcPr>
            <w:tcW w:w="832" w:type="dxa"/>
          </w:tcPr>
          <w:p w14:paraId="37E2BD2D" w14:textId="0B5584D4" w:rsidR="00D44AC8" w:rsidRPr="00E43E81" w:rsidRDefault="00AF0D02"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-1.8</w:t>
            </w:r>
            <w:r w:rsidR="00D44AC8" w:rsidRPr="00EF524A">
              <w:rPr>
                <w:rFonts w:ascii="Arial" w:hAnsi="Arial" w:cs="Arial"/>
                <w:bCs/>
                <w:color w:val="215868" w:themeColor="accent5" w:themeShade="80"/>
                <w:sz w:val="18"/>
                <w:szCs w:val="18"/>
              </w:rPr>
              <w:t>%</w:t>
            </w:r>
          </w:p>
        </w:tc>
        <w:tc>
          <w:tcPr>
            <w:tcW w:w="1069" w:type="dxa"/>
          </w:tcPr>
          <w:p w14:paraId="108031E8" w14:textId="0B977319" w:rsidR="00D44AC8" w:rsidRPr="00E43E81" w:rsidRDefault="00D44AC8" w:rsidP="00D44AC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w:t>
            </w:r>
            <w:r w:rsidR="00AF0D02">
              <w:rPr>
                <w:rFonts w:ascii="Arial" w:hAnsi="Arial" w:cs="Arial"/>
                <w:bCs/>
                <w:color w:val="215868" w:themeColor="accent5" w:themeShade="80"/>
                <w:sz w:val="18"/>
                <w:szCs w:val="18"/>
              </w:rPr>
              <w:t>11.3</w:t>
            </w:r>
            <w:r w:rsidRPr="00EF524A">
              <w:rPr>
                <w:rFonts w:ascii="Arial" w:hAnsi="Arial" w:cs="Arial"/>
                <w:bCs/>
                <w:color w:val="215868" w:themeColor="accent5" w:themeShade="80"/>
                <w:sz w:val="18"/>
                <w:szCs w:val="18"/>
              </w:rPr>
              <w:t>%</w:t>
            </w:r>
          </w:p>
        </w:tc>
      </w:tr>
      <w:tr w:rsidR="00D44AC8" w:rsidRPr="00E43E81" w14:paraId="43A744ED" w14:textId="77777777" w:rsidTr="00D4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348" w:type="dxa"/>
            <w:gridSpan w:val="2"/>
            <w:vAlign w:val="center"/>
          </w:tcPr>
          <w:p w14:paraId="2D5BC9DE" w14:textId="77777777" w:rsidR="00D44AC8" w:rsidRPr="00E43E81" w:rsidRDefault="00D44AC8" w:rsidP="00D44AC8">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Volume</w:t>
            </w:r>
          </w:p>
        </w:tc>
        <w:tc>
          <w:tcPr>
            <w:tcW w:w="912" w:type="dxa"/>
            <w:vAlign w:val="bottom"/>
          </w:tcPr>
          <w:p w14:paraId="355C182D" w14:textId="3C9BCCA6" w:rsidR="00D44AC8" w:rsidRPr="00EF524A"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+1.7</w:t>
            </w:r>
            <w:r w:rsidRPr="00EF524A">
              <w:rPr>
                <w:rFonts w:ascii="Arial" w:hAnsi="Arial" w:cs="Arial"/>
                <w:color w:val="215868"/>
                <w:sz w:val="18"/>
                <w:szCs w:val="18"/>
              </w:rPr>
              <w:t>%</w:t>
            </w:r>
          </w:p>
        </w:tc>
        <w:tc>
          <w:tcPr>
            <w:tcW w:w="943" w:type="dxa"/>
            <w:vAlign w:val="bottom"/>
          </w:tcPr>
          <w:p w14:paraId="2918379D" w14:textId="51CBC7BE"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+14.2%</w:t>
            </w:r>
          </w:p>
        </w:tc>
        <w:tc>
          <w:tcPr>
            <w:tcW w:w="944" w:type="dxa"/>
            <w:vAlign w:val="bottom"/>
          </w:tcPr>
          <w:p w14:paraId="211A3D88" w14:textId="2EC2143F"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+13.5%</w:t>
            </w:r>
          </w:p>
        </w:tc>
        <w:tc>
          <w:tcPr>
            <w:tcW w:w="913" w:type="dxa"/>
          </w:tcPr>
          <w:p w14:paraId="06B7466D" w14:textId="6D80E197"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-11.7%</w:t>
            </w:r>
          </w:p>
        </w:tc>
        <w:tc>
          <w:tcPr>
            <w:tcW w:w="914" w:type="dxa"/>
          </w:tcPr>
          <w:p w14:paraId="40158A08" w14:textId="77463885"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-5.1%</w:t>
            </w:r>
          </w:p>
        </w:tc>
        <w:tc>
          <w:tcPr>
            <w:tcW w:w="944" w:type="dxa"/>
          </w:tcPr>
          <w:p w14:paraId="155D24DC" w14:textId="6F0E25FC"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-5.7%</w:t>
            </w:r>
          </w:p>
        </w:tc>
        <w:tc>
          <w:tcPr>
            <w:tcW w:w="944" w:type="dxa"/>
          </w:tcPr>
          <w:p w14:paraId="315BB821" w14:textId="23A8F91F" w:rsidR="00D44AC8"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-5.2</w:t>
            </w:r>
            <w:r w:rsidRPr="00E43E81">
              <w:rPr>
                <w:rFonts w:ascii="Arial" w:hAnsi="Arial" w:cs="Arial"/>
                <w:color w:val="215868" w:themeColor="accent5" w:themeShade="80"/>
                <w:sz w:val="18"/>
              </w:rPr>
              <w:t>%</w:t>
            </w:r>
          </w:p>
        </w:tc>
        <w:tc>
          <w:tcPr>
            <w:tcW w:w="868" w:type="dxa"/>
          </w:tcPr>
          <w:p w14:paraId="286BF450" w14:textId="038E50F5" w:rsidR="00D44AC8" w:rsidRDefault="00AF0D02"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1.4B</w:t>
            </w:r>
          </w:p>
        </w:tc>
        <w:tc>
          <w:tcPr>
            <w:tcW w:w="832" w:type="dxa"/>
          </w:tcPr>
          <w:p w14:paraId="26B3AA46" w14:textId="102DE3F7" w:rsidR="00D44AC8" w:rsidRPr="00E43E81" w:rsidRDefault="00AF0D02"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-7.6</w:t>
            </w:r>
            <w:r w:rsidR="00D44AC8" w:rsidRPr="00EF524A">
              <w:rPr>
                <w:rFonts w:ascii="Arial" w:hAnsi="Arial" w:cs="Arial"/>
                <w:bCs/>
                <w:color w:val="215868" w:themeColor="accent5" w:themeShade="80"/>
                <w:sz w:val="18"/>
                <w:szCs w:val="18"/>
              </w:rPr>
              <w:t>%</w:t>
            </w:r>
          </w:p>
        </w:tc>
        <w:tc>
          <w:tcPr>
            <w:tcW w:w="1069" w:type="dxa"/>
          </w:tcPr>
          <w:p w14:paraId="55980290" w14:textId="09F0B0CB" w:rsidR="00D44AC8" w:rsidRPr="00E43E81" w:rsidRDefault="00D44AC8" w:rsidP="00D44AC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bCs/>
                <w:color w:val="215868" w:themeColor="accent5" w:themeShade="80"/>
                <w:sz w:val="18"/>
                <w:szCs w:val="18"/>
              </w:rPr>
              <w:t>+</w:t>
            </w:r>
            <w:r w:rsidR="00AF0D02">
              <w:rPr>
                <w:rFonts w:ascii="Arial" w:hAnsi="Arial" w:cs="Arial"/>
                <w:bCs/>
                <w:color w:val="215868" w:themeColor="accent5" w:themeShade="80"/>
                <w:sz w:val="18"/>
                <w:szCs w:val="18"/>
              </w:rPr>
              <w:t>3.4</w:t>
            </w:r>
            <w:r w:rsidRPr="00EF524A">
              <w:rPr>
                <w:rFonts w:ascii="Arial" w:hAnsi="Arial" w:cs="Arial"/>
                <w:bCs/>
                <w:color w:val="215868" w:themeColor="accent5" w:themeShade="80"/>
                <w:sz w:val="18"/>
                <w:szCs w:val="18"/>
              </w:rPr>
              <w:t>%</w:t>
            </w:r>
          </w:p>
        </w:tc>
      </w:tr>
    </w:tbl>
    <w:p w14:paraId="030C002F" w14:textId="77777777" w:rsidR="00315642" w:rsidRPr="002E09F5" w:rsidRDefault="00FE5D0F" w:rsidP="006069A6">
      <w:pPr>
        <w:pStyle w:val="NoSpacing"/>
        <w:rPr>
          <w:rFonts w:ascii="Arial" w:hAnsi="Arial" w:cs="Arial"/>
          <w:sz w:val="6"/>
          <w:szCs w:val="10"/>
        </w:rPr>
      </w:pPr>
      <w:r w:rsidRPr="002E09F5">
        <w:rPr>
          <w:rFonts w:ascii="Arial" w:hAnsi="Arial" w:cs="Arial"/>
          <w:sz w:val="6"/>
          <w:szCs w:val="10"/>
        </w:rPr>
        <w:t xml:space="preserve"> </w:t>
      </w:r>
    </w:p>
    <w:p w14:paraId="7E6FB482" w14:textId="77777777" w:rsidR="00441E8F" w:rsidRDefault="00441E8F" w:rsidP="00441E8F">
      <w:pPr>
        <w:pStyle w:val="NoSpacing"/>
        <w:rPr>
          <w:rFonts w:ascii="Arial" w:hAnsi="Arial" w:cs="Arial"/>
          <w:sz w:val="16"/>
          <w:szCs w:val="16"/>
        </w:rPr>
      </w:pPr>
      <w:r w:rsidRPr="00CF309B">
        <w:rPr>
          <w:rFonts w:ascii="Arial" w:hAnsi="Arial" w:cs="Arial"/>
          <w:sz w:val="16"/>
          <w:szCs w:val="16"/>
        </w:rPr>
        <w:t>Source:</w:t>
      </w:r>
      <w:r w:rsidR="00BA516E" w:rsidRPr="00CF309B">
        <w:rPr>
          <w:rFonts w:ascii="Arial" w:hAnsi="Arial" w:cs="Arial"/>
          <w:sz w:val="16"/>
          <w:szCs w:val="16"/>
        </w:rPr>
        <w:t xml:space="preserve"> IRI</w:t>
      </w:r>
      <w:r w:rsidR="00906C46">
        <w:rPr>
          <w:rFonts w:ascii="Arial" w:hAnsi="Arial" w:cs="Arial"/>
          <w:sz w:val="16"/>
          <w:szCs w:val="16"/>
        </w:rPr>
        <w:t xml:space="preserve"> Integrated Fresh,</w:t>
      </w:r>
      <w:r w:rsidR="00BA516E" w:rsidRPr="00CF309B">
        <w:rPr>
          <w:rFonts w:ascii="Arial" w:hAnsi="Arial" w:cs="Arial"/>
          <w:sz w:val="16"/>
          <w:szCs w:val="16"/>
        </w:rPr>
        <w:t xml:space="preserve"> Total U.S., MULO</w:t>
      </w:r>
    </w:p>
    <w:p w14:paraId="1E6CCA3B" w14:textId="3D862E78" w:rsidR="00517D7F" w:rsidRDefault="00517D7F" w:rsidP="00CB6454">
      <w:pPr>
        <w:pStyle w:val="NoSpacing"/>
        <w:rPr>
          <w:rFonts w:ascii="Arial" w:hAnsi="Arial" w:cs="Arial"/>
          <w:b/>
          <w:color w:val="595959" w:themeColor="text1" w:themeTint="A6"/>
          <w:sz w:val="24"/>
          <w:szCs w:val="24"/>
        </w:rPr>
      </w:pPr>
    </w:p>
    <w:p w14:paraId="5FB188E2" w14:textId="77777777" w:rsidR="009F5C6A" w:rsidRDefault="009F5C6A" w:rsidP="00CB6454">
      <w:pPr>
        <w:pStyle w:val="NoSpacing"/>
        <w:rPr>
          <w:rFonts w:ascii="Arial" w:hAnsi="Arial" w:cs="Arial"/>
          <w:b/>
          <w:color w:val="595959" w:themeColor="text1" w:themeTint="A6"/>
          <w:sz w:val="24"/>
          <w:szCs w:val="24"/>
        </w:rPr>
      </w:pPr>
    </w:p>
    <w:p w14:paraId="7EA9214F" w14:textId="371B6700" w:rsidR="00CB6454" w:rsidRPr="00B34F5D" w:rsidRDefault="00CB6454" w:rsidP="009F5C6A">
      <w:pPr>
        <w:spacing w:after="0"/>
        <w:rPr>
          <w:rFonts w:ascii="Arial" w:hAnsi="Arial" w:cs="Arial"/>
          <w:b/>
          <w:color w:val="595959" w:themeColor="text1" w:themeTint="A6"/>
          <w:sz w:val="24"/>
          <w:szCs w:val="24"/>
        </w:rPr>
      </w:pPr>
      <w:r w:rsidRPr="00B34F5D">
        <w:rPr>
          <w:rFonts w:ascii="Arial" w:hAnsi="Arial" w:cs="Arial"/>
          <w:b/>
          <w:color w:val="595959" w:themeColor="text1" w:themeTint="A6"/>
          <w:sz w:val="24"/>
          <w:szCs w:val="24"/>
        </w:rPr>
        <w:t>Fresh Fruit</w:t>
      </w:r>
      <w:r w:rsidR="00EB33CE">
        <w:rPr>
          <w:rFonts w:ascii="Arial" w:hAnsi="Arial" w:cs="Arial"/>
          <w:b/>
          <w:color w:val="595959" w:themeColor="text1" w:themeTint="A6"/>
          <w:sz w:val="24"/>
          <w:szCs w:val="24"/>
        </w:rPr>
        <w:t xml:space="preserve"> Sales in </w:t>
      </w:r>
      <w:r w:rsidR="00C16A60">
        <w:rPr>
          <w:rFonts w:ascii="Arial" w:hAnsi="Arial" w:cs="Arial"/>
          <w:b/>
          <w:color w:val="595959" w:themeColor="text1" w:themeTint="A6"/>
          <w:sz w:val="24"/>
          <w:szCs w:val="24"/>
        </w:rPr>
        <w:t>February</w:t>
      </w:r>
    </w:p>
    <w:p w14:paraId="396FCE6F" w14:textId="13C3B3A3" w:rsidR="0006645D" w:rsidRDefault="00CB6454" w:rsidP="00CB6454">
      <w:pPr>
        <w:pStyle w:val="NoSpacing"/>
        <w:rPr>
          <w:rFonts w:ascii="Arial" w:hAnsi="Arial" w:cs="Arial"/>
          <w:sz w:val="20"/>
          <w:szCs w:val="20"/>
        </w:rPr>
      </w:pPr>
      <w:r>
        <w:rPr>
          <w:rFonts w:ascii="Arial" w:hAnsi="Arial" w:cs="Arial"/>
          <w:sz w:val="20"/>
          <w:szCs w:val="20"/>
        </w:rPr>
        <w:t>“</w:t>
      </w:r>
      <w:r w:rsidR="00576207">
        <w:rPr>
          <w:rFonts w:ascii="Arial" w:hAnsi="Arial" w:cs="Arial"/>
          <w:sz w:val="20"/>
          <w:szCs w:val="20"/>
        </w:rPr>
        <w:t xml:space="preserve">On the fruit side, </w:t>
      </w:r>
      <w:r w:rsidR="00C16A60">
        <w:rPr>
          <w:rFonts w:ascii="Arial" w:hAnsi="Arial" w:cs="Arial"/>
          <w:sz w:val="20"/>
          <w:szCs w:val="20"/>
        </w:rPr>
        <w:t>we had some shifts in the top 10 sellers</w:t>
      </w:r>
      <w:r w:rsidR="00C23843">
        <w:rPr>
          <w:rFonts w:ascii="Arial" w:hAnsi="Arial" w:cs="Arial"/>
          <w:sz w:val="20"/>
          <w:szCs w:val="20"/>
        </w:rPr>
        <w:t xml:space="preserve"> in February</w:t>
      </w:r>
      <w:r w:rsidRPr="00B35CE9">
        <w:rPr>
          <w:rFonts w:ascii="Arial" w:hAnsi="Arial" w:cs="Arial"/>
          <w:sz w:val="20"/>
          <w:szCs w:val="20"/>
        </w:rPr>
        <w:t>,” said</w:t>
      </w:r>
      <w:r w:rsidR="00EB33CE">
        <w:rPr>
          <w:rFonts w:ascii="Arial" w:hAnsi="Arial" w:cs="Arial"/>
          <w:sz w:val="20"/>
          <w:szCs w:val="20"/>
        </w:rPr>
        <w:t xml:space="preserve"> Parker</w:t>
      </w:r>
      <w:r w:rsidRPr="00B35CE9">
        <w:rPr>
          <w:rFonts w:ascii="Arial" w:hAnsi="Arial" w:cs="Arial"/>
          <w:sz w:val="20"/>
          <w:szCs w:val="20"/>
        </w:rPr>
        <w:t>. “</w:t>
      </w:r>
      <w:r w:rsidR="00C16A60">
        <w:rPr>
          <w:rFonts w:ascii="Arial" w:hAnsi="Arial" w:cs="Arial"/>
          <w:sz w:val="20"/>
          <w:szCs w:val="20"/>
        </w:rPr>
        <w:t xml:space="preserve">While berries easily continued to dominate the top 10, grapes moved in third and avocados moved up to fifth. Pineapples </w:t>
      </w:r>
      <w:r w:rsidR="00776E1B">
        <w:rPr>
          <w:rFonts w:ascii="Arial" w:hAnsi="Arial" w:cs="Arial"/>
          <w:sz w:val="20"/>
          <w:szCs w:val="20"/>
        </w:rPr>
        <w:t xml:space="preserve">replaced </w:t>
      </w:r>
      <w:r w:rsidR="00C16A60">
        <w:rPr>
          <w:rFonts w:ascii="Arial" w:hAnsi="Arial" w:cs="Arial"/>
          <w:sz w:val="20"/>
          <w:szCs w:val="20"/>
        </w:rPr>
        <w:t xml:space="preserve">lemons </w:t>
      </w:r>
      <w:r w:rsidR="00776E1B">
        <w:rPr>
          <w:rFonts w:ascii="Arial" w:hAnsi="Arial" w:cs="Arial"/>
          <w:sz w:val="20"/>
          <w:szCs w:val="20"/>
        </w:rPr>
        <w:t>as the 10</w:t>
      </w:r>
      <w:r w:rsidR="00776E1B" w:rsidRPr="00776E1B">
        <w:rPr>
          <w:rFonts w:ascii="Arial" w:hAnsi="Arial" w:cs="Arial"/>
          <w:sz w:val="20"/>
          <w:szCs w:val="20"/>
          <w:vertAlign w:val="superscript"/>
        </w:rPr>
        <w:t>th</w:t>
      </w:r>
      <w:r w:rsidR="00776E1B">
        <w:rPr>
          <w:rFonts w:ascii="Arial" w:hAnsi="Arial" w:cs="Arial"/>
          <w:sz w:val="20"/>
          <w:szCs w:val="20"/>
        </w:rPr>
        <w:t xml:space="preserve"> largest seller </w:t>
      </w:r>
      <w:r w:rsidR="00C16A60">
        <w:rPr>
          <w:rFonts w:ascii="Arial" w:hAnsi="Arial" w:cs="Arial"/>
          <w:sz w:val="20"/>
          <w:szCs w:val="20"/>
        </w:rPr>
        <w:t>this month. Virtually all biggest sellers grew dollar sales versus year ago, with the exceptions of bananas and mandarins. Volume sales were a different story. Only berries and mixed fruit increased pound sales versus February 2021.</w:t>
      </w:r>
      <w:r w:rsidRPr="00B35CE9">
        <w:rPr>
          <w:rFonts w:ascii="Arial" w:hAnsi="Arial" w:cs="Arial"/>
          <w:sz w:val="20"/>
          <w:szCs w:val="20"/>
        </w:rPr>
        <w:t>”</w:t>
      </w:r>
      <w:r w:rsidR="00E407FC">
        <w:rPr>
          <w:rFonts w:ascii="Arial" w:hAnsi="Arial" w:cs="Arial"/>
          <w:sz w:val="20"/>
          <w:szCs w:val="20"/>
        </w:rPr>
        <w:t xml:space="preserve"> </w:t>
      </w:r>
      <w:r w:rsidRPr="00B35CE9">
        <w:rPr>
          <w:rFonts w:ascii="Arial" w:hAnsi="Arial" w:cs="Arial"/>
          <w:sz w:val="20"/>
          <w:szCs w:val="20"/>
        </w:rPr>
        <w:t xml:space="preserve"> </w:t>
      </w:r>
    </w:p>
    <w:p w14:paraId="114F402F" w14:textId="77777777" w:rsidR="005E2F61" w:rsidRDefault="005E2F61" w:rsidP="00CB6454">
      <w:pPr>
        <w:pStyle w:val="NoSpacing"/>
        <w:rPr>
          <w:rFonts w:ascii="Arial" w:hAnsi="Arial" w:cs="Arial"/>
          <w:sz w:val="20"/>
          <w:szCs w:val="20"/>
        </w:rPr>
      </w:pPr>
    </w:p>
    <w:tbl>
      <w:tblPr>
        <w:tblStyle w:val="LightShading-Accent5"/>
        <w:tblW w:w="10523" w:type="dxa"/>
        <w:tblInd w:w="108" w:type="dxa"/>
        <w:tblBorders>
          <w:top w:val="none" w:sz="0" w:space="0" w:color="auto"/>
          <w:bottom w:val="none" w:sz="0" w:space="0" w:color="auto"/>
        </w:tblBorders>
        <w:tblLayout w:type="fixed"/>
        <w:tblLook w:val="04A0" w:firstRow="1" w:lastRow="0" w:firstColumn="1" w:lastColumn="0" w:noHBand="0" w:noVBand="1"/>
      </w:tblPr>
      <w:tblGrid>
        <w:gridCol w:w="1364"/>
        <w:gridCol w:w="786"/>
        <w:gridCol w:w="129"/>
        <w:gridCol w:w="792"/>
        <w:gridCol w:w="124"/>
        <w:gridCol w:w="916"/>
        <w:gridCol w:w="916"/>
        <w:gridCol w:w="916"/>
        <w:gridCol w:w="916"/>
        <w:gridCol w:w="916"/>
        <w:gridCol w:w="916"/>
        <w:gridCol w:w="916"/>
        <w:gridCol w:w="916"/>
      </w:tblGrid>
      <w:tr w:rsidR="00AF0D02" w:rsidRPr="0003007F" w14:paraId="3DFD75C2" w14:textId="77777777" w:rsidTr="0013220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50" w:type="dxa"/>
            <w:gridSpan w:val="2"/>
            <w:tcBorders>
              <w:top w:val="none" w:sz="0" w:space="0" w:color="auto"/>
              <w:left w:val="none" w:sz="0" w:space="0" w:color="auto"/>
              <w:bottom w:val="none" w:sz="0" w:space="0" w:color="auto"/>
              <w:right w:val="none" w:sz="0" w:space="0" w:color="auto"/>
            </w:tcBorders>
            <w:shd w:val="clear" w:color="auto" w:fill="17365D" w:themeFill="text2" w:themeFillShade="BF"/>
          </w:tcPr>
          <w:p w14:paraId="285E05F8" w14:textId="77777777" w:rsidR="00AF0D02" w:rsidRPr="00AB1306" w:rsidRDefault="00AF0D02" w:rsidP="00422C9B">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921" w:type="dxa"/>
            <w:gridSpan w:val="2"/>
            <w:tcBorders>
              <w:top w:val="none" w:sz="0" w:space="0" w:color="auto"/>
              <w:left w:val="none" w:sz="0" w:space="0" w:color="auto"/>
              <w:bottom w:val="none" w:sz="0" w:space="0" w:color="auto"/>
              <w:right w:val="none" w:sz="0" w:space="0" w:color="auto"/>
            </w:tcBorders>
            <w:shd w:val="clear" w:color="auto" w:fill="17365D" w:themeFill="text2" w:themeFillShade="BF"/>
          </w:tcPr>
          <w:p w14:paraId="668BD2C0" w14:textId="77777777" w:rsidR="00AF0D02" w:rsidRPr="00AB1306" w:rsidRDefault="00AF0D02"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452" w:type="dxa"/>
            <w:gridSpan w:val="9"/>
            <w:tcBorders>
              <w:top w:val="none" w:sz="0" w:space="0" w:color="auto"/>
              <w:left w:val="none" w:sz="0" w:space="0" w:color="auto"/>
              <w:bottom w:val="none" w:sz="0" w:space="0" w:color="auto"/>
              <w:right w:val="none" w:sz="0" w:space="0" w:color="auto"/>
            </w:tcBorders>
            <w:shd w:val="clear" w:color="auto" w:fill="17365D" w:themeFill="text2" w:themeFillShade="BF"/>
          </w:tcPr>
          <w:p w14:paraId="3A17CC18" w14:textId="2040871B" w:rsidR="00AF0D02" w:rsidRPr="0003007F" w:rsidRDefault="00AF0D02"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1306">
              <w:rPr>
                <w:rFonts w:ascii="Arial" w:hAnsi="Arial" w:cs="Arial"/>
                <w:color w:val="FFFFFF" w:themeColor="background1"/>
                <w:sz w:val="18"/>
                <w:szCs w:val="18"/>
              </w:rPr>
              <w:t>Dollar sal</w:t>
            </w:r>
            <w:r>
              <w:rPr>
                <w:rFonts w:ascii="Arial" w:hAnsi="Arial" w:cs="Arial"/>
                <w:color w:val="FFFFFF" w:themeColor="background1"/>
                <w:sz w:val="18"/>
                <w:szCs w:val="18"/>
              </w:rPr>
              <w:t>es increase over comparable period YA</w:t>
            </w:r>
          </w:p>
        </w:tc>
      </w:tr>
      <w:tr w:rsidR="00AF0D02" w:rsidRPr="0003007F" w14:paraId="74BF3700" w14:textId="77777777" w:rsidTr="0013220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364" w:type="dxa"/>
            <w:tcBorders>
              <w:left w:val="none" w:sz="0" w:space="0" w:color="auto"/>
              <w:right w:val="none" w:sz="0" w:space="0" w:color="auto"/>
            </w:tcBorders>
            <w:shd w:val="clear" w:color="auto" w:fill="17365D" w:themeFill="text2" w:themeFillShade="BF"/>
          </w:tcPr>
          <w:p w14:paraId="3F9B606E" w14:textId="77777777" w:rsidR="00AF0D02" w:rsidRPr="000F7932" w:rsidRDefault="00AF0D02" w:rsidP="00F103B9">
            <w:pPr>
              <w:pStyle w:val="NoSpacing"/>
              <w:rPr>
                <w:rFonts w:ascii="Arial" w:hAnsi="Arial" w:cs="Arial"/>
                <w:color w:val="FFFFFF" w:themeColor="background1"/>
                <w:sz w:val="18"/>
                <w:szCs w:val="18"/>
              </w:rPr>
            </w:pPr>
          </w:p>
        </w:tc>
        <w:tc>
          <w:tcPr>
            <w:tcW w:w="915" w:type="dxa"/>
            <w:gridSpan w:val="2"/>
            <w:tcBorders>
              <w:left w:val="none" w:sz="0" w:space="0" w:color="auto"/>
              <w:right w:val="none" w:sz="0" w:space="0" w:color="auto"/>
            </w:tcBorders>
            <w:shd w:val="clear" w:color="auto" w:fill="17365D" w:themeFill="text2" w:themeFillShade="BF"/>
            <w:vAlign w:val="bottom"/>
          </w:tcPr>
          <w:p w14:paraId="46CF2457" w14:textId="77777777" w:rsidR="00AF0D02" w:rsidRPr="000F7932" w:rsidRDefault="00AF0D02" w:rsidP="00470A5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916" w:type="dxa"/>
            <w:gridSpan w:val="2"/>
            <w:tcBorders>
              <w:left w:val="none" w:sz="0" w:space="0" w:color="auto"/>
              <w:right w:val="none" w:sz="0" w:space="0" w:color="auto"/>
            </w:tcBorders>
            <w:shd w:val="clear" w:color="auto" w:fill="17365D" w:themeFill="text2" w:themeFillShade="BF"/>
            <w:vAlign w:val="bottom"/>
          </w:tcPr>
          <w:p w14:paraId="13B20948" w14:textId="77777777" w:rsidR="00AF0D02" w:rsidRPr="000F7932" w:rsidRDefault="00AF0D02" w:rsidP="00470A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0F7932">
              <w:rPr>
                <w:rFonts w:ascii="Arial" w:hAnsi="Arial" w:cs="Arial"/>
                <w:b/>
                <w:color w:val="FFFFFF" w:themeColor="background1"/>
                <w:sz w:val="18"/>
                <w:szCs w:val="18"/>
              </w:rPr>
              <w:t>20</w:t>
            </w:r>
          </w:p>
        </w:tc>
        <w:tc>
          <w:tcPr>
            <w:tcW w:w="916" w:type="dxa"/>
            <w:tcBorders>
              <w:left w:val="none" w:sz="0" w:space="0" w:color="auto"/>
              <w:right w:val="none" w:sz="0" w:space="0" w:color="auto"/>
            </w:tcBorders>
            <w:shd w:val="clear" w:color="auto" w:fill="17365D" w:themeFill="text2" w:themeFillShade="BF"/>
            <w:vAlign w:val="bottom"/>
          </w:tcPr>
          <w:p w14:paraId="301AC34F" w14:textId="77777777" w:rsidR="00AF0D02" w:rsidRPr="000F7932" w:rsidRDefault="00AF0D02"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0F7932">
              <w:rPr>
                <w:rFonts w:ascii="Arial" w:hAnsi="Arial" w:cs="Arial"/>
                <w:b/>
                <w:color w:val="FFFFFF" w:themeColor="background1"/>
                <w:sz w:val="18"/>
                <w:szCs w:val="18"/>
              </w:rPr>
              <w:t>Q1 ‘21</w:t>
            </w:r>
          </w:p>
        </w:tc>
        <w:tc>
          <w:tcPr>
            <w:tcW w:w="916" w:type="dxa"/>
            <w:tcBorders>
              <w:left w:val="none" w:sz="0" w:space="0" w:color="auto"/>
              <w:right w:val="none" w:sz="0" w:space="0" w:color="auto"/>
            </w:tcBorders>
            <w:shd w:val="clear" w:color="auto" w:fill="17365D" w:themeFill="text2" w:themeFillShade="BF"/>
            <w:vAlign w:val="bottom"/>
          </w:tcPr>
          <w:p w14:paraId="0DC3715D" w14:textId="77777777" w:rsidR="00AF0D02" w:rsidRPr="000F7932" w:rsidRDefault="00AF0D02"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w:t>
            </w:r>
            <w:r w:rsidRPr="000F7932">
              <w:rPr>
                <w:rFonts w:ascii="Arial" w:hAnsi="Arial" w:cs="Arial"/>
                <w:b/>
                <w:color w:val="FFFFFF" w:themeColor="background1"/>
                <w:sz w:val="18"/>
                <w:szCs w:val="18"/>
              </w:rPr>
              <w:t xml:space="preserve"> ‘21</w:t>
            </w:r>
          </w:p>
        </w:tc>
        <w:tc>
          <w:tcPr>
            <w:tcW w:w="916" w:type="dxa"/>
            <w:tcBorders>
              <w:left w:val="none" w:sz="0" w:space="0" w:color="auto"/>
              <w:right w:val="none" w:sz="0" w:space="0" w:color="auto"/>
            </w:tcBorders>
            <w:shd w:val="clear" w:color="auto" w:fill="17365D" w:themeFill="text2" w:themeFillShade="BF"/>
            <w:vAlign w:val="bottom"/>
          </w:tcPr>
          <w:p w14:paraId="1DE0B116" w14:textId="77777777" w:rsidR="00AF0D02" w:rsidRDefault="00AF0D02"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916" w:type="dxa"/>
            <w:tcBorders>
              <w:left w:val="none" w:sz="0" w:space="0" w:color="auto"/>
              <w:right w:val="none" w:sz="0" w:space="0" w:color="auto"/>
            </w:tcBorders>
            <w:shd w:val="clear" w:color="auto" w:fill="17365D" w:themeFill="text2" w:themeFillShade="BF"/>
            <w:vAlign w:val="bottom"/>
          </w:tcPr>
          <w:p w14:paraId="4FF66A97" w14:textId="77777777" w:rsidR="00AF0D02" w:rsidRDefault="00AF0D02"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916" w:type="dxa"/>
            <w:tcBorders>
              <w:left w:val="none" w:sz="0" w:space="0" w:color="auto"/>
              <w:right w:val="none" w:sz="0" w:space="0" w:color="auto"/>
            </w:tcBorders>
            <w:shd w:val="clear" w:color="auto" w:fill="17365D" w:themeFill="text2" w:themeFillShade="BF"/>
          </w:tcPr>
          <w:p w14:paraId="049C0CDE" w14:textId="77777777" w:rsidR="00AF0D02" w:rsidRDefault="00AF0D02"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
          <w:p w14:paraId="147A02D7" w14:textId="71207100" w:rsidR="00AF0D02" w:rsidRDefault="00AF0D02"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‘22</w:t>
            </w:r>
          </w:p>
        </w:tc>
        <w:tc>
          <w:tcPr>
            <w:tcW w:w="916" w:type="dxa"/>
            <w:tcBorders>
              <w:left w:val="none" w:sz="0" w:space="0" w:color="auto"/>
              <w:right w:val="none" w:sz="0" w:space="0" w:color="auto"/>
            </w:tcBorders>
            <w:shd w:val="clear" w:color="auto" w:fill="17365D" w:themeFill="text2" w:themeFillShade="BF"/>
            <w:vAlign w:val="bottom"/>
          </w:tcPr>
          <w:p w14:paraId="3B63F547" w14:textId="789055CD" w:rsidR="00AF0D02" w:rsidRPr="000F7932" w:rsidRDefault="00AF0D02"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Feb ‘22</w:t>
            </w:r>
          </w:p>
        </w:tc>
        <w:tc>
          <w:tcPr>
            <w:tcW w:w="916" w:type="dxa"/>
            <w:tcBorders>
              <w:left w:val="none" w:sz="0" w:space="0" w:color="auto"/>
              <w:right w:val="none" w:sz="0" w:space="0" w:color="auto"/>
            </w:tcBorders>
            <w:shd w:val="clear" w:color="auto" w:fill="17365D" w:themeFill="text2" w:themeFillShade="BF"/>
            <w:vAlign w:val="bottom"/>
          </w:tcPr>
          <w:p w14:paraId="04C57725" w14:textId="5C847B3A" w:rsidR="00AF0D02" w:rsidRPr="000F7932" w:rsidRDefault="00AF0D02"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w:t>
            </w:r>
            <w:r w:rsidRPr="000F7932">
              <w:rPr>
                <w:rFonts w:ascii="Arial" w:hAnsi="Arial" w:cs="Arial"/>
                <w:b/>
                <w:color w:val="FFFFFF" w:themeColor="background1"/>
                <w:sz w:val="18"/>
                <w:szCs w:val="18"/>
              </w:rPr>
              <w:t xml:space="preserve"> </w:t>
            </w:r>
            <w:r>
              <w:rPr>
                <w:rFonts w:ascii="Arial" w:hAnsi="Arial" w:cs="Arial"/>
                <w:b/>
                <w:color w:val="FFFFFF" w:themeColor="background1"/>
                <w:sz w:val="18"/>
                <w:szCs w:val="18"/>
              </w:rPr>
              <w:br/>
            </w:r>
            <w:r w:rsidRPr="000F7932">
              <w:rPr>
                <w:rFonts w:ascii="Arial" w:hAnsi="Arial" w:cs="Arial"/>
                <w:b/>
                <w:color w:val="FFFFFF" w:themeColor="background1"/>
                <w:sz w:val="18"/>
                <w:szCs w:val="18"/>
              </w:rPr>
              <w:t xml:space="preserve">vs </w:t>
            </w:r>
            <w:r>
              <w:rPr>
                <w:rFonts w:ascii="Arial" w:hAnsi="Arial" w:cs="Arial"/>
                <w:b/>
                <w:color w:val="FFFFFF" w:themeColor="background1"/>
                <w:sz w:val="18"/>
                <w:szCs w:val="18"/>
              </w:rPr>
              <w:t>YA</w:t>
            </w:r>
          </w:p>
        </w:tc>
        <w:tc>
          <w:tcPr>
            <w:tcW w:w="916" w:type="dxa"/>
            <w:tcBorders>
              <w:left w:val="none" w:sz="0" w:space="0" w:color="auto"/>
              <w:right w:val="none" w:sz="0" w:space="0" w:color="auto"/>
            </w:tcBorders>
            <w:shd w:val="clear" w:color="auto" w:fill="17365D" w:themeFill="text2" w:themeFillShade="BF"/>
            <w:vAlign w:val="bottom"/>
          </w:tcPr>
          <w:p w14:paraId="26786B75" w14:textId="46025FBA" w:rsidR="00AF0D02" w:rsidRPr="000F7932" w:rsidRDefault="00AF0D02"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roofErr w:type="spellStart"/>
            <w:r>
              <w:rPr>
                <w:rFonts w:ascii="Arial" w:hAnsi="Arial" w:cs="Arial"/>
                <w:b/>
                <w:color w:val="FFFFFF" w:themeColor="background1"/>
                <w:sz w:val="18"/>
                <w:szCs w:val="18"/>
              </w:rPr>
              <w:t>lbs</w:t>
            </w:r>
            <w:proofErr w:type="spellEnd"/>
            <w:r>
              <w:rPr>
                <w:rFonts w:ascii="Arial" w:hAnsi="Arial" w:cs="Arial"/>
                <w:b/>
                <w:color w:val="FFFFFF" w:themeColor="background1"/>
                <w:sz w:val="18"/>
                <w:szCs w:val="18"/>
              </w:rPr>
              <w:t xml:space="preserve"> vs YA</w:t>
            </w:r>
          </w:p>
        </w:tc>
      </w:tr>
      <w:tr w:rsidR="00AF0D02" w:rsidRPr="00091E61" w14:paraId="0CA2F74A" w14:textId="77777777" w:rsidTr="0013220C">
        <w:trPr>
          <w:trHeight w:val="298"/>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66ADF07C" w14:textId="77777777" w:rsidR="00AF0D02" w:rsidRPr="00091E61" w:rsidRDefault="00AF0D02" w:rsidP="0013220C">
            <w:pPr>
              <w:pStyle w:val="NoSpacing"/>
              <w:jc w:val="right"/>
              <w:rPr>
                <w:rFonts w:ascii="Arial" w:hAnsi="Arial" w:cs="Arial"/>
                <w:color w:val="17365D" w:themeColor="text2" w:themeShade="BF"/>
                <w:sz w:val="18"/>
                <w:szCs w:val="18"/>
              </w:rPr>
            </w:pPr>
            <w:r w:rsidRPr="00091E61">
              <w:rPr>
                <w:rFonts w:ascii="Arial" w:hAnsi="Arial" w:cs="Arial"/>
                <w:color w:val="17365D" w:themeColor="text2" w:themeShade="BF"/>
                <w:sz w:val="18"/>
                <w:szCs w:val="18"/>
              </w:rPr>
              <w:t>Fresh fruit</w:t>
            </w:r>
          </w:p>
        </w:tc>
        <w:tc>
          <w:tcPr>
            <w:tcW w:w="915" w:type="dxa"/>
            <w:gridSpan w:val="2"/>
            <w:vAlign w:val="center"/>
          </w:tcPr>
          <w:p w14:paraId="39EFBE0F" w14:textId="79A27A34"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-0.2</w:t>
            </w:r>
            <w:r w:rsidRPr="00091E61">
              <w:rPr>
                <w:rFonts w:ascii="Arial" w:hAnsi="Arial" w:cs="Arial"/>
                <w:b/>
                <w:bCs/>
                <w:color w:val="17365D" w:themeColor="text2" w:themeShade="BF"/>
                <w:sz w:val="18"/>
                <w:szCs w:val="18"/>
              </w:rPr>
              <w:t>%</w:t>
            </w:r>
          </w:p>
        </w:tc>
        <w:tc>
          <w:tcPr>
            <w:tcW w:w="916" w:type="dxa"/>
            <w:gridSpan w:val="2"/>
            <w:vAlign w:val="center"/>
          </w:tcPr>
          <w:p w14:paraId="3D5B0656" w14:textId="639FCB0F"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+8.7</w:t>
            </w:r>
            <w:r w:rsidRPr="00091E61">
              <w:rPr>
                <w:rFonts w:ascii="Arial" w:hAnsi="Arial" w:cs="Arial"/>
                <w:b/>
                <w:bCs/>
                <w:color w:val="17365D" w:themeColor="text2" w:themeShade="BF"/>
                <w:sz w:val="18"/>
                <w:szCs w:val="18"/>
              </w:rPr>
              <w:t>%</w:t>
            </w:r>
          </w:p>
        </w:tc>
        <w:tc>
          <w:tcPr>
            <w:tcW w:w="916" w:type="dxa"/>
            <w:vAlign w:val="center"/>
          </w:tcPr>
          <w:p w14:paraId="680EF69E" w14:textId="6178A30E"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+5.1</w:t>
            </w:r>
            <w:r w:rsidRPr="00091E61">
              <w:rPr>
                <w:rFonts w:ascii="Arial" w:hAnsi="Arial" w:cs="Arial"/>
                <w:b/>
                <w:bCs/>
                <w:color w:val="17365D" w:themeColor="text2" w:themeShade="BF"/>
                <w:sz w:val="18"/>
                <w:szCs w:val="18"/>
              </w:rPr>
              <w:t>%</w:t>
            </w:r>
          </w:p>
        </w:tc>
        <w:tc>
          <w:tcPr>
            <w:tcW w:w="916" w:type="dxa"/>
            <w:vAlign w:val="center"/>
          </w:tcPr>
          <w:p w14:paraId="21180263" w14:textId="2CD779D7"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+4.5</w:t>
            </w:r>
            <w:r w:rsidRPr="00091E61">
              <w:rPr>
                <w:rFonts w:ascii="Arial" w:hAnsi="Arial" w:cs="Arial"/>
                <w:b/>
                <w:bCs/>
                <w:color w:val="17365D" w:themeColor="text2" w:themeShade="BF"/>
                <w:sz w:val="18"/>
                <w:szCs w:val="18"/>
              </w:rPr>
              <w:t>%</w:t>
            </w:r>
          </w:p>
        </w:tc>
        <w:tc>
          <w:tcPr>
            <w:tcW w:w="916" w:type="dxa"/>
            <w:vAlign w:val="center"/>
          </w:tcPr>
          <w:p w14:paraId="31205487" w14:textId="3715B793"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Pr="00091E61">
              <w:rPr>
                <w:rFonts w:ascii="Arial" w:hAnsi="Arial" w:cs="Arial"/>
                <w:b/>
                <w:bCs/>
                <w:color w:val="17365D" w:themeColor="text2" w:themeShade="BF"/>
                <w:sz w:val="18"/>
                <w:szCs w:val="18"/>
              </w:rPr>
              <w:t>6</w:t>
            </w:r>
            <w:r>
              <w:rPr>
                <w:rFonts w:ascii="Arial" w:hAnsi="Arial" w:cs="Arial"/>
                <w:b/>
                <w:bCs/>
                <w:color w:val="17365D" w:themeColor="text2" w:themeShade="BF"/>
                <w:sz w:val="18"/>
                <w:szCs w:val="18"/>
              </w:rPr>
              <w:t>.2</w:t>
            </w:r>
            <w:r w:rsidRPr="00091E61">
              <w:rPr>
                <w:rFonts w:ascii="Arial" w:hAnsi="Arial" w:cs="Arial"/>
                <w:b/>
                <w:bCs/>
                <w:color w:val="17365D" w:themeColor="text2" w:themeShade="BF"/>
                <w:sz w:val="18"/>
                <w:szCs w:val="18"/>
              </w:rPr>
              <w:t>%</w:t>
            </w:r>
          </w:p>
        </w:tc>
        <w:tc>
          <w:tcPr>
            <w:tcW w:w="916" w:type="dxa"/>
            <w:vAlign w:val="center"/>
          </w:tcPr>
          <w:p w14:paraId="40577A3D" w14:textId="764C7CD0"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+10.</w:t>
            </w:r>
            <w:r>
              <w:rPr>
                <w:rFonts w:ascii="Arial" w:hAnsi="Arial" w:cs="Arial"/>
                <w:b/>
                <w:bCs/>
                <w:color w:val="17365D" w:themeColor="text2" w:themeShade="BF"/>
                <w:sz w:val="18"/>
                <w:szCs w:val="18"/>
              </w:rPr>
              <w:t>9</w:t>
            </w:r>
            <w:r w:rsidRPr="00091E61">
              <w:rPr>
                <w:rFonts w:ascii="Arial" w:hAnsi="Arial" w:cs="Arial"/>
                <w:b/>
                <w:bCs/>
                <w:color w:val="17365D" w:themeColor="text2" w:themeShade="BF"/>
                <w:sz w:val="18"/>
                <w:szCs w:val="18"/>
              </w:rPr>
              <w:t>%</w:t>
            </w:r>
          </w:p>
        </w:tc>
        <w:tc>
          <w:tcPr>
            <w:tcW w:w="916" w:type="dxa"/>
            <w:vAlign w:val="center"/>
          </w:tcPr>
          <w:p w14:paraId="4976E3FE" w14:textId="0675C27D"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Pr>
                <w:rFonts w:ascii="Arial" w:hAnsi="Arial" w:cs="Arial"/>
                <w:b/>
                <w:bCs/>
                <w:color w:val="17365D" w:themeColor="text2" w:themeShade="BF"/>
                <w:sz w:val="18"/>
                <w:szCs w:val="18"/>
              </w:rPr>
              <w:t>10.1</w:t>
            </w:r>
            <w:r w:rsidRPr="00091E61">
              <w:rPr>
                <w:rFonts w:ascii="Arial" w:hAnsi="Arial" w:cs="Arial"/>
                <w:b/>
                <w:bCs/>
                <w:color w:val="17365D" w:themeColor="text2" w:themeShade="BF"/>
                <w:sz w:val="18"/>
                <w:szCs w:val="18"/>
              </w:rPr>
              <w:t>%</w:t>
            </w:r>
          </w:p>
        </w:tc>
        <w:tc>
          <w:tcPr>
            <w:tcW w:w="916" w:type="dxa"/>
            <w:vAlign w:val="center"/>
          </w:tcPr>
          <w:p w14:paraId="76F93CAA" w14:textId="4970AF09"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sidR="0013220C">
              <w:rPr>
                <w:rFonts w:ascii="Arial" w:hAnsi="Arial" w:cs="Arial"/>
                <w:b/>
                <w:bCs/>
                <w:color w:val="17365D" w:themeColor="text2" w:themeShade="BF"/>
                <w:sz w:val="18"/>
                <w:szCs w:val="18"/>
              </w:rPr>
              <w:t>2.8</w:t>
            </w:r>
            <w:r w:rsidRPr="00091E61">
              <w:rPr>
                <w:rFonts w:ascii="Arial" w:hAnsi="Arial" w:cs="Arial"/>
                <w:b/>
                <w:bCs/>
                <w:color w:val="17365D" w:themeColor="text2" w:themeShade="BF"/>
                <w:sz w:val="18"/>
                <w:szCs w:val="18"/>
              </w:rPr>
              <w:t>B</w:t>
            </w:r>
          </w:p>
        </w:tc>
        <w:tc>
          <w:tcPr>
            <w:tcW w:w="916" w:type="dxa"/>
            <w:vAlign w:val="center"/>
          </w:tcPr>
          <w:p w14:paraId="52994309" w14:textId="0C73BD30"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sidR="0013220C">
              <w:rPr>
                <w:rFonts w:ascii="Arial" w:hAnsi="Arial" w:cs="Arial"/>
                <w:b/>
                <w:bCs/>
                <w:color w:val="17365D" w:themeColor="text2" w:themeShade="BF"/>
                <w:sz w:val="18"/>
                <w:szCs w:val="18"/>
              </w:rPr>
              <w:t>11.5</w:t>
            </w:r>
            <w:r w:rsidRPr="00091E61">
              <w:rPr>
                <w:rFonts w:ascii="Arial" w:hAnsi="Arial" w:cs="Arial"/>
                <w:b/>
                <w:bCs/>
                <w:color w:val="17365D" w:themeColor="text2" w:themeShade="BF"/>
                <w:sz w:val="18"/>
                <w:szCs w:val="18"/>
              </w:rPr>
              <w:t>%</w:t>
            </w:r>
          </w:p>
        </w:tc>
        <w:tc>
          <w:tcPr>
            <w:tcW w:w="916" w:type="dxa"/>
            <w:vAlign w:val="center"/>
          </w:tcPr>
          <w:p w14:paraId="5CADA515" w14:textId="0F176C54"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0013220C">
              <w:rPr>
                <w:rFonts w:ascii="Arial" w:hAnsi="Arial" w:cs="Arial"/>
                <w:b/>
                <w:bCs/>
                <w:color w:val="17365D" w:themeColor="text2" w:themeShade="BF"/>
                <w:sz w:val="18"/>
                <w:szCs w:val="18"/>
              </w:rPr>
              <w:t>3.9</w:t>
            </w:r>
            <w:r w:rsidRPr="00091E61">
              <w:rPr>
                <w:rFonts w:ascii="Arial" w:hAnsi="Arial" w:cs="Arial"/>
                <w:b/>
                <w:bCs/>
                <w:color w:val="17365D" w:themeColor="text2" w:themeShade="BF"/>
                <w:sz w:val="18"/>
                <w:szCs w:val="18"/>
              </w:rPr>
              <w:t>%</w:t>
            </w:r>
          </w:p>
        </w:tc>
      </w:tr>
      <w:tr w:rsidR="00AF0D02" w:rsidRPr="00E407FC" w14:paraId="5BEE13FC" w14:textId="77777777" w:rsidTr="0013220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4" w:type="dxa"/>
            <w:tcBorders>
              <w:left w:val="none" w:sz="0" w:space="0" w:color="auto"/>
              <w:right w:val="none" w:sz="0" w:space="0" w:color="auto"/>
            </w:tcBorders>
            <w:vAlign w:val="center"/>
          </w:tcPr>
          <w:p w14:paraId="62F5917F" w14:textId="77777777" w:rsidR="00AF0D02" w:rsidRPr="00E407FC" w:rsidRDefault="00AF0D02" w:rsidP="0013220C">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Berries</w:t>
            </w:r>
          </w:p>
        </w:tc>
        <w:tc>
          <w:tcPr>
            <w:tcW w:w="915" w:type="dxa"/>
            <w:gridSpan w:val="2"/>
            <w:tcBorders>
              <w:left w:val="none" w:sz="0" w:space="0" w:color="auto"/>
              <w:right w:val="none" w:sz="0" w:space="0" w:color="auto"/>
            </w:tcBorders>
            <w:vAlign w:val="center"/>
          </w:tcPr>
          <w:p w14:paraId="01DB9726" w14:textId="56BD2298" w:rsidR="00AF0D02" w:rsidRPr="00091E61"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+4.4</w:t>
            </w:r>
            <w:r w:rsidRPr="00091E61">
              <w:rPr>
                <w:rFonts w:ascii="Arial" w:hAnsi="Arial" w:cs="Arial"/>
                <w:color w:val="17365D" w:themeColor="text2" w:themeShade="BF"/>
                <w:sz w:val="18"/>
                <w:szCs w:val="18"/>
              </w:rPr>
              <w:t>%</w:t>
            </w:r>
          </w:p>
        </w:tc>
        <w:tc>
          <w:tcPr>
            <w:tcW w:w="916" w:type="dxa"/>
            <w:gridSpan w:val="2"/>
            <w:tcBorders>
              <w:left w:val="none" w:sz="0" w:space="0" w:color="auto"/>
              <w:right w:val="none" w:sz="0" w:space="0" w:color="auto"/>
            </w:tcBorders>
            <w:vAlign w:val="center"/>
          </w:tcPr>
          <w:p w14:paraId="60423065" w14:textId="60466D34"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+14.2</w:t>
            </w:r>
            <w:r w:rsidRPr="00E407FC">
              <w:rPr>
                <w:rFonts w:ascii="Arial" w:hAnsi="Arial" w:cs="Arial"/>
                <w:color w:val="17365D" w:themeColor="text2" w:themeShade="BF"/>
                <w:sz w:val="18"/>
                <w:szCs w:val="18"/>
              </w:rPr>
              <w:t>%</w:t>
            </w:r>
          </w:p>
        </w:tc>
        <w:tc>
          <w:tcPr>
            <w:tcW w:w="916" w:type="dxa"/>
            <w:tcBorders>
              <w:left w:val="none" w:sz="0" w:space="0" w:color="auto"/>
              <w:right w:val="none" w:sz="0" w:space="0" w:color="auto"/>
            </w:tcBorders>
            <w:vAlign w:val="center"/>
          </w:tcPr>
          <w:p w14:paraId="6647773F" w14:textId="5F9ECFE7"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+10.9</w:t>
            </w:r>
            <w:r w:rsidRPr="00E407FC">
              <w:rPr>
                <w:rFonts w:ascii="Arial" w:hAnsi="Arial" w:cs="Arial"/>
                <w:color w:val="17365D" w:themeColor="text2" w:themeShade="BF"/>
                <w:sz w:val="18"/>
                <w:szCs w:val="18"/>
              </w:rPr>
              <w:t>%</w:t>
            </w:r>
          </w:p>
        </w:tc>
        <w:tc>
          <w:tcPr>
            <w:tcW w:w="916" w:type="dxa"/>
            <w:tcBorders>
              <w:left w:val="none" w:sz="0" w:space="0" w:color="auto"/>
              <w:right w:val="none" w:sz="0" w:space="0" w:color="auto"/>
            </w:tcBorders>
            <w:vAlign w:val="center"/>
          </w:tcPr>
          <w:p w14:paraId="5EB69396" w14:textId="308C31B0"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+9.2</w:t>
            </w:r>
            <w:r w:rsidRPr="00E407FC">
              <w:rPr>
                <w:rFonts w:ascii="Arial" w:hAnsi="Arial" w:cs="Arial"/>
                <w:color w:val="17365D" w:themeColor="text2" w:themeShade="BF"/>
                <w:sz w:val="18"/>
                <w:szCs w:val="18"/>
              </w:rPr>
              <w:t>%</w:t>
            </w:r>
          </w:p>
        </w:tc>
        <w:tc>
          <w:tcPr>
            <w:tcW w:w="916" w:type="dxa"/>
            <w:tcBorders>
              <w:left w:val="none" w:sz="0" w:space="0" w:color="auto"/>
              <w:right w:val="none" w:sz="0" w:space="0" w:color="auto"/>
            </w:tcBorders>
            <w:vAlign w:val="center"/>
          </w:tcPr>
          <w:p w14:paraId="1D48CA52" w14:textId="11267B6E"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+11.2</w:t>
            </w:r>
            <w:r w:rsidRPr="00E407FC">
              <w:rPr>
                <w:rFonts w:ascii="Arial" w:hAnsi="Arial" w:cs="Arial"/>
                <w:color w:val="17365D" w:themeColor="text2" w:themeShade="BF"/>
                <w:sz w:val="18"/>
                <w:szCs w:val="18"/>
              </w:rPr>
              <w:t>%</w:t>
            </w:r>
          </w:p>
        </w:tc>
        <w:tc>
          <w:tcPr>
            <w:tcW w:w="916" w:type="dxa"/>
            <w:tcBorders>
              <w:left w:val="none" w:sz="0" w:space="0" w:color="auto"/>
              <w:right w:val="none" w:sz="0" w:space="0" w:color="auto"/>
            </w:tcBorders>
            <w:vAlign w:val="center"/>
          </w:tcPr>
          <w:p w14:paraId="0C8663B0" w14:textId="6F63B899"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+16.</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916" w:type="dxa"/>
            <w:tcBorders>
              <w:left w:val="none" w:sz="0" w:space="0" w:color="auto"/>
              <w:right w:val="none" w:sz="0" w:space="0" w:color="auto"/>
            </w:tcBorders>
            <w:vAlign w:val="center"/>
          </w:tcPr>
          <w:p w14:paraId="5BEAEAD4" w14:textId="6EB2EC1B"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14.8</w:t>
            </w:r>
            <w:r w:rsidRPr="00E407FC">
              <w:rPr>
                <w:rFonts w:ascii="Arial" w:hAnsi="Arial" w:cs="Arial"/>
                <w:bCs/>
                <w:color w:val="17365D" w:themeColor="text2" w:themeShade="BF"/>
                <w:sz w:val="18"/>
                <w:szCs w:val="18"/>
              </w:rPr>
              <w:t>%</w:t>
            </w:r>
          </w:p>
        </w:tc>
        <w:tc>
          <w:tcPr>
            <w:tcW w:w="916" w:type="dxa"/>
            <w:tcBorders>
              <w:left w:val="none" w:sz="0" w:space="0" w:color="auto"/>
              <w:right w:val="none" w:sz="0" w:space="0" w:color="auto"/>
            </w:tcBorders>
            <w:vAlign w:val="center"/>
          </w:tcPr>
          <w:p w14:paraId="1AAB1DBF" w14:textId="606ED76E"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756</w:t>
            </w:r>
            <w:r w:rsidRPr="00E407FC">
              <w:rPr>
                <w:rFonts w:ascii="Arial" w:hAnsi="Arial" w:cs="Arial"/>
                <w:bCs/>
                <w:color w:val="17365D" w:themeColor="text2" w:themeShade="BF"/>
                <w:sz w:val="18"/>
                <w:szCs w:val="18"/>
              </w:rPr>
              <w:t>M</w:t>
            </w:r>
          </w:p>
        </w:tc>
        <w:tc>
          <w:tcPr>
            <w:tcW w:w="916" w:type="dxa"/>
            <w:tcBorders>
              <w:left w:val="none" w:sz="0" w:space="0" w:color="auto"/>
              <w:right w:val="none" w:sz="0" w:space="0" w:color="auto"/>
            </w:tcBorders>
            <w:vAlign w:val="center"/>
          </w:tcPr>
          <w:p w14:paraId="31A0F4D1" w14:textId="7147194C" w:rsidR="00AF0D02" w:rsidRPr="00E407FC" w:rsidRDefault="00AF0D02" w:rsidP="001322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19.4</w:t>
            </w:r>
            <w:r w:rsidRPr="00E407FC">
              <w:rPr>
                <w:rFonts w:ascii="Arial" w:hAnsi="Arial" w:cs="Arial"/>
                <w:bCs/>
                <w:color w:val="17365D" w:themeColor="text2" w:themeShade="BF"/>
                <w:sz w:val="18"/>
                <w:szCs w:val="18"/>
              </w:rPr>
              <w:t>%</w:t>
            </w:r>
          </w:p>
        </w:tc>
        <w:tc>
          <w:tcPr>
            <w:tcW w:w="916" w:type="dxa"/>
            <w:tcBorders>
              <w:left w:val="none" w:sz="0" w:space="0" w:color="auto"/>
              <w:right w:val="none" w:sz="0" w:space="0" w:color="auto"/>
            </w:tcBorders>
            <w:vAlign w:val="center"/>
          </w:tcPr>
          <w:p w14:paraId="06DCB3E5" w14:textId="25F8E7B4" w:rsidR="00AF0D02" w:rsidRDefault="00AF0D02" w:rsidP="0013220C">
            <w:pPr>
              <w:jc w:val="right"/>
              <w:cnfStyle w:val="000000100000" w:firstRow="0" w:lastRow="0" w:firstColumn="0" w:lastColumn="0" w:oddVBand="0" w:evenVBand="0" w:oddHBand="1" w:evenHBand="0" w:firstRowFirstColumn="0" w:firstRowLastColumn="0" w:lastRowFirstColumn="0" w:lastRowLastColumn="0"/>
            </w:pPr>
            <w:r w:rsidRPr="003708BA">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20.1</w:t>
            </w:r>
            <w:r w:rsidRPr="003708BA">
              <w:rPr>
                <w:rFonts w:ascii="Arial" w:hAnsi="Arial" w:cs="Arial"/>
                <w:bCs/>
                <w:color w:val="17365D" w:themeColor="text2" w:themeShade="BF"/>
                <w:sz w:val="18"/>
                <w:szCs w:val="18"/>
              </w:rPr>
              <w:t>%</w:t>
            </w:r>
          </w:p>
        </w:tc>
      </w:tr>
      <w:tr w:rsidR="00AF0D02" w:rsidRPr="00E407FC" w14:paraId="16006628" w14:textId="77777777" w:rsidTr="0013220C">
        <w:trPr>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57818270" w14:textId="77777777" w:rsidR="00AF0D02" w:rsidRPr="00E407FC" w:rsidRDefault="00AF0D02" w:rsidP="0013220C">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Apples</w:t>
            </w:r>
          </w:p>
        </w:tc>
        <w:tc>
          <w:tcPr>
            <w:tcW w:w="915" w:type="dxa"/>
            <w:gridSpan w:val="2"/>
            <w:vAlign w:val="center"/>
          </w:tcPr>
          <w:p w14:paraId="1E75DF00" w14:textId="5FDD376F"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+0.0</w:t>
            </w:r>
            <w:r w:rsidRPr="00091E61">
              <w:rPr>
                <w:rFonts w:ascii="Arial" w:hAnsi="Arial" w:cs="Arial"/>
                <w:color w:val="17365D" w:themeColor="text2" w:themeShade="BF"/>
                <w:sz w:val="18"/>
                <w:szCs w:val="18"/>
              </w:rPr>
              <w:t>%</w:t>
            </w:r>
          </w:p>
        </w:tc>
        <w:tc>
          <w:tcPr>
            <w:tcW w:w="916" w:type="dxa"/>
            <w:gridSpan w:val="2"/>
            <w:vAlign w:val="center"/>
          </w:tcPr>
          <w:p w14:paraId="2AF8D473" w14:textId="0867F618"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+1.8</w:t>
            </w:r>
            <w:r w:rsidRPr="00E407FC">
              <w:rPr>
                <w:rFonts w:ascii="Arial" w:hAnsi="Arial" w:cs="Arial"/>
                <w:color w:val="17365D" w:themeColor="text2" w:themeShade="BF"/>
                <w:sz w:val="18"/>
                <w:szCs w:val="18"/>
              </w:rPr>
              <w:t>%</w:t>
            </w:r>
          </w:p>
        </w:tc>
        <w:tc>
          <w:tcPr>
            <w:tcW w:w="916" w:type="dxa"/>
            <w:vAlign w:val="center"/>
          </w:tcPr>
          <w:p w14:paraId="26FB0443" w14:textId="49782033"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0.7</w:t>
            </w:r>
            <w:r w:rsidRPr="00E407FC">
              <w:rPr>
                <w:rFonts w:ascii="Arial" w:hAnsi="Arial" w:cs="Arial"/>
                <w:color w:val="17365D" w:themeColor="text2" w:themeShade="BF"/>
                <w:sz w:val="18"/>
                <w:szCs w:val="18"/>
              </w:rPr>
              <w:t>%</w:t>
            </w:r>
          </w:p>
        </w:tc>
        <w:tc>
          <w:tcPr>
            <w:tcW w:w="916" w:type="dxa"/>
            <w:vAlign w:val="center"/>
          </w:tcPr>
          <w:p w14:paraId="06DF58EF" w14:textId="1438F8E5"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+3.4</w:t>
            </w:r>
            <w:r w:rsidRPr="00E407FC">
              <w:rPr>
                <w:rFonts w:ascii="Arial" w:hAnsi="Arial" w:cs="Arial"/>
                <w:color w:val="17365D" w:themeColor="text2" w:themeShade="BF"/>
                <w:sz w:val="18"/>
                <w:szCs w:val="18"/>
              </w:rPr>
              <w:t>%</w:t>
            </w:r>
          </w:p>
        </w:tc>
        <w:tc>
          <w:tcPr>
            <w:tcW w:w="916" w:type="dxa"/>
            <w:vAlign w:val="center"/>
          </w:tcPr>
          <w:p w14:paraId="41636D17" w14:textId="12FA8D32"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+8.9</w:t>
            </w:r>
            <w:r w:rsidRPr="00E407FC">
              <w:rPr>
                <w:rFonts w:ascii="Arial" w:hAnsi="Arial" w:cs="Arial"/>
                <w:color w:val="17365D" w:themeColor="text2" w:themeShade="BF"/>
                <w:sz w:val="18"/>
                <w:szCs w:val="18"/>
              </w:rPr>
              <w:t>%</w:t>
            </w:r>
          </w:p>
        </w:tc>
        <w:tc>
          <w:tcPr>
            <w:tcW w:w="916" w:type="dxa"/>
            <w:vAlign w:val="center"/>
          </w:tcPr>
          <w:p w14:paraId="1E5CE1E6" w14:textId="02F7D9BF"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+7.</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916" w:type="dxa"/>
            <w:vAlign w:val="center"/>
          </w:tcPr>
          <w:p w14:paraId="4A0AC33B" w14:textId="6118B893"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7.5</w:t>
            </w:r>
            <w:r w:rsidRPr="006C65D2">
              <w:rPr>
                <w:rFonts w:ascii="Arial" w:hAnsi="Arial" w:cs="Arial"/>
                <w:bCs/>
                <w:color w:val="17365D" w:themeColor="text2" w:themeShade="BF"/>
                <w:sz w:val="18"/>
                <w:szCs w:val="18"/>
              </w:rPr>
              <w:t>%</w:t>
            </w:r>
          </w:p>
        </w:tc>
        <w:tc>
          <w:tcPr>
            <w:tcW w:w="916" w:type="dxa"/>
            <w:vAlign w:val="center"/>
          </w:tcPr>
          <w:p w14:paraId="6C530686" w14:textId="01FF2307"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356</w:t>
            </w:r>
            <w:r w:rsidRPr="00E407FC">
              <w:rPr>
                <w:rFonts w:ascii="Arial" w:hAnsi="Arial" w:cs="Arial"/>
                <w:bCs/>
                <w:color w:val="17365D" w:themeColor="text2" w:themeShade="BF"/>
                <w:sz w:val="18"/>
                <w:szCs w:val="18"/>
              </w:rPr>
              <w:t>M</w:t>
            </w:r>
          </w:p>
        </w:tc>
        <w:tc>
          <w:tcPr>
            <w:tcW w:w="916" w:type="dxa"/>
            <w:vAlign w:val="center"/>
          </w:tcPr>
          <w:p w14:paraId="482E37F1" w14:textId="53D11638" w:rsidR="00AF0D02" w:rsidRDefault="00AF0D02" w:rsidP="0013220C">
            <w:pPr>
              <w:jc w:val="right"/>
              <w:cnfStyle w:val="000000000000" w:firstRow="0" w:lastRow="0" w:firstColumn="0" w:lastColumn="0" w:oddVBand="0" w:evenVBand="0" w:oddHBand="0" w:evenHBand="0" w:firstRowFirstColumn="0" w:firstRowLastColumn="0" w:lastRowFirstColumn="0" w:lastRowLastColumn="0"/>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6.9</w:t>
            </w:r>
            <w:r w:rsidRPr="00E407FC">
              <w:rPr>
                <w:rFonts w:ascii="Arial" w:hAnsi="Arial" w:cs="Arial"/>
                <w:bCs/>
                <w:color w:val="17365D" w:themeColor="text2" w:themeShade="BF"/>
                <w:sz w:val="18"/>
                <w:szCs w:val="18"/>
              </w:rPr>
              <w:t>%</w:t>
            </w:r>
          </w:p>
        </w:tc>
        <w:tc>
          <w:tcPr>
            <w:tcW w:w="916" w:type="dxa"/>
            <w:vAlign w:val="center"/>
          </w:tcPr>
          <w:p w14:paraId="3024FCBB" w14:textId="5714CF07" w:rsidR="00AF0D02" w:rsidRDefault="0013220C" w:rsidP="0013220C">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-5.3</w:t>
            </w:r>
            <w:r w:rsidR="00AF0D02" w:rsidRPr="003708BA">
              <w:rPr>
                <w:rFonts w:ascii="Arial" w:hAnsi="Arial" w:cs="Arial"/>
                <w:bCs/>
                <w:color w:val="17365D" w:themeColor="text2" w:themeShade="BF"/>
                <w:sz w:val="18"/>
                <w:szCs w:val="18"/>
              </w:rPr>
              <w:t>%</w:t>
            </w:r>
          </w:p>
        </w:tc>
      </w:tr>
      <w:tr w:rsidR="0013220C" w:rsidRPr="00E407FC" w14:paraId="70C57CCA" w14:textId="77777777" w:rsidTr="00DB2D60">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38BB67DB" w14:textId="77777777" w:rsidR="0013220C" w:rsidRPr="00E407FC" w:rsidRDefault="0013220C" w:rsidP="00DB2D60">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Grapes</w:t>
            </w:r>
          </w:p>
        </w:tc>
        <w:tc>
          <w:tcPr>
            <w:tcW w:w="915" w:type="dxa"/>
            <w:gridSpan w:val="2"/>
            <w:vAlign w:val="center"/>
          </w:tcPr>
          <w:p w14:paraId="088C0AB6" w14:textId="77777777" w:rsidR="0013220C" w:rsidRPr="00091E61"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-3.1</w:t>
            </w:r>
            <w:r w:rsidRPr="00091E61">
              <w:rPr>
                <w:rFonts w:ascii="Arial" w:hAnsi="Arial" w:cs="Arial"/>
                <w:color w:val="17365D" w:themeColor="text2" w:themeShade="BF"/>
                <w:sz w:val="18"/>
                <w:szCs w:val="18"/>
              </w:rPr>
              <w:t>%</w:t>
            </w:r>
          </w:p>
        </w:tc>
        <w:tc>
          <w:tcPr>
            <w:tcW w:w="916" w:type="dxa"/>
            <w:gridSpan w:val="2"/>
            <w:vAlign w:val="center"/>
          </w:tcPr>
          <w:p w14:paraId="7F83ACE6"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+0.1</w:t>
            </w:r>
            <w:r w:rsidRPr="00E407FC">
              <w:rPr>
                <w:rFonts w:ascii="Arial" w:hAnsi="Arial" w:cs="Arial"/>
                <w:color w:val="17365D" w:themeColor="text2" w:themeShade="BF"/>
                <w:sz w:val="18"/>
                <w:szCs w:val="18"/>
              </w:rPr>
              <w:t>%</w:t>
            </w:r>
          </w:p>
        </w:tc>
        <w:tc>
          <w:tcPr>
            <w:tcW w:w="916" w:type="dxa"/>
            <w:vAlign w:val="center"/>
          </w:tcPr>
          <w:p w14:paraId="798CEA03"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+2.9</w:t>
            </w:r>
            <w:r w:rsidRPr="00E407FC">
              <w:rPr>
                <w:rFonts w:ascii="Arial" w:hAnsi="Arial" w:cs="Arial"/>
                <w:color w:val="17365D" w:themeColor="text2" w:themeShade="BF"/>
                <w:sz w:val="18"/>
                <w:szCs w:val="18"/>
              </w:rPr>
              <w:t>%</w:t>
            </w:r>
          </w:p>
        </w:tc>
        <w:tc>
          <w:tcPr>
            <w:tcW w:w="916" w:type="dxa"/>
            <w:vAlign w:val="center"/>
          </w:tcPr>
          <w:p w14:paraId="2DFA7C0A"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+3.5</w:t>
            </w:r>
            <w:r w:rsidRPr="00E407FC">
              <w:rPr>
                <w:rFonts w:ascii="Arial" w:hAnsi="Arial" w:cs="Arial"/>
                <w:color w:val="17365D" w:themeColor="text2" w:themeShade="BF"/>
                <w:sz w:val="18"/>
                <w:szCs w:val="18"/>
              </w:rPr>
              <w:t>%</w:t>
            </w:r>
          </w:p>
        </w:tc>
        <w:tc>
          <w:tcPr>
            <w:tcW w:w="916" w:type="dxa"/>
            <w:vAlign w:val="center"/>
          </w:tcPr>
          <w:p w14:paraId="7D75445A"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+6.9</w:t>
            </w:r>
            <w:r w:rsidRPr="00E407FC">
              <w:rPr>
                <w:rFonts w:ascii="Arial" w:hAnsi="Arial" w:cs="Arial"/>
                <w:color w:val="17365D" w:themeColor="text2" w:themeShade="BF"/>
                <w:sz w:val="18"/>
                <w:szCs w:val="18"/>
              </w:rPr>
              <w:t>%</w:t>
            </w:r>
          </w:p>
        </w:tc>
        <w:tc>
          <w:tcPr>
            <w:tcW w:w="916" w:type="dxa"/>
            <w:vAlign w:val="center"/>
          </w:tcPr>
          <w:p w14:paraId="16CC1DCB"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+11.</w:t>
            </w:r>
            <w:r>
              <w:rPr>
                <w:rFonts w:ascii="Arial" w:hAnsi="Arial" w:cs="Arial"/>
                <w:bCs/>
                <w:color w:val="17365D" w:themeColor="text2" w:themeShade="BF"/>
                <w:sz w:val="18"/>
                <w:szCs w:val="18"/>
              </w:rPr>
              <w:t>8</w:t>
            </w:r>
            <w:r w:rsidRPr="00E407FC">
              <w:rPr>
                <w:rFonts w:ascii="Arial" w:hAnsi="Arial" w:cs="Arial"/>
                <w:bCs/>
                <w:color w:val="17365D" w:themeColor="text2" w:themeShade="BF"/>
                <w:sz w:val="18"/>
                <w:szCs w:val="18"/>
              </w:rPr>
              <w:t>%</w:t>
            </w:r>
          </w:p>
        </w:tc>
        <w:tc>
          <w:tcPr>
            <w:tcW w:w="916" w:type="dxa"/>
            <w:vAlign w:val="center"/>
          </w:tcPr>
          <w:p w14:paraId="2F9FBA35"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0.1</w:t>
            </w:r>
            <w:r w:rsidRPr="006C65D2">
              <w:rPr>
                <w:rFonts w:ascii="Arial" w:hAnsi="Arial" w:cs="Arial"/>
                <w:bCs/>
                <w:color w:val="17365D" w:themeColor="text2" w:themeShade="BF"/>
                <w:sz w:val="18"/>
                <w:szCs w:val="18"/>
              </w:rPr>
              <w:t>%</w:t>
            </w:r>
          </w:p>
        </w:tc>
        <w:tc>
          <w:tcPr>
            <w:tcW w:w="916" w:type="dxa"/>
            <w:vAlign w:val="center"/>
          </w:tcPr>
          <w:p w14:paraId="1DB74558" w14:textId="18843FB1"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275</w:t>
            </w:r>
            <w:r w:rsidRPr="00E407FC">
              <w:rPr>
                <w:rFonts w:ascii="Arial" w:hAnsi="Arial" w:cs="Arial"/>
                <w:bCs/>
                <w:color w:val="17365D" w:themeColor="text2" w:themeShade="BF"/>
                <w:sz w:val="18"/>
                <w:szCs w:val="18"/>
              </w:rPr>
              <w:t>M</w:t>
            </w:r>
          </w:p>
        </w:tc>
        <w:tc>
          <w:tcPr>
            <w:tcW w:w="916" w:type="dxa"/>
            <w:vAlign w:val="center"/>
          </w:tcPr>
          <w:p w14:paraId="1AEBFC64" w14:textId="3E9B4B3F"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6.4</w:t>
            </w:r>
            <w:r w:rsidRPr="00E407FC">
              <w:rPr>
                <w:rFonts w:ascii="Arial" w:hAnsi="Arial" w:cs="Arial"/>
                <w:bCs/>
                <w:color w:val="17365D" w:themeColor="text2" w:themeShade="BF"/>
                <w:sz w:val="18"/>
                <w:szCs w:val="18"/>
              </w:rPr>
              <w:t>%</w:t>
            </w:r>
          </w:p>
        </w:tc>
        <w:tc>
          <w:tcPr>
            <w:tcW w:w="916" w:type="dxa"/>
            <w:vAlign w:val="center"/>
          </w:tcPr>
          <w:p w14:paraId="6A3E3D60" w14:textId="6D7D2BF9"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-11.7</w:t>
            </w:r>
            <w:r w:rsidRPr="003708BA">
              <w:rPr>
                <w:rFonts w:ascii="Arial" w:hAnsi="Arial" w:cs="Arial"/>
                <w:bCs/>
                <w:color w:val="17365D" w:themeColor="text2" w:themeShade="BF"/>
                <w:sz w:val="18"/>
                <w:szCs w:val="18"/>
              </w:rPr>
              <w:t>%</w:t>
            </w:r>
          </w:p>
        </w:tc>
      </w:tr>
      <w:tr w:rsidR="00AF0D02" w:rsidRPr="00E407FC" w14:paraId="4EFFBEEF" w14:textId="77777777" w:rsidTr="0013220C">
        <w:trPr>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22A79EC8" w14:textId="77777777" w:rsidR="00AF0D02" w:rsidRPr="00E407FC" w:rsidRDefault="00AF0D02" w:rsidP="0013220C">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Bananas</w:t>
            </w:r>
          </w:p>
        </w:tc>
        <w:tc>
          <w:tcPr>
            <w:tcW w:w="915" w:type="dxa"/>
            <w:gridSpan w:val="2"/>
            <w:vAlign w:val="center"/>
          </w:tcPr>
          <w:p w14:paraId="13832FBB" w14:textId="113F58C3" w:rsidR="00AF0D02" w:rsidRPr="00091E61"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-0.9</w:t>
            </w:r>
            <w:r w:rsidRPr="00091E61">
              <w:rPr>
                <w:rFonts w:ascii="Arial" w:hAnsi="Arial" w:cs="Arial"/>
                <w:color w:val="17365D" w:themeColor="text2" w:themeShade="BF"/>
                <w:sz w:val="18"/>
                <w:szCs w:val="18"/>
              </w:rPr>
              <w:t>%</w:t>
            </w:r>
          </w:p>
        </w:tc>
        <w:tc>
          <w:tcPr>
            <w:tcW w:w="916" w:type="dxa"/>
            <w:gridSpan w:val="2"/>
            <w:vAlign w:val="center"/>
          </w:tcPr>
          <w:p w14:paraId="2ACAE0F1" w14:textId="6B8E6B73"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+3.6</w:t>
            </w:r>
            <w:r w:rsidRPr="00E407FC">
              <w:rPr>
                <w:rFonts w:ascii="Arial" w:hAnsi="Arial" w:cs="Arial"/>
                <w:color w:val="17365D" w:themeColor="text2" w:themeShade="BF"/>
                <w:sz w:val="18"/>
                <w:szCs w:val="18"/>
              </w:rPr>
              <w:t>%</w:t>
            </w:r>
          </w:p>
        </w:tc>
        <w:tc>
          <w:tcPr>
            <w:tcW w:w="916" w:type="dxa"/>
            <w:vAlign w:val="center"/>
          </w:tcPr>
          <w:p w14:paraId="44244662" w14:textId="00B7C2C6"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0.6</w:t>
            </w:r>
            <w:r w:rsidRPr="00E407FC">
              <w:rPr>
                <w:rFonts w:ascii="Arial" w:hAnsi="Arial" w:cs="Arial"/>
                <w:color w:val="17365D" w:themeColor="text2" w:themeShade="BF"/>
                <w:sz w:val="18"/>
                <w:szCs w:val="18"/>
              </w:rPr>
              <w:t>%</w:t>
            </w:r>
          </w:p>
        </w:tc>
        <w:tc>
          <w:tcPr>
            <w:tcW w:w="916" w:type="dxa"/>
            <w:vAlign w:val="center"/>
          </w:tcPr>
          <w:p w14:paraId="3EACE65B" w14:textId="3E976DE0"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1.8</w:t>
            </w:r>
            <w:r w:rsidRPr="00E407FC">
              <w:rPr>
                <w:rFonts w:ascii="Arial" w:hAnsi="Arial" w:cs="Arial"/>
                <w:color w:val="17365D" w:themeColor="text2" w:themeShade="BF"/>
                <w:sz w:val="18"/>
                <w:szCs w:val="18"/>
              </w:rPr>
              <w:t>%</w:t>
            </w:r>
          </w:p>
        </w:tc>
        <w:tc>
          <w:tcPr>
            <w:tcW w:w="916" w:type="dxa"/>
            <w:vAlign w:val="center"/>
          </w:tcPr>
          <w:p w14:paraId="0A0E1936" w14:textId="241FED69"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4</w:t>
            </w:r>
            <w:r>
              <w:rPr>
                <w:rFonts w:ascii="Arial" w:hAnsi="Arial" w:cs="Arial"/>
                <w:color w:val="17365D" w:themeColor="text2" w:themeShade="BF"/>
                <w:sz w:val="18"/>
                <w:szCs w:val="18"/>
              </w:rPr>
              <w:t>.2</w:t>
            </w:r>
            <w:r w:rsidRPr="00E407FC">
              <w:rPr>
                <w:rFonts w:ascii="Arial" w:hAnsi="Arial" w:cs="Arial"/>
                <w:color w:val="17365D" w:themeColor="text2" w:themeShade="BF"/>
                <w:sz w:val="18"/>
                <w:szCs w:val="18"/>
              </w:rPr>
              <w:t>%</w:t>
            </w:r>
          </w:p>
        </w:tc>
        <w:tc>
          <w:tcPr>
            <w:tcW w:w="916" w:type="dxa"/>
            <w:vAlign w:val="center"/>
          </w:tcPr>
          <w:p w14:paraId="59E9F286" w14:textId="77777777"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+3.0%</w:t>
            </w:r>
          </w:p>
        </w:tc>
        <w:tc>
          <w:tcPr>
            <w:tcW w:w="916" w:type="dxa"/>
            <w:vAlign w:val="center"/>
          </w:tcPr>
          <w:p w14:paraId="3B9777E1" w14:textId="0C6DC77B"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-1.0</w:t>
            </w:r>
            <w:r w:rsidRPr="006C65D2">
              <w:rPr>
                <w:rFonts w:ascii="Arial" w:hAnsi="Arial" w:cs="Arial"/>
                <w:bCs/>
                <w:color w:val="17365D" w:themeColor="text2" w:themeShade="BF"/>
                <w:sz w:val="18"/>
                <w:szCs w:val="18"/>
              </w:rPr>
              <w:t>%</w:t>
            </w:r>
          </w:p>
        </w:tc>
        <w:tc>
          <w:tcPr>
            <w:tcW w:w="916" w:type="dxa"/>
            <w:vAlign w:val="center"/>
          </w:tcPr>
          <w:p w14:paraId="7F09EA93" w14:textId="05164611"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255</w:t>
            </w:r>
            <w:r w:rsidRPr="00E407FC">
              <w:rPr>
                <w:rFonts w:ascii="Arial" w:hAnsi="Arial" w:cs="Arial"/>
                <w:bCs/>
                <w:color w:val="17365D" w:themeColor="text2" w:themeShade="BF"/>
                <w:sz w:val="18"/>
                <w:szCs w:val="18"/>
              </w:rPr>
              <w:t>M</w:t>
            </w:r>
          </w:p>
        </w:tc>
        <w:tc>
          <w:tcPr>
            <w:tcW w:w="916" w:type="dxa"/>
            <w:vAlign w:val="center"/>
          </w:tcPr>
          <w:p w14:paraId="3A78F8D2" w14:textId="21491330" w:rsidR="00AF0D02" w:rsidRDefault="0013220C" w:rsidP="0013220C">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-1.3</w:t>
            </w:r>
            <w:r w:rsidR="00AF0D02" w:rsidRPr="00E407FC">
              <w:rPr>
                <w:rFonts w:ascii="Arial" w:hAnsi="Arial" w:cs="Arial"/>
                <w:bCs/>
                <w:color w:val="17365D" w:themeColor="text2" w:themeShade="BF"/>
                <w:sz w:val="18"/>
                <w:szCs w:val="18"/>
              </w:rPr>
              <w:t>%</w:t>
            </w:r>
          </w:p>
        </w:tc>
        <w:tc>
          <w:tcPr>
            <w:tcW w:w="916" w:type="dxa"/>
            <w:vAlign w:val="center"/>
          </w:tcPr>
          <w:p w14:paraId="4DEE6E06" w14:textId="7E94E3E1" w:rsidR="00AF0D02" w:rsidRDefault="0013220C" w:rsidP="0013220C">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-5.2</w:t>
            </w:r>
            <w:r w:rsidR="00AF0D02" w:rsidRPr="003708BA">
              <w:rPr>
                <w:rFonts w:ascii="Arial" w:hAnsi="Arial" w:cs="Arial"/>
                <w:bCs/>
                <w:color w:val="17365D" w:themeColor="text2" w:themeShade="BF"/>
                <w:sz w:val="18"/>
                <w:szCs w:val="18"/>
              </w:rPr>
              <w:t>%</w:t>
            </w:r>
          </w:p>
        </w:tc>
      </w:tr>
      <w:tr w:rsidR="0013220C" w:rsidRPr="00E407FC" w14:paraId="6A81EE9D" w14:textId="77777777" w:rsidTr="00DB2D60">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5A356BE2" w14:textId="77777777" w:rsidR="0013220C" w:rsidRPr="00E407FC" w:rsidRDefault="0013220C" w:rsidP="00DB2D60">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Avocados</w:t>
            </w:r>
          </w:p>
        </w:tc>
        <w:tc>
          <w:tcPr>
            <w:tcW w:w="915" w:type="dxa"/>
            <w:gridSpan w:val="2"/>
            <w:vAlign w:val="center"/>
          </w:tcPr>
          <w:p w14:paraId="4E789105" w14:textId="77777777" w:rsidR="0013220C" w:rsidRPr="00091E61"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+6.8</w:t>
            </w:r>
            <w:r w:rsidRPr="00091E61">
              <w:rPr>
                <w:rFonts w:ascii="Arial" w:hAnsi="Arial" w:cs="Arial"/>
                <w:color w:val="17365D" w:themeColor="text2" w:themeShade="BF"/>
                <w:sz w:val="18"/>
                <w:szCs w:val="18"/>
              </w:rPr>
              <w:t>%</w:t>
            </w:r>
          </w:p>
        </w:tc>
        <w:tc>
          <w:tcPr>
            <w:tcW w:w="916" w:type="dxa"/>
            <w:gridSpan w:val="2"/>
            <w:vAlign w:val="center"/>
          </w:tcPr>
          <w:p w14:paraId="02605772"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+7.6</w:t>
            </w:r>
            <w:r w:rsidRPr="00E407FC">
              <w:rPr>
                <w:rFonts w:ascii="Arial" w:hAnsi="Arial" w:cs="Arial"/>
                <w:color w:val="17365D" w:themeColor="text2" w:themeShade="BF"/>
                <w:sz w:val="18"/>
                <w:szCs w:val="18"/>
              </w:rPr>
              <w:t>%</w:t>
            </w:r>
          </w:p>
        </w:tc>
        <w:tc>
          <w:tcPr>
            <w:tcW w:w="916" w:type="dxa"/>
            <w:vAlign w:val="center"/>
          </w:tcPr>
          <w:p w14:paraId="45074FBC"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0.7</w:t>
            </w:r>
            <w:r w:rsidRPr="00E407FC">
              <w:rPr>
                <w:rFonts w:ascii="Arial" w:hAnsi="Arial" w:cs="Arial"/>
                <w:color w:val="17365D" w:themeColor="text2" w:themeShade="BF"/>
                <w:sz w:val="18"/>
                <w:szCs w:val="18"/>
              </w:rPr>
              <w:t>%</w:t>
            </w:r>
          </w:p>
        </w:tc>
        <w:tc>
          <w:tcPr>
            <w:tcW w:w="916" w:type="dxa"/>
            <w:vAlign w:val="center"/>
          </w:tcPr>
          <w:p w14:paraId="448AB64A"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9.4</w:t>
            </w:r>
            <w:r w:rsidRPr="00E407FC">
              <w:rPr>
                <w:rFonts w:ascii="Arial" w:hAnsi="Arial" w:cs="Arial"/>
                <w:color w:val="17365D" w:themeColor="text2" w:themeShade="BF"/>
                <w:sz w:val="18"/>
                <w:szCs w:val="18"/>
              </w:rPr>
              <w:t>%</w:t>
            </w:r>
          </w:p>
        </w:tc>
        <w:tc>
          <w:tcPr>
            <w:tcW w:w="916" w:type="dxa"/>
            <w:vAlign w:val="center"/>
          </w:tcPr>
          <w:p w14:paraId="1880214F"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2.8</w:t>
            </w:r>
            <w:r w:rsidRPr="00E407FC">
              <w:rPr>
                <w:rFonts w:ascii="Arial" w:hAnsi="Arial" w:cs="Arial"/>
                <w:color w:val="17365D" w:themeColor="text2" w:themeShade="BF"/>
                <w:sz w:val="18"/>
                <w:szCs w:val="18"/>
              </w:rPr>
              <w:t>%</w:t>
            </w:r>
          </w:p>
        </w:tc>
        <w:tc>
          <w:tcPr>
            <w:tcW w:w="916" w:type="dxa"/>
            <w:vAlign w:val="center"/>
          </w:tcPr>
          <w:p w14:paraId="068A80CF"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+9.</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916" w:type="dxa"/>
            <w:vAlign w:val="center"/>
          </w:tcPr>
          <w:p w14:paraId="0A7C4604"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13.3</w:t>
            </w:r>
            <w:r w:rsidRPr="006C65D2">
              <w:rPr>
                <w:rFonts w:ascii="Arial" w:hAnsi="Arial" w:cs="Arial"/>
                <w:bCs/>
                <w:color w:val="17365D" w:themeColor="text2" w:themeShade="BF"/>
                <w:sz w:val="18"/>
                <w:szCs w:val="18"/>
              </w:rPr>
              <w:t>%</w:t>
            </w:r>
          </w:p>
        </w:tc>
        <w:tc>
          <w:tcPr>
            <w:tcW w:w="916" w:type="dxa"/>
            <w:vAlign w:val="center"/>
          </w:tcPr>
          <w:p w14:paraId="5C96BF80" w14:textId="167C8BF3"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228</w:t>
            </w:r>
            <w:r w:rsidRPr="00E407FC">
              <w:rPr>
                <w:rFonts w:ascii="Arial" w:hAnsi="Arial" w:cs="Arial"/>
                <w:bCs/>
                <w:color w:val="17365D" w:themeColor="text2" w:themeShade="BF"/>
                <w:sz w:val="18"/>
                <w:szCs w:val="18"/>
              </w:rPr>
              <w:t>M</w:t>
            </w:r>
          </w:p>
        </w:tc>
        <w:tc>
          <w:tcPr>
            <w:tcW w:w="916" w:type="dxa"/>
            <w:vAlign w:val="center"/>
          </w:tcPr>
          <w:p w14:paraId="1E3D663F" w14:textId="75E2A5FD"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22.4</w:t>
            </w:r>
            <w:r w:rsidRPr="00E407FC">
              <w:rPr>
                <w:rFonts w:ascii="Arial" w:hAnsi="Arial" w:cs="Arial"/>
                <w:bCs/>
                <w:color w:val="17365D" w:themeColor="text2" w:themeShade="BF"/>
                <w:sz w:val="18"/>
                <w:szCs w:val="18"/>
              </w:rPr>
              <w:t>%</w:t>
            </w:r>
          </w:p>
        </w:tc>
        <w:tc>
          <w:tcPr>
            <w:tcW w:w="916" w:type="dxa"/>
            <w:vAlign w:val="center"/>
          </w:tcPr>
          <w:p w14:paraId="34884313" w14:textId="238C1DC0"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-10.4</w:t>
            </w:r>
            <w:r w:rsidRPr="003708BA">
              <w:rPr>
                <w:rFonts w:ascii="Arial" w:hAnsi="Arial" w:cs="Arial"/>
                <w:bCs/>
                <w:color w:val="17365D" w:themeColor="text2" w:themeShade="BF"/>
                <w:sz w:val="18"/>
                <w:szCs w:val="18"/>
              </w:rPr>
              <w:t>%</w:t>
            </w:r>
          </w:p>
        </w:tc>
      </w:tr>
      <w:tr w:rsidR="0013220C" w:rsidRPr="00E407FC" w14:paraId="1D1E2427" w14:textId="77777777" w:rsidTr="00DB2D60">
        <w:trPr>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60360F3B" w14:textId="77777777" w:rsidR="0013220C" w:rsidRPr="00E407FC" w:rsidRDefault="0013220C" w:rsidP="00DB2D60">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Mandarins</w:t>
            </w:r>
          </w:p>
        </w:tc>
        <w:tc>
          <w:tcPr>
            <w:tcW w:w="915" w:type="dxa"/>
            <w:gridSpan w:val="2"/>
            <w:vAlign w:val="center"/>
          </w:tcPr>
          <w:p w14:paraId="14F3392E" w14:textId="77777777" w:rsidR="0013220C" w:rsidRPr="00091E61"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-4.6</w:t>
            </w:r>
            <w:r w:rsidRPr="00091E61">
              <w:rPr>
                <w:rFonts w:ascii="Arial" w:hAnsi="Arial" w:cs="Arial"/>
                <w:color w:val="17365D" w:themeColor="text2" w:themeShade="BF"/>
                <w:sz w:val="18"/>
                <w:szCs w:val="18"/>
              </w:rPr>
              <w:t>%</w:t>
            </w:r>
          </w:p>
        </w:tc>
        <w:tc>
          <w:tcPr>
            <w:tcW w:w="916" w:type="dxa"/>
            <w:gridSpan w:val="2"/>
            <w:vAlign w:val="center"/>
          </w:tcPr>
          <w:p w14:paraId="51E55F05"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+9.9</w:t>
            </w:r>
            <w:r w:rsidRPr="00E407FC">
              <w:rPr>
                <w:rFonts w:ascii="Arial" w:hAnsi="Arial" w:cs="Arial"/>
                <w:color w:val="17365D" w:themeColor="text2" w:themeShade="BF"/>
                <w:sz w:val="18"/>
                <w:szCs w:val="18"/>
              </w:rPr>
              <w:t>%</w:t>
            </w:r>
          </w:p>
        </w:tc>
        <w:tc>
          <w:tcPr>
            <w:tcW w:w="916" w:type="dxa"/>
            <w:vAlign w:val="center"/>
          </w:tcPr>
          <w:p w14:paraId="677B1D54"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-1</w:t>
            </w:r>
            <w:r>
              <w:rPr>
                <w:rFonts w:ascii="Arial" w:hAnsi="Arial" w:cs="Arial"/>
                <w:color w:val="17365D" w:themeColor="text2" w:themeShade="BF"/>
                <w:sz w:val="18"/>
                <w:szCs w:val="18"/>
              </w:rPr>
              <w:t>.1</w:t>
            </w:r>
            <w:r w:rsidRPr="00E407FC">
              <w:rPr>
                <w:rFonts w:ascii="Arial" w:hAnsi="Arial" w:cs="Arial"/>
                <w:color w:val="17365D" w:themeColor="text2" w:themeShade="BF"/>
                <w:sz w:val="18"/>
                <w:szCs w:val="18"/>
              </w:rPr>
              <w:t>%</w:t>
            </w:r>
          </w:p>
        </w:tc>
        <w:tc>
          <w:tcPr>
            <w:tcW w:w="916" w:type="dxa"/>
            <w:vAlign w:val="center"/>
          </w:tcPr>
          <w:p w14:paraId="79210989"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14</w:t>
            </w:r>
            <w:r>
              <w:rPr>
                <w:rFonts w:ascii="Arial" w:hAnsi="Arial" w:cs="Arial"/>
                <w:color w:val="17365D" w:themeColor="text2" w:themeShade="BF"/>
                <w:sz w:val="18"/>
                <w:szCs w:val="18"/>
              </w:rPr>
              <w:t>.3</w:t>
            </w:r>
            <w:r w:rsidRPr="00E407FC">
              <w:rPr>
                <w:rFonts w:ascii="Arial" w:hAnsi="Arial" w:cs="Arial"/>
                <w:color w:val="17365D" w:themeColor="text2" w:themeShade="BF"/>
                <w:sz w:val="18"/>
                <w:szCs w:val="18"/>
              </w:rPr>
              <w:t>%</w:t>
            </w:r>
          </w:p>
        </w:tc>
        <w:tc>
          <w:tcPr>
            <w:tcW w:w="916" w:type="dxa"/>
            <w:vAlign w:val="center"/>
          </w:tcPr>
          <w:p w14:paraId="0377CDCD"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12</w:t>
            </w:r>
            <w:r>
              <w:rPr>
                <w:rFonts w:ascii="Arial" w:hAnsi="Arial" w:cs="Arial"/>
                <w:color w:val="17365D" w:themeColor="text2" w:themeShade="BF"/>
                <w:sz w:val="18"/>
                <w:szCs w:val="18"/>
              </w:rPr>
              <w:t>.0</w:t>
            </w:r>
            <w:r w:rsidRPr="00E407FC">
              <w:rPr>
                <w:rFonts w:ascii="Arial" w:hAnsi="Arial" w:cs="Arial"/>
                <w:color w:val="17365D" w:themeColor="text2" w:themeShade="BF"/>
                <w:sz w:val="18"/>
                <w:szCs w:val="18"/>
              </w:rPr>
              <w:t>%</w:t>
            </w:r>
          </w:p>
        </w:tc>
        <w:tc>
          <w:tcPr>
            <w:tcW w:w="916" w:type="dxa"/>
            <w:vAlign w:val="center"/>
          </w:tcPr>
          <w:p w14:paraId="261EDCDC"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+4.9%</w:t>
            </w:r>
          </w:p>
        </w:tc>
        <w:tc>
          <w:tcPr>
            <w:tcW w:w="916" w:type="dxa"/>
            <w:vAlign w:val="center"/>
          </w:tcPr>
          <w:p w14:paraId="090B9DEC" w14:textId="77777777" w:rsidR="0013220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3.7</w:t>
            </w:r>
            <w:r w:rsidRPr="006C65D2">
              <w:rPr>
                <w:rFonts w:ascii="Arial" w:hAnsi="Arial" w:cs="Arial"/>
                <w:bCs/>
                <w:color w:val="17365D" w:themeColor="text2" w:themeShade="BF"/>
                <w:sz w:val="18"/>
                <w:szCs w:val="18"/>
              </w:rPr>
              <w:t>%</w:t>
            </w:r>
          </w:p>
        </w:tc>
        <w:tc>
          <w:tcPr>
            <w:tcW w:w="916" w:type="dxa"/>
            <w:vAlign w:val="center"/>
          </w:tcPr>
          <w:p w14:paraId="1DB60A7A" w14:textId="016D9421"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182</w:t>
            </w:r>
            <w:r w:rsidRPr="00E407FC">
              <w:rPr>
                <w:rFonts w:ascii="Arial" w:hAnsi="Arial" w:cs="Arial"/>
                <w:bCs/>
                <w:color w:val="17365D" w:themeColor="text2" w:themeShade="BF"/>
                <w:sz w:val="18"/>
                <w:szCs w:val="18"/>
              </w:rPr>
              <w:t>M</w:t>
            </w:r>
          </w:p>
        </w:tc>
        <w:tc>
          <w:tcPr>
            <w:tcW w:w="916" w:type="dxa"/>
            <w:vAlign w:val="center"/>
          </w:tcPr>
          <w:p w14:paraId="6BBCB672" w14:textId="5978340F" w:rsidR="0013220C" w:rsidRDefault="0013220C" w:rsidP="00DB2D60">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-1.6</w:t>
            </w:r>
            <w:r w:rsidRPr="00E407FC">
              <w:rPr>
                <w:rFonts w:ascii="Arial" w:hAnsi="Arial" w:cs="Arial"/>
                <w:bCs/>
                <w:color w:val="17365D" w:themeColor="text2" w:themeShade="BF"/>
                <w:sz w:val="18"/>
                <w:szCs w:val="18"/>
              </w:rPr>
              <w:t>%</w:t>
            </w:r>
          </w:p>
        </w:tc>
        <w:tc>
          <w:tcPr>
            <w:tcW w:w="916" w:type="dxa"/>
            <w:vAlign w:val="center"/>
          </w:tcPr>
          <w:p w14:paraId="41B0223C" w14:textId="6B9F1569" w:rsidR="0013220C" w:rsidRDefault="0013220C" w:rsidP="00DB2D60">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-19.5</w:t>
            </w:r>
            <w:r w:rsidRPr="003708BA">
              <w:rPr>
                <w:rFonts w:ascii="Arial" w:hAnsi="Arial" w:cs="Arial"/>
                <w:bCs/>
                <w:color w:val="17365D" w:themeColor="text2" w:themeShade="BF"/>
                <w:sz w:val="18"/>
                <w:szCs w:val="18"/>
              </w:rPr>
              <w:t>%</w:t>
            </w:r>
          </w:p>
        </w:tc>
      </w:tr>
      <w:tr w:rsidR="0013220C" w:rsidRPr="00E407FC" w14:paraId="116E1596" w14:textId="77777777" w:rsidTr="00DB2D60">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5437A8A1" w14:textId="77777777" w:rsidR="0013220C" w:rsidRPr="00E407FC" w:rsidRDefault="0013220C" w:rsidP="00DB2D60">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Melons</w:t>
            </w:r>
          </w:p>
        </w:tc>
        <w:tc>
          <w:tcPr>
            <w:tcW w:w="915" w:type="dxa"/>
            <w:gridSpan w:val="2"/>
            <w:vAlign w:val="center"/>
          </w:tcPr>
          <w:p w14:paraId="764D120F" w14:textId="77777777" w:rsidR="0013220C" w:rsidRPr="00091E61"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w:t>
            </w:r>
            <w:r w:rsidRPr="00091E61">
              <w:rPr>
                <w:rFonts w:ascii="Arial" w:hAnsi="Arial" w:cs="Arial"/>
                <w:color w:val="17365D" w:themeColor="text2" w:themeShade="BF"/>
                <w:sz w:val="18"/>
                <w:szCs w:val="18"/>
              </w:rPr>
              <w:t>%</w:t>
            </w:r>
          </w:p>
        </w:tc>
        <w:tc>
          <w:tcPr>
            <w:tcW w:w="916" w:type="dxa"/>
            <w:gridSpan w:val="2"/>
            <w:vAlign w:val="center"/>
          </w:tcPr>
          <w:p w14:paraId="05BAC708"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+9.5</w:t>
            </w:r>
            <w:r w:rsidRPr="00E407FC">
              <w:rPr>
                <w:rFonts w:ascii="Arial" w:hAnsi="Arial" w:cs="Arial"/>
                <w:color w:val="17365D" w:themeColor="text2" w:themeShade="BF"/>
                <w:sz w:val="18"/>
                <w:szCs w:val="18"/>
              </w:rPr>
              <w:t>%</w:t>
            </w:r>
          </w:p>
        </w:tc>
        <w:tc>
          <w:tcPr>
            <w:tcW w:w="916" w:type="dxa"/>
            <w:vAlign w:val="center"/>
          </w:tcPr>
          <w:p w14:paraId="697241DD"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10</w:t>
            </w:r>
            <w:r>
              <w:rPr>
                <w:rFonts w:ascii="Arial" w:hAnsi="Arial" w:cs="Arial"/>
                <w:color w:val="17365D" w:themeColor="text2" w:themeShade="BF"/>
                <w:sz w:val="18"/>
                <w:szCs w:val="18"/>
              </w:rPr>
              <w:t>.0</w:t>
            </w:r>
            <w:r w:rsidRPr="00E407FC">
              <w:rPr>
                <w:rFonts w:ascii="Arial" w:hAnsi="Arial" w:cs="Arial"/>
                <w:color w:val="17365D" w:themeColor="text2" w:themeShade="BF"/>
                <w:sz w:val="18"/>
                <w:szCs w:val="18"/>
              </w:rPr>
              <w:t>%</w:t>
            </w:r>
          </w:p>
        </w:tc>
        <w:tc>
          <w:tcPr>
            <w:tcW w:w="916" w:type="dxa"/>
            <w:vAlign w:val="center"/>
          </w:tcPr>
          <w:p w14:paraId="5F55B1D2"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+14.1</w:t>
            </w:r>
            <w:r w:rsidRPr="00E407FC">
              <w:rPr>
                <w:rFonts w:ascii="Arial" w:hAnsi="Arial" w:cs="Arial"/>
                <w:color w:val="17365D" w:themeColor="text2" w:themeShade="BF"/>
                <w:sz w:val="18"/>
                <w:szCs w:val="18"/>
              </w:rPr>
              <w:t>%</w:t>
            </w:r>
          </w:p>
        </w:tc>
        <w:tc>
          <w:tcPr>
            <w:tcW w:w="916" w:type="dxa"/>
            <w:vAlign w:val="center"/>
          </w:tcPr>
          <w:p w14:paraId="7593ACC3"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+5.8</w:t>
            </w:r>
            <w:r w:rsidRPr="00E407FC">
              <w:rPr>
                <w:rFonts w:ascii="Arial" w:hAnsi="Arial" w:cs="Arial"/>
                <w:color w:val="17365D" w:themeColor="text2" w:themeShade="BF"/>
                <w:sz w:val="18"/>
                <w:szCs w:val="18"/>
              </w:rPr>
              <w:t>%</w:t>
            </w:r>
          </w:p>
        </w:tc>
        <w:tc>
          <w:tcPr>
            <w:tcW w:w="916" w:type="dxa"/>
            <w:vAlign w:val="center"/>
          </w:tcPr>
          <w:p w14:paraId="3D57AF20"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+23.</w:t>
            </w:r>
            <w:r>
              <w:rPr>
                <w:rFonts w:ascii="Arial" w:hAnsi="Arial" w:cs="Arial"/>
                <w:bCs/>
                <w:color w:val="17365D" w:themeColor="text2" w:themeShade="BF"/>
                <w:sz w:val="18"/>
                <w:szCs w:val="18"/>
              </w:rPr>
              <w:t>2</w:t>
            </w:r>
            <w:r w:rsidRPr="00E407FC">
              <w:rPr>
                <w:rFonts w:ascii="Arial" w:hAnsi="Arial" w:cs="Arial"/>
                <w:bCs/>
                <w:color w:val="17365D" w:themeColor="text2" w:themeShade="BF"/>
                <w:sz w:val="18"/>
                <w:szCs w:val="18"/>
              </w:rPr>
              <w:t>%</w:t>
            </w:r>
          </w:p>
        </w:tc>
        <w:tc>
          <w:tcPr>
            <w:tcW w:w="916" w:type="dxa"/>
            <w:vAlign w:val="center"/>
          </w:tcPr>
          <w:p w14:paraId="67E622E2"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35.0</w:t>
            </w:r>
            <w:r w:rsidRPr="006C65D2">
              <w:rPr>
                <w:rFonts w:ascii="Arial" w:hAnsi="Arial" w:cs="Arial"/>
                <w:bCs/>
                <w:color w:val="17365D" w:themeColor="text2" w:themeShade="BF"/>
                <w:sz w:val="18"/>
                <w:szCs w:val="18"/>
              </w:rPr>
              <w:t>%</w:t>
            </w:r>
          </w:p>
        </w:tc>
        <w:tc>
          <w:tcPr>
            <w:tcW w:w="916" w:type="dxa"/>
            <w:vAlign w:val="center"/>
          </w:tcPr>
          <w:p w14:paraId="02D52427" w14:textId="38D03E50"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141</w:t>
            </w:r>
            <w:r w:rsidRPr="00E407FC">
              <w:rPr>
                <w:rFonts w:ascii="Arial" w:hAnsi="Arial" w:cs="Arial"/>
                <w:bCs/>
                <w:color w:val="17365D" w:themeColor="text2" w:themeShade="BF"/>
                <w:sz w:val="18"/>
                <w:szCs w:val="18"/>
              </w:rPr>
              <w:t>M</w:t>
            </w:r>
          </w:p>
        </w:tc>
        <w:tc>
          <w:tcPr>
            <w:tcW w:w="916" w:type="dxa"/>
            <w:vAlign w:val="center"/>
          </w:tcPr>
          <w:p w14:paraId="45D89CCC" w14:textId="0DE23F90"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29.7</w:t>
            </w:r>
            <w:r w:rsidRPr="00E407FC">
              <w:rPr>
                <w:rFonts w:ascii="Arial" w:hAnsi="Arial" w:cs="Arial"/>
                <w:bCs/>
                <w:color w:val="17365D" w:themeColor="text2" w:themeShade="BF"/>
                <w:sz w:val="18"/>
                <w:szCs w:val="18"/>
              </w:rPr>
              <w:t>%</w:t>
            </w:r>
          </w:p>
        </w:tc>
        <w:tc>
          <w:tcPr>
            <w:tcW w:w="916" w:type="dxa"/>
            <w:vAlign w:val="center"/>
          </w:tcPr>
          <w:p w14:paraId="22041388" w14:textId="580A5769"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sidRPr="003708BA">
              <w:rPr>
                <w:rFonts w:ascii="Arial" w:hAnsi="Arial" w:cs="Arial"/>
                <w:bCs/>
                <w:color w:val="17365D" w:themeColor="text2" w:themeShade="BF"/>
                <w:sz w:val="18"/>
                <w:szCs w:val="18"/>
              </w:rPr>
              <w:t>+</w:t>
            </w:r>
            <w:r>
              <w:rPr>
                <w:rFonts w:ascii="Arial" w:hAnsi="Arial" w:cs="Arial"/>
                <w:bCs/>
                <w:color w:val="17365D" w:themeColor="text2" w:themeShade="BF"/>
                <w:sz w:val="18"/>
                <w:szCs w:val="18"/>
              </w:rPr>
              <w:t>17.6</w:t>
            </w:r>
            <w:r w:rsidRPr="003708BA">
              <w:rPr>
                <w:rFonts w:ascii="Arial" w:hAnsi="Arial" w:cs="Arial"/>
                <w:bCs/>
                <w:color w:val="17365D" w:themeColor="text2" w:themeShade="BF"/>
                <w:sz w:val="18"/>
                <w:szCs w:val="18"/>
              </w:rPr>
              <w:t>%</w:t>
            </w:r>
          </w:p>
        </w:tc>
      </w:tr>
      <w:tr w:rsidR="0013220C" w:rsidRPr="00E407FC" w14:paraId="2AECE88C" w14:textId="77777777" w:rsidTr="00DB2D60">
        <w:trPr>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4CC7E81D" w14:textId="77777777" w:rsidR="0013220C" w:rsidRPr="00E407FC" w:rsidRDefault="0013220C" w:rsidP="00DB2D60">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Oranges</w:t>
            </w:r>
          </w:p>
        </w:tc>
        <w:tc>
          <w:tcPr>
            <w:tcW w:w="915" w:type="dxa"/>
            <w:gridSpan w:val="2"/>
            <w:vAlign w:val="center"/>
          </w:tcPr>
          <w:p w14:paraId="2C20732F" w14:textId="77777777" w:rsidR="0013220C" w:rsidRPr="00091E61"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-9.6</w:t>
            </w:r>
            <w:r w:rsidRPr="00091E61">
              <w:rPr>
                <w:rFonts w:ascii="Arial" w:hAnsi="Arial" w:cs="Arial"/>
                <w:color w:val="17365D" w:themeColor="text2" w:themeShade="BF"/>
                <w:sz w:val="18"/>
                <w:szCs w:val="18"/>
              </w:rPr>
              <w:t>%</w:t>
            </w:r>
          </w:p>
        </w:tc>
        <w:tc>
          <w:tcPr>
            <w:tcW w:w="916" w:type="dxa"/>
            <w:gridSpan w:val="2"/>
            <w:vAlign w:val="center"/>
          </w:tcPr>
          <w:p w14:paraId="73EF92F6"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+32.1</w:t>
            </w:r>
            <w:r w:rsidRPr="00E407FC">
              <w:rPr>
                <w:rFonts w:ascii="Arial" w:hAnsi="Arial" w:cs="Arial"/>
                <w:color w:val="17365D" w:themeColor="text2" w:themeShade="BF"/>
                <w:sz w:val="18"/>
                <w:szCs w:val="18"/>
              </w:rPr>
              <w:t>%</w:t>
            </w:r>
          </w:p>
        </w:tc>
        <w:tc>
          <w:tcPr>
            <w:tcW w:w="916" w:type="dxa"/>
            <w:vAlign w:val="center"/>
          </w:tcPr>
          <w:p w14:paraId="48E5CCBF"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+2.5</w:t>
            </w:r>
            <w:r w:rsidRPr="00E407FC">
              <w:rPr>
                <w:rFonts w:ascii="Arial" w:hAnsi="Arial" w:cs="Arial"/>
                <w:color w:val="17365D" w:themeColor="text2" w:themeShade="BF"/>
                <w:sz w:val="18"/>
                <w:szCs w:val="18"/>
              </w:rPr>
              <w:t>%</w:t>
            </w:r>
          </w:p>
        </w:tc>
        <w:tc>
          <w:tcPr>
            <w:tcW w:w="916" w:type="dxa"/>
            <w:vAlign w:val="center"/>
          </w:tcPr>
          <w:p w14:paraId="32EC8C16"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24.5</w:t>
            </w:r>
            <w:r w:rsidRPr="00E407FC">
              <w:rPr>
                <w:rFonts w:ascii="Arial" w:hAnsi="Arial" w:cs="Arial"/>
                <w:color w:val="17365D" w:themeColor="text2" w:themeShade="BF"/>
                <w:sz w:val="18"/>
                <w:szCs w:val="18"/>
              </w:rPr>
              <w:t>%</w:t>
            </w:r>
          </w:p>
        </w:tc>
        <w:tc>
          <w:tcPr>
            <w:tcW w:w="916" w:type="dxa"/>
            <w:vAlign w:val="center"/>
          </w:tcPr>
          <w:p w14:paraId="37C6F385"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10.4</w:t>
            </w:r>
            <w:r w:rsidRPr="00E407FC">
              <w:rPr>
                <w:rFonts w:ascii="Arial" w:hAnsi="Arial" w:cs="Arial"/>
                <w:color w:val="17365D" w:themeColor="text2" w:themeShade="BF"/>
                <w:sz w:val="18"/>
                <w:szCs w:val="18"/>
              </w:rPr>
              <w:t>%</w:t>
            </w:r>
          </w:p>
        </w:tc>
        <w:tc>
          <w:tcPr>
            <w:tcW w:w="916" w:type="dxa"/>
            <w:vAlign w:val="center"/>
          </w:tcPr>
          <w:p w14:paraId="667912C0"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3.7</w:t>
            </w:r>
            <w:r w:rsidRPr="00E407FC">
              <w:rPr>
                <w:rFonts w:ascii="Arial" w:hAnsi="Arial" w:cs="Arial"/>
                <w:bCs/>
                <w:color w:val="17365D" w:themeColor="text2" w:themeShade="BF"/>
                <w:sz w:val="18"/>
                <w:szCs w:val="18"/>
              </w:rPr>
              <w:t>%</w:t>
            </w:r>
          </w:p>
        </w:tc>
        <w:tc>
          <w:tcPr>
            <w:tcW w:w="916" w:type="dxa"/>
            <w:vAlign w:val="center"/>
          </w:tcPr>
          <w:p w14:paraId="4DD13CFF" w14:textId="7777777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15.3</w:t>
            </w:r>
            <w:r w:rsidRPr="006C65D2">
              <w:rPr>
                <w:rFonts w:ascii="Arial" w:hAnsi="Arial" w:cs="Arial"/>
                <w:bCs/>
                <w:color w:val="17365D" w:themeColor="text2" w:themeShade="BF"/>
                <w:sz w:val="18"/>
                <w:szCs w:val="18"/>
              </w:rPr>
              <w:t>%</w:t>
            </w:r>
          </w:p>
        </w:tc>
        <w:tc>
          <w:tcPr>
            <w:tcW w:w="916" w:type="dxa"/>
            <w:vAlign w:val="center"/>
          </w:tcPr>
          <w:p w14:paraId="6F1DD608" w14:textId="69CC9287" w:rsidR="0013220C" w:rsidRPr="00E407FC" w:rsidRDefault="0013220C" w:rsidP="00DB2D6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128</w:t>
            </w:r>
            <w:r w:rsidRPr="00E407FC">
              <w:rPr>
                <w:rFonts w:ascii="Arial" w:hAnsi="Arial" w:cs="Arial"/>
                <w:bCs/>
                <w:color w:val="17365D" w:themeColor="text2" w:themeShade="BF"/>
                <w:sz w:val="18"/>
                <w:szCs w:val="18"/>
              </w:rPr>
              <w:t>M</w:t>
            </w:r>
          </w:p>
        </w:tc>
        <w:tc>
          <w:tcPr>
            <w:tcW w:w="916" w:type="dxa"/>
            <w:vAlign w:val="center"/>
          </w:tcPr>
          <w:p w14:paraId="66A8D11D" w14:textId="15B802BF" w:rsidR="0013220C" w:rsidRDefault="0013220C" w:rsidP="00DB2D60">
            <w:pPr>
              <w:jc w:val="right"/>
              <w:cnfStyle w:val="000000000000" w:firstRow="0" w:lastRow="0" w:firstColumn="0" w:lastColumn="0" w:oddVBand="0" w:evenVBand="0" w:oddHBand="0" w:evenHBand="0" w:firstRowFirstColumn="0" w:firstRowLastColumn="0" w:lastRowFirstColumn="0" w:lastRowLastColumn="0"/>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12.6</w:t>
            </w:r>
            <w:r w:rsidRPr="00E407FC">
              <w:rPr>
                <w:rFonts w:ascii="Arial" w:hAnsi="Arial" w:cs="Arial"/>
                <w:bCs/>
                <w:color w:val="17365D" w:themeColor="text2" w:themeShade="BF"/>
                <w:sz w:val="18"/>
                <w:szCs w:val="18"/>
              </w:rPr>
              <w:t>%</w:t>
            </w:r>
          </w:p>
        </w:tc>
        <w:tc>
          <w:tcPr>
            <w:tcW w:w="916" w:type="dxa"/>
            <w:vAlign w:val="center"/>
          </w:tcPr>
          <w:p w14:paraId="756B2810" w14:textId="6ADA97C1" w:rsidR="0013220C" w:rsidRDefault="0013220C" w:rsidP="00DB2D60">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-3.5</w:t>
            </w:r>
            <w:r w:rsidRPr="003708BA">
              <w:rPr>
                <w:rFonts w:ascii="Arial" w:hAnsi="Arial" w:cs="Arial"/>
                <w:bCs/>
                <w:color w:val="17365D" w:themeColor="text2" w:themeShade="BF"/>
                <w:sz w:val="18"/>
                <w:szCs w:val="18"/>
              </w:rPr>
              <w:t>%</w:t>
            </w:r>
          </w:p>
        </w:tc>
      </w:tr>
      <w:tr w:rsidR="0013220C" w:rsidRPr="00E407FC" w14:paraId="4B058FB2" w14:textId="77777777" w:rsidTr="00DB2D60">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12AD8F9D" w14:textId="77777777" w:rsidR="0013220C" w:rsidRPr="00E407FC" w:rsidRDefault="0013220C" w:rsidP="00DB2D60">
            <w:pPr>
              <w:pStyle w:val="NoSpacing"/>
              <w:jc w:val="right"/>
              <w:rPr>
                <w:rFonts w:ascii="Arial" w:hAnsi="Arial" w:cs="Arial"/>
                <w:b w:val="0"/>
                <w:color w:val="17365D" w:themeColor="text2" w:themeShade="BF"/>
                <w:sz w:val="18"/>
                <w:szCs w:val="18"/>
              </w:rPr>
            </w:pPr>
            <w:r>
              <w:rPr>
                <w:rFonts w:ascii="Arial" w:hAnsi="Arial" w:cs="Arial"/>
                <w:b w:val="0"/>
                <w:color w:val="17365D" w:themeColor="text2" w:themeShade="BF"/>
                <w:sz w:val="18"/>
                <w:szCs w:val="18"/>
              </w:rPr>
              <w:t>Mixed fruit</w:t>
            </w:r>
          </w:p>
        </w:tc>
        <w:tc>
          <w:tcPr>
            <w:tcW w:w="915" w:type="dxa"/>
            <w:gridSpan w:val="2"/>
            <w:vAlign w:val="center"/>
          </w:tcPr>
          <w:p w14:paraId="276B456A" w14:textId="77777777" w:rsidR="0013220C" w:rsidRPr="00091E61"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w:t>
            </w:r>
            <w:r w:rsidRPr="00091E61">
              <w:rPr>
                <w:rFonts w:ascii="Arial" w:hAnsi="Arial" w:cs="Arial"/>
                <w:color w:val="17365D" w:themeColor="text2" w:themeShade="BF"/>
                <w:sz w:val="18"/>
                <w:szCs w:val="18"/>
              </w:rPr>
              <w:t>%</w:t>
            </w:r>
          </w:p>
        </w:tc>
        <w:tc>
          <w:tcPr>
            <w:tcW w:w="916" w:type="dxa"/>
            <w:gridSpan w:val="2"/>
            <w:vAlign w:val="center"/>
          </w:tcPr>
          <w:p w14:paraId="5952C301"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-10.4</w:t>
            </w:r>
            <w:r w:rsidRPr="00E407FC">
              <w:rPr>
                <w:rFonts w:ascii="Arial" w:hAnsi="Arial" w:cs="Arial"/>
                <w:color w:val="17365D" w:themeColor="text2" w:themeShade="BF"/>
                <w:sz w:val="18"/>
                <w:szCs w:val="18"/>
              </w:rPr>
              <w:t>%</w:t>
            </w:r>
          </w:p>
        </w:tc>
        <w:tc>
          <w:tcPr>
            <w:tcW w:w="916" w:type="dxa"/>
            <w:vAlign w:val="center"/>
          </w:tcPr>
          <w:p w14:paraId="570FF2DA"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+8.4</w:t>
            </w:r>
            <w:r w:rsidRPr="00E407FC">
              <w:rPr>
                <w:rFonts w:ascii="Arial" w:hAnsi="Arial" w:cs="Arial"/>
                <w:color w:val="17365D" w:themeColor="text2" w:themeShade="BF"/>
                <w:sz w:val="18"/>
                <w:szCs w:val="18"/>
              </w:rPr>
              <w:t>%</w:t>
            </w:r>
          </w:p>
        </w:tc>
        <w:tc>
          <w:tcPr>
            <w:tcW w:w="916" w:type="dxa"/>
            <w:vAlign w:val="center"/>
          </w:tcPr>
          <w:p w14:paraId="19E467D8"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+59.2</w:t>
            </w:r>
            <w:r w:rsidRPr="00E407FC">
              <w:rPr>
                <w:rFonts w:ascii="Arial" w:hAnsi="Arial" w:cs="Arial"/>
                <w:color w:val="17365D" w:themeColor="text2" w:themeShade="BF"/>
                <w:sz w:val="18"/>
                <w:szCs w:val="18"/>
              </w:rPr>
              <w:t>%</w:t>
            </w:r>
          </w:p>
        </w:tc>
        <w:tc>
          <w:tcPr>
            <w:tcW w:w="916" w:type="dxa"/>
            <w:vAlign w:val="center"/>
          </w:tcPr>
          <w:p w14:paraId="6A708A5B"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+28.6</w:t>
            </w:r>
            <w:r w:rsidRPr="00E407FC">
              <w:rPr>
                <w:rFonts w:ascii="Arial" w:hAnsi="Arial" w:cs="Arial"/>
                <w:color w:val="17365D" w:themeColor="text2" w:themeShade="BF"/>
                <w:sz w:val="18"/>
                <w:szCs w:val="18"/>
              </w:rPr>
              <w:t>%</w:t>
            </w:r>
          </w:p>
        </w:tc>
        <w:tc>
          <w:tcPr>
            <w:tcW w:w="916" w:type="dxa"/>
            <w:vAlign w:val="center"/>
          </w:tcPr>
          <w:p w14:paraId="7A78AA6F"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29.3</w:t>
            </w:r>
            <w:r w:rsidRPr="00E407FC">
              <w:rPr>
                <w:rFonts w:ascii="Arial" w:hAnsi="Arial" w:cs="Arial"/>
                <w:bCs/>
                <w:color w:val="17365D" w:themeColor="text2" w:themeShade="BF"/>
                <w:sz w:val="18"/>
                <w:szCs w:val="18"/>
              </w:rPr>
              <w:t>%</w:t>
            </w:r>
          </w:p>
        </w:tc>
        <w:tc>
          <w:tcPr>
            <w:tcW w:w="916" w:type="dxa"/>
            <w:vAlign w:val="center"/>
          </w:tcPr>
          <w:p w14:paraId="022F5B50" w14:textId="77777777"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21.0</w:t>
            </w:r>
            <w:r w:rsidRPr="006C65D2">
              <w:rPr>
                <w:rFonts w:ascii="Arial" w:hAnsi="Arial" w:cs="Arial"/>
                <w:bCs/>
                <w:color w:val="17365D" w:themeColor="text2" w:themeShade="BF"/>
                <w:sz w:val="18"/>
                <w:szCs w:val="18"/>
              </w:rPr>
              <w:t>%</w:t>
            </w:r>
          </w:p>
        </w:tc>
        <w:tc>
          <w:tcPr>
            <w:tcW w:w="916" w:type="dxa"/>
            <w:vAlign w:val="center"/>
          </w:tcPr>
          <w:p w14:paraId="6DCED09F" w14:textId="6A568A72" w:rsidR="0013220C" w:rsidRPr="00E407FC" w:rsidRDefault="0013220C" w:rsidP="00DB2D6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72</w:t>
            </w:r>
            <w:r w:rsidRPr="00E407FC">
              <w:rPr>
                <w:rFonts w:ascii="Arial" w:hAnsi="Arial" w:cs="Arial"/>
                <w:bCs/>
                <w:color w:val="17365D" w:themeColor="text2" w:themeShade="BF"/>
                <w:sz w:val="18"/>
                <w:szCs w:val="18"/>
              </w:rPr>
              <w:t>M</w:t>
            </w:r>
          </w:p>
        </w:tc>
        <w:tc>
          <w:tcPr>
            <w:tcW w:w="916" w:type="dxa"/>
            <w:vAlign w:val="center"/>
          </w:tcPr>
          <w:p w14:paraId="32264552" w14:textId="0A2D06CC"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20.5</w:t>
            </w:r>
            <w:r w:rsidRPr="00E407FC">
              <w:rPr>
                <w:rFonts w:ascii="Arial" w:hAnsi="Arial" w:cs="Arial"/>
                <w:bCs/>
                <w:color w:val="17365D" w:themeColor="text2" w:themeShade="BF"/>
                <w:sz w:val="18"/>
                <w:szCs w:val="18"/>
              </w:rPr>
              <w:t>%</w:t>
            </w:r>
          </w:p>
        </w:tc>
        <w:tc>
          <w:tcPr>
            <w:tcW w:w="916" w:type="dxa"/>
            <w:vAlign w:val="center"/>
          </w:tcPr>
          <w:p w14:paraId="013E3861" w14:textId="2AF149F7" w:rsidR="0013220C" w:rsidRDefault="0013220C" w:rsidP="00DB2D60">
            <w:pPr>
              <w:jc w:val="right"/>
              <w:cnfStyle w:val="000000100000" w:firstRow="0" w:lastRow="0" w:firstColumn="0" w:lastColumn="0" w:oddVBand="0" w:evenVBand="0" w:oddHBand="1" w:evenHBand="0" w:firstRowFirstColumn="0" w:firstRowLastColumn="0" w:lastRowFirstColumn="0" w:lastRowLastColumn="0"/>
            </w:pPr>
            <w:r w:rsidRPr="003708BA">
              <w:rPr>
                <w:rFonts w:ascii="Arial" w:hAnsi="Arial" w:cs="Arial"/>
                <w:bCs/>
                <w:color w:val="17365D" w:themeColor="text2" w:themeShade="BF"/>
                <w:sz w:val="18"/>
                <w:szCs w:val="18"/>
              </w:rPr>
              <w:t>+</w:t>
            </w:r>
            <w:r>
              <w:rPr>
                <w:rFonts w:ascii="Arial" w:hAnsi="Arial" w:cs="Arial"/>
                <w:bCs/>
                <w:color w:val="17365D" w:themeColor="text2" w:themeShade="BF"/>
                <w:sz w:val="18"/>
                <w:szCs w:val="18"/>
              </w:rPr>
              <w:t>11.1</w:t>
            </w:r>
            <w:r w:rsidRPr="003708BA">
              <w:rPr>
                <w:rFonts w:ascii="Arial" w:hAnsi="Arial" w:cs="Arial"/>
                <w:bCs/>
                <w:color w:val="17365D" w:themeColor="text2" w:themeShade="BF"/>
                <w:sz w:val="18"/>
                <w:szCs w:val="18"/>
              </w:rPr>
              <w:t>%</w:t>
            </w:r>
          </w:p>
        </w:tc>
      </w:tr>
      <w:tr w:rsidR="0013220C" w:rsidRPr="00E407FC" w14:paraId="59D6DB3F" w14:textId="77777777" w:rsidTr="0013220C">
        <w:trPr>
          <w:trHeight w:val="2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017C4C30" w14:textId="485CF1D7" w:rsidR="00AF0D02" w:rsidRPr="00E407FC" w:rsidRDefault="0013220C" w:rsidP="0013220C">
            <w:pPr>
              <w:pStyle w:val="NoSpacing"/>
              <w:jc w:val="right"/>
              <w:rPr>
                <w:rFonts w:ascii="Arial" w:hAnsi="Arial" w:cs="Arial"/>
                <w:b w:val="0"/>
                <w:color w:val="17365D" w:themeColor="text2" w:themeShade="BF"/>
                <w:sz w:val="18"/>
                <w:szCs w:val="18"/>
              </w:rPr>
            </w:pPr>
            <w:r>
              <w:rPr>
                <w:rFonts w:ascii="Arial" w:hAnsi="Arial" w:cs="Arial"/>
                <w:b w:val="0"/>
                <w:color w:val="17365D" w:themeColor="text2" w:themeShade="BF"/>
                <w:sz w:val="18"/>
                <w:szCs w:val="18"/>
              </w:rPr>
              <w:t>Pineapples</w:t>
            </w:r>
          </w:p>
        </w:tc>
        <w:tc>
          <w:tcPr>
            <w:tcW w:w="915" w:type="dxa"/>
            <w:gridSpan w:val="2"/>
            <w:vAlign w:val="center"/>
          </w:tcPr>
          <w:p w14:paraId="1883912D" w14:textId="6B0C3108" w:rsidR="00AF0D02" w:rsidRPr="00091E61"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+0.1%</w:t>
            </w:r>
          </w:p>
        </w:tc>
        <w:tc>
          <w:tcPr>
            <w:tcW w:w="916" w:type="dxa"/>
            <w:gridSpan w:val="2"/>
            <w:vAlign w:val="center"/>
          </w:tcPr>
          <w:p w14:paraId="0A65269F" w14:textId="17B4BCB1" w:rsidR="00AF0D02" w:rsidRPr="00E407FC"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+7.6%</w:t>
            </w:r>
          </w:p>
        </w:tc>
        <w:tc>
          <w:tcPr>
            <w:tcW w:w="916" w:type="dxa"/>
            <w:vAlign w:val="center"/>
          </w:tcPr>
          <w:p w14:paraId="65875460" w14:textId="07C7489E" w:rsidR="00AF0D02" w:rsidRPr="00E407FC"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+12.0%</w:t>
            </w:r>
          </w:p>
        </w:tc>
        <w:tc>
          <w:tcPr>
            <w:tcW w:w="916" w:type="dxa"/>
            <w:vAlign w:val="center"/>
          </w:tcPr>
          <w:p w14:paraId="13BCC853" w14:textId="00EE37A8" w:rsidR="00AF0D02" w:rsidRPr="00E407FC"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+10.8%</w:t>
            </w:r>
          </w:p>
        </w:tc>
        <w:tc>
          <w:tcPr>
            <w:tcW w:w="916" w:type="dxa"/>
            <w:vAlign w:val="center"/>
          </w:tcPr>
          <w:p w14:paraId="4C5DC110" w14:textId="1807D68D" w:rsidR="00AF0D02" w:rsidRPr="00E407FC"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+8.4%</w:t>
            </w:r>
          </w:p>
        </w:tc>
        <w:tc>
          <w:tcPr>
            <w:tcW w:w="916" w:type="dxa"/>
            <w:vAlign w:val="center"/>
          </w:tcPr>
          <w:p w14:paraId="43C46365" w14:textId="6DF0A70C" w:rsidR="00AF0D02" w:rsidRPr="00E407FC"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+11.5%</w:t>
            </w:r>
          </w:p>
        </w:tc>
        <w:tc>
          <w:tcPr>
            <w:tcW w:w="916" w:type="dxa"/>
            <w:vAlign w:val="center"/>
          </w:tcPr>
          <w:p w14:paraId="5A8BD2FC" w14:textId="49CD839B" w:rsidR="00AF0D02" w:rsidRPr="00E407FC" w:rsidRDefault="00C16A60"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Pr>
                <w:rFonts w:ascii="Arial" w:hAnsi="Arial" w:cs="Arial"/>
                <w:bCs/>
                <w:color w:val="17365D" w:themeColor="text2" w:themeShade="BF"/>
                <w:sz w:val="18"/>
                <w:szCs w:val="18"/>
              </w:rPr>
              <w:t>+15.1%</w:t>
            </w:r>
          </w:p>
        </w:tc>
        <w:tc>
          <w:tcPr>
            <w:tcW w:w="916" w:type="dxa"/>
            <w:vAlign w:val="center"/>
          </w:tcPr>
          <w:p w14:paraId="6025F8B3" w14:textId="440759F1" w:rsidR="00AF0D02" w:rsidRPr="00E407FC" w:rsidRDefault="00AF0D02" w:rsidP="001322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68</w:t>
            </w:r>
            <w:r w:rsidRPr="00E407FC">
              <w:rPr>
                <w:rFonts w:ascii="Arial" w:hAnsi="Arial" w:cs="Arial"/>
                <w:bCs/>
                <w:color w:val="17365D" w:themeColor="text2" w:themeShade="BF"/>
                <w:sz w:val="18"/>
                <w:szCs w:val="18"/>
              </w:rPr>
              <w:t>M</w:t>
            </w:r>
          </w:p>
        </w:tc>
        <w:tc>
          <w:tcPr>
            <w:tcW w:w="916" w:type="dxa"/>
            <w:vAlign w:val="center"/>
          </w:tcPr>
          <w:p w14:paraId="2BC2D128" w14:textId="27DEAB6E" w:rsidR="00AF0D02" w:rsidRDefault="00AF0D02" w:rsidP="0013220C">
            <w:pPr>
              <w:jc w:val="right"/>
              <w:cnfStyle w:val="000000000000" w:firstRow="0" w:lastRow="0" w:firstColumn="0" w:lastColumn="0" w:oddVBand="0" w:evenVBand="0" w:oddHBand="0" w:evenHBand="0" w:firstRowFirstColumn="0" w:firstRowLastColumn="0" w:lastRowFirstColumn="0" w:lastRowLastColumn="0"/>
            </w:pPr>
            <w:r w:rsidRPr="00E407FC">
              <w:rPr>
                <w:rFonts w:ascii="Arial" w:hAnsi="Arial" w:cs="Arial"/>
                <w:bCs/>
                <w:color w:val="17365D" w:themeColor="text2" w:themeShade="BF"/>
                <w:sz w:val="18"/>
                <w:szCs w:val="18"/>
              </w:rPr>
              <w:t>+</w:t>
            </w:r>
            <w:r w:rsidR="0013220C">
              <w:rPr>
                <w:rFonts w:ascii="Arial" w:hAnsi="Arial" w:cs="Arial"/>
                <w:bCs/>
                <w:color w:val="17365D" w:themeColor="text2" w:themeShade="BF"/>
                <w:sz w:val="18"/>
                <w:szCs w:val="18"/>
              </w:rPr>
              <w:t>11.5</w:t>
            </w:r>
            <w:r w:rsidRPr="00E407FC">
              <w:rPr>
                <w:rFonts w:ascii="Arial" w:hAnsi="Arial" w:cs="Arial"/>
                <w:bCs/>
                <w:color w:val="17365D" w:themeColor="text2" w:themeShade="BF"/>
                <w:sz w:val="18"/>
                <w:szCs w:val="18"/>
              </w:rPr>
              <w:t>%</w:t>
            </w:r>
          </w:p>
        </w:tc>
        <w:tc>
          <w:tcPr>
            <w:tcW w:w="916" w:type="dxa"/>
            <w:vAlign w:val="center"/>
          </w:tcPr>
          <w:p w14:paraId="6BDEB51C" w14:textId="09E53B74" w:rsidR="00AF0D02" w:rsidRDefault="0013220C" w:rsidP="0013220C">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-4.7</w:t>
            </w:r>
            <w:r w:rsidR="00AF0D02" w:rsidRPr="003708BA">
              <w:rPr>
                <w:rFonts w:ascii="Arial" w:hAnsi="Arial" w:cs="Arial"/>
                <w:bCs/>
                <w:color w:val="17365D" w:themeColor="text2" w:themeShade="BF"/>
                <w:sz w:val="18"/>
                <w:szCs w:val="18"/>
              </w:rPr>
              <w:t>%</w:t>
            </w:r>
          </w:p>
        </w:tc>
      </w:tr>
    </w:tbl>
    <w:p w14:paraId="09DFFB42" w14:textId="77777777" w:rsidR="00CB6454" w:rsidRPr="00EA1FE4" w:rsidRDefault="00CB6454" w:rsidP="00CB6454">
      <w:pPr>
        <w:pStyle w:val="NoSpacing"/>
        <w:rPr>
          <w:rFonts w:ascii="Arial" w:hAnsi="Arial" w:cs="Arial"/>
          <w:sz w:val="10"/>
          <w:szCs w:val="10"/>
        </w:rPr>
      </w:pPr>
    </w:p>
    <w:p w14:paraId="70B6D0A4" w14:textId="77777777" w:rsidR="00CB6454" w:rsidRPr="00B35CE9" w:rsidRDefault="00CB6454" w:rsidP="00CB6454">
      <w:pPr>
        <w:pStyle w:val="NoSpacing"/>
        <w:rPr>
          <w:rFonts w:ascii="Arial" w:hAnsi="Arial" w:cs="Arial"/>
          <w:sz w:val="16"/>
          <w:szCs w:val="16"/>
        </w:rPr>
      </w:pPr>
      <w:r>
        <w:rPr>
          <w:rFonts w:ascii="Arial" w:hAnsi="Arial" w:cs="Arial"/>
          <w:sz w:val="16"/>
          <w:szCs w:val="16"/>
        </w:rPr>
        <w:t xml:space="preserve">    </w:t>
      </w:r>
      <w:r w:rsidRPr="00B35CE9">
        <w:rPr>
          <w:rFonts w:ascii="Arial" w:hAnsi="Arial" w:cs="Arial"/>
          <w:sz w:val="16"/>
          <w:szCs w:val="16"/>
        </w:rPr>
        <w:t>Source: Source</w:t>
      </w:r>
      <w:r>
        <w:rPr>
          <w:rFonts w:ascii="Arial" w:hAnsi="Arial" w:cs="Arial"/>
          <w:sz w:val="16"/>
          <w:szCs w:val="16"/>
        </w:rPr>
        <w:t>: IRI Integrated Fresh, Total U.S., MULO</w:t>
      </w:r>
    </w:p>
    <w:p w14:paraId="16F61730" w14:textId="2D638B80" w:rsidR="00B10C22" w:rsidRPr="00BF7B2A" w:rsidRDefault="00B10C22" w:rsidP="00B10C22">
      <w:pPr>
        <w:pStyle w:val="NoSpacing"/>
        <w:rPr>
          <w:rFonts w:ascii="Arial" w:hAnsi="Arial" w:cs="Arial"/>
          <w:b/>
          <w:color w:val="595959" w:themeColor="text1" w:themeTint="A6"/>
          <w:sz w:val="24"/>
          <w:szCs w:val="24"/>
        </w:rPr>
      </w:pPr>
      <w:r w:rsidRPr="00BF7B2A">
        <w:rPr>
          <w:rFonts w:ascii="Arial" w:hAnsi="Arial" w:cs="Arial"/>
          <w:b/>
          <w:color w:val="595959" w:themeColor="text1" w:themeTint="A6"/>
          <w:sz w:val="24"/>
          <w:szCs w:val="24"/>
        </w:rPr>
        <w:lastRenderedPageBreak/>
        <w:t xml:space="preserve">Fresh </w:t>
      </w:r>
      <w:r w:rsidR="00BF7B2A">
        <w:rPr>
          <w:rFonts w:ascii="Arial" w:hAnsi="Arial" w:cs="Arial"/>
          <w:b/>
          <w:color w:val="595959" w:themeColor="text1" w:themeTint="A6"/>
          <w:sz w:val="24"/>
          <w:szCs w:val="24"/>
        </w:rPr>
        <w:t>V</w:t>
      </w:r>
      <w:r w:rsidRPr="00BF7B2A">
        <w:rPr>
          <w:rFonts w:ascii="Arial" w:hAnsi="Arial" w:cs="Arial"/>
          <w:b/>
          <w:color w:val="595959" w:themeColor="text1" w:themeTint="A6"/>
          <w:sz w:val="24"/>
          <w:szCs w:val="24"/>
        </w:rPr>
        <w:t>egetables</w:t>
      </w:r>
      <w:r w:rsidR="00EB33CE">
        <w:rPr>
          <w:rFonts w:ascii="Arial" w:hAnsi="Arial" w:cs="Arial"/>
          <w:b/>
          <w:color w:val="595959" w:themeColor="text1" w:themeTint="A6"/>
          <w:sz w:val="24"/>
          <w:szCs w:val="24"/>
        </w:rPr>
        <w:t xml:space="preserve"> Sales in </w:t>
      </w:r>
      <w:r w:rsidR="00C16A60">
        <w:rPr>
          <w:rFonts w:ascii="Arial" w:hAnsi="Arial" w:cs="Arial"/>
          <w:b/>
          <w:color w:val="595959" w:themeColor="text1" w:themeTint="A6"/>
          <w:sz w:val="24"/>
          <w:szCs w:val="24"/>
        </w:rPr>
        <w:t>February</w:t>
      </w:r>
    </w:p>
    <w:p w14:paraId="79E43D5D" w14:textId="65604247" w:rsidR="00836D73" w:rsidRDefault="007273B2" w:rsidP="00B10C22">
      <w:pPr>
        <w:pStyle w:val="NoSpacing"/>
        <w:rPr>
          <w:rFonts w:ascii="Arial" w:hAnsi="Arial" w:cs="Arial"/>
          <w:sz w:val="20"/>
          <w:szCs w:val="20"/>
        </w:rPr>
      </w:pPr>
      <w:r>
        <w:rPr>
          <w:rFonts w:ascii="Arial" w:hAnsi="Arial" w:cs="Arial"/>
          <w:sz w:val="20"/>
          <w:szCs w:val="20"/>
        </w:rPr>
        <w:t>“</w:t>
      </w:r>
      <w:r w:rsidR="00AD5C59">
        <w:rPr>
          <w:rFonts w:ascii="Arial" w:hAnsi="Arial" w:cs="Arial"/>
          <w:sz w:val="20"/>
          <w:szCs w:val="20"/>
        </w:rPr>
        <w:t xml:space="preserve">The top 10 sellers on the vegetable side had a mixed performance </w:t>
      </w:r>
      <w:r w:rsidR="00DB3E36">
        <w:rPr>
          <w:rFonts w:ascii="Arial" w:hAnsi="Arial" w:cs="Arial"/>
          <w:sz w:val="20"/>
          <w:szCs w:val="20"/>
        </w:rPr>
        <w:t>but has been very consistent in makeup</w:t>
      </w:r>
      <w:r w:rsidR="00546508">
        <w:rPr>
          <w:rFonts w:ascii="Arial" w:hAnsi="Arial" w:cs="Arial"/>
          <w:sz w:val="20"/>
          <w:szCs w:val="20"/>
        </w:rPr>
        <w:t xml:space="preserve">,” said Watson. </w:t>
      </w:r>
      <w:r w:rsidR="00084469">
        <w:rPr>
          <w:rFonts w:ascii="Arial" w:hAnsi="Arial" w:cs="Arial"/>
          <w:sz w:val="20"/>
          <w:szCs w:val="20"/>
        </w:rPr>
        <w:t>“</w:t>
      </w:r>
      <w:r w:rsidR="00AA16AD">
        <w:rPr>
          <w:rFonts w:ascii="Arial" w:hAnsi="Arial" w:cs="Arial"/>
          <w:sz w:val="20"/>
          <w:szCs w:val="20"/>
        </w:rPr>
        <w:t>Pound sales versus year ago were down across the board, with onions coming closest to year-ago levels. Most areas did grow in dollars, with broccoli gaining the most, at +6.0% during the four February weeks versus year ago</w:t>
      </w:r>
      <w:r w:rsidR="00061697">
        <w:rPr>
          <w:rFonts w:ascii="Arial" w:hAnsi="Arial" w:cs="Arial"/>
          <w:sz w:val="20"/>
          <w:szCs w:val="20"/>
        </w:rPr>
        <w:t xml:space="preserve">. </w:t>
      </w:r>
      <w:r w:rsidR="00CF30D8">
        <w:rPr>
          <w:rFonts w:ascii="Arial" w:hAnsi="Arial" w:cs="Arial"/>
          <w:sz w:val="20"/>
          <w:szCs w:val="20"/>
        </w:rPr>
        <w:t xml:space="preserve"> </w:t>
      </w:r>
    </w:p>
    <w:p w14:paraId="44130A14" w14:textId="77777777" w:rsidR="001F53D3" w:rsidRPr="002E6833" w:rsidRDefault="001F53D3" w:rsidP="00B10C22">
      <w:pPr>
        <w:pStyle w:val="NoSpacing"/>
        <w:rPr>
          <w:rFonts w:ascii="Arial" w:hAnsi="Arial" w:cs="Arial"/>
          <w:sz w:val="18"/>
          <w:szCs w:val="20"/>
        </w:rPr>
      </w:pPr>
    </w:p>
    <w:tbl>
      <w:tblPr>
        <w:tblStyle w:val="LightShading-Accent5"/>
        <w:tblW w:w="10631" w:type="dxa"/>
        <w:tblBorders>
          <w:top w:val="none" w:sz="0" w:space="0" w:color="auto"/>
          <w:bottom w:val="none" w:sz="0" w:space="0" w:color="auto"/>
        </w:tblBorders>
        <w:tblLayout w:type="fixed"/>
        <w:tblLook w:val="04A0" w:firstRow="1" w:lastRow="0" w:firstColumn="1" w:lastColumn="0" w:noHBand="0" w:noVBand="1"/>
      </w:tblPr>
      <w:tblGrid>
        <w:gridCol w:w="1453"/>
        <w:gridCol w:w="747"/>
        <w:gridCol w:w="171"/>
        <w:gridCol w:w="754"/>
        <w:gridCol w:w="164"/>
        <w:gridCol w:w="918"/>
        <w:gridCol w:w="917"/>
        <w:gridCol w:w="918"/>
        <w:gridCol w:w="918"/>
        <w:gridCol w:w="917"/>
        <w:gridCol w:w="918"/>
        <w:gridCol w:w="918"/>
        <w:gridCol w:w="918"/>
      </w:tblGrid>
      <w:tr w:rsidR="00650E52" w:rsidRPr="0003007F" w14:paraId="7A470830" w14:textId="77777777" w:rsidTr="00110FF9">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200" w:type="dxa"/>
            <w:gridSpan w:val="2"/>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9766D52" w14:textId="77777777" w:rsidR="00650E52" w:rsidRPr="00AB1306" w:rsidRDefault="00650E52" w:rsidP="00CF30D8">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925" w:type="dxa"/>
            <w:gridSpan w:val="2"/>
            <w:tcBorders>
              <w:top w:val="none" w:sz="0" w:space="0" w:color="auto"/>
              <w:left w:val="none" w:sz="0" w:space="0" w:color="auto"/>
              <w:bottom w:val="none" w:sz="0" w:space="0" w:color="auto"/>
              <w:right w:val="none" w:sz="0" w:space="0" w:color="auto"/>
            </w:tcBorders>
            <w:shd w:val="clear" w:color="auto" w:fill="17365D" w:themeFill="text2" w:themeFillShade="BF"/>
          </w:tcPr>
          <w:p w14:paraId="29174915" w14:textId="77777777" w:rsidR="00650E52" w:rsidRPr="00AB1306" w:rsidRDefault="00650E52" w:rsidP="00CF30D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506" w:type="dxa"/>
            <w:gridSpan w:val="9"/>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F4CA447" w14:textId="2A30B187" w:rsidR="00650E52" w:rsidRPr="0003007F" w:rsidRDefault="00650E52" w:rsidP="00CF30D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1306">
              <w:rPr>
                <w:rFonts w:ascii="Arial" w:hAnsi="Arial" w:cs="Arial"/>
                <w:color w:val="FFFFFF" w:themeColor="background1"/>
                <w:sz w:val="18"/>
                <w:szCs w:val="18"/>
              </w:rPr>
              <w:t>Dollar sal</w:t>
            </w:r>
            <w:r>
              <w:rPr>
                <w:rFonts w:ascii="Arial" w:hAnsi="Arial" w:cs="Arial"/>
                <w:color w:val="FFFFFF" w:themeColor="background1"/>
                <w:sz w:val="18"/>
                <w:szCs w:val="18"/>
              </w:rPr>
              <w:t>es increase over comparable period</w:t>
            </w:r>
            <w:r w:rsidRPr="00AB1306">
              <w:rPr>
                <w:rFonts w:ascii="Arial" w:hAnsi="Arial" w:cs="Arial"/>
                <w:color w:val="FFFFFF" w:themeColor="background1"/>
                <w:sz w:val="18"/>
                <w:szCs w:val="18"/>
              </w:rPr>
              <w:t xml:space="preserve"> </w:t>
            </w:r>
            <w:r>
              <w:rPr>
                <w:rFonts w:ascii="Arial" w:hAnsi="Arial" w:cs="Arial"/>
                <w:color w:val="FFFFFF" w:themeColor="background1"/>
                <w:sz w:val="18"/>
                <w:szCs w:val="18"/>
              </w:rPr>
              <w:t>YA</w:t>
            </w:r>
          </w:p>
        </w:tc>
      </w:tr>
      <w:tr w:rsidR="00650E52" w:rsidRPr="0003007F" w14:paraId="1A8BBFDE" w14:textId="77777777" w:rsidTr="00110FF9">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3" w:type="dxa"/>
            <w:tcBorders>
              <w:left w:val="none" w:sz="0" w:space="0" w:color="auto"/>
              <w:right w:val="none" w:sz="0" w:space="0" w:color="auto"/>
            </w:tcBorders>
            <w:shd w:val="clear" w:color="auto" w:fill="17365D" w:themeFill="text2" w:themeFillShade="BF"/>
            <w:vAlign w:val="center"/>
          </w:tcPr>
          <w:p w14:paraId="121215D2" w14:textId="77777777" w:rsidR="00650E52" w:rsidRPr="0003007F" w:rsidRDefault="00650E52" w:rsidP="00452431">
            <w:pPr>
              <w:pStyle w:val="NoSpacing"/>
              <w:jc w:val="right"/>
              <w:rPr>
                <w:rFonts w:ascii="Arial" w:hAnsi="Arial" w:cs="Arial"/>
                <w:color w:val="FFFFFF" w:themeColor="background1"/>
                <w:sz w:val="18"/>
                <w:szCs w:val="18"/>
              </w:rPr>
            </w:pPr>
          </w:p>
        </w:tc>
        <w:tc>
          <w:tcPr>
            <w:tcW w:w="918" w:type="dxa"/>
            <w:gridSpan w:val="2"/>
            <w:tcBorders>
              <w:left w:val="none" w:sz="0" w:space="0" w:color="auto"/>
              <w:right w:val="none" w:sz="0" w:space="0" w:color="auto"/>
            </w:tcBorders>
            <w:shd w:val="clear" w:color="auto" w:fill="17365D" w:themeFill="text2" w:themeFillShade="BF"/>
            <w:vAlign w:val="bottom"/>
          </w:tcPr>
          <w:p w14:paraId="5ADBE0D8" w14:textId="77777777" w:rsidR="00650E52" w:rsidRPr="000F7932" w:rsidRDefault="00650E52" w:rsidP="0045243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918" w:type="dxa"/>
            <w:gridSpan w:val="2"/>
            <w:tcBorders>
              <w:left w:val="none" w:sz="0" w:space="0" w:color="auto"/>
              <w:right w:val="none" w:sz="0" w:space="0" w:color="auto"/>
            </w:tcBorders>
            <w:shd w:val="clear" w:color="auto" w:fill="17365D" w:themeFill="text2" w:themeFillShade="BF"/>
            <w:vAlign w:val="bottom"/>
          </w:tcPr>
          <w:p w14:paraId="404DAA37" w14:textId="77777777" w:rsidR="00650E52" w:rsidRPr="000F7932" w:rsidRDefault="00650E52" w:rsidP="0045243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0F7932">
              <w:rPr>
                <w:rFonts w:ascii="Arial" w:hAnsi="Arial" w:cs="Arial"/>
                <w:b/>
                <w:color w:val="FFFFFF" w:themeColor="background1"/>
                <w:sz w:val="18"/>
                <w:szCs w:val="18"/>
              </w:rPr>
              <w:t>20</w:t>
            </w:r>
          </w:p>
        </w:tc>
        <w:tc>
          <w:tcPr>
            <w:tcW w:w="918" w:type="dxa"/>
            <w:tcBorders>
              <w:left w:val="none" w:sz="0" w:space="0" w:color="auto"/>
              <w:right w:val="none" w:sz="0" w:space="0" w:color="auto"/>
            </w:tcBorders>
            <w:shd w:val="clear" w:color="auto" w:fill="17365D" w:themeFill="text2" w:themeFillShade="BF"/>
            <w:vAlign w:val="bottom"/>
          </w:tcPr>
          <w:p w14:paraId="7E87E175" w14:textId="77777777" w:rsidR="00650E52" w:rsidRPr="000F793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0F7932">
              <w:rPr>
                <w:rFonts w:ascii="Arial" w:hAnsi="Arial" w:cs="Arial"/>
                <w:b/>
                <w:color w:val="FFFFFF" w:themeColor="background1"/>
                <w:sz w:val="18"/>
                <w:szCs w:val="18"/>
              </w:rPr>
              <w:t>Q1 ‘21</w:t>
            </w:r>
          </w:p>
        </w:tc>
        <w:tc>
          <w:tcPr>
            <w:tcW w:w="917" w:type="dxa"/>
            <w:tcBorders>
              <w:left w:val="none" w:sz="0" w:space="0" w:color="auto"/>
              <w:right w:val="none" w:sz="0" w:space="0" w:color="auto"/>
            </w:tcBorders>
            <w:shd w:val="clear" w:color="auto" w:fill="17365D" w:themeFill="text2" w:themeFillShade="BF"/>
            <w:vAlign w:val="bottom"/>
          </w:tcPr>
          <w:p w14:paraId="3DE151C5" w14:textId="77777777" w:rsidR="00650E52" w:rsidRPr="000F793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w:t>
            </w:r>
            <w:r w:rsidRPr="000F7932">
              <w:rPr>
                <w:rFonts w:ascii="Arial" w:hAnsi="Arial" w:cs="Arial"/>
                <w:b/>
                <w:color w:val="FFFFFF" w:themeColor="background1"/>
                <w:sz w:val="18"/>
                <w:szCs w:val="18"/>
              </w:rPr>
              <w:t xml:space="preserve"> ‘21</w:t>
            </w:r>
          </w:p>
        </w:tc>
        <w:tc>
          <w:tcPr>
            <w:tcW w:w="918" w:type="dxa"/>
            <w:tcBorders>
              <w:left w:val="none" w:sz="0" w:space="0" w:color="auto"/>
              <w:right w:val="none" w:sz="0" w:space="0" w:color="auto"/>
            </w:tcBorders>
            <w:shd w:val="clear" w:color="auto" w:fill="17365D" w:themeFill="text2" w:themeFillShade="BF"/>
            <w:vAlign w:val="bottom"/>
          </w:tcPr>
          <w:p w14:paraId="080ACD9C" w14:textId="77777777" w:rsidR="00650E5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918" w:type="dxa"/>
            <w:tcBorders>
              <w:left w:val="none" w:sz="0" w:space="0" w:color="auto"/>
              <w:right w:val="none" w:sz="0" w:space="0" w:color="auto"/>
            </w:tcBorders>
            <w:shd w:val="clear" w:color="auto" w:fill="17365D" w:themeFill="text2" w:themeFillShade="BF"/>
            <w:vAlign w:val="bottom"/>
          </w:tcPr>
          <w:p w14:paraId="217E8163" w14:textId="77777777" w:rsidR="00650E5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917" w:type="dxa"/>
            <w:tcBorders>
              <w:left w:val="none" w:sz="0" w:space="0" w:color="auto"/>
              <w:right w:val="none" w:sz="0" w:space="0" w:color="auto"/>
            </w:tcBorders>
            <w:shd w:val="clear" w:color="auto" w:fill="17365D" w:themeFill="text2" w:themeFillShade="BF"/>
            <w:vAlign w:val="bottom"/>
          </w:tcPr>
          <w:p w14:paraId="0D3670C9" w14:textId="7F6B21C5" w:rsidR="00650E52" w:rsidRPr="000F793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‘22</w:t>
            </w:r>
          </w:p>
        </w:tc>
        <w:tc>
          <w:tcPr>
            <w:tcW w:w="918" w:type="dxa"/>
            <w:tcBorders>
              <w:left w:val="none" w:sz="0" w:space="0" w:color="auto"/>
              <w:right w:val="none" w:sz="0" w:space="0" w:color="auto"/>
            </w:tcBorders>
            <w:shd w:val="clear" w:color="auto" w:fill="17365D" w:themeFill="text2" w:themeFillShade="BF"/>
          </w:tcPr>
          <w:p w14:paraId="02C3D8FE" w14:textId="77777777" w:rsidR="00650E5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
          <w:p w14:paraId="39075783" w14:textId="6F3FEF15" w:rsidR="00650E5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Feb ‘22</w:t>
            </w:r>
          </w:p>
        </w:tc>
        <w:tc>
          <w:tcPr>
            <w:tcW w:w="918" w:type="dxa"/>
            <w:tcBorders>
              <w:left w:val="none" w:sz="0" w:space="0" w:color="auto"/>
              <w:right w:val="none" w:sz="0" w:space="0" w:color="auto"/>
            </w:tcBorders>
            <w:shd w:val="clear" w:color="auto" w:fill="17365D" w:themeFill="text2" w:themeFillShade="BF"/>
            <w:vAlign w:val="bottom"/>
          </w:tcPr>
          <w:p w14:paraId="7C917CDF" w14:textId="7D5B7794" w:rsidR="00650E52" w:rsidRPr="000F793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w:t>
            </w:r>
            <w:r w:rsidRPr="000F7932">
              <w:rPr>
                <w:rFonts w:ascii="Arial" w:hAnsi="Arial" w:cs="Arial"/>
                <w:b/>
                <w:color w:val="FFFFFF" w:themeColor="background1"/>
                <w:sz w:val="18"/>
                <w:szCs w:val="18"/>
              </w:rPr>
              <w:t xml:space="preserve"> </w:t>
            </w:r>
            <w:r>
              <w:rPr>
                <w:rFonts w:ascii="Arial" w:hAnsi="Arial" w:cs="Arial"/>
                <w:b/>
                <w:color w:val="FFFFFF" w:themeColor="background1"/>
                <w:sz w:val="18"/>
                <w:szCs w:val="18"/>
              </w:rPr>
              <w:br/>
            </w:r>
            <w:r w:rsidRPr="000F7932">
              <w:rPr>
                <w:rFonts w:ascii="Arial" w:hAnsi="Arial" w:cs="Arial"/>
                <w:b/>
                <w:color w:val="FFFFFF" w:themeColor="background1"/>
                <w:sz w:val="18"/>
                <w:szCs w:val="18"/>
              </w:rPr>
              <w:t xml:space="preserve">vs </w:t>
            </w:r>
            <w:r>
              <w:rPr>
                <w:rFonts w:ascii="Arial" w:hAnsi="Arial" w:cs="Arial"/>
                <w:b/>
                <w:color w:val="FFFFFF" w:themeColor="background1"/>
                <w:sz w:val="18"/>
                <w:szCs w:val="18"/>
              </w:rPr>
              <w:t>YA</w:t>
            </w:r>
          </w:p>
        </w:tc>
        <w:tc>
          <w:tcPr>
            <w:tcW w:w="918" w:type="dxa"/>
            <w:tcBorders>
              <w:left w:val="none" w:sz="0" w:space="0" w:color="auto"/>
              <w:right w:val="none" w:sz="0" w:space="0" w:color="auto"/>
            </w:tcBorders>
            <w:shd w:val="clear" w:color="auto" w:fill="17365D" w:themeFill="text2" w:themeFillShade="BF"/>
            <w:vAlign w:val="bottom"/>
          </w:tcPr>
          <w:p w14:paraId="74707D81" w14:textId="2A37BE61" w:rsidR="00650E52" w:rsidRPr="000F7932" w:rsidRDefault="00650E52"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roofErr w:type="spellStart"/>
            <w:r>
              <w:rPr>
                <w:rFonts w:ascii="Arial" w:hAnsi="Arial" w:cs="Arial"/>
                <w:b/>
                <w:color w:val="FFFFFF" w:themeColor="background1"/>
                <w:sz w:val="18"/>
                <w:szCs w:val="18"/>
              </w:rPr>
              <w:t>lbs</w:t>
            </w:r>
            <w:proofErr w:type="spellEnd"/>
            <w:r>
              <w:rPr>
                <w:rFonts w:ascii="Arial" w:hAnsi="Arial" w:cs="Arial"/>
                <w:b/>
                <w:color w:val="FFFFFF" w:themeColor="background1"/>
                <w:sz w:val="18"/>
                <w:szCs w:val="18"/>
              </w:rPr>
              <w:t xml:space="preserve"> vs YA</w:t>
            </w:r>
          </w:p>
        </w:tc>
      </w:tr>
      <w:tr w:rsidR="00650E52" w:rsidRPr="00091E61" w14:paraId="64FEFD1E" w14:textId="77777777" w:rsidTr="00AA16AD">
        <w:trPr>
          <w:trHeight w:val="298"/>
        </w:trPr>
        <w:tc>
          <w:tcPr>
            <w:cnfStyle w:val="001000000000" w:firstRow="0" w:lastRow="0" w:firstColumn="1" w:lastColumn="0" w:oddVBand="0" w:evenVBand="0" w:oddHBand="0" w:evenHBand="0" w:firstRowFirstColumn="0" w:firstRowLastColumn="0" w:lastRowFirstColumn="0" w:lastRowLastColumn="0"/>
            <w:tcW w:w="1453" w:type="dxa"/>
            <w:vAlign w:val="center"/>
          </w:tcPr>
          <w:p w14:paraId="7E4C60D1" w14:textId="77777777" w:rsidR="00650E52" w:rsidRPr="00091E61" w:rsidRDefault="00650E52" w:rsidP="00AA16AD">
            <w:pPr>
              <w:pStyle w:val="NoSpacing"/>
              <w:jc w:val="right"/>
              <w:rPr>
                <w:rFonts w:ascii="Arial" w:hAnsi="Arial" w:cs="Arial"/>
                <w:color w:val="215868" w:themeColor="accent5" w:themeShade="80"/>
                <w:sz w:val="18"/>
                <w:szCs w:val="18"/>
              </w:rPr>
            </w:pPr>
            <w:r w:rsidRPr="00091E61">
              <w:rPr>
                <w:rFonts w:ascii="Arial" w:hAnsi="Arial" w:cs="Arial"/>
                <w:color w:val="215868" w:themeColor="accent5" w:themeShade="80"/>
                <w:sz w:val="18"/>
                <w:szCs w:val="18"/>
              </w:rPr>
              <w:t>Fresh vegetables</w:t>
            </w:r>
          </w:p>
        </w:tc>
        <w:tc>
          <w:tcPr>
            <w:tcW w:w="918" w:type="dxa"/>
            <w:gridSpan w:val="2"/>
            <w:vAlign w:val="center"/>
          </w:tcPr>
          <w:p w14:paraId="532B2278" w14:textId="1BCCC507"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Pr>
                <w:rFonts w:ascii="Arial" w:hAnsi="Arial" w:cs="Arial"/>
                <w:b/>
                <w:bCs/>
                <w:color w:val="215868"/>
                <w:sz w:val="18"/>
                <w:szCs w:val="18"/>
              </w:rPr>
              <w:t>3.9</w:t>
            </w:r>
            <w:r w:rsidRPr="00091E61">
              <w:rPr>
                <w:rFonts w:ascii="Arial" w:hAnsi="Arial" w:cs="Arial"/>
                <w:b/>
                <w:bCs/>
                <w:color w:val="215868"/>
                <w:sz w:val="18"/>
                <w:szCs w:val="18"/>
              </w:rPr>
              <w:t>%</w:t>
            </w:r>
          </w:p>
        </w:tc>
        <w:tc>
          <w:tcPr>
            <w:tcW w:w="918" w:type="dxa"/>
            <w:gridSpan w:val="2"/>
            <w:vAlign w:val="center"/>
          </w:tcPr>
          <w:p w14:paraId="38D628D7" w14:textId="2AB16628"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Pr>
                <w:rFonts w:ascii="Arial" w:hAnsi="Arial" w:cs="Arial"/>
                <w:b/>
                <w:bCs/>
                <w:color w:val="215868"/>
                <w:sz w:val="18"/>
                <w:szCs w:val="18"/>
              </w:rPr>
              <w:t>14.8</w:t>
            </w:r>
            <w:r w:rsidRPr="00091E61">
              <w:rPr>
                <w:rFonts w:ascii="Arial" w:hAnsi="Arial" w:cs="Arial"/>
                <w:b/>
                <w:bCs/>
                <w:color w:val="215868"/>
                <w:sz w:val="18"/>
                <w:szCs w:val="18"/>
              </w:rPr>
              <w:t>%</w:t>
            </w:r>
          </w:p>
        </w:tc>
        <w:tc>
          <w:tcPr>
            <w:tcW w:w="918" w:type="dxa"/>
            <w:vAlign w:val="center"/>
          </w:tcPr>
          <w:p w14:paraId="0AE99261" w14:textId="3F80A9FB"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Pr>
                <w:rFonts w:ascii="Arial" w:hAnsi="Arial" w:cs="Arial"/>
                <w:b/>
                <w:bCs/>
                <w:color w:val="215868"/>
                <w:sz w:val="18"/>
                <w:szCs w:val="18"/>
              </w:rPr>
              <w:t>4.7</w:t>
            </w:r>
            <w:r w:rsidRPr="00091E61">
              <w:rPr>
                <w:rFonts w:ascii="Arial" w:hAnsi="Arial" w:cs="Arial"/>
                <w:b/>
                <w:bCs/>
                <w:color w:val="215868"/>
                <w:sz w:val="18"/>
                <w:szCs w:val="18"/>
              </w:rPr>
              <w:t>%</w:t>
            </w:r>
          </w:p>
        </w:tc>
        <w:tc>
          <w:tcPr>
            <w:tcW w:w="917" w:type="dxa"/>
            <w:vAlign w:val="center"/>
          </w:tcPr>
          <w:p w14:paraId="3DA157A6" w14:textId="692137B7"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Pr>
                <w:rFonts w:ascii="Arial" w:hAnsi="Arial" w:cs="Arial"/>
                <w:b/>
                <w:bCs/>
                <w:color w:val="215868"/>
                <w:sz w:val="18"/>
                <w:szCs w:val="18"/>
              </w:rPr>
              <w:t>7.1</w:t>
            </w:r>
            <w:r w:rsidRPr="00091E61">
              <w:rPr>
                <w:rFonts w:ascii="Arial" w:hAnsi="Arial" w:cs="Arial"/>
                <w:b/>
                <w:bCs/>
                <w:color w:val="215868"/>
                <w:sz w:val="18"/>
                <w:szCs w:val="18"/>
              </w:rPr>
              <w:t>%</w:t>
            </w:r>
          </w:p>
        </w:tc>
        <w:tc>
          <w:tcPr>
            <w:tcW w:w="918" w:type="dxa"/>
            <w:vAlign w:val="center"/>
          </w:tcPr>
          <w:p w14:paraId="71AC4EEC" w14:textId="605113E5"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Pr>
                <w:rFonts w:ascii="Arial" w:hAnsi="Arial" w:cs="Arial"/>
                <w:b/>
                <w:bCs/>
                <w:color w:val="215868"/>
                <w:sz w:val="18"/>
                <w:szCs w:val="18"/>
              </w:rPr>
              <w:t>2.3</w:t>
            </w:r>
            <w:r w:rsidRPr="00091E61">
              <w:rPr>
                <w:rFonts w:ascii="Arial" w:hAnsi="Arial" w:cs="Arial"/>
                <w:b/>
                <w:bCs/>
                <w:color w:val="215868"/>
                <w:sz w:val="18"/>
                <w:szCs w:val="18"/>
              </w:rPr>
              <w:t>%</w:t>
            </w:r>
          </w:p>
        </w:tc>
        <w:tc>
          <w:tcPr>
            <w:tcW w:w="918" w:type="dxa"/>
            <w:vAlign w:val="center"/>
          </w:tcPr>
          <w:p w14:paraId="7A5CA8D8" w14:textId="77777777"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rPr>
            </w:pPr>
            <w:r w:rsidRPr="00091E61">
              <w:rPr>
                <w:rFonts w:ascii="Arial" w:hAnsi="Arial" w:cs="Arial"/>
                <w:b/>
                <w:bCs/>
                <w:color w:val="215868" w:themeColor="accent5" w:themeShade="80"/>
                <w:sz w:val="18"/>
              </w:rPr>
              <w:t>+0.1%</w:t>
            </w:r>
          </w:p>
        </w:tc>
        <w:tc>
          <w:tcPr>
            <w:tcW w:w="917" w:type="dxa"/>
            <w:vAlign w:val="center"/>
          </w:tcPr>
          <w:p w14:paraId="4FC66313" w14:textId="3DDE77B1"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DB3E36">
              <w:rPr>
                <w:rFonts w:ascii="Arial" w:hAnsi="Arial" w:cs="Arial"/>
                <w:b/>
                <w:bCs/>
                <w:color w:val="215868" w:themeColor="accent5" w:themeShade="80"/>
                <w:sz w:val="18"/>
                <w:szCs w:val="18"/>
              </w:rPr>
              <w:t>-0.5%</w:t>
            </w:r>
          </w:p>
        </w:tc>
        <w:tc>
          <w:tcPr>
            <w:tcW w:w="918" w:type="dxa"/>
            <w:vAlign w:val="center"/>
          </w:tcPr>
          <w:p w14:paraId="601C6ECF" w14:textId="735A3D52"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Pr>
                <w:rFonts w:ascii="Arial" w:hAnsi="Arial" w:cs="Arial"/>
                <w:b/>
                <w:bCs/>
                <w:color w:val="215868" w:themeColor="accent5" w:themeShade="80"/>
                <w:sz w:val="18"/>
                <w:szCs w:val="18"/>
              </w:rPr>
              <w:t>$</w:t>
            </w:r>
            <w:r w:rsidR="00AA16AD">
              <w:rPr>
                <w:rFonts w:ascii="Arial" w:hAnsi="Arial" w:cs="Arial"/>
                <w:b/>
                <w:bCs/>
                <w:color w:val="215868" w:themeColor="accent5" w:themeShade="80"/>
                <w:sz w:val="18"/>
                <w:szCs w:val="18"/>
              </w:rPr>
              <w:t>2.7</w:t>
            </w:r>
            <w:r>
              <w:rPr>
                <w:rFonts w:ascii="Arial" w:hAnsi="Arial" w:cs="Arial"/>
                <w:b/>
                <w:bCs/>
                <w:color w:val="215868" w:themeColor="accent5" w:themeShade="80"/>
                <w:sz w:val="18"/>
                <w:szCs w:val="18"/>
              </w:rPr>
              <w:t>B</w:t>
            </w:r>
          </w:p>
        </w:tc>
        <w:tc>
          <w:tcPr>
            <w:tcW w:w="918" w:type="dxa"/>
            <w:vAlign w:val="center"/>
          </w:tcPr>
          <w:p w14:paraId="08D3AC71" w14:textId="62CF1A00"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DB3E36">
              <w:rPr>
                <w:rFonts w:ascii="Arial" w:hAnsi="Arial" w:cs="Arial"/>
                <w:b/>
                <w:bCs/>
                <w:color w:val="215868" w:themeColor="accent5" w:themeShade="80"/>
                <w:sz w:val="18"/>
                <w:szCs w:val="18"/>
              </w:rPr>
              <w:t>-</w:t>
            </w:r>
            <w:r w:rsidR="00AA16AD">
              <w:rPr>
                <w:rFonts w:ascii="Arial" w:hAnsi="Arial" w:cs="Arial"/>
                <w:b/>
                <w:bCs/>
                <w:color w:val="215868" w:themeColor="accent5" w:themeShade="80"/>
                <w:sz w:val="18"/>
                <w:szCs w:val="18"/>
              </w:rPr>
              <w:t>1.8</w:t>
            </w:r>
            <w:r w:rsidRPr="00DB3E36">
              <w:rPr>
                <w:rFonts w:ascii="Arial" w:hAnsi="Arial" w:cs="Arial"/>
                <w:b/>
                <w:bCs/>
                <w:color w:val="215868" w:themeColor="accent5" w:themeShade="80"/>
                <w:sz w:val="18"/>
                <w:szCs w:val="18"/>
              </w:rPr>
              <w:t>%</w:t>
            </w:r>
          </w:p>
        </w:tc>
        <w:tc>
          <w:tcPr>
            <w:tcW w:w="918" w:type="dxa"/>
            <w:vAlign w:val="center"/>
          </w:tcPr>
          <w:p w14:paraId="3B8B2B0A" w14:textId="5261FB2A"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DB3E36">
              <w:rPr>
                <w:rFonts w:ascii="Arial" w:hAnsi="Arial" w:cs="Arial"/>
                <w:b/>
                <w:bCs/>
                <w:color w:val="215868" w:themeColor="accent5" w:themeShade="80"/>
                <w:sz w:val="18"/>
                <w:szCs w:val="18"/>
              </w:rPr>
              <w:t>-</w:t>
            </w:r>
            <w:r w:rsidR="00AA16AD">
              <w:rPr>
                <w:rFonts w:ascii="Arial" w:hAnsi="Arial" w:cs="Arial"/>
                <w:b/>
                <w:bCs/>
                <w:color w:val="215868" w:themeColor="accent5" w:themeShade="80"/>
                <w:sz w:val="18"/>
                <w:szCs w:val="18"/>
              </w:rPr>
              <w:t>7.6</w:t>
            </w:r>
            <w:r w:rsidRPr="00DB3E36">
              <w:rPr>
                <w:rFonts w:ascii="Arial" w:hAnsi="Arial" w:cs="Arial"/>
                <w:b/>
                <w:bCs/>
                <w:color w:val="215868" w:themeColor="accent5" w:themeShade="80"/>
                <w:sz w:val="18"/>
                <w:szCs w:val="18"/>
              </w:rPr>
              <w:t>%</w:t>
            </w:r>
          </w:p>
        </w:tc>
      </w:tr>
      <w:tr w:rsidR="00650E52" w14:paraId="0D095983" w14:textId="77777777" w:rsidTr="00110FF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3" w:type="dxa"/>
            <w:tcBorders>
              <w:left w:val="none" w:sz="0" w:space="0" w:color="auto"/>
              <w:right w:val="none" w:sz="0" w:space="0" w:color="auto"/>
            </w:tcBorders>
            <w:vAlign w:val="center"/>
          </w:tcPr>
          <w:p w14:paraId="2541439D"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Tomatoes</w:t>
            </w:r>
          </w:p>
        </w:tc>
        <w:tc>
          <w:tcPr>
            <w:tcW w:w="918" w:type="dxa"/>
            <w:gridSpan w:val="2"/>
            <w:tcBorders>
              <w:left w:val="none" w:sz="0" w:space="0" w:color="auto"/>
              <w:right w:val="none" w:sz="0" w:space="0" w:color="auto"/>
            </w:tcBorders>
            <w:vAlign w:val="center"/>
          </w:tcPr>
          <w:p w14:paraId="53CB9E19" w14:textId="6C909AFF" w:rsidR="00650E52" w:rsidRPr="00091E61"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0.4</w:t>
            </w:r>
            <w:r w:rsidRPr="00091E61">
              <w:rPr>
                <w:rFonts w:ascii="Arial" w:hAnsi="Arial" w:cs="Arial"/>
                <w:color w:val="215868"/>
                <w:sz w:val="18"/>
                <w:szCs w:val="18"/>
              </w:rPr>
              <w:t>%</w:t>
            </w:r>
          </w:p>
        </w:tc>
        <w:tc>
          <w:tcPr>
            <w:tcW w:w="918" w:type="dxa"/>
            <w:gridSpan w:val="2"/>
            <w:tcBorders>
              <w:left w:val="none" w:sz="0" w:space="0" w:color="auto"/>
              <w:right w:val="none" w:sz="0" w:space="0" w:color="auto"/>
            </w:tcBorders>
            <w:vAlign w:val="center"/>
          </w:tcPr>
          <w:p w14:paraId="457D0A89" w14:textId="21872C3A"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+18.4%</w:t>
            </w:r>
          </w:p>
        </w:tc>
        <w:tc>
          <w:tcPr>
            <w:tcW w:w="918" w:type="dxa"/>
            <w:tcBorders>
              <w:left w:val="none" w:sz="0" w:space="0" w:color="auto"/>
              <w:right w:val="none" w:sz="0" w:space="0" w:color="auto"/>
            </w:tcBorders>
            <w:vAlign w:val="center"/>
          </w:tcPr>
          <w:p w14:paraId="690A015C" w14:textId="5E641ED0"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+3.7%</w:t>
            </w:r>
          </w:p>
        </w:tc>
        <w:tc>
          <w:tcPr>
            <w:tcW w:w="917" w:type="dxa"/>
            <w:tcBorders>
              <w:left w:val="none" w:sz="0" w:space="0" w:color="auto"/>
              <w:right w:val="none" w:sz="0" w:space="0" w:color="auto"/>
            </w:tcBorders>
            <w:vAlign w:val="center"/>
          </w:tcPr>
          <w:p w14:paraId="3FE30D39" w14:textId="0B541A84"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-8.5%</w:t>
            </w:r>
          </w:p>
        </w:tc>
        <w:tc>
          <w:tcPr>
            <w:tcW w:w="918" w:type="dxa"/>
            <w:tcBorders>
              <w:left w:val="none" w:sz="0" w:space="0" w:color="auto"/>
              <w:right w:val="none" w:sz="0" w:space="0" w:color="auto"/>
            </w:tcBorders>
            <w:vAlign w:val="center"/>
          </w:tcPr>
          <w:p w14:paraId="047F25A4" w14:textId="6B75C5D8"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-4.3%</w:t>
            </w:r>
          </w:p>
        </w:tc>
        <w:tc>
          <w:tcPr>
            <w:tcW w:w="918" w:type="dxa"/>
            <w:tcBorders>
              <w:left w:val="none" w:sz="0" w:space="0" w:color="auto"/>
              <w:right w:val="none" w:sz="0" w:space="0" w:color="auto"/>
            </w:tcBorders>
            <w:vAlign w:val="center"/>
          </w:tcPr>
          <w:p w14:paraId="1CD3C791" w14:textId="77777777" w:rsidR="00650E52" w:rsidRPr="00576207"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-1.2%</w:t>
            </w:r>
          </w:p>
        </w:tc>
        <w:tc>
          <w:tcPr>
            <w:tcW w:w="917" w:type="dxa"/>
            <w:tcBorders>
              <w:left w:val="none" w:sz="0" w:space="0" w:color="auto"/>
              <w:right w:val="none" w:sz="0" w:space="0" w:color="auto"/>
            </w:tcBorders>
            <w:vAlign w:val="center"/>
          </w:tcPr>
          <w:p w14:paraId="039BC7FE" w14:textId="6A7A0D82" w:rsidR="00650E52" w:rsidRPr="00576207" w:rsidRDefault="00650E52" w:rsidP="00AA16AD">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DB3E36">
              <w:rPr>
                <w:rFonts w:ascii="Arial" w:hAnsi="Arial" w:cs="Arial"/>
                <w:bCs/>
                <w:color w:val="215868" w:themeColor="accent5" w:themeShade="80"/>
                <w:sz w:val="18"/>
                <w:szCs w:val="18"/>
              </w:rPr>
              <w:t>-3.3%</w:t>
            </w:r>
          </w:p>
        </w:tc>
        <w:tc>
          <w:tcPr>
            <w:tcW w:w="918" w:type="dxa"/>
            <w:tcBorders>
              <w:left w:val="none" w:sz="0" w:space="0" w:color="auto"/>
              <w:right w:val="none" w:sz="0" w:space="0" w:color="auto"/>
            </w:tcBorders>
            <w:vAlign w:val="center"/>
          </w:tcPr>
          <w:p w14:paraId="03D1649A" w14:textId="622259CC"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296</w:t>
            </w:r>
            <w:r>
              <w:rPr>
                <w:rFonts w:ascii="Arial" w:hAnsi="Arial" w:cs="Arial"/>
                <w:bCs/>
                <w:color w:val="215868" w:themeColor="accent5" w:themeShade="80"/>
                <w:sz w:val="18"/>
                <w:szCs w:val="18"/>
              </w:rPr>
              <w:t>M</w:t>
            </w:r>
          </w:p>
        </w:tc>
        <w:tc>
          <w:tcPr>
            <w:tcW w:w="918" w:type="dxa"/>
            <w:tcBorders>
              <w:left w:val="none" w:sz="0" w:space="0" w:color="auto"/>
              <w:right w:val="none" w:sz="0" w:space="0" w:color="auto"/>
            </w:tcBorders>
            <w:vAlign w:val="center"/>
          </w:tcPr>
          <w:p w14:paraId="0A54053D" w14:textId="008E1F29"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6.1</w:t>
            </w:r>
            <w:r w:rsidRPr="00DB3E36">
              <w:rPr>
                <w:rFonts w:ascii="Arial" w:hAnsi="Arial" w:cs="Arial"/>
                <w:bCs/>
                <w:color w:val="215868" w:themeColor="accent5" w:themeShade="80"/>
                <w:sz w:val="18"/>
                <w:szCs w:val="18"/>
              </w:rPr>
              <w:t>%</w:t>
            </w:r>
          </w:p>
        </w:tc>
        <w:tc>
          <w:tcPr>
            <w:tcW w:w="918" w:type="dxa"/>
            <w:tcBorders>
              <w:left w:val="none" w:sz="0" w:space="0" w:color="auto"/>
              <w:right w:val="none" w:sz="0" w:space="0" w:color="auto"/>
            </w:tcBorders>
            <w:vAlign w:val="center"/>
          </w:tcPr>
          <w:p w14:paraId="54599DD8" w14:textId="6AB9D9B1"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5.8</w:t>
            </w:r>
            <w:r>
              <w:rPr>
                <w:rFonts w:ascii="Arial" w:hAnsi="Arial" w:cs="Arial"/>
                <w:color w:val="215868" w:themeColor="accent5" w:themeShade="80"/>
                <w:sz w:val="18"/>
                <w:szCs w:val="18"/>
              </w:rPr>
              <w:t>%</w:t>
            </w:r>
          </w:p>
        </w:tc>
      </w:tr>
      <w:tr w:rsidR="00650E52" w14:paraId="0C146A1F" w14:textId="77777777" w:rsidTr="00AA16AD">
        <w:trPr>
          <w:trHeight w:val="253"/>
        </w:trPr>
        <w:tc>
          <w:tcPr>
            <w:cnfStyle w:val="001000000000" w:firstRow="0" w:lastRow="0" w:firstColumn="1" w:lastColumn="0" w:oddVBand="0" w:evenVBand="0" w:oddHBand="0" w:evenHBand="0" w:firstRowFirstColumn="0" w:firstRowLastColumn="0" w:lastRowFirstColumn="0" w:lastRowLastColumn="0"/>
            <w:tcW w:w="1453" w:type="dxa"/>
            <w:vAlign w:val="center"/>
          </w:tcPr>
          <w:p w14:paraId="3ABBBB99"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Potatoes</w:t>
            </w:r>
          </w:p>
        </w:tc>
        <w:tc>
          <w:tcPr>
            <w:tcW w:w="918" w:type="dxa"/>
            <w:gridSpan w:val="2"/>
            <w:vAlign w:val="center"/>
          </w:tcPr>
          <w:p w14:paraId="4F18C196" w14:textId="12743B4D"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1.6</w:t>
            </w:r>
            <w:r w:rsidRPr="00091E61">
              <w:rPr>
                <w:rFonts w:ascii="Arial" w:hAnsi="Arial" w:cs="Arial"/>
                <w:color w:val="215868"/>
                <w:sz w:val="18"/>
                <w:szCs w:val="18"/>
              </w:rPr>
              <w:t>%</w:t>
            </w:r>
          </w:p>
        </w:tc>
        <w:tc>
          <w:tcPr>
            <w:tcW w:w="918" w:type="dxa"/>
            <w:gridSpan w:val="2"/>
            <w:vAlign w:val="center"/>
          </w:tcPr>
          <w:p w14:paraId="03C76BA4" w14:textId="0A069176"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+21.0%</w:t>
            </w:r>
          </w:p>
        </w:tc>
        <w:tc>
          <w:tcPr>
            <w:tcW w:w="918" w:type="dxa"/>
            <w:vAlign w:val="center"/>
          </w:tcPr>
          <w:p w14:paraId="14792562" w14:textId="62232F43"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-4.0%</w:t>
            </w:r>
          </w:p>
        </w:tc>
        <w:tc>
          <w:tcPr>
            <w:tcW w:w="917" w:type="dxa"/>
            <w:vAlign w:val="center"/>
          </w:tcPr>
          <w:p w14:paraId="069BD9ED" w14:textId="2785887F"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-19.7%</w:t>
            </w:r>
          </w:p>
        </w:tc>
        <w:tc>
          <w:tcPr>
            <w:tcW w:w="918" w:type="dxa"/>
            <w:vAlign w:val="center"/>
          </w:tcPr>
          <w:p w14:paraId="24040ADA" w14:textId="2D6FDD0B"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-4.6%</w:t>
            </w:r>
          </w:p>
        </w:tc>
        <w:tc>
          <w:tcPr>
            <w:tcW w:w="918" w:type="dxa"/>
            <w:vAlign w:val="center"/>
          </w:tcPr>
          <w:p w14:paraId="4A21180C" w14:textId="3860386C" w:rsidR="00650E52" w:rsidRPr="00576207"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+0.2%</w:t>
            </w:r>
          </w:p>
        </w:tc>
        <w:tc>
          <w:tcPr>
            <w:tcW w:w="917" w:type="dxa"/>
            <w:vAlign w:val="center"/>
          </w:tcPr>
          <w:p w14:paraId="72A46FCE" w14:textId="2D579724" w:rsidR="00650E52" w:rsidRDefault="00650E52" w:rsidP="00AA16AD">
            <w:pPr>
              <w:jc w:val="right"/>
              <w:cnfStyle w:val="000000000000" w:firstRow="0" w:lastRow="0" w:firstColumn="0" w:lastColumn="0" w:oddVBand="0" w:evenVBand="0" w:oddHBand="0" w:evenHBand="0" w:firstRowFirstColumn="0" w:firstRowLastColumn="0" w:lastRowFirstColumn="0" w:lastRowLastColumn="0"/>
            </w:pPr>
            <w:r w:rsidRPr="00DB3E36">
              <w:rPr>
                <w:rFonts w:ascii="Arial" w:hAnsi="Arial" w:cs="Arial"/>
                <w:bCs/>
                <w:color w:val="215868" w:themeColor="accent5" w:themeShade="80"/>
                <w:sz w:val="18"/>
                <w:szCs w:val="18"/>
              </w:rPr>
              <w:t>+6.0%</w:t>
            </w:r>
          </w:p>
        </w:tc>
        <w:tc>
          <w:tcPr>
            <w:tcW w:w="918" w:type="dxa"/>
            <w:vAlign w:val="center"/>
          </w:tcPr>
          <w:p w14:paraId="76976A49" w14:textId="2B6FAF1E"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261</w:t>
            </w:r>
            <w:r w:rsidRPr="00225952">
              <w:rPr>
                <w:rFonts w:ascii="Arial" w:hAnsi="Arial" w:cs="Arial"/>
                <w:bCs/>
                <w:color w:val="215868" w:themeColor="accent5" w:themeShade="80"/>
                <w:sz w:val="18"/>
                <w:szCs w:val="18"/>
              </w:rPr>
              <w:t>M</w:t>
            </w:r>
          </w:p>
        </w:tc>
        <w:tc>
          <w:tcPr>
            <w:tcW w:w="918" w:type="dxa"/>
            <w:vAlign w:val="center"/>
          </w:tcPr>
          <w:p w14:paraId="29621DCF" w14:textId="2969422E" w:rsidR="00650E52" w:rsidRPr="00DB3E36" w:rsidRDefault="00AA16AD"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0.0</w:t>
            </w:r>
            <w:r w:rsidR="00650E52" w:rsidRPr="00DB3E36">
              <w:rPr>
                <w:rFonts w:ascii="Arial" w:hAnsi="Arial" w:cs="Arial"/>
                <w:bCs/>
                <w:color w:val="215868" w:themeColor="accent5" w:themeShade="80"/>
                <w:sz w:val="18"/>
                <w:szCs w:val="18"/>
              </w:rPr>
              <w:t>%</w:t>
            </w:r>
          </w:p>
        </w:tc>
        <w:tc>
          <w:tcPr>
            <w:tcW w:w="918" w:type="dxa"/>
            <w:vAlign w:val="center"/>
          </w:tcPr>
          <w:p w14:paraId="341E5E4C" w14:textId="5609157D"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7.9</w:t>
            </w:r>
            <w:r>
              <w:rPr>
                <w:rFonts w:ascii="Arial" w:hAnsi="Arial" w:cs="Arial"/>
                <w:color w:val="215868" w:themeColor="accent5" w:themeShade="80"/>
                <w:sz w:val="18"/>
                <w:szCs w:val="18"/>
              </w:rPr>
              <w:t>%</w:t>
            </w:r>
          </w:p>
        </w:tc>
      </w:tr>
      <w:tr w:rsidR="00650E52" w14:paraId="19234AF3" w14:textId="77777777" w:rsidTr="00110FF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3" w:type="dxa"/>
            <w:tcBorders>
              <w:left w:val="none" w:sz="0" w:space="0" w:color="auto"/>
              <w:right w:val="none" w:sz="0" w:space="0" w:color="auto"/>
            </w:tcBorders>
            <w:vAlign w:val="center"/>
          </w:tcPr>
          <w:p w14:paraId="0637D8F1"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Packaged salad</w:t>
            </w:r>
          </w:p>
        </w:tc>
        <w:tc>
          <w:tcPr>
            <w:tcW w:w="918" w:type="dxa"/>
            <w:gridSpan w:val="2"/>
            <w:tcBorders>
              <w:left w:val="none" w:sz="0" w:space="0" w:color="auto"/>
              <w:right w:val="none" w:sz="0" w:space="0" w:color="auto"/>
            </w:tcBorders>
            <w:vAlign w:val="center"/>
          </w:tcPr>
          <w:p w14:paraId="278A5970" w14:textId="2E371186" w:rsidR="00650E52" w:rsidRPr="00091E61"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12.1</w:t>
            </w:r>
            <w:r w:rsidRPr="00091E61">
              <w:rPr>
                <w:rFonts w:ascii="Arial" w:hAnsi="Arial" w:cs="Arial"/>
                <w:color w:val="215868"/>
                <w:sz w:val="18"/>
                <w:szCs w:val="18"/>
              </w:rPr>
              <w:t>%</w:t>
            </w:r>
          </w:p>
        </w:tc>
        <w:tc>
          <w:tcPr>
            <w:tcW w:w="918" w:type="dxa"/>
            <w:gridSpan w:val="2"/>
            <w:tcBorders>
              <w:left w:val="none" w:sz="0" w:space="0" w:color="auto"/>
              <w:right w:val="none" w:sz="0" w:space="0" w:color="auto"/>
            </w:tcBorders>
            <w:vAlign w:val="center"/>
          </w:tcPr>
          <w:p w14:paraId="0195E6E6" w14:textId="415EF3BE"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+14.8%</w:t>
            </w:r>
          </w:p>
        </w:tc>
        <w:tc>
          <w:tcPr>
            <w:tcW w:w="918" w:type="dxa"/>
            <w:tcBorders>
              <w:left w:val="none" w:sz="0" w:space="0" w:color="auto"/>
              <w:right w:val="none" w:sz="0" w:space="0" w:color="auto"/>
            </w:tcBorders>
            <w:vAlign w:val="center"/>
          </w:tcPr>
          <w:p w14:paraId="6EC7A46C" w14:textId="2DCC9C8E"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+12.6%</w:t>
            </w:r>
          </w:p>
        </w:tc>
        <w:tc>
          <w:tcPr>
            <w:tcW w:w="917" w:type="dxa"/>
            <w:tcBorders>
              <w:left w:val="none" w:sz="0" w:space="0" w:color="auto"/>
              <w:right w:val="none" w:sz="0" w:space="0" w:color="auto"/>
            </w:tcBorders>
            <w:vAlign w:val="center"/>
          </w:tcPr>
          <w:p w14:paraId="7BFBBD24" w14:textId="31336B90"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14.5%</w:t>
            </w:r>
          </w:p>
        </w:tc>
        <w:tc>
          <w:tcPr>
            <w:tcW w:w="918" w:type="dxa"/>
            <w:tcBorders>
              <w:left w:val="none" w:sz="0" w:space="0" w:color="auto"/>
              <w:right w:val="none" w:sz="0" w:space="0" w:color="auto"/>
            </w:tcBorders>
            <w:vAlign w:val="center"/>
          </w:tcPr>
          <w:p w14:paraId="039407D7" w14:textId="211B18B4"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+10.3%</w:t>
            </w:r>
          </w:p>
        </w:tc>
        <w:tc>
          <w:tcPr>
            <w:tcW w:w="918" w:type="dxa"/>
            <w:tcBorders>
              <w:left w:val="none" w:sz="0" w:space="0" w:color="auto"/>
              <w:right w:val="none" w:sz="0" w:space="0" w:color="auto"/>
            </w:tcBorders>
            <w:vAlign w:val="center"/>
          </w:tcPr>
          <w:p w14:paraId="60FD7D06"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+8.5%</w:t>
            </w:r>
          </w:p>
        </w:tc>
        <w:tc>
          <w:tcPr>
            <w:tcW w:w="917" w:type="dxa"/>
            <w:tcBorders>
              <w:left w:val="none" w:sz="0" w:space="0" w:color="auto"/>
              <w:right w:val="none" w:sz="0" w:space="0" w:color="auto"/>
            </w:tcBorders>
            <w:vAlign w:val="center"/>
          </w:tcPr>
          <w:p w14:paraId="77B238AD" w14:textId="0E5456F3" w:rsidR="00650E52" w:rsidRDefault="00650E52" w:rsidP="00AA16AD">
            <w:pPr>
              <w:jc w:val="right"/>
              <w:cnfStyle w:val="000000100000" w:firstRow="0" w:lastRow="0" w:firstColumn="0" w:lastColumn="0" w:oddVBand="0" w:evenVBand="0" w:oddHBand="1" w:evenHBand="0" w:firstRowFirstColumn="0" w:firstRowLastColumn="0" w:lastRowFirstColumn="0" w:lastRowLastColumn="0"/>
            </w:pPr>
            <w:r w:rsidRPr="00DB3E36">
              <w:rPr>
                <w:rFonts w:ascii="Arial" w:hAnsi="Arial" w:cs="Arial"/>
                <w:bCs/>
                <w:color w:val="215868" w:themeColor="accent5" w:themeShade="80"/>
                <w:sz w:val="18"/>
                <w:szCs w:val="18"/>
              </w:rPr>
              <w:t>-1.9%</w:t>
            </w:r>
          </w:p>
        </w:tc>
        <w:tc>
          <w:tcPr>
            <w:tcW w:w="918" w:type="dxa"/>
            <w:tcBorders>
              <w:left w:val="none" w:sz="0" w:space="0" w:color="auto"/>
              <w:right w:val="none" w:sz="0" w:space="0" w:color="auto"/>
            </w:tcBorders>
            <w:vAlign w:val="center"/>
          </w:tcPr>
          <w:p w14:paraId="7C0F3B6B" w14:textId="7953E677"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250</w:t>
            </w:r>
            <w:r w:rsidRPr="00225952">
              <w:rPr>
                <w:rFonts w:ascii="Arial" w:hAnsi="Arial" w:cs="Arial"/>
                <w:bCs/>
                <w:color w:val="215868" w:themeColor="accent5" w:themeShade="80"/>
                <w:sz w:val="18"/>
                <w:szCs w:val="18"/>
              </w:rPr>
              <w:t>M</w:t>
            </w:r>
          </w:p>
        </w:tc>
        <w:tc>
          <w:tcPr>
            <w:tcW w:w="918" w:type="dxa"/>
            <w:tcBorders>
              <w:left w:val="none" w:sz="0" w:space="0" w:color="auto"/>
              <w:right w:val="none" w:sz="0" w:space="0" w:color="auto"/>
            </w:tcBorders>
            <w:vAlign w:val="center"/>
          </w:tcPr>
          <w:p w14:paraId="0B353B76" w14:textId="5226A157" w:rsidR="00650E52" w:rsidRPr="00DB3E36" w:rsidRDefault="00AA16AD"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+3.7</w:t>
            </w:r>
            <w:r w:rsidR="00650E52" w:rsidRPr="00DB3E36">
              <w:rPr>
                <w:rFonts w:ascii="Arial" w:hAnsi="Arial" w:cs="Arial"/>
                <w:bCs/>
                <w:color w:val="215868" w:themeColor="accent5" w:themeShade="80"/>
                <w:sz w:val="18"/>
                <w:szCs w:val="18"/>
              </w:rPr>
              <w:t>%</w:t>
            </w:r>
          </w:p>
        </w:tc>
        <w:tc>
          <w:tcPr>
            <w:tcW w:w="918" w:type="dxa"/>
            <w:tcBorders>
              <w:left w:val="none" w:sz="0" w:space="0" w:color="auto"/>
              <w:right w:val="none" w:sz="0" w:space="0" w:color="auto"/>
            </w:tcBorders>
            <w:vAlign w:val="center"/>
          </w:tcPr>
          <w:p w14:paraId="1436E607" w14:textId="0CE45840"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5.5</w:t>
            </w:r>
            <w:r>
              <w:rPr>
                <w:rFonts w:ascii="Arial" w:hAnsi="Arial" w:cs="Arial"/>
                <w:color w:val="215868" w:themeColor="accent5" w:themeShade="80"/>
                <w:sz w:val="18"/>
                <w:szCs w:val="18"/>
              </w:rPr>
              <w:t>%</w:t>
            </w:r>
          </w:p>
        </w:tc>
      </w:tr>
      <w:tr w:rsidR="00650E52" w14:paraId="5FA6635F" w14:textId="77777777" w:rsidTr="00AA16AD">
        <w:trPr>
          <w:trHeight w:val="253"/>
        </w:trPr>
        <w:tc>
          <w:tcPr>
            <w:cnfStyle w:val="001000000000" w:firstRow="0" w:lastRow="0" w:firstColumn="1" w:lastColumn="0" w:oddVBand="0" w:evenVBand="0" w:oddHBand="0" w:evenHBand="0" w:firstRowFirstColumn="0" w:firstRowLastColumn="0" w:lastRowFirstColumn="0" w:lastRowLastColumn="0"/>
            <w:tcW w:w="1453" w:type="dxa"/>
            <w:vAlign w:val="center"/>
          </w:tcPr>
          <w:p w14:paraId="79FF0CCA"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Lettuce</w:t>
            </w:r>
          </w:p>
        </w:tc>
        <w:tc>
          <w:tcPr>
            <w:tcW w:w="918" w:type="dxa"/>
            <w:gridSpan w:val="2"/>
            <w:vAlign w:val="center"/>
          </w:tcPr>
          <w:p w14:paraId="489A8A48" w14:textId="7AAEC5E5"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+6.3</w:t>
            </w:r>
            <w:r w:rsidRPr="00091E61">
              <w:rPr>
                <w:rFonts w:ascii="Arial" w:hAnsi="Arial" w:cs="Arial"/>
                <w:color w:val="215868"/>
                <w:sz w:val="18"/>
                <w:szCs w:val="18"/>
              </w:rPr>
              <w:t>%</w:t>
            </w:r>
          </w:p>
        </w:tc>
        <w:tc>
          <w:tcPr>
            <w:tcW w:w="918" w:type="dxa"/>
            <w:gridSpan w:val="2"/>
            <w:vAlign w:val="center"/>
          </w:tcPr>
          <w:p w14:paraId="6BB7D162" w14:textId="469DF2FA"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+12.0%</w:t>
            </w:r>
          </w:p>
        </w:tc>
        <w:tc>
          <w:tcPr>
            <w:tcW w:w="918" w:type="dxa"/>
            <w:vAlign w:val="center"/>
          </w:tcPr>
          <w:p w14:paraId="05E885A8" w14:textId="42B10D4E"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+9.0%</w:t>
            </w:r>
          </w:p>
        </w:tc>
        <w:tc>
          <w:tcPr>
            <w:tcW w:w="917" w:type="dxa"/>
            <w:vAlign w:val="center"/>
          </w:tcPr>
          <w:p w14:paraId="445C249F" w14:textId="4A1C3A01"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-3.3%</w:t>
            </w:r>
          </w:p>
        </w:tc>
        <w:tc>
          <w:tcPr>
            <w:tcW w:w="918" w:type="dxa"/>
            <w:vAlign w:val="center"/>
          </w:tcPr>
          <w:p w14:paraId="1DF5B025" w14:textId="000AEA7E"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+2.5%</w:t>
            </w:r>
          </w:p>
        </w:tc>
        <w:tc>
          <w:tcPr>
            <w:tcW w:w="918" w:type="dxa"/>
            <w:vAlign w:val="center"/>
          </w:tcPr>
          <w:p w14:paraId="757340BF" w14:textId="50EA9BFA" w:rsidR="00650E52" w:rsidRPr="00576207"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+0.6%</w:t>
            </w:r>
          </w:p>
        </w:tc>
        <w:tc>
          <w:tcPr>
            <w:tcW w:w="917" w:type="dxa"/>
            <w:vAlign w:val="center"/>
          </w:tcPr>
          <w:p w14:paraId="6187E043" w14:textId="757A7BF8" w:rsidR="00650E52" w:rsidRDefault="00650E52" w:rsidP="00AA16AD">
            <w:pPr>
              <w:jc w:val="right"/>
              <w:cnfStyle w:val="000000000000" w:firstRow="0" w:lastRow="0" w:firstColumn="0" w:lastColumn="0" w:oddVBand="0" w:evenVBand="0" w:oddHBand="0" w:evenHBand="0" w:firstRowFirstColumn="0" w:firstRowLastColumn="0" w:lastRowFirstColumn="0" w:lastRowLastColumn="0"/>
            </w:pPr>
            <w:r w:rsidRPr="00DB3E36">
              <w:rPr>
                <w:rFonts w:ascii="Arial" w:hAnsi="Arial" w:cs="Arial"/>
                <w:bCs/>
                <w:color w:val="215868" w:themeColor="accent5" w:themeShade="80"/>
                <w:sz w:val="18"/>
                <w:szCs w:val="18"/>
              </w:rPr>
              <w:t>+1.7%</w:t>
            </w:r>
          </w:p>
        </w:tc>
        <w:tc>
          <w:tcPr>
            <w:tcW w:w="918" w:type="dxa"/>
            <w:vAlign w:val="center"/>
          </w:tcPr>
          <w:p w14:paraId="6CD2C0F7" w14:textId="7D4B6A3E"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205</w:t>
            </w:r>
            <w:r w:rsidRPr="00225952">
              <w:rPr>
                <w:rFonts w:ascii="Arial" w:hAnsi="Arial" w:cs="Arial"/>
                <w:bCs/>
                <w:color w:val="215868" w:themeColor="accent5" w:themeShade="80"/>
                <w:sz w:val="18"/>
                <w:szCs w:val="18"/>
              </w:rPr>
              <w:t>M</w:t>
            </w:r>
          </w:p>
        </w:tc>
        <w:tc>
          <w:tcPr>
            <w:tcW w:w="918" w:type="dxa"/>
            <w:vAlign w:val="center"/>
          </w:tcPr>
          <w:p w14:paraId="34B3545D" w14:textId="70A218FD" w:rsidR="00650E52" w:rsidRPr="00DB3E36" w:rsidRDefault="00AA16AD"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+4.0</w:t>
            </w:r>
            <w:r w:rsidR="00650E52" w:rsidRPr="00DB3E36">
              <w:rPr>
                <w:rFonts w:ascii="Arial" w:hAnsi="Arial" w:cs="Arial"/>
                <w:bCs/>
                <w:color w:val="215868" w:themeColor="accent5" w:themeShade="80"/>
                <w:sz w:val="18"/>
                <w:szCs w:val="18"/>
              </w:rPr>
              <w:t>%</w:t>
            </w:r>
          </w:p>
        </w:tc>
        <w:tc>
          <w:tcPr>
            <w:tcW w:w="918" w:type="dxa"/>
            <w:vAlign w:val="center"/>
          </w:tcPr>
          <w:p w14:paraId="5EB84E72" w14:textId="45148D69"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6.0</w:t>
            </w:r>
            <w:r>
              <w:rPr>
                <w:rFonts w:ascii="Arial" w:hAnsi="Arial" w:cs="Arial"/>
                <w:color w:val="215868" w:themeColor="accent5" w:themeShade="80"/>
                <w:sz w:val="18"/>
                <w:szCs w:val="18"/>
              </w:rPr>
              <w:t>%</w:t>
            </w:r>
          </w:p>
        </w:tc>
      </w:tr>
      <w:tr w:rsidR="00650E52" w14:paraId="69318395" w14:textId="77777777" w:rsidTr="00110FF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3" w:type="dxa"/>
            <w:tcBorders>
              <w:left w:val="none" w:sz="0" w:space="0" w:color="auto"/>
              <w:right w:val="none" w:sz="0" w:space="0" w:color="auto"/>
            </w:tcBorders>
            <w:vAlign w:val="center"/>
          </w:tcPr>
          <w:p w14:paraId="6E864BBD"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Peppers</w:t>
            </w:r>
          </w:p>
        </w:tc>
        <w:tc>
          <w:tcPr>
            <w:tcW w:w="918" w:type="dxa"/>
            <w:gridSpan w:val="2"/>
            <w:tcBorders>
              <w:left w:val="none" w:sz="0" w:space="0" w:color="auto"/>
              <w:right w:val="none" w:sz="0" w:space="0" w:color="auto"/>
            </w:tcBorders>
            <w:vAlign w:val="center"/>
          </w:tcPr>
          <w:p w14:paraId="3114764A" w14:textId="77777777" w:rsidR="00650E52" w:rsidRPr="00091E61"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4.3</w:t>
            </w:r>
            <w:r w:rsidRPr="00091E61">
              <w:rPr>
                <w:rFonts w:ascii="Arial" w:hAnsi="Arial" w:cs="Arial"/>
                <w:color w:val="215868"/>
                <w:sz w:val="18"/>
                <w:szCs w:val="18"/>
              </w:rPr>
              <w:t>%</w:t>
            </w:r>
          </w:p>
        </w:tc>
        <w:tc>
          <w:tcPr>
            <w:tcW w:w="918" w:type="dxa"/>
            <w:gridSpan w:val="2"/>
            <w:tcBorders>
              <w:left w:val="none" w:sz="0" w:space="0" w:color="auto"/>
              <w:right w:val="none" w:sz="0" w:space="0" w:color="auto"/>
            </w:tcBorders>
            <w:vAlign w:val="center"/>
          </w:tcPr>
          <w:p w14:paraId="790ACC9F"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+19.3%</w:t>
            </w:r>
          </w:p>
        </w:tc>
        <w:tc>
          <w:tcPr>
            <w:tcW w:w="918" w:type="dxa"/>
            <w:tcBorders>
              <w:left w:val="none" w:sz="0" w:space="0" w:color="auto"/>
              <w:right w:val="none" w:sz="0" w:space="0" w:color="auto"/>
            </w:tcBorders>
            <w:vAlign w:val="center"/>
          </w:tcPr>
          <w:p w14:paraId="2E58E480"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+11.6%</w:t>
            </w:r>
          </w:p>
        </w:tc>
        <w:tc>
          <w:tcPr>
            <w:tcW w:w="917" w:type="dxa"/>
            <w:tcBorders>
              <w:left w:val="none" w:sz="0" w:space="0" w:color="auto"/>
              <w:right w:val="none" w:sz="0" w:space="0" w:color="auto"/>
            </w:tcBorders>
            <w:vAlign w:val="center"/>
          </w:tcPr>
          <w:p w14:paraId="2342DC57"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-6.9%</w:t>
            </w:r>
          </w:p>
        </w:tc>
        <w:tc>
          <w:tcPr>
            <w:tcW w:w="918" w:type="dxa"/>
            <w:tcBorders>
              <w:left w:val="none" w:sz="0" w:space="0" w:color="auto"/>
              <w:right w:val="none" w:sz="0" w:space="0" w:color="auto"/>
            </w:tcBorders>
            <w:vAlign w:val="center"/>
          </w:tcPr>
          <w:p w14:paraId="570BC747"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-3.3%</w:t>
            </w:r>
          </w:p>
        </w:tc>
        <w:tc>
          <w:tcPr>
            <w:tcW w:w="918" w:type="dxa"/>
            <w:tcBorders>
              <w:left w:val="none" w:sz="0" w:space="0" w:color="auto"/>
              <w:right w:val="none" w:sz="0" w:space="0" w:color="auto"/>
            </w:tcBorders>
            <w:vAlign w:val="center"/>
          </w:tcPr>
          <w:p w14:paraId="79E8C82E" w14:textId="77777777" w:rsidR="00650E52" w:rsidRPr="00576207"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-2.3%</w:t>
            </w:r>
          </w:p>
        </w:tc>
        <w:tc>
          <w:tcPr>
            <w:tcW w:w="917" w:type="dxa"/>
            <w:tcBorders>
              <w:left w:val="none" w:sz="0" w:space="0" w:color="auto"/>
              <w:right w:val="none" w:sz="0" w:space="0" w:color="auto"/>
            </w:tcBorders>
            <w:vAlign w:val="center"/>
          </w:tcPr>
          <w:p w14:paraId="7254814C"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pPr>
            <w:r w:rsidRPr="00DB3E36">
              <w:rPr>
                <w:rFonts w:ascii="Arial" w:hAnsi="Arial" w:cs="Arial"/>
                <w:bCs/>
                <w:color w:val="215868" w:themeColor="accent5" w:themeShade="80"/>
                <w:sz w:val="18"/>
                <w:szCs w:val="18"/>
              </w:rPr>
              <w:t>-1.6%</w:t>
            </w:r>
          </w:p>
        </w:tc>
        <w:tc>
          <w:tcPr>
            <w:tcW w:w="918" w:type="dxa"/>
            <w:tcBorders>
              <w:left w:val="none" w:sz="0" w:space="0" w:color="auto"/>
              <w:right w:val="none" w:sz="0" w:space="0" w:color="auto"/>
            </w:tcBorders>
            <w:vAlign w:val="center"/>
          </w:tcPr>
          <w:p w14:paraId="2EF132BA" w14:textId="21EAEA30"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198</w:t>
            </w:r>
            <w:r w:rsidRPr="00225952">
              <w:rPr>
                <w:rFonts w:ascii="Arial" w:hAnsi="Arial" w:cs="Arial"/>
                <w:bCs/>
                <w:color w:val="215868" w:themeColor="accent5" w:themeShade="80"/>
                <w:sz w:val="18"/>
                <w:szCs w:val="18"/>
              </w:rPr>
              <w:t>M</w:t>
            </w:r>
          </w:p>
        </w:tc>
        <w:tc>
          <w:tcPr>
            <w:tcW w:w="918" w:type="dxa"/>
            <w:tcBorders>
              <w:left w:val="none" w:sz="0" w:space="0" w:color="auto"/>
              <w:right w:val="none" w:sz="0" w:space="0" w:color="auto"/>
            </w:tcBorders>
            <w:vAlign w:val="center"/>
          </w:tcPr>
          <w:p w14:paraId="7633D59F" w14:textId="12DC5302"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3.6</w:t>
            </w:r>
            <w:r w:rsidRPr="00DB3E36">
              <w:rPr>
                <w:rFonts w:ascii="Arial" w:hAnsi="Arial" w:cs="Arial"/>
                <w:bCs/>
                <w:color w:val="215868" w:themeColor="accent5" w:themeShade="80"/>
                <w:sz w:val="18"/>
                <w:szCs w:val="18"/>
              </w:rPr>
              <w:t>%</w:t>
            </w:r>
          </w:p>
        </w:tc>
        <w:tc>
          <w:tcPr>
            <w:tcW w:w="918" w:type="dxa"/>
            <w:tcBorders>
              <w:left w:val="none" w:sz="0" w:space="0" w:color="auto"/>
              <w:right w:val="none" w:sz="0" w:space="0" w:color="auto"/>
            </w:tcBorders>
            <w:vAlign w:val="center"/>
          </w:tcPr>
          <w:p w14:paraId="3D971C9D" w14:textId="2FBF3C2F"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9.1</w:t>
            </w:r>
            <w:r>
              <w:rPr>
                <w:rFonts w:ascii="Arial" w:hAnsi="Arial" w:cs="Arial"/>
                <w:color w:val="215868" w:themeColor="accent5" w:themeShade="80"/>
                <w:sz w:val="18"/>
                <w:szCs w:val="18"/>
              </w:rPr>
              <w:t>%</w:t>
            </w:r>
          </w:p>
        </w:tc>
      </w:tr>
      <w:tr w:rsidR="00650E52" w14:paraId="2672CA4A" w14:textId="77777777" w:rsidTr="00AA16AD">
        <w:trPr>
          <w:trHeight w:val="253"/>
        </w:trPr>
        <w:tc>
          <w:tcPr>
            <w:cnfStyle w:val="001000000000" w:firstRow="0" w:lastRow="0" w:firstColumn="1" w:lastColumn="0" w:oddVBand="0" w:evenVBand="0" w:oddHBand="0" w:evenHBand="0" w:firstRowFirstColumn="0" w:firstRowLastColumn="0" w:lastRowFirstColumn="0" w:lastRowLastColumn="0"/>
            <w:tcW w:w="1453" w:type="dxa"/>
            <w:vAlign w:val="center"/>
          </w:tcPr>
          <w:p w14:paraId="0D3F2C4D"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Onions</w:t>
            </w:r>
          </w:p>
        </w:tc>
        <w:tc>
          <w:tcPr>
            <w:tcW w:w="918" w:type="dxa"/>
            <w:gridSpan w:val="2"/>
            <w:vAlign w:val="center"/>
          </w:tcPr>
          <w:p w14:paraId="4B9331F5" w14:textId="714F576A"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6.0</w:t>
            </w:r>
            <w:r w:rsidRPr="00091E61">
              <w:rPr>
                <w:rFonts w:ascii="Arial" w:hAnsi="Arial" w:cs="Arial"/>
                <w:color w:val="215868"/>
                <w:sz w:val="18"/>
                <w:szCs w:val="18"/>
              </w:rPr>
              <w:t>%</w:t>
            </w:r>
          </w:p>
        </w:tc>
        <w:tc>
          <w:tcPr>
            <w:tcW w:w="918" w:type="dxa"/>
            <w:gridSpan w:val="2"/>
            <w:vAlign w:val="center"/>
          </w:tcPr>
          <w:p w14:paraId="68F04F61" w14:textId="7E285D2B"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+14.5%</w:t>
            </w:r>
          </w:p>
        </w:tc>
        <w:tc>
          <w:tcPr>
            <w:tcW w:w="918" w:type="dxa"/>
            <w:vAlign w:val="center"/>
          </w:tcPr>
          <w:p w14:paraId="66223219" w14:textId="1360495B"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+0.8%</w:t>
            </w:r>
          </w:p>
        </w:tc>
        <w:tc>
          <w:tcPr>
            <w:tcW w:w="917" w:type="dxa"/>
            <w:vAlign w:val="center"/>
          </w:tcPr>
          <w:p w14:paraId="48E8DE92" w14:textId="7BE40308"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-14.3%</w:t>
            </w:r>
          </w:p>
        </w:tc>
        <w:tc>
          <w:tcPr>
            <w:tcW w:w="918" w:type="dxa"/>
            <w:vAlign w:val="center"/>
          </w:tcPr>
          <w:p w14:paraId="28AF59B0" w14:textId="7A4CADCE"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-1.7%</w:t>
            </w:r>
          </w:p>
        </w:tc>
        <w:tc>
          <w:tcPr>
            <w:tcW w:w="918" w:type="dxa"/>
            <w:vAlign w:val="center"/>
          </w:tcPr>
          <w:p w14:paraId="6A1075D3" w14:textId="77777777" w:rsidR="00650E52" w:rsidRPr="00576207"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+1.4%</w:t>
            </w:r>
          </w:p>
        </w:tc>
        <w:tc>
          <w:tcPr>
            <w:tcW w:w="917" w:type="dxa"/>
            <w:vAlign w:val="center"/>
          </w:tcPr>
          <w:p w14:paraId="14850509" w14:textId="5DA988CE" w:rsidR="00650E52" w:rsidRDefault="00650E52" w:rsidP="00AA16AD">
            <w:pPr>
              <w:jc w:val="right"/>
              <w:cnfStyle w:val="000000000000" w:firstRow="0" w:lastRow="0" w:firstColumn="0" w:lastColumn="0" w:oddVBand="0" w:evenVBand="0" w:oddHBand="0" w:evenHBand="0" w:firstRowFirstColumn="0" w:firstRowLastColumn="0" w:lastRowFirstColumn="0" w:lastRowLastColumn="0"/>
            </w:pPr>
            <w:r w:rsidRPr="00DB3E36">
              <w:rPr>
                <w:rFonts w:ascii="Arial" w:hAnsi="Arial" w:cs="Arial"/>
                <w:bCs/>
                <w:color w:val="215868" w:themeColor="accent5" w:themeShade="80"/>
                <w:sz w:val="18"/>
                <w:szCs w:val="18"/>
              </w:rPr>
              <w:t>+4.9%</w:t>
            </w:r>
          </w:p>
        </w:tc>
        <w:tc>
          <w:tcPr>
            <w:tcW w:w="918" w:type="dxa"/>
            <w:vAlign w:val="center"/>
          </w:tcPr>
          <w:p w14:paraId="2D9FAC45" w14:textId="1D0F729E"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198</w:t>
            </w:r>
            <w:r w:rsidRPr="00225952">
              <w:rPr>
                <w:rFonts w:ascii="Arial" w:hAnsi="Arial" w:cs="Arial"/>
                <w:bCs/>
                <w:color w:val="215868" w:themeColor="accent5" w:themeShade="80"/>
                <w:sz w:val="18"/>
                <w:szCs w:val="18"/>
              </w:rPr>
              <w:t>M</w:t>
            </w:r>
          </w:p>
        </w:tc>
        <w:tc>
          <w:tcPr>
            <w:tcW w:w="918" w:type="dxa"/>
            <w:vAlign w:val="center"/>
          </w:tcPr>
          <w:p w14:paraId="4E1ED487" w14:textId="73A9849E" w:rsidR="00650E52" w:rsidRPr="00DB3E36" w:rsidRDefault="00AA16AD"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+2.3</w:t>
            </w:r>
            <w:r w:rsidR="00650E52" w:rsidRPr="00DB3E36">
              <w:rPr>
                <w:rFonts w:ascii="Arial" w:hAnsi="Arial" w:cs="Arial"/>
                <w:bCs/>
                <w:color w:val="215868" w:themeColor="accent5" w:themeShade="80"/>
                <w:sz w:val="18"/>
                <w:szCs w:val="18"/>
              </w:rPr>
              <w:t>%</w:t>
            </w:r>
          </w:p>
        </w:tc>
        <w:tc>
          <w:tcPr>
            <w:tcW w:w="918" w:type="dxa"/>
            <w:vAlign w:val="center"/>
          </w:tcPr>
          <w:p w14:paraId="0FCC29F8" w14:textId="4BAF7ECF"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2.7</w:t>
            </w:r>
            <w:r>
              <w:rPr>
                <w:rFonts w:ascii="Arial" w:hAnsi="Arial" w:cs="Arial"/>
                <w:color w:val="215868" w:themeColor="accent5" w:themeShade="80"/>
                <w:sz w:val="18"/>
                <w:szCs w:val="18"/>
              </w:rPr>
              <w:t>%</w:t>
            </w:r>
          </w:p>
        </w:tc>
      </w:tr>
      <w:tr w:rsidR="00650E52" w14:paraId="0DE609D9" w14:textId="77777777" w:rsidTr="00110FF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3" w:type="dxa"/>
            <w:tcBorders>
              <w:left w:val="none" w:sz="0" w:space="0" w:color="auto"/>
              <w:right w:val="none" w:sz="0" w:space="0" w:color="auto"/>
            </w:tcBorders>
            <w:vAlign w:val="center"/>
          </w:tcPr>
          <w:p w14:paraId="21977F3C"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Carrots</w:t>
            </w:r>
          </w:p>
        </w:tc>
        <w:tc>
          <w:tcPr>
            <w:tcW w:w="918" w:type="dxa"/>
            <w:gridSpan w:val="2"/>
            <w:tcBorders>
              <w:left w:val="none" w:sz="0" w:space="0" w:color="auto"/>
              <w:right w:val="none" w:sz="0" w:space="0" w:color="auto"/>
            </w:tcBorders>
            <w:vAlign w:val="center"/>
          </w:tcPr>
          <w:p w14:paraId="4BF8F431" w14:textId="55B36BEF" w:rsidR="00650E52" w:rsidRPr="00091E61"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-1.6</w:t>
            </w:r>
            <w:r w:rsidRPr="00091E61">
              <w:rPr>
                <w:rFonts w:ascii="Arial" w:hAnsi="Arial" w:cs="Arial"/>
                <w:color w:val="215868"/>
                <w:sz w:val="18"/>
                <w:szCs w:val="18"/>
              </w:rPr>
              <w:t>%</w:t>
            </w:r>
          </w:p>
        </w:tc>
        <w:tc>
          <w:tcPr>
            <w:tcW w:w="918" w:type="dxa"/>
            <w:gridSpan w:val="2"/>
            <w:tcBorders>
              <w:left w:val="none" w:sz="0" w:space="0" w:color="auto"/>
              <w:right w:val="none" w:sz="0" w:space="0" w:color="auto"/>
            </w:tcBorders>
            <w:vAlign w:val="center"/>
          </w:tcPr>
          <w:p w14:paraId="28BCDC03" w14:textId="0964209E"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+7.3%</w:t>
            </w:r>
          </w:p>
        </w:tc>
        <w:tc>
          <w:tcPr>
            <w:tcW w:w="918" w:type="dxa"/>
            <w:tcBorders>
              <w:left w:val="none" w:sz="0" w:space="0" w:color="auto"/>
              <w:right w:val="none" w:sz="0" w:space="0" w:color="auto"/>
            </w:tcBorders>
            <w:vAlign w:val="center"/>
          </w:tcPr>
          <w:p w14:paraId="70511B41" w14:textId="08C2C479"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-5.1%</w:t>
            </w:r>
          </w:p>
        </w:tc>
        <w:tc>
          <w:tcPr>
            <w:tcW w:w="917" w:type="dxa"/>
            <w:tcBorders>
              <w:left w:val="none" w:sz="0" w:space="0" w:color="auto"/>
              <w:right w:val="none" w:sz="0" w:space="0" w:color="auto"/>
            </w:tcBorders>
            <w:vAlign w:val="center"/>
          </w:tcPr>
          <w:p w14:paraId="728F8758" w14:textId="35D06469"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-7.5%</w:t>
            </w:r>
          </w:p>
        </w:tc>
        <w:tc>
          <w:tcPr>
            <w:tcW w:w="918" w:type="dxa"/>
            <w:tcBorders>
              <w:left w:val="none" w:sz="0" w:space="0" w:color="auto"/>
              <w:right w:val="none" w:sz="0" w:space="0" w:color="auto"/>
            </w:tcBorders>
            <w:vAlign w:val="center"/>
          </w:tcPr>
          <w:p w14:paraId="07482931" w14:textId="1405F8D3"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0.0%</w:t>
            </w:r>
          </w:p>
        </w:tc>
        <w:tc>
          <w:tcPr>
            <w:tcW w:w="918" w:type="dxa"/>
            <w:tcBorders>
              <w:left w:val="none" w:sz="0" w:space="0" w:color="auto"/>
              <w:right w:val="none" w:sz="0" w:space="0" w:color="auto"/>
            </w:tcBorders>
            <w:vAlign w:val="center"/>
          </w:tcPr>
          <w:p w14:paraId="7660F7C4" w14:textId="77777777" w:rsidR="00650E52" w:rsidRPr="00576207"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+1.0%</w:t>
            </w:r>
          </w:p>
        </w:tc>
        <w:tc>
          <w:tcPr>
            <w:tcW w:w="917" w:type="dxa"/>
            <w:tcBorders>
              <w:left w:val="none" w:sz="0" w:space="0" w:color="auto"/>
              <w:right w:val="none" w:sz="0" w:space="0" w:color="auto"/>
            </w:tcBorders>
            <w:vAlign w:val="center"/>
          </w:tcPr>
          <w:p w14:paraId="010E1889" w14:textId="40233AD0" w:rsidR="00650E52" w:rsidRDefault="00650E52" w:rsidP="00AA16AD">
            <w:pPr>
              <w:jc w:val="right"/>
              <w:cnfStyle w:val="000000100000" w:firstRow="0" w:lastRow="0" w:firstColumn="0" w:lastColumn="0" w:oddVBand="0" w:evenVBand="0" w:oddHBand="1" w:evenHBand="0" w:firstRowFirstColumn="0" w:firstRowLastColumn="0" w:lastRowFirstColumn="0" w:lastRowLastColumn="0"/>
            </w:pPr>
            <w:r w:rsidRPr="00DB3E36">
              <w:rPr>
                <w:rFonts w:ascii="Arial" w:hAnsi="Arial" w:cs="Arial"/>
                <w:bCs/>
                <w:color w:val="215868" w:themeColor="accent5" w:themeShade="80"/>
                <w:sz w:val="18"/>
                <w:szCs w:val="18"/>
              </w:rPr>
              <w:t>+6.2%</w:t>
            </w:r>
          </w:p>
        </w:tc>
        <w:tc>
          <w:tcPr>
            <w:tcW w:w="918" w:type="dxa"/>
            <w:tcBorders>
              <w:left w:val="none" w:sz="0" w:space="0" w:color="auto"/>
              <w:right w:val="none" w:sz="0" w:space="0" w:color="auto"/>
            </w:tcBorders>
            <w:vAlign w:val="center"/>
          </w:tcPr>
          <w:p w14:paraId="6AEA9183" w14:textId="6563EFC9"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109</w:t>
            </w:r>
            <w:r w:rsidRPr="00225952">
              <w:rPr>
                <w:rFonts w:ascii="Arial" w:hAnsi="Arial" w:cs="Arial"/>
                <w:bCs/>
                <w:color w:val="215868" w:themeColor="accent5" w:themeShade="80"/>
                <w:sz w:val="18"/>
                <w:szCs w:val="18"/>
              </w:rPr>
              <w:t>M</w:t>
            </w:r>
          </w:p>
        </w:tc>
        <w:tc>
          <w:tcPr>
            <w:tcW w:w="918" w:type="dxa"/>
            <w:tcBorders>
              <w:left w:val="none" w:sz="0" w:space="0" w:color="auto"/>
              <w:right w:val="none" w:sz="0" w:space="0" w:color="auto"/>
            </w:tcBorders>
            <w:vAlign w:val="center"/>
          </w:tcPr>
          <w:p w14:paraId="14CFFCD7" w14:textId="1E731536" w:rsidR="00650E52" w:rsidRPr="00DB3E36" w:rsidRDefault="00AA16AD"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+0.1</w:t>
            </w:r>
            <w:r w:rsidR="00650E52" w:rsidRPr="00DB3E36">
              <w:rPr>
                <w:rFonts w:ascii="Arial" w:hAnsi="Arial" w:cs="Arial"/>
                <w:bCs/>
                <w:color w:val="215868" w:themeColor="accent5" w:themeShade="80"/>
                <w:sz w:val="18"/>
                <w:szCs w:val="18"/>
              </w:rPr>
              <w:t>%</w:t>
            </w:r>
          </w:p>
        </w:tc>
        <w:tc>
          <w:tcPr>
            <w:tcW w:w="918" w:type="dxa"/>
            <w:tcBorders>
              <w:left w:val="none" w:sz="0" w:space="0" w:color="auto"/>
              <w:right w:val="none" w:sz="0" w:space="0" w:color="auto"/>
            </w:tcBorders>
            <w:vAlign w:val="center"/>
          </w:tcPr>
          <w:p w14:paraId="0A237902" w14:textId="4B4C27C6"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5.1</w:t>
            </w:r>
            <w:r>
              <w:rPr>
                <w:rFonts w:ascii="Arial" w:hAnsi="Arial" w:cs="Arial"/>
                <w:color w:val="215868" w:themeColor="accent5" w:themeShade="80"/>
                <w:sz w:val="18"/>
                <w:szCs w:val="18"/>
              </w:rPr>
              <w:t>%</w:t>
            </w:r>
          </w:p>
        </w:tc>
      </w:tr>
      <w:tr w:rsidR="00650E52" w14:paraId="14A59F91" w14:textId="77777777" w:rsidTr="00AA16AD">
        <w:trPr>
          <w:trHeight w:val="253"/>
        </w:trPr>
        <w:tc>
          <w:tcPr>
            <w:cnfStyle w:val="001000000000" w:firstRow="0" w:lastRow="0" w:firstColumn="1" w:lastColumn="0" w:oddVBand="0" w:evenVBand="0" w:oddHBand="0" w:evenHBand="0" w:firstRowFirstColumn="0" w:firstRowLastColumn="0" w:lastRowFirstColumn="0" w:lastRowLastColumn="0"/>
            <w:tcW w:w="1453" w:type="dxa"/>
            <w:vAlign w:val="center"/>
          </w:tcPr>
          <w:p w14:paraId="4D1489EF"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Mushrooms</w:t>
            </w:r>
          </w:p>
        </w:tc>
        <w:tc>
          <w:tcPr>
            <w:tcW w:w="918" w:type="dxa"/>
            <w:gridSpan w:val="2"/>
            <w:vAlign w:val="center"/>
          </w:tcPr>
          <w:p w14:paraId="27FC6B95" w14:textId="70A2E4DE"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0.6</w:t>
            </w:r>
            <w:r w:rsidRPr="00091E61">
              <w:rPr>
                <w:rFonts w:ascii="Arial" w:hAnsi="Arial" w:cs="Arial"/>
                <w:color w:val="215868"/>
                <w:sz w:val="18"/>
                <w:szCs w:val="18"/>
              </w:rPr>
              <w:t>%</w:t>
            </w:r>
          </w:p>
        </w:tc>
        <w:tc>
          <w:tcPr>
            <w:tcW w:w="918" w:type="dxa"/>
            <w:gridSpan w:val="2"/>
            <w:vAlign w:val="center"/>
          </w:tcPr>
          <w:p w14:paraId="19B7F585" w14:textId="44F0EF22"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+19.7%</w:t>
            </w:r>
          </w:p>
        </w:tc>
        <w:tc>
          <w:tcPr>
            <w:tcW w:w="918" w:type="dxa"/>
            <w:vAlign w:val="center"/>
          </w:tcPr>
          <w:p w14:paraId="4152A03F" w14:textId="03464084"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+8.6%</w:t>
            </w:r>
          </w:p>
        </w:tc>
        <w:tc>
          <w:tcPr>
            <w:tcW w:w="917" w:type="dxa"/>
            <w:vAlign w:val="center"/>
          </w:tcPr>
          <w:p w14:paraId="19DA5BD1" w14:textId="77127485"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-12.6%</w:t>
            </w:r>
          </w:p>
        </w:tc>
        <w:tc>
          <w:tcPr>
            <w:tcW w:w="918" w:type="dxa"/>
            <w:vAlign w:val="center"/>
          </w:tcPr>
          <w:p w14:paraId="69012CFA" w14:textId="33A36F50"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-9.2%</w:t>
            </w:r>
          </w:p>
        </w:tc>
        <w:tc>
          <w:tcPr>
            <w:tcW w:w="918" w:type="dxa"/>
            <w:vAlign w:val="center"/>
          </w:tcPr>
          <w:p w14:paraId="6D275AAB" w14:textId="49D39B9B" w:rsidR="00650E52" w:rsidRPr="00576207"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-6.4%</w:t>
            </w:r>
          </w:p>
        </w:tc>
        <w:tc>
          <w:tcPr>
            <w:tcW w:w="917" w:type="dxa"/>
            <w:vAlign w:val="center"/>
          </w:tcPr>
          <w:p w14:paraId="19CE48E3" w14:textId="272192C8" w:rsidR="00650E52" w:rsidRDefault="00650E52" w:rsidP="00AA16AD">
            <w:pPr>
              <w:jc w:val="right"/>
              <w:cnfStyle w:val="000000000000" w:firstRow="0" w:lastRow="0" w:firstColumn="0" w:lastColumn="0" w:oddVBand="0" w:evenVBand="0" w:oddHBand="0" w:evenHBand="0" w:firstRowFirstColumn="0" w:firstRowLastColumn="0" w:lastRowFirstColumn="0" w:lastRowLastColumn="0"/>
            </w:pPr>
            <w:r w:rsidRPr="00DB3E36">
              <w:rPr>
                <w:rFonts w:ascii="Arial" w:hAnsi="Arial" w:cs="Arial"/>
                <w:bCs/>
                <w:color w:val="215868" w:themeColor="accent5" w:themeShade="80"/>
                <w:sz w:val="18"/>
                <w:szCs w:val="18"/>
              </w:rPr>
              <w:t>-6.1%</w:t>
            </w:r>
          </w:p>
        </w:tc>
        <w:tc>
          <w:tcPr>
            <w:tcW w:w="918" w:type="dxa"/>
            <w:vAlign w:val="center"/>
          </w:tcPr>
          <w:p w14:paraId="18C63A4B" w14:textId="51567028"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104</w:t>
            </w:r>
            <w:r w:rsidRPr="00225952">
              <w:rPr>
                <w:rFonts w:ascii="Arial" w:hAnsi="Arial" w:cs="Arial"/>
                <w:bCs/>
                <w:color w:val="215868" w:themeColor="accent5" w:themeShade="80"/>
                <w:sz w:val="18"/>
                <w:szCs w:val="18"/>
              </w:rPr>
              <w:t>M</w:t>
            </w:r>
          </w:p>
        </w:tc>
        <w:tc>
          <w:tcPr>
            <w:tcW w:w="918" w:type="dxa"/>
            <w:vAlign w:val="center"/>
          </w:tcPr>
          <w:p w14:paraId="19CEDC32" w14:textId="39901F09"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6.7</w:t>
            </w:r>
            <w:r w:rsidRPr="00DB3E36">
              <w:rPr>
                <w:rFonts w:ascii="Arial" w:hAnsi="Arial" w:cs="Arial"/>
                <w:bCs/>
                <w:color w:val="215868" w:themeColor="accent5" w:themeShade="80"/>
                <w:sz w:val="18"/>
                <w:szCs w:val="18"/>
              </w:rPr>
              <w:t>%</w:t>
            </w:r>
          </w:p>
        </w:tc>
        <w:tc>
          <w:tcPr>
            <w:tcW w:w="918" w:type="dxa"/>
            <w:vAlign w:val="center"/>
          </w:tcPr>
          <w:p w14:paraId="2FE238B1" w14:textId="6E2D9446"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11.0</w:t>
            </w:r>
            <w:r>
              <w:rPr>
                <w:rFonts w:ascii="Arial" w:hAnsi="Arial" w:cs="Arial"/>
                <w:color w:val="215868" w:themeColor="accent5" w:themeShade="80"/>
                <w:sz w:val="18"/>
                <w:szCs w:val="18"/>
              </w:rPr>
              <w:t>%</w:t>
            </w:r>
          </w:p>
        </w:tc>
      </w:tr>
      <w:tr w:rsidR="00650E52" w14:paraId="501DBCD9" w14:textId="77777777" w:rsidTr="00110FF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3" w:type="dxa"/>
            <w:tcBorders>
              <w:left w:val="none" w:sz="0" w:space="0" w:color="auto"/>
              <w:right w:val="none" w:sz="0" w:space="0" w:color="auto"/>
            </w:tcBorders>
            <w:vAlign w:val="center"/>
          </w:tcPr>
          <w:p w14:paraId="30E7392C" w14:textId="77777777" w:rsidR="00650E52" w:rsidRPr="00576207" w:rsidRDefault="00650E52" w:rsidP="00AA16AD">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Broccoli</w:t>
            </w:r>
          </w:p>
        </w:tc>
        <w:tc>
          <w:tcPr>
            <w:tcW w:w="918" w:type="dxa"/>
            <w:gridSpan w:val="2"/>
            <w:tcBorders>
              <w:left w:val="none" w:sz="0" w:space="0" w:color="auto"/>
              <w:right w:val="none" w:sz="0" w:space="0" w:color="auto"/>
            </w:tcBorders>
            <w:vAlign w:val="center"/>
          </w:tcPr>
          <w:p w14:paraId="31890901" w14:textId="24DB6E6D" w:rsidR="00650E52" w:rsidRPr="00091E61"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Pr>
                <w:rFonts w:ascii="Arial" w:hAnsi="Arial" w:cs="Arial"/>
                <w:color w:val="215868"/>
                <w:sz w:val="18"/>
                <w:szCs w:val="18"/>
              </w:rPr>
              <w:t>7.3</w:t>
            </w:r>
            <w:r w:rsidRPr="00091E61">
              <w:rPr>
                <w:rFonts w:ascii="Arial" w:hAnsi="Arial" w:cs="Arial"/>
                <w:color w:val="215868"/>
                <w:sz w:val="18"/>
                <w:szCs w:val="18"/>
              </w:rPr>
              <w:t>%</w:t>
            </w:r>
          </w:p>
        </w:tc>
        <w:tc>
          <w:tcPr>
            <w:tcW w:w="918" w:type="dxa"/>
            <w:gridSpan w:val="2"/>
            <w:tcBorders>
              <w:left w:val="none" w:sz="0" w:space="0" w:color="auto"/>
              <w:right w:val="none" w:sz="0" w:space="0" w:color="auto"/>
            </w:tcBorders>
            <w:vAlign w:val="center"/>
          </w:tcPr>
          <w:p w14:paraId="712B31CB" w14:textId="4C6FAA8C"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+12.3%</w:t>
            </w:r>
          </w:p>
        </w:tc>
        <w:tc>
          <w:tcPr>
            <w:tcW w:w="918" w:type="dxa"/>
            <w:tcBorders>
              <w:left w:val="none" w:sz="0" w:space="0" w:color="auto"/>
              <w:right w:val="none" w:sz="0" w:space="0" w:color="auto"/>
            </w:tcBorders>
            <w:vAlign w:val="center"/>
          </w:tcPr>
          <w:p w14:paraId="21222F0F" w14:textId="46F298DF"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+5.0%</w:t>
            </w:r>
          </w:p>
        </w:tc>
        <w:tc>
          <w:tcPr>
            <w:tcW w:w="917" w:type="dxa"/>
            <w:tcBorders>
              <w:left w:val="none" w:sz="0" w:space="0" w:color="auto"/>
              <w:right w:val="none" w:sz="0" w:space="0" w:color="auto"/>
            </w:tcBorders>
            <w:vAlign w:val="center"/>
          </w:tcPr>
          <w:p w14:paraId="37742519" w14:textId="60876A03"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-4.9%</w:t>
            </w:r>
          </w:p>
        </w:tc>
        <w:tc>
          <w:tcPr>
            <w:tcW w:w="918" w:type="dxa"/>
            <w:tcBorders>
              <w:left w:val="none" w:sz="0" w:space="0" w:color="auto"/>
              <w:right w:val="none" w:sz="0" w:space="0" w:color="auto"/>
            </w:tcBorders>
            <w:vAlign w:val="center"/>
          </w:tcPr>
          <w:p w14:paraId="7DBFF0F7" w14:textId="3CCB3B51"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-0.2%</w:t>
            </w:r>
          </w:p>
        </w:tc>
        <w:tc>
          <w:tcPr>
            <w:tcW w:w="918" w:type="dxa"/>
            <w:tcBorders>
              <w:left w:val="none" w:sz="0" w:space="0" w:color="auto"/>
              <w:right w:val="none" w:sz="0" w:space="0" w:color="auto"/>
            </w:tcBorders>
            <w:vAlign w:val="center"/>
          </w:tcPr>
          <w:p w14:paraId="478C3F79" w14:textId="77777777" w:rsidR="00650E52"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+7.3%</w:t>
            </w:r>
          </w:p>
        </w:tc>
        <w:tc>
          <w:tcPr>
            <w:tcW w:w="917" w:type="dxa"/>
            <w:tcBorders>
              <w:left w:val="none" w:sz="0" w:space="0" w:color="auto"/>
              <w:right w:val="none" w:sz="0" w:space="0" w:color="auto"/>
            </w:tcBorders>
            <w:vAlign w:val="center"/>
          </w:tcPr>
          <w:p w14:paraId="6A6BD5A7" w14:textId="40B5B736" w:rsidR="00650E52" w:rsidRDefault="00650E52" w:rsidP="00AA16AD">
            <w:pPr>
              <w:jc w:val="right"/>
              <w:cnfStyle w:val="000000100000" w:firstRow="0" w:lastRow="0" w:firstColumn="0" w:lastColumn="0" w:oddVBand="0" w:evenVBand="0" w:oddHBand="1" w:evenHBand="0" w:firstRowFirstColumn="0" w:firstRowLastColumn="0" w:lastRowFirstColumn="0" w:lastRowLastColumn="0"/>
            </w:pPr>
            <w:r w:rsidRPr="00DB3E36">
              <w:rPr>
                <w:rFonts w:ascii="Arial" w:hAnsi="Arial" w:cs="Arial"/>
                <w:bCs/>
                <w:color w:val="215868" w:themeColor="accent5" w:themeShade="80"/>
                <w:sz w:val="18"/>
                <w:szCs w:val="18"/>
              </w:rPr>
              <w:t>+2.7%</w:t>
            </w:r>
          </w:p>
        </w:tc>
        <w:tc>
          <w:tcPr>
            <w:tcW w:w="918" w:type="dxa"/>
            <w:tcBorders>
              <w:left w:val="none" w:sz="0" w:space="0" w:color="auto"/>
              <w:right w:val="none" w:sz="0" w:space="0" w:color="auto"/>
            </w:tcBorders>
            <w:vAlign w:val="center"/>
          </w:tcPr>
          <w:p w14:paraId="1537CAA1" w14:textId="07F1AB4F"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102</w:t>
            </w:r>
            <w:r w:rsidRPr="00225952">
              <w:rPr>
                <w:rFonts w:ascii="Arial" w:hAnsi="Arial" w:cs="Arial"/>
                <w:bCs/>
                <w:color w:val="215868" w:themeColor="accent5" w:themeShade="80"/>
                <w:sz w:val="18"/>
                <w:szCs w:val="18"/>
              </w:rPr>
              <w:t>M</w:t>
            </w:r>
          </w:p>
        </w:tc>
        <w:tc>
          <w:tcPr>
            <w:tcW w:w="918" w:type="dxa"/>
            <w:tcBorders>
              <w:left w:val="none" w:sz="0" w:space="0" w:color="auto"/>
              <w:right w:val="none" w:sz="0" w:space="0" w:color="auto"/>
            </w:tcBorders>
            <w:vAlign w:val="center"/>
          </w:tcPr>
          <w:p w14:paraId="45F0598F" w14:textId="7183CE74" w:rsidR="00650E52" w:rsidRPr="00DB3E36" w:rsidRDefault="00AA16AD"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+6.0</w:t>
            </w:r>
            <w:r w:rsidR="00650E52" w:rsidRPr="00DB3E36">
              <w:rPr>
                <w:rFonts w:ascii="Arial" w:hAnsi="Arial" w:cs="Arial"/>
                <w:bCs/>
                <w:color w:val="215868" w:themeColor="accent5" w:themeShade="80"/>
                <w:sz w:val="18"/>
                <w:szCs w:val="18"/>
              </w:rPr>
              <w:t>%</w:t>
            </w:r>
          </w:p>
        </w:tc>
        <w:tc>
          <w:tcPr>
            <w:tcW w:w="918" w:type="dxa"/>
            <w:tcBorders>
              <w:left w:val="none" w:sz="0" w:space="0" w:color="auto"/>
              <w:right w:val="none" w:sz="0" w:space="0" w:color="auto"/>
            </w:tcBorders>
            <w:vAlign w:val="center"/>
          </w:tcPr>
          <w:p w14:paraId="30A8A063" w14:textId="449F69B1" w:rsidR="00650E52" w:rsidRPr="00DB3E36" w:rsidRDefault="00650E52" w:rsidP="00AA16A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4.4</w:t>
            </w:r>
            <w:r>
              <w:rPr>
                <w:rFonts w:ascii="Arial" w:hAnsi="Arial" w:cs="Arial"/>
                <w:color w:val="215868" w:themeColor="accent5" w:themeShade="80"/>
                <w:sz w:val="18"/>
                <w:szCs w:val="18"/>
              </w:rPr>
              <w:t>%</w:t>
            </w:r>
          </w:p>
        </w:tc>
      </w:tr>
      <w:tr w:rsidR="00650E52" w14:paraId="377CA8DB" w14:textId="77777777" w:rsidTr="00AA16AD">
        <w:trPr>
          <w:trHeight w:val="253"/>
        </w:trPr>
        <w:tc>
          <w:tcPr>
            <w:cnfStyle w:val="001000000000" w:firstRow="0" w:lastRow="0" w:firstColumn="1" w:lastColumn="0" w:oddVBand="0" w:evenVBand="0" w:oddHBand="0" w:evenHBand="0" w:firstRowFirstColumn="0" w:firstRowLastColumn="0" w:lastRowFirstColumn="0" w:lastRowLastColumn="0"/>
            <w:tcW w:w="1453" w:type="dxa"/>
            <w:vAlign w:val="center"/>
          </w:tcPr>
          <w:p w14:paraId="1FE2A43B" w14:textId="77777777" w:rsidR="00650E52" w:rsidRPr="00576207" w:rsidRDefault="00650E52" w:rsidP="00AA16A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Cucumbers</w:t>
            </w:r>
          </w:p>
        </w:tc>
        <w:tc>
          <w:tcPr>
            <w:tcW w:w="918" w:type="dxa"/>
            <w:gridSpan w:val="2"/>
            <w:vAlign w:val="center"/>
          </w:tcPr>
          <w:p w14:paraId="54C32547" w14:textId="0CDA458E" w:rsidR="00650E52" w:rsidRPr="00091E61"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+3.1</w:t>
            </w:r>
            <w:r w:rsidRPr="00091E61">
              <w:rPr>
                <w:rFonts w:ascii="Arial" w:hAnsi="Arial" w:cs="Arial"/>
                <w:color w:val="215868"/>
                <w:sz w:val="18"/>
                <w:szCs w:val="18"/>
              </w:rPr>
              <w:t>%</w:t>
            </w:r>
          </w:p>
        </w:tc>
        <w:tc>
          <w:tcPr>
            <w:tcW w:w="918" w:type="dxa"/>
            <w:gridSpan w:val="2"/>
            <w:vAlign w:val="center"/>
          </w:tcPr>
          <w:p w14:paraId="5D79F752" w14:textId="039437E6"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+18.1%</w:t>
            </w:r>
          </w:p>
        </w:tc>
        <w:tc>
          <w:tcPr>
            <w:tcW w:w="918" w:type="dxa"/>
            <w:vAlign w:val="center"/>
          </w:tcPr>
          <w:p w14:paraId="2B11FF86" w14:textId="3FE61A14"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+10.1%</w:t>
            </w:r>
          </w:p>
        </w:tc>
        <w:tc>
          <w:tcPr>
            <w:tcW w:w="917" w:type="dxa"/>
            <w:vAlign w:val="center"/>
          </w:tcPr>
          <w:p w14:paraId="6C847F62" w14:textId="6514A194"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+3.2%</w:t>
            </w:r>
          </w:p>
        </w:tc>
        <w:tc>
          <w:tcPr>
            <w:tcW w:w="918" w:type="dxa"/>
            <w:vAlign w:val="center"/>
          </w:tcPr>
          <w:p w14:paraId="3217CC49" w14:textId="61C5F6AB"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+4.0%</w:t>
            </w:r>
          </w:p>
        </w:tc>
        <w:tc>
          <w:tcPr>
            <w:tcW w:w="918" w:type="dxa"/>
            <w:vAlign w:val="center"/>
          </w:tcPr>
          <w:p w14:paraId="5604E5C2" w14:textId="24A3793B" w:rsidR="00650E52"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+5.0%</w:t>
            </w:r>
          </w:p>
        </w:tc>
        <w:tc>
          <w:tcPr>
            <w:tcW w:w="917" w:type="dxa"/>
            <w:vAlign w:val="center"/>
          </w:tcPr>
          <w:p w14:paraId="14EF2A22" w14:textId="0D6A14A1" w:rsidR="00650E52" w:rsidRDefault="00650E52" w:rsidP="00AA16AD">
            <w:pPr>
              <w:jc w:val="right"/>
              <w:cnfStyle w:val="000000000000" w:firstRow="0" w:lastRow="0" w:firstColumn="0" w:lastColumn="0" w:oddVBand="0" w:evenVBand="0" w:oddHBand="0" w:evenHBand="0" w:firstRowFirstColumn="0" w:firstRowLastColumn="0" w:lastRowFirstColumn="0" w:lastRowLastColumn="0"/>
            </w:pPr>
            <w:r w:rsidRPr="00DB3E36">
              <w:rPr>
                <w:rFonts w:ascii="Arial" w:hAnsi="Arial" w:cs="Arial"/>
                <w:bCs/>
                <w:color w:val="215868" w:themeColor="accent5" w:themeShade="80"/>
                <w:sz w:val="18"/>
                <w:szCs w:val="18"/>
              </w:rPr>
              <w:t>+1.4%</w:t>
            </w:r>
          </w:p>
        </w:tc>
        <w:tc>
          <w:tcPr>
            <w:tcW w:w="918" w:type="dxa"/>
            <w:vAlign w:val="center"/>
          </w:tcPr>
          <w:p w14:paraId="7EDF6A5F" w14:textId="5D829A26"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225952">
              <w:rPr>
                <w:rFonts w:ascii="Arial" w:hAnsi="Arial" w:cs="Arial"/>
                <w:bCs/>
                <w:color w:val="215868" w:themeColor="accent5" w:themeShade="80"/>
                <w:sz w:val="18"/>
                <w:szCs w:val="18"/>
              </w:rPr>
              <w:t>$</w:t>
            </w:r>
            <w:r w:rsidR="00AA16AD">
              <w:rPr>
                <w:rFonts w:ascii="Arial" w:hAnsi="Arial" w:cs="Arial"/>
                <w:bCs/>
                <w:color w:val="215868" w:themeColor="accent5" w:themeShade="80"/>
                <w:sz w:val="18"/>
                <w:szCs w:val="18"/>
              </w:rPr>
              <w:t>101</w:t>
            </w:r>
            <w:r w:rsidRPr="00225952">
              <w:rPr>
                <w:rFonts w:ascii="Arial" w:hAnsi="Arial" w:cs="Arial"/>
                <w:bCs/>
                <w:color w:val="215868" w:themeColor="accent5" w:themeShade="80"/>
                <w:sz w:val="18"/>
                <w:szCs w:val="18"/>
              </w:rPr>
              <w:t>M</w:t>
            </w:r>
          </w:p>
        </w:tc>
        <w:tc>
          <w:tcPr>
            <w:tcW w:w="918" w:type="dxa"/>
            <w:vAlign w:val="center"/>
          </w:tcPr>
          <w:p w14:paraId="363007FC" w14:textId="3ABD7331" w:rsidR="00650E52" w:rsidRPr="00DB3E36" w:rsidRDefault="00AA16AD"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bCs/>
                <w:color w:val="215868" w:themeColor="accent5" w:themeShade="80"/>
                <w:sz w:val="18"/>
                <w:szCs w:val="18"/>
              </w:rPr>
              <w:t>+5.3</w:t>
            </w:r>
            <w:r w:rsidR="00650E52" w:rsidRPr="00DB3E36">
              <w:rPr>
                <w:rFonts w:ascii="Arial" w:hAnsi="Arial" w:cs="Arial"/>
                <w:bCs/>
                <w:color w:val="215868" w:themeColor="accent5" w:themeShade="80"/>
                <w:sz w:val="18"/>
                <w:szCs w:val="18"/>
              </w:rPr>
              <w:t>%</w:t>
            </w:r>
          </w:p>
        </w:tc>
        <w:tc>
          <w:tcPr>
            <w:tcW w:w="918" w:type="dxa"/>
            <w:vAlign w:val="center"/>
          </w:tcPr>
          <w:p w14:paraId="6BAF19C6" w14:textId="00FB12DD" w:rsidR="00650E52" w:rsidRPr="00DB3E36" w:rsidRDefault="00650E52" w:rsidP="00AA16A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AA16AD">
              <w:rPr>
                <w:rFonts w:ascii="Arial" w:hAnsi="Arial" w:cs="Arial"/>
                <w:color w:val="215868" w:themeColor="accent5" w:themeShade="80"/>
                <w:sz w:val="18"/>
                <w:szCs w:val="18"/>
              </w:rPr>
              <w:t>2.0</w:t>
            </w:r>
            <w:r>
              <w:rPr>
                <w:rFonts w:ascii="Arial" w:hAnsi="Arial" w:cs="Arial"/>
                <w:color w:val="215868" w:themeColor="accent5" w:themeShade="80"/>
                <w:sz w:val="18"/>
                <w:szCs w:val="18"/>
              </w:rPr>
              <w:t>%</w:t>
            </w:r>
          </w:p>
        </w:tc>
      </w:tr>
    </w:tbl>
    <w:p w14:paraId="4466B100" w14:textId="77777777" w:rsidR="00CB1955" w:rsidRPr="0009337A" w:rsidRDefault="00CB1955" w:rsidP="00EC2806">
      <w:pPr>
        <w:pStyle w:val="NoSpacing"/>
        <w:rPr>
          <w:rFonts w:ascii="Arial" w:hAnsi="Arial" w:cs="Arial"/>
          <w:sz w:val="14"/>
          <w:szCs w:val="4"/>
        </w:rPr>
      </w:pPr>
    </w:p>
    <w:p w14:paraId="32A125DE" w14:textId="77777777" w:rsidR="00EC2806" w:rsidRPr="00B35CE9" w:rsidRDefault="00EC2806" w:rsidP="00EC2806">
      <w:pPr>
        <w:pStyle w:val="NoSpacing"/>
        <w:rPr>
          <w:rFonts w:ascii="Arial" w:hAnsi="Arial" w:cs="Arial"/>
          <w:sz w:val="16"/>
          <w:szCs w:val="16"/>
        </w:rPr>
      </w:pPr>
      <w:r w:rsidRPr="00B35CE9">
        <w:rPr>
          <w:rFonts w:ascii="Arial" w:hAnsi="Arial" w:cs="Arial"/>
          <w:sz w:val="16"/>
          <w:szCs w:val="16"/>
        </w:rPr>
        <w:t>Source: Source:</w:t>
      </w:r>
      <w:r w:rsidR="007E5948">
        <w:rPr>
          <w:rFonts w:ascii="Arial" w:hAnsi="Arial" w:cs="Arial"/>
          <w:sz w:val="16"/>
          <w:szCs w:val="16"/>
        </w:rPr>
        <w:t xml:space="preserve"> IRI</w:t>
      </w:r>
      <w:r w:rsidR="00012355">
        <w:rPr>
          <w:rFonts w:ascii="Arial" w:hAnsi="Arial" w:cs="Arial"/>
          <w:sz w:val="16"/>
          <w:szCs w:val="16"/>
        </w:rPr>
        <w:t xml:space="preserve"> Integrated Fresh</w:t>
      </w:r>
      <w:r w:rsidR="007E5948">
        <w:rPr>
          <w:rFonts w:ascii="Arial" w:hAnsi="Arial" w:cs="Arial"/>
          <w:sz w:val="16"/>
          <w:szCs w:val="16"/>
        </w:rPr>
        <w:t>, Total U.S., MULO</w:t>
      </w:r>
    </w:p>
    <w:p w14:paraId="6B367975" w14:textId="77777777" w:rsidR="00F8382F" w:rsidRDefault="00F8382F" w:rsidP="00D77735">
      <w:pPr>
        <w:spacing w:after="0" w:line="240" w:lineRule="auto"/>
        <w:rPr>
          <w:rFonts w:ascii="Arial" w:hAnsi="Arial" w:cs="Arial"/>
          <w:b/>
          <w:color w:val="595959" w:themeColor="text1" w:themeTint="A6"/>
          <w:sz w:val="24"/>
          <w:szCs w:val="24"/>
        </w:rPr>
      </w:pPr>
    </w:p>
    <w:p w14:paraId="23DE661B" w14:textId="67671ABD" w:rsidR="009E5261" w:rsidRPr="001A4F53" w:rsidRDefault="00280853" w:rsidP="009E5261">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 xml:space="preserve">Fresh Produce </w:t>
      </w:r>
      <w:r w:rsidR="009E5261" w:rsidRPr="005E2F61">
        <w:rPr>
          <w:rFonts w:ascii="Arial" w:hAnsi="Arial" w:cs="Arial"/>
          <w:b/>
          <w:color w:val="595959" w:themeColor="text1" w:themeTint="A6"/>
          <w:sz w:val="24"/>
          <w:szCs w:val="20"/>
        </w:rPr>
        <w:t xml:space="preserve">Absolute Dollar </w:t>
      </w:r>
      <w:r>
        <w:rPr>
          <w:rFonts w:ascii="Arial" w:hAnsi="Arial" w:cs="Arial"/>
          <w:b/>
          <w:color w:val="595959" w:themeColor="text1" w:themeTint="A6"/>
          <w:sz w:val="24"/>
          <w:szCs w:val="20"/>
        </w:rPr>
        <w:t>Gains</w:t>
      </w:r>
    </w:p>
    <w:p w14:paraId="25FFE32A" w14:textId="2BAD8849" w:rsidR="009E5261" w:rsidRPr="00B35CE9" w:rsidRDefault="009E5261" w:rsidP="009E5261">
      <w:pPr>
        <w:pStyle w:val="NoSpacing"/>
        <w:rPr>
          <w:rFonts w:ascii="Arial" w:hAnsi="Arial" w:cs="Arial"/>
          <w:sz w:val="20"/>
          <w:szCs w:val="20"/>
        </w:rPr>
      </w:pPr>
      <w:r>
        <w:rPr>
          <w:rFonts w:ascii="Arial" w:hAnsi="Arial" w:cs="Arial"/>
          <w:sz w:val="20"/>
          <w:szCs w:val="20"/>
        </w:rPr>
        <w:t>“</w:t>
      </w:r>
      <w:r w:rsidR="00E4420B">
        <w:rPr>
          <w:rFonts w:ascii="Arial" w:hAnsi="Arial" w:cs="Arial"/>
          <w:sz w:val="20"/>
          <w:szCs w:val="20"/>
        </w:rPr>
        <w:t xml:space="preserve">The top 10 </w:t>
      </w:r>
      <w:r w:rsidR="00A225C7">
        <w:rPr>
          <w:rFonts w:ascii="Arial" w:hAnsi="Arial" w:cs="Arial"/>
          <w:sz w:val="20"/>
          <w:szCs w:val="20"/>
        </w:rPr>
        <w:t xml:space="preserve">in absolute dollar gains </w:t>
      </w:r>
      <w:r w:rsidR="00E4420B">
        <w:rPr>
          <w:rFonts w:ascii="Arial" w:hAnsi="Arial" w:cs="Arial"/>
          <w:sz w:val="20"/>
          <w:szCs w:val="20"/>
        </w:rPr>
        <w:t>show</w:t>
      </w:r>
      <w:r w:rsidR="00A225C7">
        <w:rPr>
          <w:rFonts w:ascii="Arial" w:hAnsi="Arial" w:cs="Arial"/>
          <w:sz w:val="20"/>
          <w:szCs w:val="20"/>
        </w:rPr>
        <w:t>ed</w:t>
      </w:r>
      <w:r w:rsidR="00E4420B">
        <w:rPr>
          <w:rFonts w:ascii="Arial" w:hAnsi="Arial" w:cs="Arial"/>
          <w:sz w:val="20"/>
          <w:szCs w:val="20"/>
        </w:rPr>
        <w:t xml:space="preserve"> </w:t>
      </w:r>
      <w:r w:rsidR="00110FF9">
        <w:rPr>
          <w:rFonts w:ascii="Arial" w:hAnsi="Arial" w:cs="Arial"/>
          <w:sz w:val="20"/>
          <w:szCs w:val="20"/>
        </w:rPr>
        <w:t xml:space="preserve">that smaller sellers, limes and mixed fruit, can still be big contributors to </w:t>
      </w:r>
      <w:r w:rsidR="001D5C1A">
        <w:rPr>
          <w:rFonts w:ascii="Arial" w:hAnsi="Arial" w:cs="Arial"/>
          <w:sz w:val="20"/>
          <w:szCs w:val="20"/>
        </w:rPr>
        <w:t>department growth</w:t>
      </w:r>
      <w:r w:rsidR="004D26B3">
        <w:rPr>
          <w:rFonts w:ascii="Arial" w:hAnsi="Arial" w:cs="Arial"/>
          <w:sz w:val="20"/>
          <w:szCs w:val="20"/>
        </w:rPr>
        <w:t>,</w:t>
      </w:r>
      <w:r>
        <w:rPr>
          <w:rFonts w:ascii="Arial" w:hAnsi="Arial" w:cs="Arial"/>
          <w:sz w:val="20"/>
          <w:szCs w:val="20"/>
        </w:rPr>
        <w:t>”</w:t>
      </w:r>
      <w:r w:rsidR="004D26B3">
        <w:rPr>
          <w:rFonts w:ascii="Arial" w:hAnsi="Arial" w:cs="Arial"/>
          <w:sz w:val="20"/>
          <w:szCs w:val="20"/>
        </w:rPr>
        <w:t xml:space="preserve"> said </w:t>
      </w:r>
      <w:r w:rsidR="000D5031">
        <w:rPr>
          <w:rFonts w:ascii="Arial" w:hAnsi="Arial" w:cs="Arial"/>
          <w:sz w:val="20"/>
          <w:szCs w:val="20"/>
        </w:rPr>
        <w:t>Parker</w:t>
      </w:r>
      <w:r w:rsidR="004D26B3">
        <w:rPr>
          <w:rFonts w:ascii="Arial" w:hAnsi="Arial" w:cs="Arial"/>
          <w:sz w:val="20"/>
          <w:szCs w:val="20"/>
        </w:rPr>
        <w:t>. “</w:t>
      </w:r>
      <w:r w:rsidR="0087772C">
        <w:rPr>
          <w:rFonts w:ascii="Arial" w:hAnsi="Arial" w:cs="Arial"/>
          <w:sz w:val="20"/>
          <w:szCs w:val="20"/>
        </w:rPr>
        <w:t>But more than anything, it shows the impact of inflation.</w:t>
      </w:r>
      <w:r w:rsidR="00110FF9">
        <w:rPr>
          <w:rFonts w:ascii="Arial" w:hAnsi="Arial" w:cs="Arial"/>
          <w:sz w:val="20"/>
          <w:szCs w:val="20"/>
        </w:rPr>
        <w:t xml:space="preserve"> With the exception of mixed fruit and salad kits, all top 10 growth areas had double-digit inflation</w:t>
      </w:r>
      <w:r w:rsidR="00024B5F">
        <w:rPr>
          <w:rFonts w:ascii="Arial" w:hAnsi="Arial" w:cs="Arial"/>
          <w:sz w:val="20"/>
          <w:szCs w:val="20"/>
        </w:rPr>
        <w:t>,</w:t>
      </w:r>
      <w:r w:rsidR="00110FF9">
        <w:rPr>
          <w:rFonts w:ascii="Arial" w:hAnsi="Arial" w:cs="Arial"/>
          <w:sz w:val="20"/>
          <w:szCs w:val="20"/>
        </w:rPr>
        <w:t xml:space="preserve"> led by </w:t>
      </w:r>
      <w:r w:rsidR="00024B5F">
        <w:rPr>
          <w:rFonts w:ascii="Arial" w:hAnsi="Arial" w:cs="Arial"/>
          <w:sz w:val="20"/>
          <w:szCs w:val="20"/>
        </w:rPr>
        <w:t xml:space="preserve">much higher prices year-over-year for </w:t>
      </w:r>
      <w:r w:rsidR="00110FF9">
        <w:rPr>
          <w:rFonts w:ascii="Arial" w:hAnsi="Arial" w:cs="Arial"/>
          <w:sz w:val="20"/>
          <w:szCs w:val="20"/>
        </w:rPr>
        <w:t>limes and avocados</w:t>
      </w:r>
      <w:r w:rsidR="00CC2438">
        <w:rPr>
          <w:rFonts w:ascii="Arial" w:hAnsi="Arial" w:cs="Arial"/>
          <w:sz w:val="20"/>
          <w:szCs w:val="20"/>
        </w:rPr>
        <w:t>.</w:t>
      </w:r>
      <w:r w:rsidR="008D0E13">
        <w:rPr>
          <w:rFonts w:ascii="Arial" w:hAnsi="Arial" w:cs="Arial"/>
          <w:sz w:val="20"/>
          <w:szCs w:val="20"/>
        </w:rPr>
        <w:t xml:space="preserve"> </w:t>
      </w:r>
      <w:r w:rsidR="00D4006C">
        <w:rPr>
          <w:rFonts w:ascii="Arial" w:hAnsi="Arial" w:cs="Arial"/>
          <w:sz w:val="20"/>
          <w:szCs w:val="20"/>
        </w:rPr>
        <w:t xml:space="preserve">Meanwhile, </w:t>
      </w:r>
      <w:r w:rsidR="008D0E13">
        <w:rPr>
          <w:rFonts w:ascii="Arial" w:hAnsi="Arial" w:cs="Arial"/>
          <w:sz w:val="20"/>
          <w:szCs w:val="20"/>
        </w:rPr>
        <w:t>salad kits</w:t>
      </w:r>
      <w:r w:rsidR="00D4006C">
        <w:rPr>
          <w:rFonts w:ascii="Arial" w:hAnsi="Arial" w:cs="Arial"/>
          <w:sz w:val="20"/>
          <w:szCs w:val="20"/>
        </w:rPr>
        <w:t xml:space="preserve"> continue to be strong sellers, </w:t>
      </w:r>
      <w:r w:rsidR="0063505C">
        <w:rPr>
          <w:rFonts w:ascii="Arial" w:hAnsi="Arial" w:cs="Arial"/>
          <w:sz w:val="20"/>
          <w:szCs w:val="20"/>
        </w:rPr>
        <w:t xml:space="preserve">and I think </w:t>
      </w:r>
      <w:r w:rsidR="00024B5F">
        <w:rPr>
          <w:rFonts w:ascii="Arial" w:hAnsi="Arial" w:cs="Arial"/>
          <w:sz w:val="20"/>
          <w:szCs w:val="20"/>
        </w:rPr>
        <w:t xml:space="preserve">at-home </w:t>
      </w:r>
      <w:r w:rsidR="0063505C">
        <w:rPr>
          <w:rFonts w:ascii="Arial" w:hAnsi="Arial" w:cs="Arial"/>
          <w:sz w:val="20"/>
          <w:szCs w:val="20"/>
        </w:rPr>
        <w:t>lunch is an important part of that. We still have a lot more people working from home today than we did pre-pandemic and our February survey showed that salads are among the top five things people make for lunch when at home.</w:t>
      </w:r>
      <w:r w:rsidR="00110FF9">
        <w:rPr>
          <w:rFonts w:ascii="Arial" w:hAnsi="Arial" w:cs="Arial"/>
          <w:sz w:val="20"/>
          <w:szCs w:val="20"/>
        </w:rPr>
        <w:t>”</w:t>
      </w:r>
      <w:r w:rsidR="00CC2438">
        <w:rPr>
          <w:rFonts w:ascii="Arial" w:hAnsi="Arial" w:cs="Arial"/>
          <w:sz w:val="20"/>
          <w:szCs w:val="20"/>
        </w:rPr>
        <w:t xml:space="preserve"> </w:t>
      </w:r>
      <w:r w:rsidR="0039690E">
        <w:rPr>
          <w:rFonts w:ascii="Arial" w:hAnsi="Arial" w:cs="Arial"/>
          <w:sz w:val="20"/>
          <w:szCs w:val="20"/>
        </w:rPr>
        <w:t xml:space="preserve"> </w:t>
      </w:r>
      <w:r>
        <w:rPr>
          <w:rFonts w:ascii="Arial" w:hAnsi="Arial" w:cs="Arial"/>
          <w:sz w:val="20"/>
          <w:szCs w:val="20"/>
        </w:rPr>
        <w:t xml:space="preserve"> </w:t>
      </w:r>
    </w:p>
    <w:p w14:paraId="64BA956D" w14:textId="77777777" w:rsidR="00470A5F" w:rsidRDefault="00470A5F" w:rsidP="009E5261">
      <w:pPr>
        <w:pStyle w:val="NoSpacing"/>
        <w:rPr>
          <w:rFonts w:ascii="Arial" w:hAnsi="Arial" w:cs="Arial"/>
          <w:sz w:val="10"/>
          <w:szCs w:val="10"/>
        </w:rPr>
      </w:pPr>
    </w:p>
    <w:p w14:paraId="65036843" w14:textId="77777777" w:rsidR="00470A5F" w:rsidRPr="00E62AA9" w:rsidRDefault="00470A5F" w:rsidP="009E5261">
      <w:pPr>
        <w:pStyle w:val="NoSpacing"/>
        <w:rPr>
          <w:rFonts w:ascii="Arial" w:hAnsi="Arial" w:cs="Arial"/>
          <w:sz w:val="10"/>
          <w:szCs w:val="10"/>
        </w:rPr>
      </w:pPr>
    </w:p>
    <w:tbl>
      <w:tblPr>
        <w:tblStyle w:val="LightShading-Accent5"/>
        <w:tblW w:w="10458" w:type="dxa"/>
        <w:tblBorders>
          <w:top w:val="none" w:sz="0" w:space="0" w:color="auto"/>
          <w:bottom w:val="none" w:sz="0" w:space="0" w:color="auto"/>
        </w:tblBorders>
        <w:tblLook w:val="04A0" w:firstRow="1" w:lastRow="0" w:firstColumn="1" w:lastColumn="0" w:noHBand="0" w:noVBand="1"/>
      </w:tblPr>
      <w:tblGrid>
        <w:gridCol w:w="3008"/>
        <w:gridCol w:w="1862"/>
        <w:gridCol w:w="1863"/>
        <w:gridCol w:w="1862"/>
        <w:gridCol w:w="600"/>
        <w:gridCol w:w="1263"/>
      </w:tblGrid>
      <w:tr w:rsidR="0087772C" w:rsidRPr="00764049" w14:paraId="6F319179" w14:textId="77777777" w:rsidTr="0087772C">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EC3C13C" w14:textId="5F86A4B3" w:rsidR="0087772C" w:rsidRPr="001A4F53" w:rsidRDefault="00110FF9" w:rsidP="00F103B9">
            <w:pPr>
              <w:pStyle w:val="NoSpacing"/>
              <w:rPr>
                <w:rFonts w:ascii="Arial" w:hAnsi="Arial" w:cs="Arial"/>
                <w:color w:val="FFFFFF" w:themeColor="background1"/>
                <w:sz w:val="18"/>
                <w:szCs w:val="18"/>
              </w:rPr>
            </w:pPr>
            <w:r>
              <w:rPr>
                <w:rFonts w:ascii="Arial" w:hAnsi="Arial" w:cs="Arial"/>
                <w:color w:val="FFFFFF" w:themeColor="background1"/>
                <w:sz w:val="18"/>
                <w:szCs w:val="18"/>
              </w:rPr>
              <w:t xml:space="preserve">February </w:t>
            </w:r>
            <w:r w:rsidR="002C11A9">
              <w:rPr>
                <w:rFonts w:ascii="Arial" w:hAnsi="Arial" w:cs="Arial"/>
                <w:color w:val="FFFFFF" w:themeColor="background1"/>
                <w:sz w:val="18"/>
                <w:szCs w:val="18"/>
              </w:rPr>
              <w:t>2022</w:t>
            </w:r>
          </w:p>
        </w:tc>
        <w:tc>
          <w:tcPr>
            <w:tcW w:w="6187" w:type="dxa"/>
            <w:gridSpan w:val="4"/>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6D8EE0B" w14:textId="77777777" w:rsidR="0087772C" w:rsidRPr="001A4F53" w:rsidRDefault="0087772C" w:rsidP="002C11A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Versus comparable period</w:t>
            </w:r>
            <w:r w:rsidRPr="001A4F53">
              <w:rPr>
                <w:rFonts w:ascii="Arial" w:hAnsi="Arial" w:cs="Arial"/>
                <w:color w:val="FFFFFF" w:themeColor="background1"/>
                <w:sz w:val="18"/>
                <w:szCs w:val="18"/>
              </w:rPr>
              <w:t xml:space="preserve"> in 20</w:t>
            </w:r>
            <w:r>
              <w:rPr>
                <w:rFonts w:ascii="Arial" w:hAnsi="Arial" w:cs="Arial"/>
                <w:color w:val="FFFFFF" w:themeColor="background1"/>
                <w:sz w:val="18"/>
                <w:szCs w:val="18"/>
              </w:rPr>
              <w:t>2</w:t>
            </w:r>
            <w:r w:rsidR="002C11A9">
              <w:rPr>
                <w:rFonts w:ascii="Arial" w:hAnsi="Arial" w:cs="Arial"/>
                <w:color w:val="FFFFFF" w:themeColor="background1"/>
                <w:sz w:val="18"/>
                <w:szCs w:val="18"/>
              </w:rPr>
              <w:t>1</w:t>
            </w:r>
          </w:p>
        </w:tc>
        <w:tc>
          <w:tcPr>
            <w:tcW w:w="1263"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B30EE45" w14:textId="77777777" w:rsidR="0087772C" w:rsidRDefault="0087772C"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87772C" w:rsidRPr="00764049" w14:paraId="74A228B9" w14:textId="77777777" w:rsidTr="0087772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left w:val="none" w:sz="0" w:space="0" w:color="auto"/>
              <w:right w:val="none" w:sz="0" w:space="0" w:color="auto"/>
            </w:tcBorders>
            <w:shd w:val="clear" w:color="auto" w:fill="17365D" w:themeFill="text2" w:themeFillShade="BF"/>
            <w:vAlign w:val="center"/>
          </w:tcPr>
          <w:p w14:paraId="5BA6C8F0" w14:textId="77777777" w:rsidR="0087772C" w:rsidRPr="001A4F53" w:rsidRDefault="0087772C" w:rsidP="00F103B9">
            <w:pPr>
              <w:pStyle w:val="NoSpacing"/>
              <w:rPr>
                <w:rFonts w:ascii="Arial" w:hAnsi="Arial" w:cs="Arial"/>
                <w:color w:val="FFFFFF" w:themeColor="background1"/>
                <w:sz w:val="18"/>
                <w:szCs w:val="18"/>
              </w:rPr>
            </w:pPr>
            <w:r w:rsidRPr="001A4F53">
              <w:rPr>
                <w:rFonts w:ascii="Arial" w:hAnsi="Arial" w:cs="Arial"/>
                <w:color w:val="FFFFFF" w:themeColor="background1"/>
                <w:sz w:val="18"/>
                <w:szCs w:val="18"/>
              </w:rPr>
              <w:t xml:space="preserve">Top 10 produce items in absolute dollar growth </w:t>
            </w:r>
          </w:p>
        </w:tc>
        <w:tc>
          <w:tcPr>
            <w:tcW w:w="1862" w:type="dxa"/>
            <w:tcBorders>
              <w:left w:val="none" w:sz="0" w:space="0" w:color="auto"/>
              <w:right w:val="none" w:sz="0" w:space="0" w:color="auto"/>
            </w:tcBorders>
            <w:shd w:val="clear" w:color="auto" w:fill="17365D" w:themeFill="text2" w:themeFillShade="BF"/>
            <w:vAlign w:val="center"/>
          </w:tcPr>
          <w:p w14:paraId="2877944D"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Absolute dollar gain </w:t>
            </w:r>
          </w:p>
        </w:tc>
        <w:tc>
          <w:tcPr>
            <w:tcW w:w="1863" w:type="dxa"/>
            <w:tcBorders>
              <w:left w:val="none" w:sz="0" w:space="0" w:color="auto"/>
              <w:right w:val="none" w:sz="0" w:space="0" w:color="auto"/>
            </w:tcBorders>
            <w:shd w:val="clear" w:color="auto" w:fill="17365D" w:themeFill="text2" w:themeFillShade="BF"/>
            <w:vAlign w:val="center"/>
          </w:tcPr>
          <w:p w14:paraId="0E812425"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Dollar % </w:t>
            </w:r>
            <w:r>
              <w:rPr>
                <w:rFonts w:ascii="Arial" w:hAnsi="Arial" w:cs="Arial"/>
                <w:b/>
                <w:color w:val="FFFFFF" w:themeColor="background1"/>
                <w:sz w:val="18"/>
                <w:szCs w:val="18"/>
              </w:rPr>
              <w:t>growth</w:t>
            </w:r>
          </w:p>
        </w:tc>
        <w:tc>
          <w:tcPr>
            <w:tcW w:w="1862" w:type="dxa"/>
            <w:tcBorders>
              <w:left w:val="none" w:sz="0" w:space="0" w:color="auto"/>
              <w:right w:val="none" w:sz="0" w:space="0" w:color="auto"/>
            </w:tcBorders>
            <w:shd w:val="clear" w:color="auto" w:fill="17365D" w:themeFill="text2" w:themeFillShade="BF"/>
            <w:vAlign w:val="center"/>
          </w:tcPr>
          <w:p w14:paraId="0B544E93"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Total dollar sales</w:t>
            </w:r>
          </w:p>
        </w:tc>
        <w:tc>
          <w:tcPr>
            <w:tcW w:w="1863" w:type="dxa"/>
            <w:gridSpan w:val="2"/>
            <w:tcBorders>
              <w:left w:val="none" w:sz="0" w:space="0" w:color="auto"/>
              <w:right w:val="none" w:sz="0" w:space="0" w:color="auto"/>
            </w:tcBorders>
            <w:shd w:val="clear" w:color="auto" w:fill="17365D" w:themeFill="text2" w:themeFillShade="BF"/>
          </w:tcPr>
          <w:p w14:paraId="3C571A8B"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Increase in price per pound</w:t>
            </w:r>
          </w:p>
        </w:tc>
      </w:tr>
      <w:tr w:rsidR="0087772C" w:rsidRPr="0039690E" w14:paraId="04F1D0AF" w14:textId="77777777" w:rsidTr="0087772C">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C01466F" w14:textId="77777777" w:rsidR="0087772C" w:rsidRPr="0039690E" w:rsidRDefault="0087772C" w:rsidP="000166DA">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Berries</w:t>
            </w:r>
          </w:p>
        </w:tc>
        <w:tc>
          <w:tcPr>
            <w:tcW w:w="1862" w:type="dxa"/>
            <w:vAlign w:val="center"/>
          </w:tcPr>
          <w:p w14:paraId="27F7C24E" w14:textId="11099235" w:rsidR="0087772C" w:rsidRPr="0039690E" w:rsidRDefault="002C11A9"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1F074D">
              <w:rPr>
                <w:rFonts w:ascii="Arial" w:hAnsi="Arial" w:cs="Arial"/>
                <w:color w:val="215868" w:themeColor="accent5" w:themeShade="80"/>
                <w:sz w:val="18"/>
                <w:szCs w:val="18"/>
              </w:rPr>
              <w:t>123</w:t>
            </w:r>
            <w:r w:rsidR="0087772C" w:rsidRPr="0039690E">
              <w:rPr>
                <w:rFonts w:ascii="Arial" w:hAnsi="Arial" w:cs="Arial"/>
                <w:color w:val="215868" w:themeColor="accent5" w:themeShade="80"/>
                <w:sz w:val="18"/>
                <w:szCs w:val="18"/>
              </w:rPr>
              <w:t>M</w:t>
            </w:r>
          </w:p>
        </w:tc>
        <w:tc>
          <w:tcPr>
            <w:tcW w:w="1863" w:type="dxa"/>
            <w:vAlign w:val="center"/>
          </w:tcPr>
          <w:p w14:paraId="66E5E3BB" w14:textId="508FEE29" w:rsidR="0087772C" w:rsidRPr="0039690E" w:rsidRDefault="0087772C"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39690E">
              <w:rPr>
                <w:rFonts w:ascii="Arial" w:hAnsi="Arial" w:cs="Arial"/>
                <w:color w:val="215868" w:themeColor="accent5" w:themeShade="80"/>
                <w:sz w:val="18"/>
                <w:szCs w:val="18"/>
              </w:rPr>
              <w:t>+</w:t>
            </w:r>
            <w:r w:rsidR="001F074D">
              <w:rPr>
                <w:rFonts w:ascii="Arial" w:hAnsi="Arial" w:cs="Arial"/>
                <w:color w:val="215868" w:themeColor="accent5" w:themeShade="80"/>
                <w:sz w:val="18"/>
                <w:szCs w:val="18"/>
              </w:rPr>
              <w:t>19.4</w:t>
            </w:r>
            <w:r w:rsidRPr="0039690E">
              <w:rPr>
                <w:rFonts w:ascii="Arial" w:hAnsi="Arial" w:cs="Arial"/>
                <w:color w:val="215868" w:themeColor="accent5" w:themeShade="80"/>
                <w:sz w:val="18"/>
                <w:szCs w:val="18"/>
              </w:rPr>
              <w:t>%</w:t>
            </w:r>
          </w:p>
        </w:tc>
        <w:tc>
          <w:tcPr>
            <w:tcW w:w="1862" w:type="dxa"/>
            <w:vAlign w:val="center"/>
          </w:tcPr>
          <w:p w14:paraId="1C5E5C05" w14:textId="5B423B91" w:rsidR="0087772C" w:rsidRPr="0039690E" w:rsidRDefault="0087772C"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39690E">
              <w:rPr>
                <w:rFonts w:ascii="Arial" w:hAnsi="Arial" w:cs="Arial"/>
                <w:color w:val="215868" w:themeColor="accent5" w:themeShade="80"/>
                <w:sz w:val="18"/>
                <w:szCs w:val="18"/>
              </w:rPr>
              <w:t>$</w:t>
            </w:r>
            <w:r w:rsidR="001F074D">
              <w:rPr>
                <w:rFonts w:ascii="Arial" w:hAnsi="Arial" w:cs="Arial"/>
                <w:color w:val="215868" w:themeColor="accent5" w:themeShade="80"/>
                <w:sz w:val="18"/>
                <w:szCs w:val="18"/>
              </w:rPr>
              <w:t>756</w:t>
            </w:r>
            <w:r w:rsidRPr="0039690E">
              <w:rPr>
                <w:rFonts w:ascii="Arial" w:hAnsi="Arial" w:cs="Arial"/>
                <w:color w:val="215868" w:themeColor="accent5" w:themeShade="80"/>
                <w:sz w:val="18"/>
                <w:szCs w:val="18"/>
              </w:rPr>
              <w:t>M</w:t>
            </w:r>
          </w:p>
        </w:tc>
        <w:tc>
          <w:tcPr>
            <w:tcW w:w="1863" w:type="dxa"/>
            <w:gridSpan w:val="2"/>
          </w:tcPr>
          <w:p w14:paraId="6AFCF28C" w14:textId="48469BF2" w:rsidR="0087772C" w:rsidRPr="0039690E" w:rsidRDefault="002C11A9"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16.1</w:t>
            </w:r>
            <w:r w:rsidR="0087772C">
              <w:rPr>
                <w:rFonts w:ascii="Arial" w:hAnsi="Arial" w:cs="Arial"/>
                <w:color w:val="215868" w:themeColor="accent5" w:themeShade="80"/>
                <w:sz w:val="18"/>
                <w:szCs w:val="18"/>
              </w:rPr>
              <w:t>%</w:t>
            </w:r>
          </w:p>
        </w:tc>
      </w:tr>
      <w:tr w:rsidR="001F074D" w:rsidRPr="0039690E" w14:paraId="43381836" w14:textId="77777777" w:rsidTr="00DB2D6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68569A2" w14:textId="77777777" w:rsidR="001F074D" w:rsidRPr="0039690E" w:rsidRDefault="001F074D" w:rsidP="00DB2D60">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Avocados</w:t>
            </w:r>
          </w:p>
        </w:tc>
        <w:tc>
          <w:tcPr>
            <w:tcW w:w="1862" w:type="dxa"/>
            <w:vAlign w:val="center"/>
          </w:tcPr>
          <w:p w14:paraId="473224CC" w14:textId="650E2269" w:rsidR="001F074D" w:rsidRDefault="001F074D" w:rsidP="00DB2D60">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+$42</w:t>
            </w:r>
            <w:r w:rsidRPr="0039690E">
              <w:rPr>
                <w:rFonts w:ascii="Arial" w:hAnsi="Arial" w:cs="Arial"/>
                <w:color w:val="215868" w:themeColor="accent5" w:themeShade="80"/>
                <w:sz w:val="18"/>
                <w:szCs w:val="18"/>
              </w:rPr>
              <w:t>M</w:t>
            </w:r>
          </w:p>
        </w:tc>
        <w:tc>
          <w:tcPr>
            <w:tcW w:w="1863" w:type="dxa"/>
            <w:vAlign w:val="center"/>
          </w:tcPr>
          <w:p w14:paraId="69BA81BF" w14:textId="3BEFA767" w:rsidR="001F074D" w:rsidRDefault="001F074D" w:rsidP="00DB2D60">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22.4</w:t>
            </w:r>
            <w:r w:rsidRPr="0039690E">
              <w:rPr>
                <w:rFonts w:ascii="Arial" w:hAnsi="Arial" w:cs="Arial"/>
                <w:color w:val="215868" w:themeColor="accent5" w:themeShade="80"/>
                <w:sz w:val="18"/>
                <w:szCs w:val="18"/>
              </w:rPr>
              <w:t>%</w:t>
            </w:r>
          </w:p>
        </w:tc>
        <w:tc>
          <w:tcPr>
            <w:tcW w:w="1862" w:type="dxa"/>
            <w:vAlign w:val="center"/>
          </w:tcPr>
          <w:p w14:paraId="33105BD9" w14:textId="785501A8" w:rsidR="001F074D" w:rsidRDefault="001F074D" w:rsidP="00DB2D60">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228</w:t>
            </w:r>
            <w:r w:rsidRPr="0039690E">
              <w:rPr>
                <w:rFonts w:ascii="Arial" w:hAnsi="Arial" w:cs="Arial"/>
                <w:color w:val="215868" w:themeColor="accent5" w:themeShade="80"/>
                <w:sz w:val="18"/>
                <w:szCs w:val="18"/>
              </w:rPr>
              <w:t>M</w:t>
            </w:r>
          </w:p>
        </w:tc>
        <w:tc>
          <w:tcPr>
            <w:tcW w:w="1863" w:type="dxa"/>
            <w:gridSpan w:val="2"/>
          </w:tcPr>
          <w:p w14:paraId="15A0570C" w14:textId="3684BD4A" w:rsidR="001F074D" w:rsidRDefault="001F074D" w:rsidP="00DB2D60">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36.6</w:t>
            </w:r>
            <w:r>
              <w:rPr>
                <w:rFonts w:ascii="Arial" w:hAnsi="Arial" w:cs="Arial"/>
                <w:color w:val="215868" w:themeColor="accent5" w:themeShade="80"/>
                <w:sz w:val="18"/>
                <w:szCs w:val="18"/>
              </w:rPr>
              <w:t>%</w:t>
            </w:r>
          </w:p>
        </w:tc>
      </w:tr>
      <w:tr w:rsidR="001F074D" w:rsidRPr="0039690E" w14:paraId="75511BE8" w14:textId="77777777" w:rsidTr="00451DC5">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DB301F9" w14:textId="77777777"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Melons</w:t>
            </w:r>
          </w:p>
        </w:tc>
        <w:tc>
          <w:tcPr>
            <w:tcW w:w="1862" w:type="dxa"/>
            <w:vAlign w:val="center"/>
          </w:tcPr>
          <w:p w14:paraId="575F9CA6" w14:textId="588660FA"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+$32</w:t>
            </w:r>
            <w:r w:rsidRPr="0039690E">
              <w:rPr>
                <w:rFonts w:ascii="Arial" w:hAnsi="Arial" w:cs="Arial"/>
                <w:color w:val="215868" w:themeColor="accent5" w:themeShade="80"/>
                <w:sz w:val="18"/>
                <w:szCs w:val="18"/>
              </w:rPr>
              <w:t>M</w:t>
            </w:r>
          </w:p>
        </w:tc>
        <w:tc>
          <w:tcPr>
            <w:tcW w:w="1863" w:type="dxa"/>
            <w:vAlign w:val="center"/>
          </w:tcPr>
          <w:p w14:paraId="0A097B6D" w14:textId="47087ABB"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29.7</w:t>
            </w:r>
            <w:r w:rsidRPr="0039690E">
              <w:rPr>
                <w:rFonts w:ascii="Arial" w:hAnsi="Arial" w:cs="Arial"/>
                <w:color w:val="215868" w:themeColor="accent5" w:themeShade="80"/>
                <w:sz w:val="18"/>
                <w:szCs w:val="18"/>
              </w:rPr>
              <w:t>%</w:t>
            </w:r>
          </w:p>
        </w:tc>
        <w:tc>
          <w:tcPr>
            <w:tcW w:w="1862" w:type="dxa"/>
            <w:vAlign w:val="center"/>
          </w:tcPr>
          <w:p w14:paraId="28D0C663" w14:textId="35FB3703"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141</w:t>
            </w:r>
            <w:r w:rsidRPr="0039690E">
              <w:rPr>
                <w:rFonts w:ascii="Arial" w:hAnsi="Arial" w:cs="Arial"/>
                <w:color w:val="215868" w:themeColor="accent5" w:themeShade="80"/>
                <w:sz w:val="18"/>
                <w:szCs w:val="18"/>
              </w:rPr>
              <w:t>M</w:t>
            </w:r>
          </w:p>
        </w:tc>
        <w:tc>
          <w:tcPr>
            <w:tcW w:w="1863" w:type="dxa"/>
            <w:gridSpan w:val="2"/>
          </w:tcPr>
          <w:p w14:paraId="6C5789DF" w14:textId="24FF648C"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10.2</w:t>
            </w:r>
            <w:r>
              <w:rPr>
                <w:rFonts w:ascii="Arial" w:hAnsi="Arial" w:cs="Arial"/>
                <w:color w:val="215868" w:themeColor="accent5" w:themeShade="80"/>
                <w:sz w:val="18"/>
                <w:szCs w:val="18"/>
              </w:rPr>
              <w:t>%</w:t>
            </w:r>
          </w:p>
        </w:tc>
      </w:tr>
      <w:tr w:rsidR="001F074D" w:rsidRPr="0039690E" w14:paraId="1A21AA15" w14:textId="77777777" w:rsidTr="00451DC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44C84FAA" w14:textId="77777777"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Apples</w:t>
            </w:r>
          </w:p>
        </w:tc>
        <w:tc>
          <w:tcPr>
            <w:tcW w:w="1862" w:type="dxa"/>
            <w:vAlign w:val="center"/>
          </w:tcPr>
          <w:p w14:paraId="53A4FBF5" w14:textId="4A8656E0"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+$23</w:t>
            </w:r>
            <w:r w:rsidRPr="0039690E">
              <w:rPr>
                <w:rFonts w:ascii="Arial" w:hAnsi="Arial" w:cs="Arial"/>
                <w:color w:val="215868" w:themeColor="accent5" w:themeShade="80"/>
                <w:sz w:val="18"/>
                <w:szCs w:val="18"/>
              </w:rPr>
              <w:t>M</w:t>
            </w:r>
          </w:p>
        </w:tc>
        <w:tc>
          <w:tcPr>
            <w:tcW w:w="1863" w:type="dxa"/>
            <w:vAlign w:val="center"/>
          </w:tcPr>
          <w:p w14:paraId="7B62BF9D" w14:textId="50A4F487"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6.9</w:t>
            </w:r>
            <w:r w:rsidRPr="0039690E">
              <w:rPr>
                <w:rFonts w:ascii="Arial" w:hAnsi="Arial" w:cs="Arial"/>
                <w:color w:val="215868" w:themeColor="accent5" w:themeShade="80"/>
                <w:sz w:val="18"/>
                <w:szCs w:val="18"/>
              </w:rPr>
              <w:t>%</w:t>
            </w:r>
          </w:p>
        </w:tc>
        <w:tc>
          <w:tcPr>
            <w:tcW w:w="1862" w:type="dxa"/>
            <w:vAlign w:val="center"/>
          </w:tcPr>
          <w:p w14:paraId="165DF388" w14:textId="3A544048"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356</w:t>
            </w:r>
            <w:r w:rsidRPr="0039690E">
              <w:rPr>
                <w:rFonts w:ascii="Arial" w:hAnsi="Arial" w:cs="Arial"/>
                <w:color w:val="215868" w:themeColor="accent5" w:themeShade="80"/>
                <w:sz w:val="18"/>
                <w:szCs w:val="18"/>
              </w:rPr>
              <w:t>M</w:t>
            </w:r>
          </w:p>
        </w:tc>
        <w:tc>
          <w:tcPr>
            <w:tcW w:w="1863" w:type="dxa"/>
            <w:gridSpan w:val="2"/>
          </w:tcPr>
          <w:p w14:paraId="2D5467DF" w14:textId="6068C6BA"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12.9</w:t>
            </w:r>
            <w:r>
              <w:rPr>
                <w:rFonts w:ascii="Arial" w:hAnsi="Arial" w:cs="Arial"/>
                <w:color w:val="215868" w:themeColor="accent5" w:themeShade="80"/>
                <w:sz w:val="18"/>
                <w:szCs w:val="18"/>
              </w:rPr>
              <w:t>%</w:t>
            </w:r>
          </w:p>
        </w:tc>
      </w:tr>
      <w:tr w:rsidR="001F074D" w:rsidRPr="0039690E" w14:paraId="75397FB3" w14:textId="77777777" w:rsidTr="00451DC5">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4BDF8BBC" w14:textId="74B4E89C"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Grapes</w:t>
            </w:r>
          </w:p>
        </w:tc>
        <w:tc>
          <w:tcPr>
            <w:tcW w:w="1862" w:type="dxa"/>
            <w:vAlign w:val="center"/>
          </w:tcPr>
          <w:p w14:paraId="5A00940C" w14:textId="3C9FD410"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+$16</w:t>
            </w:r>
            <w:r w:rsidRPr="0039690E">
              <w:rPr>
                <w:rFonts w:ascii="Arial" w:hAnsi="Arial" w:cs="Arial"/>
                <w:color w:val="215868" w:themeColor="accent5" w:themeShade="80"/>
                <w:sz w:val="18"/>
                <w:szCs w:val="18"/>
              </w:rPr>
              <w:t>M</w:t>
            </w:r>
          </w:p>
        </w:tc>
        <w:tc>
          <w:tcPr>
            <w:tcW w:w="1863" w:type="dxa"/>
            <w:vAlign w:val="center"/>
          </w:tcPr>
          <w:p w14:paraId="633C67A6" w14:textId="3EC56538"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6.4</w:t>
            </w:r>
            <w:r w:rsidRPr="0039690E">
              <w:rPr>
                <w:rFonts w:ascii="Arial" w:hAnsi="Arial" w:cs="Arial"/>
                <w:color w:val="215868" w:themeColor="accent5" w:themeShade="80"/>
                <w:sz w:val="18"/>
                <w:szCs w:val="18"/>
              </w:rPr>
              <w:t>%</w:t>
            </w:r>
          </w:p>
        </w:tc>
        <w:tc>
          <w:tcPr>
            <w:tcW w:w="1862" w:type="dxa"/>
            <w:vAlign w:val="center"/>
          </w:tcPr>
          <w:p w14:paraId="1F613C99" w14:textId="0B8B210C"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275</w:t>
            </w:r>
            <w:r w:rsidRPr="0039690E">
              <w:rPr>
                <w:rFonts w:ascii="Arial" w:hAnsi="Arial" w:cs="Arial"/>
                <w:color w:val="215868" w:themeColor="accent5" w:themeShade="80"/>
                <w:sz w:val="18"/>
                <w:szCs w:val="18"/>
              </w:rPr>
              <w:t>M</w:t>
            </w:r>
          </w:p>
        </w:tc>
        <w:tc>
          <w:tcPr>
            <w:tcW w:w="1863" w:type="dxa"/>
            <w:gridSpan w:val="2"/>
          </w:tcPr>
          <w:p w14:paraId="705E85A2" w14:textId="0AD1F878"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20.4</w:t>
            </w:r>
            <w:r>
              <w:rPr>
                <w:rFonts w:ascii="Arial" w:hAnsi="Arial" w:cs="Arial"/>
                <w:color w:val="215868" w:themeColor="accent5" w:themeShade="80"/>
                <w:sz w:val="18"/>
                <w:szCs w:val="18"/>
              </w:rPr>
              <w:t>%</w:t>
            </w:r>
          </w:p>
        </w:tc>
      </w:tr>
      <w:tr w:rsidR="001F074D" w:rsidRPr="0039690E" w14:paraId="60EECAA3" w14:textId="77777777" w:rsidTr="00451DC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left w:val="none" w:sz="0" w:space="0" w:color="auto"/>
              <w:right w:val="none" w:sz="0" w:space="0" w:color="auto"/>
            </w:tcBorders>
            <w:vAlign w:val="center"/>
          </w:tcPr>
          <w:p w14:paraId="763F33C2" w14:textId="4D331C79"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Limes</w:t>
            </w:r>
          </w:p>
        </w:tc>
        <w:tc>
          <w:tcPr>
            <w:tcW w:w="1862" w:type="dxa"/>
            <w:tcBorders>
              <w:left w:val="none" w:sz="0" w:space="0" w:color="auto"/>
              <w:right w:val="none" w:sz="0" w:space="0" w:color="auto"/>
            </w:tcBorders>
            <w:vAlign w:val="center"/>
          </w:tcPr>
          <w:p w14:paraId="71B192EF" w14:textId="779274C5"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+$16</w:t>
            </w:r>
            <w:r w:rsidRPr="0039690E">
              <w:rPr>
                <w:rFonts w:ascii="Arial" w:hAnsi="Arial" w:cs="Arial"/>
                <w:color w:val="215868" w:themeColor="accent5" w:themeShade="80"/>
                <w:sz w:val="18"/>
                <w:szCs w:val="18"/>
              </w:rPr>
              <w:t>M</w:t>
            </w:r>
          </w:p>
        </w:tc>
        <w:tc>
          <w:tcPr>
            <w:tcW w:w="1863" w:type="dxa"/>
            <w:tcBorders>
              <w:left w:val="none" w:sz="0" w:space="0" w:color="auto"/>
              <w:right w:val="none" w:sz="0" w:space="0" w:color="auto"/>
            </w:tcBorders>
            <w:vAlign w:val="center"/>
          </w:tcPr>
          <w:p w14:paraId="445EC599" w14:textId="73E89433"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33.2</w:t>
            </w:r>
            <w:r w:rsidRPr="0039690E">
              <w:rPr>
                <w:rFonts w:ascii="Arial" w:hAnsi="Arial" w:cs="Arial"/>
                <w:color w:val="215868" w:themeColor="accent5" w:themeShade="80"/>
                <w:sz w:val="18"/>
                <w:szCs w:val="18"/>
              </w:rPr>
              <w:t>%</w:t>
            </w:r>
          </w:p>
        </w:tc>
        <w:tc>
          <w:tcPr>
            <w:tcW w:w="1862" w:type="dxa"/>
            <w:tcBorders>
              <w:left w:val="none" w:sz="0" w:space="0" w:color="auto"/>
              <w:right w:val="none" w:sz="0" w:space="0" w:color="auto"/>
            </w:tcBorders>
            <w:vAlign w:val="center"/>
          </w:tcPr>
          <w:p w14:paraId="02CF5248" w14:textId="7D3B2B88"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63</w:t>
            </w:r>
            <w:r w:rsidRPr="0039690E">
              <w:rPr>
                <w:rFonts w:ascii="Arial" w:hAnsi="Arial" w:cs="Arial"/>
                <w:color w:val="215868" w:themeColor="accent5" w:themeShade="80"/>
                <w:sz w:val="18"/>
                <w:szCs w:val="18"/>
              </w:rPr>
              <w:t>M</w:t>
            </w:r>
          </w:p>
        </w:tc>
        <w:tc>
          <w:tcPr>
            <w:tcW w:w="1863" w:type="dxa"/>
            <w:gridSpan w:val="2"/>
            <w:tcBorders>
              <w:left w:val="none" w:sz="0" w:space="0" w:color="auto"/>
              <w:right w:val="none" w:sz="0" w:space="0" w:color="auto"/>
            </w:tcBorders>
          </w:tcPr>
          <w:p w14:paraId="66944382" w14:textId="68BA0005"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57.0</w:t>
            </w:r>
            <w:r>
              <w:rPr>
                <w:rFonts w:ascii="Arial" w:hAnsi="Arial" w:cs="Arial"/>
                <w:color w:val="215868" w:themeColor="accent5" w:themeShade="80"/>
                <w:sz w:val="18"/>
                <w:szCs w:val="18"/>
              </w:rPr>
              <w:t>%</w:t>
            </w:r>
          </w:p>
        </w:tc>
      </w:tr>
      <w:tr w:rsidR="001F074D" w:rsidRPr="0039690E" w14:paraId="702F2F7B" w14:textId="77777777" w:rsidTr="00451DC5">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0FE71CA" w14:textId="4DDFE88B"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Oranges</w:t>
            </w:r>
          </w:p>
        </w:tc>
        <w:tc>
          <w:tcPr>
            <w:tcW w:w="1862" w:type="dxa"/>
            <w:vAlign w:val="center"/>
          </w:tcPr>
          <w:p w14:paraId="6C6039DB" w14:textId="541BDD6B"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+$14</w:t>
            </w:r>
            <w:r w:rsidRPr="0039690E">
              <w:rPr>
                <w:rFonts w:ascii="Arial" w:hAnsi="Arial" w:cs="Arial"/>
                <w:color w:val="215868" w:themeColor="accent5" w:themeShade="80"/>
                <w:sz w:val="18"/>
                <w:szCs w:val="18"/>
              </w:rPr>
              <w:t>M</w:t>
            </w:r>
          </w:p>
        </w:tc>
        <w:tc>
          <w:tcPr>
            <w:tcW w:w="1863" w:type="dxa"/>
            <w:vAlign w:val="center"/>
          </w:tcPr>
          <w:p w14:paraId="429880EB" w14:textId="07CE6ADF"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12.6</w:t>
            </w:r>
            <w:r w:rsidRPr="0039690E">
              <w:rPr>
                <w:rFonts w:ascii="Arial" w:hAnsi="Arial" w:cs="Arial"/>
                <w:color w:val="215868" w:themeColor="accent5" w:themeShade="80"/>
                <w:sz w:val="18"/>
                <w:szCs w:val="18"/>
              </w:rPr>
              <w:t>%</w:t>
            </w:r>
          </w:p>
        </w:tc>
        <w:tc>
          <w:tcPr>
            <w:tcW w:w="1862" w:type="dxa"/>
            <w:vAlign w:val="center"/>
          </w:tcPr>
          <w:p w14:paraId="6F9682AC" w14:textId="133F705A"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128</w:t>
            </w:r>
            <w:r w:rsidRPr="0039690E">
              <w:rPr>
                <w:rFonts w:ascii="Arial" w:hAnsi="Arial" w:cs="Arial"/>
                <w:color w:val="215868" w:themeColor="accent5" w:themeShade="80"/>
                <w:sz w:val="18"/>
                <w:szCs w:val="18"/>
              </w:rPr>
              <w:t>M</w:t>
            </w:r>
          </w:p>
        </w:tc>
        <w:tc>
          <w:tcPr>
            <w:tcW w:w="1863" w:type="dxa"/>
            <w:gridSpan w:val="2"/>
          </w:tcPr>
          <w:p w14:paraId="7C1FEF60" w14:textId="1A998747"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16.7</w:t>
            </w:r>
            <w:r>
              <w:rPr>
                <w:rFonts w:ascii="Arial" w:hAnsi="Arial" w:cs="Arial"/>
                <w:color w:val="215868" w:themeColor="accent5" w:themeShade="80"/>
                <w:sz w:val="18"/>
                <w:szCs w:val="18"/>
              </w:rPr>
              <w:t>%</w:t>
            </w:r>
          </w:p>
        </w:tc>
      </w:tr>
      <w:tr w:rsidR="001F074D" w:rsidRPr="0039690E" w14:paraId="5460D770" w14:textId="77777777" w:rsidTr="00451DC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53975AE0" w14:textId="1017C4AB"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Mixed fruit</w:t>
            </w:r>
          </w:p>
        </w:tc>
        <w:tc>
          <w:tcPr>
            <w:tcW w:w="1862" w:type="dxa"/>
            <w:vAlign w:val="center"/>
          </w:tcPr>
          <w:p w14:paraId="708615DE" w14:textId="4115AA6E"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+$12</w:t>
            </w:r>
            <w:r w:rsidRPr="0039690E">
              <w:rPr>
                <w:rFonts w:ascii="Arial" w:hAnsi="Arial" w:cs="Arial"/>
                <w:color w:val="215868" w:themeColor="accent5" w:themeShade="80"/>
                <w:sz w:val="18"/>
                <w:szCs w:val="18"/>
              </w:rPr>
              <w:t>M</w:t>
            </w:r>
          </w:p>
        </w:tc>
        <w:tc>
          <w:tcPr>
            <w:tcW w:w="1863" w:type="dxa"/>
            <w:vAlign w:val="center"/>
          </w:tcPr>
          <w:p w14:paraId="6301E553" w14:textId="164FDE82"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20.5</w:t>
            </w:r>
            <w:r w:rsidRPr="0039690E">
              <w:rPr>
                <w:rFonts w:ascii="Arial" w:hAnsi="Arial" w:cs="Arial"/>
                <w:color w:val="215868" w:themeColor="accent5" w:themeShade="80"/>
                <w:sz w:val="18"/>
                <w:szCs w:val="18"/>
              </w:rPr>
              <w:t>%</w:t>
            </w:r>
          </w:p>
        </w:tc>
        <w:tc>
          <w:tcPr>
            <w:tcW w:w="1862" w:type="dxa"/>
            <w:vAlign w:val="center"/>
          </w:tcPr>
          <w:p w14:paraId="5AC78EC5" w14:textId="5B9CF97B"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72</w:t>
            </w:r>
            <w:r w:rsidRPr="0039690E">
              <w:rPr>
                <w:rFonts w:ascii="Arial" w:hAnsi="Arial" w:cs="Arial"/>
                <w:color w:val="215868" w:themeColor="accent5" w:themeShade="80"/>
                <w:sz w:val="18"/>
                <w:szCs w:val="18"/>
              </w:rPr>
              <w:t>M</w:t>
            </w:r>
          </w:p>
        </w:tc>
        <w:tc>
          <w:tcPr>
            <w:tcW w:w="1863" w:type="dxa"/>
            <w:gridSpan w:val="2"/>
          </w:tcPr>
          <w:p w14:paraId="34BD11CE" w14:textId="30532724"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8.4</w:t>
            </w:r>
            <w:r>
              <w:rPr>
                <w:rFonts w:ascii="Arial" w:hAnsi="Arial" w:cs="Arial"/>
                <w:color w:val="215868" w:themeColor="accent5" w:themeShade="80"/>
                <w:sz w:val="18"/>
                <w:szCs w:val="18"/>
              </w:rPr>
              <w:t>%</w:t>
            </w:r>
          </w:p>
        </w:tc>
      </w:tr>
      <w:tr w:rsidR="001F074D" w:rsidRPr="0039690E" w14:paraId="796068CA" w14:textId="77777777" w:rsidTr="00451DC5">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2235C818" w14:textId="63E6D680"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Salad kits</w:t>
            </w:r>
          </w:p>
        </w:tc>
        <w:tc>
          <w:tcPr>
            <w:tcW w:w="1862" w:type="dxa"/>
            <w:vAlign w:val="center"/>
          </w:tcPr>
          <w:p w14:paraId="044A037C" w14:textId="77381D44"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+$9</w:t>
            </w:r>
            <w:r w:rsidRPr="0039690E">
              <w:rPr>
                <w:rFonts w:ascii="Arial" w:hAnsi="Arial" w:cs="Arial"/>
                <w:color w:val="215868" w:themeColor="accent5" w:themeShade="80"/>
                <w:sz w:val="18"/>
                <w:szCs w:val="18"/>
              </w:rPr>
              <w:t>M</w:t>
            </w:r>
          </w:p>
        </w:tc>
        <w:tc>
          <w:tcPr>
            <w:tcW w:w="1863" w:type="dxa"/>
            <w:vAlign w:val="center"/>
          </w:tcPr>
          <w:p w14:paraId="26745975" w14:textId="529AAB31"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3.7</w:t>
            </w:r>
            <w:r w:rsidRPr="0039690E">
              <w:rPr>
                <w:rFonts w:ascii="Arial" w:hAnsi="Arial" w:cs="Arial"/>
                <w:color w:val="215868" w:themeColor="accent5" w:themeShade="80"/>
                <w:sz w:val="18"/>
                <w:szCs w:val="18"/>
              </w:rPr>
              <w:t>%</w:t>
            </w:r>
          </w:p>
        </w:tc>
        <w:tc>
          <w:tcPr>
            <w:tcW w:w="1862" w:type="dxa"/>
            <w:vAlign w:val="center"/>
          </w:tcPr>
          <w:p w14:paraId="589893D3" w14:textId="524996A5"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250</w:t>
            </w:r>
            <w:r w:rsidRPr="0039690E">
              <w:rPr>
                <w:rFonts w:ascii="Arial" w:hAnsi="Arial" w:cs="Arial"/>
                <w:color w:val="215868" w:themeColor="accent5" w:themeShade="80"/>
                <w:sz w:val="18"/>
                <w:szCs w:val="18"/>
              </w:rPr>
              <w:t>M</w:t>
            </w:r>
          </w:p>
        </w:tc>
        <w:tc>
          <w:tcPr>
            <w:tcW w:w="1863" w:type="dxa"/>
            <w:gridSpan w:val="2"/>
          </w:tcPr>
          <w:p w14:paraId="706BF9F0" w14:textId="05DF45BA" w:rsidR="001F074D" w:rsidRDefault="001F074D" w:rsidP="001F074D">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9.8</w:t>
            </w:r>
            <w:r>
              <w:rPr>
                <w:rFonts w:ascii="Arial" w:hAnsi="Arial" w:cs="Arial"/>
                <w:color w:val="215868" w:themeColor="accent5" w:themeShade="80"/>
                <w:sz w:val="18"/>
                <w:szCs w:val="18"/>
              </w:rPr>
              <w:t>%</w:t>
            </w:r>
          </w:p>
        </w:tc>
      </w:tr>
      <w:tr w:rsidR="001F074D" w:rsidRPr="0039690E" w14:paraId="461D5732" w14:textId="77777777" w:rsidTr="00451DC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2A11049" w14:textId="71684EF6" w:rsidR="001F074D" w:rsidRPr="0039690E" w:rsidRDefault="001F074D" w:rsidP="001F074D">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Lettuce</w:t>
            </w:r>
          </w:p>
        </w:tc>
        <w:tc>
          <w:tcPr>
            <w:tcW w:w="1862" w:type="dxa"/>
            <w:vAlign w:val="center"/>
          </w:tcPr>
          <w:p w14:paraId="77FA8095" w14:textId="3EC7BBB4"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+$8</w:t>
            </w:r>
            <w:r w:rsidRPr="0039690E">
              <w:rPr>
                <w:rFonts w:ascii="Arial" w:hAnsi="Arial" w:cs="Arial"/>
                <w:color w:val="215868" w:themeColor="accent5" w:themeShade="80"/>
                <w:sz w:val="18"/>
                <w:szCs w:val="18"/>
              </w:rPr>
              <w:t>M</w:t>
            </w:r>
          </w:p>
        </w:tc>
        <w:tc>
          <w:tcPr>
            <w:tcW w:w="1863" w:type="dxa"/>
            <w:vAlign w:val="center"/>
          </w:tcPr>
          <w:p w14:paraId="6023B995" w14:textId="1E812984"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4.0</w:t>
            </w:r>
            <w:r w:rsidRPr="0039690E">
              <w:rPr>
                <w:rFonts w:ascii="Arial" w:hAnsi="Arial" w:cs="Arial"/>
                <w:color w:val="215868" w:themeColor="accent5" w:themeShade="80"/>
                <w:sz w:val="18"/>
                <w:szCs w:val="18"/>
              </w:rPr>
              <w:t>%</w:t>
            </w:r>
          </w:p>
        </w:tc>
        <w:tc>
          <w:tcPr>
            <w:tcW w:w="1862" w:type="dxa"/>
            <w:vAlign w:val="center"/>
          </w:tcPr>
          <w:p w14:paraId="559377CC" w14:textId="6AB55607"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sidRPr="0039690E">
              <w:rPr>
                <w:rFonts w:ascii="Arial" w:hAnsi="Arial" w:cs="Arial"/>
                <w:color w:val="215868" w:themeColor="accent5" w:themeShade="80"/>
                <w:sz w:val="18"/>
                <w:szCs w:val="18"/>
              </w:rPr>
              <w:t>$</w:t>
            </w:r>
            <w:r>
              <w:rPr>
                <w:rFonts w:ascii="Arial" w:hAnsi="Arial" w:cs="Arial"/>
                <w:color w:val="215868" w:themeColor="accent5" w:themeShade="80"/>
                <w:sz w:val="18"/>
                <w:szCs w:val="18"/>
              </w:rPr>
              <w:t>205</w:t>
            </w:r>
            <w:r w:rsidRPr="0039690E">
              <w:rPr>
                <w:rFonts w:ascii="Arial" w:hAnsi="Arial" w:cs="Arial"/>
                <w:color w:val="215868" w:themeColor="accent5" w:themeShade="80"/>
                <w:sz w:val="18"/>
                <w:szCs w:val="18"/>
              </w:rPr>
              <w:t>M</w:t>
            </w:r>
          </w:p>
        </w:tc>
        <w:tc>
          <w:tcPr>
            <w:tcW w:w="1863" w:type="dxa"/>
            <w:gridSpan w:val="2"/>
          </w:tcPr>
          <w:p w14:paraId="1567B1D1" w14:textId="6714CCD7" w:rsidR="001F074D" w:rsidRDefault="001F074D" w:rsidP="001F074D">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color w:val="215868" w:themeColor="accent5" w:themeShade="80"/>
                <w:sz w:val="18"/>
                <w:szCs w:val="18"/>
              </w:rPr>
              <w:t>+</w:t>
            </w:r>
            <w:r w:rsidR="00110FF9">
              <w:rPr>
                <w:rFonts w:ascii="Arial" w:hAnsi="Arial" w:cs="Arial"/>
                <w:color w:val="215868" w:themeColor="accent5" w:themeShade="80"/>
                <w:sz w:val="18"/>
                <w:szCs w:val="18"/>
              </w:rPr>
              <w:t>10.7</w:t>
            </w:r>
            <w:r>
              <w:rPr>
                <w:rFonts w:ascii="Arial" w:hAnsi="Arial" w:cs="Arial"/>
                <w:color w:val="215868" w:themeColor="accent5" w:themeShade="80"/>
                <w:sz w:val="18"/>
                <w:szCs w:val="18"/>
              </w:rPr>
              <w:t>%</w:t>
            </w:r>
          </w:p>
        </w:tc>
      </w:tr>
    </w:tbl>
    <w:p w14:paraId="6EA702CF" w14:textId="77777777" w:rsidR="009E5261" w:rsidRPr="00E62AA9" w:rsidRDefault="009E5261" w:rsidP="009E5261">
      <w:pPr>
        <w:pStyle w:val="NoSpacing"/>
        <w:rPr>
          <w:rFonts w:ascii="Arial" w:hAnsi="Arial" w:cs="Arial"/>
          <w:sz w:val="6"/>
          <w:szCs w:val="6"/>
        </w:rPr>
      </w:pPr>
    </w:p>
    <w:p w14:paraId="1823C3C0" w14:textId="77777777" w:rsidR="00D97697" w:rsidRDefault="009E5261" w:rsidP="001024F6">
      <w:pPr>
        <w:pStyle w:val="NoSpacing"/>
        <w:rPr>
          <w:rFonts w:ascii="Arial" w:hAnsi="Arial" w:cs="Arial"/>
          <w:b/>
          <w:color w:val="595959" w:themeColor="text1" w:themeTint="A6"/>
          <w:sz w:val="24"/>
          <w:szCs w:val="24"/>
        </w:rPr>
      </w:pPr>
      <w:r w:rsidRPr="00B35CE9">
        <w:rPr>
          <w:rFonts w:ascii="Arial" w:hAnsi="Arial" w:cs="Arial"/>
          <w:sz w:val="16"/>
          <w:szCs w:val="16"/>
        </w:rPr>
        <w:t>Source</w:t>
      </w:r>
      <w:r>
        <w:rPr>
          <w:rFonts w:ascii="Arial" w:hAnsi="Arial" w:cs="Arial"/>
          <w:sz w:val="16"/>
          <w:szCs w:val="16"/>
        </w:rPr>
        <w:t>: IRI Integrated Fresh, Total U.S., MULO</w:t>
      </w:r>
    </w:p>
    <w:p w14:paraId="2F195CAA" w14:textId="77777777" w:rsidR="00A225C7" w:rsidRPr="00D66F5A" w:rsidRDefault="00A225C7" w:rsidP="001024F6">
      <w:pPr>
        <w:pStyle w:val="NoSpacing"/>
        <w:rPr>
          <w:rFonts w:ascii="Arial" w:hAnsi="Arial" w:cs="Arial"/>
          <w:b/>
          <w:color w:val="595959" w:themeColor="text1" w:themeTint="A6"/>
          <w:sz w:val="32"/>
          <w:szCs w:val="32"/>
        </w:rPr>
      </w:pPr>
    </w:p>
    <w:p w14:paraId="7B04BD45" w14:textId="77777777" w:rsidR="001024F6" w:rsidRPr="009172A3" w:rsidRDefault="004D26B3" w:rsidP="001024F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Perishables </w:t>
      </w:r>
      <w:r w:rsidR="001024F6">
        <w:rPr>
          <w:rFonts w:ascii="Arial" w:hAnsi="Arial" w:cs="Arial"/>
          <w:b/>
          <w:color w:val="595959" w:themeColor="text1" w:themeTint="A6"/>
          <w:sz w:val="24"/>
          <w:szCs w:val="24"/>
        </w:rPr>
        <w:t>P</w:t>
      </w:r>
      <w:r w:rsidR="001024F6" w:rsidRPr="009172A3">
        <w:rPr>
          <w:rFonts w:ascii="Arial" w:hAnsi="Arial" w:cs="Arial"/>
          <w:b/>
          <w:color w:val="595959" w:themeColor="text1" w:themeTint="A6"/>
          <w:sz w:val="24"/>
          <w:szCs w:val="24"/>
        </w:rPr>
        <w:t>erformance</w:t>
      </w:r>
    </w:p>
    <w:p w14:paraId="7FDE0642" w14:textId="1E854CBE" w:rsidR="001024F6" w:rsidRDefault="001024F6" w:rsidP="001024F6">
      <w:pPr>
        <w:pStyle w:val="NoSpacing"/>
        <w:rPr>
          <w:rFonts w:ascii="Arial" w:hAnsi="Arial" w:cs="Arial"/>
          <w:sz w:val="20"/>
          <w:szCs w:val="20"/>
        </w:rPr>
      </w:pPr>
      <w:r>
        <w:rPr>
          <w:rFonts w:ascii="Arial" w:hAnsi="Arial" w:cs="Arial"/>
          <w:sz w:val="20"/>
          <w:szCs w:val="20"/>
        </w:rPr>
        <w:t xml:space="preserve">A look across fresh foods departments for the </w:t>
      </w:r>
      <w:r w:rsidR="00102502">
        <w:rPr>
          <w:rFonts w:ascii="Arial" w:hAnsi="Arial" w:cs="Arial"/>
          <w:sz w:val="20"/>
          <w:szCs w:val="20"/>
        </w:rPr>
        <w:t xml:space="preserve">four February </w:t>
      </w:r>
      <w:r w:rsidR="000C0F39">
        <w:rPr>
          <w:rFonts w:ascii="Arial" w:hAnsi="Arial" w:cs="Arial"/>
          <w:sz w:val="20"/>
          <w:szCs w:val="20"/>
        </w:rPr>
        <w:t>2022</w:t>
      </w:r>
      <w:r w:rsidR="00615446">
        <w:rPr>
          <w:rFonts w:ascii="Arial" w:hAnsi="Arial" w:cs="Arial"/>
          <w:sz w:val="20"/>
          <w:szCs w:val="20"/>
        </w:rPr>
        <w:t xml:space="preserve"> </w:t>
      </w:r>
      <w:r w:rsidR="004D26B3">
        <w:rPr>
          <w:rFonts w:ascii="Arial" w:hAnsi="Arial" w:cs="Arial"/>
          <w:sz w:val="20"/>
          <w:szCs w:val="20"/>
        </w:rPr>
        <w:t>weeks</w:t>
      </w:r>
      <w:r>
        <w:rPr>
          <w:rFonts w:ascii="Arial" w:hAnsi="Arial" w:cs="Arial"/>
          <w:sz w:val="20"/>
          <w:szCs w:val="20"/>
        </w:rPr>
        <w:t xml:space="preserve"> show</w:t>
      </w:r>
      <w:r w:rsidR="00102502">
        <w:rPr>
          <w:rFonts w:ascii="Arial" w:hAnsi="Arial" w:cs="Arial"/>
          <w:sz w:val="20"/>
          <w:szCs w:val="20"/>
        </w:rPr>
        <w:t>s</w:t>
      </w:r>
      <w:r>
        <w:rPr>
          <w:rFonts w:ascii="Arial" w:hAnsi="Arial" w:cs="Arial"/>
          <w:sz w:val="20"/>
          <w:szCs w:val="20"/>
        </w:rPr>
        <w:t xml:space="preserve"> </w:t>
      </w:r>
      <w:r w:rsidR="008B05F8">
        <w:rPr>
          <w:rFonts w:ascii="Arial" w:hAnsi="Arial" w:cs="Arial"/>
          <w:sz w:val="20"/>
          <w:szCs w:val="20"/>
        </w:rPr>
        <w:t>perimeter strength</w:t>
      </w:r>
      <w:r w:rsidR="000C0F39">
        <w:rPr>
          <w:rFonts w:ascii="Arial" w:hAnsi="Arial" w:cs="Arial"/>
          <w:sz w:val="20"/>
          <w:szCs w:val="20"/>
        </w:rPr>
        <w:t xml:space="preserve"> in dollars</w:t>
      </w:r>
      <w:r w:rsidR="00102502">
        <w:rPr>
          <w:rFonts w:ascii="Arial" w:hAnsi="Arial" w:cs="Arial"/>
          <w:sz w:val="20"/>
          <w:szCs w:val="20"/>
        </w:rPr>
        <w:t xml:space="preserve"> with the exception of fresh seafood. Gains were highest for deli and bakery, followed by meat, whereas seafood sales continued to decrease. </w:t>
      </w:r>
      <w:r w:rsidR="000166DA">
        <w:rPr>
          <w:rFonts w:ascii="Arial" w:hAnsi="Arial" w:cs="Arial"/>
          <w:sz w:val="20"/>
          <w:szCs w:val="20"/>
        </w:rPr>
        <w:t xml:space="preserve"> </w:t>
      </w:r>
      <w:r>
        <w:rPr>
          <w:rFonts w:ascii="Arial" w:hAnsi="Arial" w:cs="Arial"/>
          <w:sz w:val="20"/>
          <w:szCs w:val="20"/>
        </w:rPr>
        <w:t xml:space="preserve"> </w:t>
      </w:r>
    </w:p>
    <w:p w14:paraId="03A31E79" w14:textId="77777777" w:rsidR="001024F6" w:rsidRDefault="001024F6" w:rsidP="001024F6">
      <w:pPr>
        <w:pStyle w:val="NoSpacing"/>
        <w:rPr>
          <w:rFonts w:ascii="Arial" w:hAnsi="Arial" w:cs="Arial"/>
          <w:sz w:val="20"/>
          <w:szCs w:val="20"/>
        </w:rPr>
      </w:pPr>
    </w:p>
    <w:tbl>
      <w:tblPr>
        <w:tblStyle w:val="LightShading-Accent5"/>
        <w:tblW w:w="10620" w:type="dxa"/>
        <w:tblBorders>
          <w:top w:val="none" w:sz="0" w:space="0" w:color="auto"/>
          <w:bottom w:val="none" w:sz="0" w:space="0" w:color="auto"/>
        </w:tblBorders>
        <w:tblLook w:val="04A0" w:firstRow="1" w:lastRow="0" w:firstColumn="1" w:lastColumn="0" w:noHBand="0" w:noVBand="1"/>
      </w:tblPr>
      <w:tblGrid>
        <w:gridCol w:w="3438"/>
        <w:gridCol w:w="2394"/>
        <w:gridCol w:w="2394"/>
        <w:gridCol w:w="2394"/>
      </w:tblGrid>
      <w:tr w:rsidR="001024F6" w:rsidRPr="00B265F0" w14:paraId="6E15459D" w14:textId="77777777" w:rsidTr="00110FF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38"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3D4AB40" w14:textId="1C6E3D62" w:rsidR="001024F6" w:rsidRPr="00B265F0" w:rsidRDefault="00110FF9" w:rsidP="00042FD2">
            <w:pPr>
              <w:pStyle w:val="NoSpacing"/>
              <w:rPr>
                <w:rFonts w:ascii="Arial" w:hAnsi="Arial" w:cs="Arial"/>
                <w:color w:val="FFFFFF" w:themeColor="background1"/>
                <w:sz w:val="18"/>
                <w:szCs w:val="20"/>
              </w:rPr>
            </w:pPr>
            <w:r>
              <w:rPr>
                <w:rFonts w:ascii="Arial" w:hAnsi="Arial" w:cs="Arial"/>
                <w:color w:val="FFFFFF" w:themeColor="background1"/>
                <w:sz w:val="18"/>
                <w:szCs w:val="20"/>
              </w:rPr>
              <w:t xml:space="preserve">February </w:t>
            </w:r>
            <w:r w:rsidR="002C11A9">
              <w:rPr>
                <w:rFonts w:ascii="Arial" w:hAnsi="Arial" w:cs="Arial"/>
                <w:color w:val="FFFFFF" w:themeColor="background1"/>
                <w:sz w:val="18"/>
                <w:szCs w:val="20"/>
              </w:rPr>
              <w:t>2022</w:t>
            </w:r>
            <w:r w:rsidR="00335BB3">
              <w:rPr>
                <w:rFonts w:ascii="Arial" w:hAnsi="Arial" w:cs="Arial"/>
                <w:color w:val="FFFFFF" w:themeColor="background1"/>
                <w:sz w:val="18"/>
                <w:szCs w:val="20"/>
              </w:rPr>
              <w:t xml:space="preserve"> </w:t>
            </w:r>
          </w:p>
        </w:tc>
        <w:tc>
          <w:tcPr>
            <w:tcW w:w="239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0BA7EEF" w14:textId="115AA8DE" w:rsidR="001024F6" w:rsidRPr="00B265F0" w:rsidRDefault="001024F6" w:rsidP="00042FD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w:t>
            </w:r>
            <w:r w:rsidR="003702C2">
              <w:rPr>
                <w:rFonts w:ascii="Arial" w:hAnsi="Arial" w:cs="Arial"/>
                <w:color w:val="FFFFFF" w:themeColor="background1"/>
                <w:sz w:val="18"/>
                <w:szCs w:val="20"/>
              </w:rPr>
              <w:t xml:space="preserve"> </w:t>
            </w:r>
            <w:r>
              <w:rPr>
                <w:rFonts w:ascii="Arial" w:hAnsi="Arial" w:cs="Arial"/>
                <w:color w:val="FFFFFF" w:themeColor="background1"/>
                <w:sz w:val="18"/>
                <w:szCs w:val="20"/>
              </w:rPr>
              <w:t>sales</w:t>
            </w:r>
          </w:p>
        </w:tc>
        <w:tc>
          <w:tcPr>
            <w:tcW w:w="2394"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7DA451A4" w14:textId="338E4004" w:rsidR="001024F6" w:rsidRPr="00B265F0" w:rsidRDefault="00FC1239" w:rsidP="00042FD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w:t>
            </w:r>
            <w:r w:rsidR="003702C2">
              <w:rPr>
                <w:rFonts w:ascii="Arial" w:hAnsi="Arial" w:cs="Arial"/>
                <w:color w:val="FFFFFF" w:themeColor="background1"/>
                <w:sz w:val="18"/>
                <w:szCs w:val="20"/>
              </w:rPr>
              <w:t xml:space="preserve"> </w:t>
            </w:r>
            <w:r w:rsidR="001024F6" w:rsidRPr="00B265F0">
              <w:rPr>
                <w:rFonts w:ascii="Arial" w:hAnsi="Arial" w:cs="Arial"/>
                <w:color w:val="FFFFFF" w:themeColor="background1"/>
                <w:sz w:val="18"/>
                <w:szCs w:val="20"/>
              </w:rPr>
              <w:t>v</w:t>
            </w:r>
            <w:r w:rsidR="001024F6">
              <w:rPr>
                <w:rFonts w:ascii="Arial" w:hAnsi="Arial" w:cs="Arial"/>
                <w:color w:val="FFFFFF" w:themeColor="background1"/>
                <w:sz w:val="18"/>
                <w:szCs w:val="20"/>
              </w:rPr>
              <w:t>s. 20</w:t>
            </w:r>
            <w:r w:rsidR="004D26B3">
              <w:rPr>
                <w:rFonts w:ascii="Arial" w:hAnsi="Arial" w:cs="Arial"/>
                <w:color w:val="FFFFFF" w:themeColor="background1"/>
                <w:sz w:val="18"/>
                <w:szCs w:val="20"/>
              </w:rPr>
              <w:t>2</w:t>
            </w:r>
            <w:r w:rsidR="002C11A9">
              <w:rPr>
                <w:rFonts w:ascii="Arial" w:hAnsi="Arial" w:cs="Arial"/>
                <w:color w:val="FFFFFF" w:themeColor="background1"/>
                <w:sz w:val="18"/>
                <w:szCs w:val="20"/>
              </w:rPr>
              <w:t>1</w:t>
            </w:r>
          </w:p>
        </w:tc>
        <w:tc>
          <w:tcPr>
            <w:tcW w:w="2394"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3DCF0F9" w14:textId="2CCC9E26" w:rsidR="001024F6" w:rsidRPr="00B265F0" w:rsidRDefault="00FC1239" w:rsidP="00042FD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Units</w:t>
            </w:r>
            <w:r w:rsidR="003702C2">
              <w:rPr>
                <w:rFonts w:ascii="Arial" w:hAnsi="Arial" w:cs="Arial"/>
                <w:color w:val="FFFFFF" w:themeColor="background1"/>
                <w:sz w:val="18"/>
                <w:szCs w:val="20"/>
              </w:rPr>
              <w:t xml:space="preserve"> </w:t>
            </w:r>
            <w:r w:rsidR="001024F6" w:rsidRPr="00B265F0">
              <w:rPr>
                <w:rFonts w:ascii="Arial" w:hAnsi="Arial" w:cs="Arial"/>
                <w:color w:val="FFFFFF" w:themeColor="background1"/>
                <w:sz w:val="18"/>
                <w:szCs w:val="20"/>
              </w:rPr>
              <w:t>v</w:t>
            </w:r>
            <w:r w:rsidR="001024F6">
              <w:rPr>
                <w:rFonts w:ascii="Arial" w:hAnsi="Arial" w:cs="Arial"/>
                <w:color w:val="FFFFFF" w:themeColor="background1"/>
                <w:sz w:val="18"/>
                <w:szCs w:val="20"/>
              </w:rPr>
              <w:t>s. 20</w:t>
            </w:r>
            <w:r w:rsidR="002C11A9">
              <w:rPr>
                <w:rFonts w:ascii="Arial" w:hAnsi="Arial" w:cs="Arial"/>
                <w:color w:val="FFFFFF" w:themeColor="background1"/>
                <w:sz w:val="18"/>
                <w:szCs w:val="20"/>
              </w:rPr>
              <w:t>2</w:t>
            </w:r>
            <w:r>
              <w:rPr>
                <w:rFonts w:ascii="Arial" w:hAnsi="Arial" w:cs="Arial"/>
                <w:color w:val="FFFFFF" w:themeColor="background1"/>
                <w:sz w:val="18"/>
                <w:szCs w:val="20"/>
              </w:rPr>
              <w:t>1</w:t>
            </w:r>
          </w:p>
        </w:tc>
      </w:tr>
      <w:tr w:rsidR="00C620F5" w:rsidRPr="00E43E81" w14:paraId="19769B56" w14:textId="77777777" w:rsidTr="00110FF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38" w:type="dxa"/>
          </w:tcPr>
          <w:p w14:paraId="411C8AFA" w14:textId="77777777" w:rsidR="00C620F5" w:rsidRDefault="00C620F5" w:rsidP="00C620F5">
            <w:pPr>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Total perishables</w:t>
            </w:r>
          </w:p>
        </w:tc>
        <w:tc>
          <w:tcPr>
            <w:tcW w:w="2394" w:type="dxa"/>
          </w:tcPr>
          <w:p w14:paraId="7F0C64DE" w14:textId="78562162" w:rsidR="00C620F5" w:rsidRDefault="00C620F5" w:rsidP="00C620F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24.7</w:t>
            </w:r>
            <w:r w:rsidRPr="002F5F30">
              <w:rPr>
                <w:rFonts w:ascii="Arial" w:eastAsia="Times New Roman" w:hAnsi="Arial" w:cs="Arial"/>
                <w:color w:val="215868" w:themeColor="accent5" w:themeShade="80"/>
                <w:sz w:val="18"/>
                <w:szCs w:val="18"/>
              </w:rPr>
              <w:t>B</w:t>
            </w:r>
          </w:p>
        </w:tc>
        <w:tc>
          <w:tcPr>
            <w:tcW w:w="2394" w:type="dxa"/>
          </w:tcPr>
          <w:p w14:paraId="1986A6DD" w14:textId="10B18752" w:rsidR="00C620F5" w:rsidRPr="00E43E81" w:rsidRDefault="00B51D47" w:rsidP="00C620F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5.6</w:t>
            </w:r>
            <w:r w:rsidR="00C620F5" w:rsidRPr="002F5F30">
              <w:rPr>
                <w:rFonts w:ascii="Arial" w:eastAsia="Times New Roman" w:hAnsi="Arial" w:cs="Arial"/>
                <w:color w:val="215868" w:themeColor="accent5" w:themeShade="80"/>
                <w:sz w:val="18"/>
                <w:szCs w:val="18"/>
              </w:rPr>
              <w:t>%</w:t>
            </w:r>
          </w:p>
        </w:tc>
        <w:tc>
          <w:tcPr>
            <w:tcW w:w="2394" w:type="dxa"/>
          </w:tcPr>
          <w:p w14:paraId="5DBC3CD5" w14:textId="4E28FABD" w:rsidR="00C620F5" w:rsidRDefault="000C0F39" w:rsidP="00C620F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4.1</w:t>
            </w:r>
            <w:r w:rsidR="00C620F5" w:rsidRPr="002F5F30">
              <w:rPr>
                <w:rFonts w:ascii="Arial" w:eastAsia="Times New Roman" w:hAnsi="Arial" w:cs="Arial"/>
                <w:color w:val="215868" w:themeColor="accent5" w:themeShade="80"/>
                <w:sz w:val="18"/>
                <w:szCs w:val="18"/>
              </w:rPr>
              <w:t>%</w:t>
            </w:r>
          </w:p>
        </w:tc>
      </w:tr>
      <w:tr w:rsidR="003702C2" w:rsidRPr="00E43E81" w14:paraId="1CC5AE17" w14:textId="77777777" w:rsidTr="00110FF9">
        <w:trPr>
          <w:trHeight w:val="227"/>
        </w:trPr>
        <w:tc>
          <w:tcPr>
            <w:cnfStyle w:val="001000000000" w:firstRow="0" w:lastRow="0" w:firstColumn="1" w:lastColumn="0" w:oddVBand="0" w:evenVBand="0" w:oddHBand="0" w:evenHBand="0" w:firstRowFirstColumn="0" w:firstRowLastColumn="0" w:lastRowFirstColumn="0" w:lastRowLastColumn="0"/>
            <w:tcW w:w="3438" w:type="dxa"/>
          </w:tcPr>
          <w:p w14:paraId="7631F18E" w14:textId="77777777" w:rsidR="003702C2" w:rsidRPr="00E43E81" w:rsidRDefault="003702C2" w:rsidP="003702C2">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Meat</w:t>
            </w:r>
          </w:p>
        </w:tc>
        <w:tc>
          <w:tcPr>
            <w:tcW w:w="2394" w:type="dxa"/>
          </w:tcPr>
          <w:p w14:paraId="750CC114" w14:textId="1F0E30DA" w:rsidR="003702C2" w:rsidRDefault="003702C2" w:rsidP="003702C2">
            <w:pPr>
              <w:jc w:val="right"/>
              <w:cnfStyle w:val="000000000000" w:firstRow="0" w:lastRow="0" w:firstColumn="0" w:lastColumn="0" w:oddVBand="0" w:evenVBand="0" w:oddHBand="0" w:evenHBand="0" w:firstRowFirstColumn="0" w:firstRowLastColumn="0" w:lastRowFirstColumn="0" w:lastRowLastColumn="0"/>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6.4</w:t>
            </w:r>
            <w:r w:rsidRPr="002F5F30">
              <w:rPr>
                <w:rFonts w:ascii="Arial" w:eastAsia="Times New Roman" w:hAnsi="Arial" w:cs="Arial"/>
                <w:color w:val="215868" w:themeColor="accent5" w:themeShade="80"/>
                <w:sz w:val="18"/>
                <w:szCs w:val="18"/>
              </w:rPr>
              <w:t>B</w:t>
            </w:r>
          </w:p>
        </w:tc>
        <w:tc>
          <w:tcPr>
            <w:tcW w:w="2394" w:type="dxa"/>
          </w:tcPr>
          <w:p w14:paraId="05581D12" w14:textId="3ABDCD65" w:rsidR="003702C2" w:rsidRDefault="003702C2" w:rsidP="003702C2">
            <w:pPr>
              <w:jc w:val="right"/>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215868" w:themeColor="accent5" w:themeShade="80"/>
                <w:sz w:val="18"/>
                <w:szCs w:val="18"/>
              </w:rPr>
              <w:t>+6.4</w:t>
            </w:r>
            <w:r w:rsidRPr="002F5F30">
              <w:rPr>
                <w:rFonts w:ascii="Arial" w:eastAsia="Times New Roman" w:hAnsi="Arial" w:cs="Arial"/>
                <w:color w:val="215868" w:themeColor="accent5" w:themeShade="80"/>
                <w:sz w:val="18"/>
                <w:szCs w:val="18"/>
              </w:rPr>
              <w:t>%</w:t>
            </w:r>
          </w:p>
        </w:tc>
        <w:tc>
          <w:tcPr>
            <w:tcW w:w="2394" w:type="dxa"/>
          </w:tcPr>
          <w:p w14:paraId="205FF84F" w14:textId="16023746" w:rsidR="003702C2" w:rsidRPr="00E43E81" w:rsidRDefault="003702C2" w:rsidP="003702C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5.5</w:t>
            </w:r>
            <w:r w:rsidRPr="002F5F30">
              <w:rPr>
                <w:rFonts w:ascii="Arial" w:eastAsia="Times New Roman" w:hAnsi="Arial" w:cs="Arial"/>
                <w:color w:val="215868" w:themeColor="accent5" w:themeShade="80"/>
                <w:sz w:val="18"/>
                <w:szCs w:val="18"/>
              </w:rPr>
              <w:t>%</w:t>
            </w:r>
          </w:p>
        </w:tc>
      </w:tr>
      <w:tr w:rsidR="003702C2" w:rsidRPr="00E43E81" w14:paraId="4285B2CA" w14:textId="77777777" w:rsidTr="00110FF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38" w:type="dxa"/>
          </w:tcPr>
          <w:p w14:paraId="66B47574" w14:textId="77777777" w:rsidR="003702C2" w:rsidRDefault="003702C2" w:rsidP="003702C2">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lastRenderedPageBreak/>
              <w:t>Refrigerated (including dairy)</w:t>
            </w:r>
          </w:p>
        </w:tc>
        <w:tc>
          <w:tcPr>
            <w:tcW w:w="2394" w:type="dxa"/>
          </w:tcPr>
          <w:p w14:paraId="340ADFD3" w14:textId="7DF52B22" w:rsidR="003702C2" w:rsidRDefault="003702C2" w:rsidP="003702C2">
            <w:pPr>
              <w:jc w:val="right"/>
              <w:cnfStyle w:val="000000100000" w:firstRow="0" w:lastRow="0" w:firstColumn="0" w:lastColumn="0" w:oddVBand="0" w:evenVBand="0" w:oddHBand="1" w:evenHBand="0" w:firstRowFirstColumn="0" w:firstRowLastColumn="0" w:lastRowFirstColumn="0" w:lastRowLastColumn="0"/>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5.9</w:t>
            </w:r>
            <w:r w:rsidRPr="002F5F30">
              <w:rPr>
                <w:rFonts w:ascii="Arial" w:eastAsia="Times New Roman" w:hAnsi="Arial" w:cs="Arial"/>
                <w:color w:val="215868" w:themeColor="accent5" w:themeShade="80"/>
                <w:sz w:val="18"/>
                <w:szCs w:val="18"/>
              </w:rPr>
              <w:t>B</w:t>
            </w:r>
          </w:p>
        </w:tc>
        <w:tc>
          <w:tcPr>
            <w:tcW w:w="2394" w:type="dxa"/>
          </w:tcPr>
          <w:p w14:paraId="20395EB9" w14:textId="2CBA8971" w:rsidR="003702C2" w:rsidRDefault="003702C2" w:rsidP="003702C2">
            <w:pPr>
              <w:jc w:val="right"/>
              <w:cnfStyle w:val="000000100000" w:firstRow="0" w:lastRow="0" w:firstColumn="0" w:lastColumn="0" w:oddVBand="0" w:evenVBand="0" w:oddHBand="1" w:evenHBand="0" w:firstRowFirstColumn="0" w:firstRowLastColumn="0" w:lastRowFirstColumn="0" w:lastRowLastColumn="0"/>
            </w:pPr>
            <w:r>
              <w:rPr>
                <w:rFonts w:ascii="Arial" w:eastAsia="Times New Roman" w:hAnsi="Arial" w:cs="Arial"/>
                <w:color w:val="215868" w:themeColor="accent5" w:themeShade="80"/>
                <w:sz w:val="18"/>
                <w:szCs w:val="18"/>
              </w:rPr>
              <w:t>+3.4</w:t>
            </w:r>
            <w:r w:rsidRPr="002F5F30">
              <w:rPr>
                <w:rFonts w:ascii="Arial" w:eastAsia="Times New Roman" w:hAnsi="Arial" w:cs="Arial"/>
                <w:color w:val="215868" w:themeColor="accent5" w:themeShade="80"/>
                <w:sz w:val="18"/>
                <w:szCs w:val="18"/>
              </w:rPr>
              <w:t>%</w:t>
            </w:r>
          </w:p>
        </w:tc>
        <w:tc>
          <w:tcPr>
            <w:tcW w:w="2394" w:type="dxa"/>
          </w:tcPr>
          <w:p w14:paraId="53F3941B" w14:textId="4C585182" w:rsidR="003702C2" w:rsidRDefault="003702C2" w:rsidP="003702C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4.8</w:t>
            </w:r>
            <w:r w:rsidRPr="002F5F30">
              <w:rPr>
                <w:rFonts w:ascii="Arial" w:eastAsia="Times New Roman" w:hAnsi="Arial" w:cs="Arial"/>
                <w:color w:val="215868" w:themeColor="accent5" w:themeShade="80"/>
                <w:sz w:val="18"/>
                <w:szCs w:val="18"/>
              </w:rPr>
              <w:t>%</w:t>
            </w:r>
          </w:p>
        </w:tc>
      </w:tr>
      <w:tr w:rsidR="003702C2" w:rsidRPr="00E43E81" w14:paraId="113FCE46" w14:textId="77777777" w:rsidTr="00110FF9">
        <w:trPr>
          <w:trHeight w:val="227"/>
        </w:trPr>
        <w:tc>
          <w:tcPr>
            <w:cnfStyle w:val="001000000000" w:firstRow="0" w:lastRow="0" w:firstColumn="1" w:lastColumn="0" w:oddVBand="0" w:evenVBand="0" w:oddHBand="0" w:evenHBand="0" w:firstRowFirstColumn="0" w:firstRowLastColumn="0" w:lastRowFirstColumn="0" w:lastRowLastColumn="0"/>
            <w:tcW w:w="3438" w:type="dxa"/>
          </w:tcPr>
          <w:p w14:paraId="1E28C733" w14:textId="77777777" w:rsidR="003702C2" w:rsidRPr="00E43E81" w:rsidRDefault="003702C2" w:rsidP="003702C2">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Produce</w:t>
            </w:r>
          </w:p>
        </w:tc>
        <w:tc>
          <w:tcPr>
            <w:tcW w:w="2394" w:type="dxa"/>
          </w:tcPr>
          <w:p w14:paraId="1D6EC4E0" w14:textId="2ABE1D08" w:rsidR="003702C2" w:rsidRDefault="003702C2" w:rsidP="003702C2">
            <w:pPr>
              <w:jc w:val="right"/>
              <w:cnfStyle w:val="000000000000" w:firstRow="0" w:lastRow="0" w:firstColumn="0" w:lastColumn="0" w:oddVBand="0" w:evenVBand="0" w:oddHBand="0" w:evenHBand="0" w:firstRowFirstColumn="0" w:firstRowLastColumn="0" w:lastRowFirstColumn="0" w:lastRowLastColumn="0"/>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5.6</w:t>
            </w:r>
            <w:r w:rsidRPr="002F5F30">
              <w:rPr>
                <w:rFonts w:ascii="Arial" w:eastAsia="Times New Roman" w:hAnsi="Arial" w:cs="Arial"/>
                <w:color w:val="215868" w:themeColor="accent5" w:themeShade="80"/>
                <w:sz w:val="18"/>
                <w:szCs w:val="18"/>
              </w:rPr>
              <w:t>B</w:t>
            </w:r>
          </w:p>
        </w:tc>
        <w:tc>
          <w:tcPr>
            <w:tcW w:w="2394" w:type="dxa"/>
          </w:tcPr>
          <w:p w14:paraId="3D837495" w14:textId="4E9EE3BC" w:rsidR="003702C2" w:rsidRDefault="003702C2" w:rsidP="003702C2">
            <w:pPr>
              <w:jc w:val="right"/>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215868" w:themeColor="accent5" w:themeShade="80"/>
                <w:sz w:val="18"/>
                <w:szCs w:val="18"/>
              </w:rPr>
              <w:t>+4.6</w:t>
            </w:r>
            <w:r w:rsidRPr="002F5F30">
              <w:rPr>
                <w:rFonts w:ascii="Arial" w:eastAsia="Times New Roman" w:hAnsi="Arial" w:cs="Arial"/>
                <w:color w:val="215868" w:themeColor="accent5" w:themeShade="80"/>
                <w:sz w:val="18"/>
                <w:szCs w:val="18"/>
              </w:rPr>
              <w:t>%</w:t>
            </w:r>
          </w:p>
        </w:tc>
        <w:tc>
          <w:tcPr>
            <w:tcW w:w="2394" w:type="dxa"/>
          </w:tcPr>
          <w:p w14:paraId="771C3C3C" w14:textId="7DA48D09" w:rsidR="003702C2" w:rsidRPr="00E43E81" w:rsidRDefault="003702C2" w:rsidP="003702C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5.0</w:t>
            </w:r>
            <w:r w:rsidRPr="002F5F30">
              <w:rPr>
                <w:rFonts w:ascii="Arial" w:eastAsia="Times New Roman" w:hAnsi="Arial" w:cs="Arial"/>
                <w:color w:val="215868" w:themeColor="accent5" w:themeShade="80"/>
                <w:sz w:val="18"/>
                <w:szCs w:val="18"/>
              </w:rPr>
              <w:t>%</w:t>
            </w:r>
          </w:p>
        </w:tc>
      </w:tr>
      <w:tr w:rsidR="003702C2" w:rsidRPr="00E43E81" w14:paraId="1886DCAD" w14:textId="77777777" w:rsidTr="00110FF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38" w:type="dxa"/>
          </w:tcPr>
          <w:p w14:paraId="57D90C4D" w14:textId="77777777" w:rsidR="003702C2" w:rsidRPr="00E43E81" w:rsidRDefault="003702C2" w:rsidP="003702C2">
            <w:pPr>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Deli (meat, cheese and deli prepared)</w:t>
            </w:r>
          </w:p>
        </w:tc>
        <w:tc>
          <w:tcPr>
            <w:tcW w:w="2394" w:type="dxa"/>
          </w:tcPr>
          <w:p w14:paraId="3CB9BAA4" w14:textId="3962D16D" w:rsidR="003702C2" w:rsidRDefault="003702C2" w:rsidP="003702C2">
            <w:pPr>
              <w:jc w:val="right"/>
              <w:cnfStyle w:val="000000100000" w:firstRow="0" w:lastRow="0" w:firstColumn="0" w:lastColumn="0" w:oddVBand="0" w:evenVBand="0" w:oddHBand="1" w:evenHBand="0" w:firstRowFirstColumn="0" w:firstRowLastColumn="0" w:lastRowFirstColumn="0" w:lastRowLastColumn="0"/>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3.2</w:t>
            </w:r>
            <w:r w:rsidRPr="002F5F30">
              <w:rPr>
                <w:rFonts w:ascii="Arial" w:eastAsia="Times New Roman" w:hAnsi="Arial" w:cs="Arial"/>
                <w:color w:val="215868" w:themeColor="accent5" w:themeShade="80"/>
                <w:sz w:val="18"/>
                <w:szCs w:val="18"/>
              </w:rPr>
              <w:t>B</w:t>
            </w:r>
          </w:p>
        </w:tc>
        <w:tc>
          <w:tcPr>
            <w:tcW w:w="2394" w:type="dxa"/>
          </w:tcPr>
          <w:p w14:paraId="3C3A0929" w14:textId="27F348D7" w:rsidR="003702C2" w:rsidRDefault="003702C2" w:rsidP="003702C2">
            <w:pPr>
              <w:jc w:val="right"/>
              <w:cnfStyle w:val="000000100000" w:firstRow="0" w:lastRow="0" w:firstColumn="0" w:lastColumn="0" w:oddVBand="0" w:evenVBand="0" w:oddHBand="1" w:evenHBand="0" w:firstRowFirstColumn="0" w:firstRowLastColumn="0" w:lastRowFirstColumn="0" w:lastRowLastColumn="0"/>
            </w:pPr>
            <w:r>
              <w:rPr>
                <w:rFonts w:ascii="Arial" w:eastAsia="Times New Roman" w:hAnsi="Arial" w:cs="Arial"/>
                <w:color w:val="215868" w:themeColor="accent5" w:themeShade="80"/>
                <w:sz w:val="18"/>
                <w:szCs w:val="18"/>
              </w:rPr>
              <w:t>+10.0</w:t>
            </w:r>
            <w:r w:rsidRPr="002F5F30">
              <w:rPr>
                <w:rFonts w:ascii="Arial" w:eastAsia="Times New Roman" w:hAnsi="Arial" w:cs="Arial"/>
                <w:color w:val="215868" w:themeColor="accent5" w:themeShade="80"/>
                <w:sz w:val="18"/>
                <w:szCs w:val="18"/>
              </w:rPr>
              <w:t>%</w:t>
            </w:r>
          </w:p>
        </w:tc>
        <w:tc>
          <w:tcPr>
            <w:tcW w:w="2394" w:type="dxa"/>
          </w:tcPr>
          <w:p w14:paraId="197E2CBC" w14:textId="3FDA68DE" w:rsidR="003702C2" w:rsidRPr="00E43E81" w:rsidRDefault="00102502" w:rsidP="003702C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+0.8</w:t>
            </w:r>
            <w:r w:rsidR="003702C2" w:rsidRPr="002F5F30">
              <w:rPr>
                <w:rFonts w:ascii="Arial" w:eastAsia="Times New Roman" w:hAnsi="Arial" w:cs="Arial"/>
                <w:color w:val="215868" w:themeColor="accent5" w:themeShade="80"/>
                <w:sz w:val="18"/>
                <w:szCs w:val="18"/>
              </w:rPr>
              <w:t>%</w:t>
            </w:r>
          </w:p>
        </w:tc>
      </w:tr>
      <w:tr w:rsidR="003702C2" w:rsidRPr="00E43E81" w14:paraId="26F9F630" w14:textId="77777777" w:rsidTr="00110FF9">
        <w:trPr>
          <w:trHeight w:val="227"/>
        </w:trPr>
        <w:tc>
          <w:tcPr>
            <w:cnfStyle w:val="001000000000" w:firstRow="0" w:lastRow="0" w:firstColumn="1" w:lastColumn="0" w:oddVBand="0" w:evenVBand="0" w:oddHBand="0" w:evenHBand="0" w:firstRowFirstColumn="0" w:firstRowLastColumn="0" w:lastRowFirstColumn="0" w:lastRowLastColumn="0"/>
            <w:tcW w:w="3438" w:type="dxa"/>
          </w:tcPr>
          <w:p w14:paraId="08CC8B0E" w14:textId="77777777" w:rsidR="003702C2" w:rsidRPr="00E43E81" w:rsidRDefault="003702C2" w:rsidP="003702C2">
            <w:pPr>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Bakery</w:t>
            </w:r>
          </w:p>
        </w:tc>
        <w:tc>
          <w:tcPr>
            <w:tcW w:w="2394" w:type="dxa"/>
          </w:tcPr>
          <w:p w14:paraId="29FF4006" w14:textId="04C46CBD" w:rsidR="003702C2" w:rsidRDefault="003702C2" w:rsidP="003702C2">
            <w:pPr>
              <w:jc w:val="right"/>
              <w:cnfStyle w:val="000000000000" w:firstRow="0" w:lastRow="0" w:firstColumn="0" w:lastColumn="0" w:oddVBand="0" w:evenVBand="0" w:oddHBand="0" w:evenHBand="0" w:firstRowFirstColumn="0" w:firstRowLastColumn="0" w:lastRowFirstColumn="0" w:lastRowLastColumn="0"/>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2.9</w:t>
            </w:r>
            <w:r w:rsidRPr="002F5F30">
              <w:rPr>
                <w:rFonts w:ascii="Arial" w:eastAsia="Times New Roman" w:hAnsi="Arial" w:cs="Arial"/>
                <w:color w:val="215868" w:themeColor="accent5" w:themeShade="80"/>
                <w:sz w:val="18"/>
                <w:szCs w:val="18"/>
              </w:rPr>
              <w:t>B</w:t>
            </w:r>
          </w:p>
        </w:tc>
        <w:tc>
          <w:tcPr>
            <w:tcW w:w="2394" w:type="dxa"/>
          </w:tcPr>
          <w:p w14:paraId="4047F8E7" w14:textId="4E6DF84A" w:rsidR="003702C2" w:rsidRDefault="003702C2" w:rsidP="003702C2">
            <w:pPr>
              <w:jc w:val="right"/>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215868" w:themeColor="accent5" w:themeShade="80"/>
                <w:sz w:val="18"/>
                <w:szCs w:val="18"/>
              </w:rPr>
              <w:t>+9.5</w:t>
            </w:r>
            <w:r w:rsidRPr="002F5F30">
              <w:rPr>
                <w:rFonts w:ascii="Arial" w:eastAsia="Times New Roman" w:hAnsi="Arial" w:cs="Arial"/>
                <w:color w:val="215868" w:themeColor="accent5" w:themeShade="80"/>
                <w:sz w:val="18"/>
                <w:szCs w:val="18"/>
              </w:rPr>
              <w:t>%</w:t>
            </w:r>
          </w:p>
        </w:tc>
        <w:tc>
          <w:tcPr>
            <w:tcW w:w="2394" w:type="dxa"/>
          </w:tcPr>
          <w:p w14:paraId="24247DC7" w14:textId="654FFCA1" w:rsidR="003702C2" w:rsidRPr="00E43E81" w:rsidRDefault="003702C2" w:rsidP="003702C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0.6</w:t>
            </w:r>
            <w:r w:rsidRPr="002F5F30">
              <w:rPr>
                <w:rFonts w:ascii="Arial" w:eastAsia="Times New Roman" w:hAnsi="Arial" w:cs="Arial"/>
                <w:color w:val="215868" w:themeColor="accent5" w:themeShade="80"/>
                <w:sz w:val="18"/>
                <w:szCs w:val="18"/>
              </w:rPr>
              <w:t>%</w:t>
            </w:r>
          </w:p>
        </w:tc>
      </w:tr>
      <w:tr w:rsidR="003702C2" w:rsidRPr="00E43E81" w14:paraId="4C888D1F" w14:textId="77777777" w:rsidTr="00110FF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38" w:type="dxa"/>
          </w:tcPr>
          <w:p w14:paraId="5E66606F" w14:textId="77777777" w:rsidR="003702C2" w:rsidRPr="00E43E81" w:rsidRDefault="003702C2" w:rsidP="003702C2">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Seafood</w:t>
            </w:r>
          </w:p>
        </w:tc>
        <w:tc>
          <w:tcPr>
            <w:tcW w:w="2394" w:type="dxa"/>
          </w:tcPr>
          <w:p w14:paraId="188E69BA" w14:textId="4C2CBC10" w:rsidR="003702C2" w:rsidRDefault="003702C2" w:rsidP="003702C2">
            <w:pPr>
              <w:jc w:val="right"/>
              <w:cnfStyle w:val="000000100000" w:firstRow="0" w:lastRow="0" w:firstColumn="0" w:lastColumn="0" w:oddVBand="0" w:evenVBand="0" w:oddHBand="1" w:evenHBand="0" w:firstRowFirstColumn="0" w:firstRowLastColumn="0" w:lastRowFirstColumn="0" w:lastRowLastColumn="0"/>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521M</w:t>
            </w:r>
          </w:p>
        </w:tc>
        <w:tc>
          <w:tcPr>
            <w:tcW w:w="2394" w:type="dxa"/>
          </w:tcPr>
          <w:p w14:paraId="2A7AD186" w14:textId="79F51B58" w:rsidR="003702C2" w:rsidRDefault="003702C2" w:rsidP="003702C2">
            <w:pPr>
              <w:jc w:val="right"/>
              <w:cnfStyle w:val="000000100000" w:firstRow="0" w:lastRow="0" w:firstColumn="0" w:lastColumn="0" w:oddVBand="0" w:evenVBand="0" w:oddHBand="1" w:evenHBand="0" w:firstRowFirstColumn="0" w:firstRowLastColumn="0" w:lastRowFirstColumn="0" w:lastRowLastColumn="0"/>
            </w:pPr>
            <w:r>
              <w:rPr>
                <w:rFonts w:ascii="Arial" w:eastAsia="Times New Roman" w:hAnsi="Arial" w:cs="Arial"/>
                <w:color w:val="215868" w:themeColor="accent5" w:themeShade="80"/>
                <w:sz w:val="18"/>
                <w:szCs w:val="18"/>
              </w:rPr>
              <w:t>-12.0</w:t>
            </w:r>
            <w:r w:rsidRPr="002F5F30">
              <w:rPr>
                <w:rFonts w:ascii="Arial" w:eastAsia="Times New Roman" w:hAnsi="Arial" w:cs="Arial"/>
                <w:color w:val="215868" w:themeColor="accent5" w:themeShade="80"/>
                <w:sz w:val="18"/>
                <w:szCs w:val="18"/>
              </w:rPr>
              <w:t>%</w:t>
            </w:r>
          </w:p>
        </w:tc>
        <w:tc>
          <w:tcPr>
            <w:tcW w:w="2394" w:type="dxa"/>
          </w:tcPr>
          <w:p w14:paraId="44C4CA0F" w14:textId="435AEF34" w:rsidR="003702C2" w:rsidRPr="00E43E81" w:rsidRDefault="003702C2" w:rsidP="003702C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w:t>
            </w:r>
            <w:r w:rsidR="00102502">
              <w:rPr>
                <w:rFonts w:ascii="Arial" w:eastAsia="Times New Roman" w:hAnsi="Arial" w:cs="Arial"/>
                <w:color w:val="215868" w:themeColor="accent5" w:themeShade="80"/>
                <w:sz w:val="18"/>
                <w:szCs w:val="18"/>
              </w:rPr>
              <w:t>20.7</w:t>
            </w:r>
            <w:r w:rsidRPr="002F5F30">
              <w:rPr>
                <w:rFonts w:ascii="Arial" w:eastAsia="Times New Roman" w:hAnsi="Arial" w:cs="Arial"/>
                <w:color w:val="215868" w:themeColor="accent5" w:themeShade="80"/>
                <w:sz w:val="18"/>
                <w:szCs w:val="18"/>
              </w:rPr>
              <w:t>%</w:t>
            </w:r>
          </w:p>
        </w:tc>
      </w:tr>
    </w:tbl>
    <w:p w14:paraId="2D9AB8C7" w14:textId="77777777" w:rsidR="00D66F5A" w:rsidRPr="00D66F5A" w:rsidRDefault="001024F6" w:rsidP="001024F6">
      <w:pPr>
        <w:pStyle w:val="NoSpacing"/>
        <w:rPr>
          <w:noProof/>
          <w:sz w:val="10"/>
          <w:szCs w:val="10"/>
        </w:rPr>
      </w:pPr>
      <w:r w:rsidRPr="00D66F5A">
        <w:rPr>
          <w:noProof/>
          <w:sz w:val="10"/>
          <w:szCs w:val="10"/>
        </w:rPr>
        <w:t xml:space="preserve"> </w:t>
      </w:r>
    </w:p>
    <w:p w14:paraId="23AF6DF5" w14:textId="7ADDE019" w:rsidR="001024F6" w:rsidRDefault="001024F6" w:rsidP="001024F6">
      <w:pPr>
        <w:pStyle w:val="NoSpacing"/>
        <w:rPr>
          <w:rFonts w:ascii="Arial" w:hAnsi="Arial" w:cs="Arial"/>
          <w:sz w:val="16"/>
          <w:szCs w:val="16"/>
        </w:rPr>
      </w:pPr>
      <w:r w:rsidRPr="00764049">
        <w:rPr>
          <w:rFonts w:ascii="Arial" w:hAnsi="Arial" w:cs="Arial"/>
          <w:sz w:val="16"/>
          <w:szCs w:val="16"/>
        </w:rPr>
        <w:t>Source: IRI</w:t>
      </w:r>
      <w:r>
        <w:rPr>
          <w:rFonts w:ascii="Arial" w:hAnsi="Arial" w:cs="Arial"/>
          <w:sz w:val="16"/>
          <w:szCs w:val="16"/>
        </w:rPr>
        <w:t xml:space="preserve"> Integrated Fresh,</w:t>
      </w:r>
      <w:r w:rsidRPr="00764049">
        <w:rPr>
          <w:rFonts w:ascii="Arial" w:hAnsi="Arial" w:cs="Arial"/>
          <w:sz w:val="16"/>
          <w:szCs w:val="16"/>
        </w:rPr>
        <w:t xml:space="preserve"> Total U.S., MULO, </w:t>
      </w:r>
      <w:r>
        <w:rPr>
          <w:rFonts w:ascii="Arial" w:hAnsi="Arial" w:cs="Arial"/>
          <w:sz w:val="16"/>
          <w:szCs w:val="16"/>
        </w:rPr>
        <w:t>fixed and random weight items combined into department views</w:t>
      </w:r>
    </w:p>
    <w:p w14:paraId="2CEB1F70" w14:textId="77777777" w:rsidR="00102502" w:rsidRPr="00764049" w:rsidRDefault="00102502" w:rsidP="001024F6">
      <w:pPr>
        <w:pStyle w:val="NoSpacing"/>
        <w:rPr>
          <w:rFonts w:ascii="Arial" w:hAnsi="Arial" w:cs="Arial"/>
          <w:sz w:val="16"/>
          <w:szCs w:val="16"/>
        </w:rPr>
      </w:pPr>
    </w:p>
    <w:p w14:paraId="1C1A044E" w14:textId="77777777" w:rsidR="00357E26" w:rsidRPr="00D66F5A" w:rsidRDefault="00357E26" w:rsidP="00563A06">
      <w:pPr>
        <w:pStyle w:val="NoSpacing"/>
        <w:rPr>
          <w:rFonts w:ascii="Arial" w:hAnsi="Arial" w:cs="Arial"/>
          <w:b/>
          <w:color w:val="595959" w:themeColor="text1" w:themeTint="A6"/>
          <w:sz w:val="28"/>
          <w:szCs w:val="28"/>
        </w:rPr>
      </w:pPr>
      <w:bookmarkStart w:id="0" w:name="_Hlk76989410"/>
    </w:p>
    <w:bookmarkEnd w:id="0"/>
    <w:p w14:paraId="2BD39D80" w14:textId="77777777" w:rsidR="00CF651D" w:rsidRPr="006879B2" w:rsidRDefault="00CF651D" w:rsidP="00CF651D">
      <w:pPr>
        <w:pStyle w:val="NoSpacing"/>
        <w:rPr>
          <w:rFonts w:ascii="Arial" w:hAnsi="Arial" w:cs="Arial"/>
          <w:b/>
          <w:color w:val="595959" w:themeColor="text1" w:themeTint="A6"/>
          <w:sz w:val="24"/>
          <w:szCs w:val="24"/>
        </w:rPr>
      </w:pPr>
      <w:r w:rsidRPr="006879B2">
        <w:rPr>
          <w:rFonts w:ascii="Arial" w:hAnsi="Arial" w:cs="Arial"/>
          <w:b/>
          <w:color w:val="595959" w:themeColor="text1" w:themeTint="A6"/>
          <w:sz w:val="24"/>
          <w:szCs w:val="24"/>
        </w:rPr>
        <w:t xml:space="preserve">What’s </w:t>
      </w:r>
      <w:r>
        <w:rPr>
          <w:rFonts w:ascii="Arial" w:hAnsi="Arial" w:cs="Arial"/>
          <w:b/>
          <w:color w:val="595959" w:themeColor="text1" w:themeTint="A6"/>
          <w:sz w:val="24"/>
          <w:szCs w:val="24"/>
        </w:rPr>
        <w:t>N</w:t>
      </w:r>
      <w:r w:rsidRPr="006879B2">
        <w:rPr>
          <w:rFonts w:ascii="Arial" w:hAnsi="Arial" w:cs="Arial"/>
          <w:b/>
          <w:color w:val="595959" w:themeColor="text1" w:themeTint="A6"/>
          <w:sz w:val="24"/>
          <w:szCs w:val="24"/>
        </w:rPr>
        <w:t xml:space="preserve">ext? </w:t>
      </w:r>
    </w:p>
    <w:p w14:paraId="4B9F5981" w14:textId="67756E63" w:rsidR="000F53E4" w:rsidRDefault="000F53E4" w:rsidP="00102502">
      <w:pPr>
        <w:pStyle w:val="NoSpacing"/>
        <w:rPr>
          <w:rFonts w:ascii="Arial" w:hAnsi="Arial" w:cs="Arial"/>
          <w:color w:val="000000" w:themeColor="text1"/>
          <w:sz w:val="20"/>
          <w:szCs w:val="20"/>
        </w:rPr>
      </w:pPr>
      <w:bookmarkStart w:id="1" w:name="_Hlk79236872"/>
      <w:r>
        <w:rPr>
          <w:rFonts w:ascii="Arial" w:hAnsi="Arial" w:cs="Arial"/>
          <w:color w:val="000000" w:themeColor="text1"/>
          <w:sz w:val="20"/>
          <w:szCs w:val="20"/>
        </w:rPr>
        <w:t>The marketplace disruption caused by inflation</w:t>
      </w:r>
      <w:r w:rsidR="00024B5F">
        <w:rPr>
          <w:rFonts w:ascii="Arial" w:hAnsi="Arial" w:cs="Arial"/>
          <w:color w:val="000000" w:themeColor="text1"/>
          <w:sz w:val="20"/>
          <w:szCs w:val="20"/>
        </w:rPr>
        <w:t xml:space="preserve"> and</w:t>
      </w:r>
      <w:r>
        <w:rPr>
          <w:rFonts w:ascii="Arial" w:hAnsi="Arial" w:cs="Arial"/>
          <w:color w:val="000000" w:themeColor="text1"/>
          <w:sz w:val="20"/>
          <w:szCs w:val="20"/>
        </w:rPr>
        <w:t xml:space="preserve"> supply chain challenges is not showing signs of letting up any time soon. </w:t>
      </w:r>
    </w:p>
    <w:p w14:paraId="5941D36E" w14:textId="0744FBE0" w:rsidR="00102502" w:rsidRDefault="00102502" w:rsidP="00102502">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 xml:space="preserve">At this time, inflationary levels have much greater impact on grocery shopping patterns than COVID-19 with 90% aware of </w:t>
      </w:r>
      <w:r w:rsidR="008D0E13">
        <w:rPr>
          <w:rFonts w:ascii="Arial" w:hAnsi="Arial" w:cs="Arial"/>
          <w:color w:val="000000" w:themeColor="text1"/>
          <w:sz w:val="20"/>
          <w:szCs w:val="20"/>
        </w:rPr>
        <w:t>the price increases and 96% extremely concerned, according to the IRI shopper research.</w:t>
      </w:r>
      <w:r w:rsidR="009B1D0D">
        <w:rPr>
          <w:rFonts w:ascii="Arial" w:hAnsi="Arial" w:cs="Arial"/>
          <w:color w:val="000000" w:themeColor="text1"/>
          <w:sz w:val="20"/>
          <w:szCs w:val="20"/>
        </w:rPr>
        <w:t xml:space="preserve"> This compares to </w:t>
      </w:r>
      <w:r w:rsidR="00024B5F">
        <w:rPr>
          <w:rFonts w:ascii="Arial" w:hAnsi="Arial" w:cs="Arial"/>
          <w:color w:val="000000" w:themeColor="text1"/>
          <w:sz w:val="20"/>
          <w:szCs w:val="20"/>
        </w:rPr>
        <w:t xml:space="preserve">only </w:t>
      </w:r>
      <w:r w:rsidR="009B1D0D">
        <w:rPr>
          <w:rFonts w:ascii="Arial" w:hAnsi="Arial" w:cs="Arial"/>
          <w:color w:val="000000" w:themeColor="text1"/>
          <w:sz w:val="20"/>
          <w:szCs w:val="20"/>
        </w:rPr>
        <w:t>31% of people being extremely concerned over Coronavirus</w:t>
      </w:r>
      <w:r w:rsidR="00024B5F">
        <w:rPr>
          <w:rFonts w:ascii="Arial" w:hAnsi="Arial" w:cs="Arial"/>
          <w:color w:val="000000" w:themeColor="text1"/>
          <w:sz w:val="20"/>
          <w:szCs w:val="20"/>
        </w:rPr>
        <w:t xml:space="preserve"> as of February 2022</w:t>
      </w:r>
      <w:r w:rsidR="009B1D0D">
        <w:rPr>
          <w:rFonts w:ascii="Arial" w:hAnsi="Arial" w:cs="Arial"/>
          <w:color w:val="000000" w:themeColor="text1"/>
          <w:sz w:val="20"/>
          <w:szCs w:val="20"/>
        </w:rPr>
        <w:t>.</w:t>
      </w:r>
    </w:p>
    <w:p w14:paraId="1DDB8497" w14:textId="4B4E2782" w:rsidR="0063505C" w:rsidRDefault="009B1D0D" w:rsidP="00102502">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45% of shoppers stocked up on certain items</w:t>
      </w:r>
      <w:r w:rsidR="00883B51">
        <w:rPr>
          <w:rFonts w:ascii="Arial" w:hAnsi="Arial" w:cs="Arial"/>
          <w:color w:val="000000" w:themeColor="text1"/>
          <w:sz w:val="20"/>
          <w:szCs w:val="20"/>
        </w:rPr>
        <w:t xml:space="preserve"> in February</w:t>
      </w:r>
      <w:r>
        <w:rPr>
          <w:rFonts w:ascii="Arial" w:hAnsi="Arial" w:cs="Arial"/>
          <w:color w:val="000000" w:themeColor="text1"/>
          <w:sz w:val="20"/>
          <w:szCs w:val="20"/>
        </w:rPr>
        <w:t xml:space="preserve">. Twenty percent did so as they were concerned it may not be available during future trips and 16% because they believe prices may be higher during their next visit. </w:t>
      </w:r>
    </w:p>
    <w:p w14:paraId="7AD4E5B7" w14:textId="5D45E2E9" w:rsidR="0063505C" w:rsidRDefault="0063505C" w:rsidP="00102502">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81.7% of meals in February were prepared at home. This remains well above the July</w:t>
      </w:r>
      <w:r w:rsidR="00024B5F">
        <w:rPr>
          <w:rFonts w:ascii="Arial" w:hAnsi="Arial" w:cs="Arial"/>
          <w:color w:val="000000" w:themeColor="text1"/>
          <w:sz w:val="20"/>
          <w:szCs w:val="20"/>
        </w:rPr>
        <w:t xml:space="preserve"> 2021</w:t>
      </w:r>
      <w:r>
        <w:rPr>
          <w:rFonts w:ascii="Arial" w:hAnsi="Arial" w:cs="Arial"/>
          <w:color w:val="000000" w:themeColor="text1"/>
          <w:sz w:val="20"/>
          <w:szCs w:val="20"/>
        </w:rPr>
        <w:t xml:space="preserve"> low of 77%. </w:t>
      </w:r>
    </w:p>
    <w:p w14:paraId="26ED5449" w14:textId="052CD070" w:rsidR="008D0E13" w:rsidRDefault="008D0E13" w:rsidP="00102502">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Nearly one-third of Americans, 32%, expect that their financial situation one year from now will look a little or a lot worse than it does today</w:t>
      </w:r>
      <w:r w:rsidR="00883B51">
        <w:rPr>
          <w:rFonts w:ascii="Arial" w:hAnsi="Arial" w:cs="Arial"/>
          <w:color w:val="000000" w:themeColor="text1"/>
          <w:sz w:val="20"/>
          <w:szCs w:val="20"/>
        </w:rPr>
        <w:t xml:space="preserve">, whereas 45% believe it will be the same. </w:t>
      </w:r>
    </w:p>
    <w:p w14:paraId="231BCB19" w14:textId="5C0B7910" w:rsidR="008D0E13" w:rsidRDefault="0063505C" w:rsidP="00102502">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13% of trips were online</w:t>
      </w:r>
      <w:r w:rsidR="00883B51">
        <w:rPr>
          <w:rFonts w:ascii="Arial" w:hAnsi="Arial" w:cs="Arial"/>
          <w:color w:val="000000" w:themeColor="text1"/>
          <w:sz w:val="20"/>
          <w:szCs w:val="20"/>
        </w:rPr>
        <w:t xml:space="preserve"> in February</w:t>
      </w:r>
      <w:r>
        <w:rPr>
          <w:rFonts w:ascii="Arial" w:hAnsi="Arial" w:cs="Arial"/>
          <w:color w:val="000000" w:themeColor="text1"/>
          <w:sz w:val="20"/>
          <w:szCs w:val="20"/>
        </w:rPr>
        <w:t xml:space="preserve">, led by curbside pickup — which means 87% of trips were in-store, emphasizing the important role of produce in leading store choice. </w:t>
      </w:r>
      <w:r w:rsidR="00883B51">
        <w:rPr>
          <w:rFonts w:ascii="Arial" w:hAnsi="Arial" w:cs="Arial"/>
          <w:color w:val="000000" w:themeColor="text1"/>
          <w:sz w:val="20"/>
          <w:szCs w:val="20"/>
        </w:rPr>
        <w:t xml:space="preserve">Only 4% of shoppers exclusively buy groceries online. </w:t>
      </w:r>
    </w:p>
    <w:p w14:paraId="2F05D2DE" w14:textId="0D776352" w:rsidR="008D0E13" w:rsidRDefault="008D0E13" w:rsidP="008D0E13">
      <w:pPr>
        <w:pStyle w:val="NoSpacing"/>
        <w:rPr>
          <w:rFonts w:ascii="Arial" w:hAnsi="Arial" w:cs="Arial"/>
          <w:color w:val="000000" w:themeColor="text1"/>
          <w:sz w:val="20"/>
          <w:szCs w:val="20"/>
        </w:rPr>
      </w:pPr>
    </w:p>
    <w:p w14:paraId="3829FE02" w14:textId="3E025590" w:rsidR="008D0E13" w:rsidRDefault="008D0E13" w:rsidP="008D0E13">
      <w:pPr>
        <w:pStyle w:val="NoSpacing"/>
        <w:rPr>
          <w:rFonts w:ascii="Arial" w:hAnsi="Arial" w:cs="Arial"/>
          <w:color w:val="000000" w:themeColor="text1"/>
          <w:sz w:val="20"/>
          <w:szCs w:val="20"/>
        </w:rPr>
      </w:pPr>
    </w:p>
    <w:p w14:paraId="7A99500C" w14:textId="4E2ADC49" w:rsidR="008D0E13" w:rsidRPr="008D0E13" w:rsidRDefault="008D0E13" w:rsidP="008D0E13">
      <w:pPr>
        <w:pStyle w:val="NoSpacing"/>
        <w:rPr>
          <w:rFonts w:ascii="Arial" w:hAnsi="Arial" w:cs="Arial"/>
          <w:b/>
          <w:bCs/>
          <w:color w:val="000000" w:themeColor="text1"/>
          <w:sz w:val="20"/>
          <w:szCs w:val="20"/>
        </w:rPr>
      </w:pPr>
      <w:r w:rsidRPr="008D0E13">
        <w:rPr>
          <w:rFonts w:ascii="Arial" w:hAnsi="Arial" w:cs="Arial"/>
          <w:b/>
          <w:bCs/>
          <w:color w:val="000000" w:themeColor="text1"/>
          <w:sz w:val="20"/>
          <w:szCs w:val="20"/>
        </w:rPr>
        <w:t>Easter Celebrations</w:t>
      </w:r>
    </w:p>
    <w:p w14:paraId="5D51CE2F" w14:textId="5CB34419" w:rsidR="008D0E13" w:rsidRDefault="008D0E13" w:rsidP="008D0E13">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The share of consumers not planning a special Easter or Passover celebration dropped from 44% last year to 29%</w:t>
      </w:r>
      <w:r w:rsidR="00883B51">
        <w:rPr>
          <w:rFonts w:ascii="Arial" w:hAnsi="Arial" w:cs="Arial"/>
          <w:color w:val="000000" w:themeColor="text1"/>
          <w:sz w:val="20"/>
          <w:szCs w:val="20"/>
        </w:rPr>
        <w:t xml:space="preserve"> in 2022</w:t>
      </w:r>
      <w:r>
        <w:rPr>
          <w:rFonts w:ascii="Arial" w:hAnsi="Arial" w:cs="Arial"/>
          <w:color w:val="000000" w:themeColor="text1"/>
          <w:sz w:val="20"/>
          <w:szCs w:val="20"/>
        </w:rPr>
        <w:t xml:space="preserve">, though 21% have not yet made plans. </w:t>
      </w:r>
    </w:p>
    <w:p w14:paraId="7D2D9210" w14:textId="636AEA30" w:rsidR="008D0E13" w:rsidRDefault="008D0E13" w:rsidP="008D0E13">
      <w:pPr>
        <w:pStyle w:val="NoSpacing"/>
        <w:numPr>
          <w:ilvl w:val="0"/>
          <w:numId w:val="21"/>
        </w:numPr>
        <w:rPr>
          <w:rFonts w:ascii="Arial" w:hAnsi="Arial" w:cs="Arial"/>
          <w:color w:val="000000" w:themeColor="text1"/>
          <w:sz w:val="20"/>
          <w:szCs w:val="20"/>
        </w:rPr>
      </w:pPr>
      <w:r>
        <w:rPr>
          <w:rFonts w:ascii="Arial" w:hAnsi="Arial" w:cs="Arial"/>
          <w:color w:val="000000" w:themeColor="text1"/>
          <w:sz w:val="20"/>
          <w:szCs w:val="20"/>
        </w:rPr>
        <w:t xml:space="preserve">Among those doing a special meal for their household or extended circle of family or friends, the average party size is expected to be slightly larger, at seven people. </w:t>
      </w:r>
    </w:p>
    <w:p w14:paraId="1AE00470" w14:textId="77777777" w:rsidR="003D37B7" w:rsidRDefault="003D37B7" w:rsidP="003D37B7">
      <w:pPr>
        <w:pStyle w:val="NoSpacing"/>
        <w:rPr>
          <w:rFonts w:ascii="Arial" w:hAnsi="Arial" w:cs="Arial"/>
          <w:color w:val="000000" w:themeColor="text1"/>
          <w:sz w:val="20"/>
          <w:szCs w:val="20"/>
        </w:rPr>
      </w:pPr>
    </w:p>
    <w:p w14:paraId="1F16FBDB" w14:textId="0FE5D8F0" w:rsidR="001E19ED" w:rsidRDefault="001E19ED" w:rsidP="001E19ED">
      <w:pPr>
        <w:pStyle w:val="NoSpacing"/>
        <w:rPr>
          <w:rFonts w:ascii="Arial" w:hAnsi="Arial" w:cs="Arial"/>
          <w:sz w:val="20"/>
          <w:szCs w:val="20"/>
        </w:rPr>
      </w:pPr>
      <w:r>
        <w:rPr>
          <w:rFonts w:ascii="Arial" w:hAnsi="Arial" w:cs="Arial"/>
          <w:sz w:val="20"/>
          <w:szCs w:val="20"/>
        </w:rPr>
        <w:t>The next report, covering</w:t>
      </w:r>
      <w:r w:rsidR="00883B51">
        <w:rPr>
          <w:rFonts w:ascii="Arial" w:hAnsi="Arial" w:cs="Arial"/>
          <w:sz w:val="20"/>
          <w:szCs w:val="20"/>
        </w:rPr>
        <w:t xml:space="preserve"> March</w:t>
      </w:r>
      <w:r>
        <w:rPr>
          <w:rFonts w:ascii="Arial" w:hAnsi="Arial" w:cs="Arial"/>
          <w:sz w:val="20"/>
          <w:szCs w:val="20"/>
        </w:rPr>
        <w:t>, will be released in mid-</w:t>
      </w:r>
      <w:r w:rsidR="008D0E13">
        <w:rPr>
          <w:rFonts w:ascii="Arial" w:hAnsi="Arial" w:cs="Arial"/>
          <w:sz w:val="20"/>
          <w:szCs w:val="20"/>
        </w:rPr>
        <w:t>April</w:t>
      </w:r>
      <w:r>
        <w:rPr>
          <w:rFonts w:ascii="Arial" w:hAnsi="Arial" w:cs="Arial"/>
          <w:sz w:val="20"/>
          <w:szCs w:val="20"/>
        </w:rPr>
        <w:t xml:space="preserve">. </w:t>
      </w:r>
      <w:r w:rsidR="00834DC2">
        <w:rPr>
          <w:rFonts w:ascii="Arial" w:hAnsi="Arial" w:cs="Arial"/>
          <w:sz w:val="20"/>
          <w:szCs w:val="20"/>
        </w:rPr>
        <w:t xml:space="preserve">In addition to the data provided here, the IFPA also now offers InSite – an online interactive data set covering both produce and floral performance as well as a look at the 2021 consumer sentiment surveys. See </w:t>
      </w:r>
      <w:hyperlink r:id="rId15" w:history="1">
        <w:r w:rsidR="00834DC2" w:rsidRPr="00CA2194">
          <w:rPr>
            <w:rStyle w:val="Hyperlink"/>
            <w:rFonts w:ascii="Arial" w:hAnsi="Arial" w:cs="Arial"/>
            <w:sz w:val="20"/>
            <w:szCs w:val="20"/>
          </w:rPr>
          <w:t>www.freshproduce.com</w:t>
        </w:r>
      </w:hyperlink>
      <w:r w:rsidR="00834DC2">
        <w:rPr>
          <w:rFonts w:ascii="Arial" w:hAnsi="Arial" w:cs="Arial"/>
          <w:sz w:val="20"/>
          <w:szCs w:val="20"/>
        </w:rPr>
        <w:t xml:space="preserve"> for more detail. </w:t>
      </w:r>
      <w:r w:rsidRPr="008A6A7C">
        <w:rPr>
          <w:rFonts w:ascii="Arial" w:hAnsi="Arial" w:cs="Arial"/>
          <w:sz w:val="20"/>
          <w:szCs w:val="20"/>
        </w:rPr>
        <w:t xml:space="preserve">We </w:t>
      </w:r>
      <w:r w:rsidR="00834DC2">
        <w:rPr>
          <w:rFonts w:ascii="Arial" w:hAnsi="Arial" w:cs="Arial"/>
          <w:sz w:val="20"/>
          <w:szCs w:val="20"/>
        </w:rPr>
        <w:t xml:space="preserve">also </w:t>
      </w:r>
      <w:r w:rsidRPr="008A6A7C">
        <w:rPr>
          <w:rFonts w:ascii="Arial" w:hAnsi="Arial" w:cs="Arial"/>
          <w:sz w:val="20"/>
          <w:szCs w:val="20"/>
        </w:rPr>
        <w:t xml:space="preserve">encourage you to contact Joe Watson, </w:t>
      </w:r>
      <w:r w:rsidR="003D37B7">
        <w:rPr>
          <w:rFonts w:ascii="Arial" w:hAnsi="Arial" w:cs="Arial"/>
          <w:sz w:val="20"/>
          <w:szCs w:val="20"/>
        </w:rPr>
        <w:t>IFPA</w:t>
      </w:r>
      <w:r w:rsidRPr="008A6A7C">
        <w:rPr>
          <w:rFonts w:ascii="Arial" w:hAnsi="Arial" w:cs="Arial"/>
          <w:sz w:val="20"/>
          <w:szCs w:val="20"/>
        </w:rPr>
        <w:t xml:space="preserve">’s </w:t>
      </w:r>
      <w:r w:rsidR="0045675D">
        <w:rPr>
          <w:rFonts w:ascii="Arial" w:hAnsi="Arial" w:cs="Arial"/>
          <w:sz w:val="20"/>
          <w:szCs w:val="20"/>
        </w:rPr>
        <w:t>V</w:t>
      </w:r>
      <w:r w:rsidR="00086061">
        <w:rPr>
          <w:rFonts w:ascii="Arial" w:hAnsi="Arial" w:cs="Arial"/>
          <w:sz w:val="20"/>
          <w:szCs w:val="20"/>
        </w:rPr>
        <w:t>P,</w:t>
      </w:r>
      <w:r w:rsidR="0045675D">
        <w:rPr>
          <w:rFonts w:ascii="Arial" w:hAnsi="Arial" w:cs="Arial"/>
          <w:sz w:val="20"/>
          <w:szCs w:val="20"/>
        </w:rPr>
        <w:t xml:space="preserve"> Retail, Foodservice and Wholesale</w:t>
      </w:r>
      <w:r w:rsidRPr="008A6A7C">
        <w:rPr>
          <w:rFonts w:ascii="Arial" w:hAnsi="Arial" w:cs="Arial"/>
          <w:sz w:val="20"/>
          <w:szCs w:val="20"/>
        </w:rPr>
        <w:t xml:space="preserve">, at </w:t>
      </w:r>
      <w:hyperlink r:id="rId16" w:history="1">
        <w:r w:rsidR="0045675D" w:rsidRPr="0045675D">
          <w:rPr>
            <w:rStyle w:val="Hyperlink"/>
            <w:rFonts w:ascii="Arial" w:hAnsi="Arial" w:cs="Arial"/>
            <w:sz w:val="20"/>
            <w:szCs w:val="20"/>
          </w:rPr>
          <w:t>jwatson@freshproduce.com</w:t>
        </w:r>
      </w:hyperlink>
      <w:r w:rsidRPr="008A6A7C">
        <w:rPr>
          <w:rFonts w:ascii="Arial" w:hAnsi="Arial" w:cs="Arial"/>
          <w:sz w:val="20"/>
          <w:szCs w:val="20"/>
        </w:rPr>
        <w:t xml:space="preserve"> with any questions or concerns.</w:t>
      </w:r>
      <w:r>
        <w:rPr>
          <w:rFonts w:ascii="Arial" w:hAnsi="Arial" w:cs="Arial"/>
          <w:sz w:val="20"/>
          <w:szCs w:val="20"/>
        </w:rPr>
        <w:t xml:space="preserve"> </w:t>
      </w:r>
      <w:r w:rsidRPr="008A6A7C">
        <w:rPr>
          <w:rFonts w:ascii="Arial" w:hAnsi="Arial" w:cs="Arial"/>
          <w:sz w:val="20"/>
          <w:szCs w:val="20"/>
        </w:rPr>
        <w:t>Please recognize the continued dedication of the entire grocery and produce suppl</w:t>
      </w:r>
      <w:r>
        <w:rPr>
          <w:rFonts w:ascii="Arial" w:hAnsi="Arial" w:cs="Arial"/>
          <w:sz w:val="20"/>
          <w:szCs w:val="20"/>
        </w:rPr>
        <w:t>y chains, from farm to retailer</w:t>
      </w:r>
      <w:r w:rsidRPr="008A6A7C">
        <w:rPr>
          <w:rFonts w:ascii="Arial" w:hAnsi="Arial" w:cs="Arial"/>
          <w:sz w:val="20"/>
          <w:szCs w:val="20"/>
        </w:rPr>
        <w:t>. #produce #joyoffresh #SupermarketSuperHeroes.</w:t>
      </w:r>
    </w:p>
    <w:p w14:paraId="4FC8B8C1" w14:textId="77777777" w:rsidR="001E19ED" w:rsidRDefault="001E19ED" w:rsidP="001E19ED">
      <w:pPr>
        <w:pStyle w:val="NoSpacing"/>
        <w:rPr>
          <w:rFonts w:ascii="Arial" w:hAnsi="Arial" w:cs="Arial"/>
          <w:sz w:val="20"/>
          <w:szCs w:val="20"/>
        </w:rPr>
      </w:pPr>
    </w:p>
    <w:p w14:paraId="6264A6CB" w14:textId="77777777" w:rsidR="006A4A53" w:rsidRDefault="006A4A53" w:rsidP="006A4A53">
      <w:pPr>
        <w:pStyle w:val="NoSpacing"/>
        <w:rPr>
          <w:rFonts w:ascii="Arial" w:hAnsi="Arial" w:cs="Arial"/>
          <w:sz w:val="20"/>
          <w:szCs w:val="20"/>
        </w:rPr>
      </w:pPr>
    </w:p>
    <w:bookmarkEnd w:id="1"/>
    <w:p w14:paraId="4A5F9C0D" w14:textId="77777777" w:rsidR="00DC3686" w:rsidRDefault="00DC3686" w:rsidP="00DC3686">
      <w:pPr>
        <w:pStyle w:val="NoSpacing"/>
        <w:rPr>
          <w:rFonts w:ascii="Arial" w:hAnsi="Arial" w:cs="Arial"/>
          <w:b/>
          <w:sz w:val="20"/>
          <w:szCs w:val="20"/>
        </w:rPr>
      </w:pPr>
      <w:r>
        <w:rPr>
          <w:rFonts w:ascii="Arial" w:hAnsi="Arial" w:cs="Arial"/>
          <w:b/>
          <w:sz w:val="20"/>
          <w:szCs w:val="20"/>
        </w:rPr>
        <w:t xml:space="preserve">Date ranges: </w:t>
      </w:r>
    </w:p>
    <w:p w14:paraId="50F2848D" w14:textId="77777777" w:rsidR="00DC3686" w:rsidRDefault="00DC3686" w:rsidP="00DC3686">
      <w:pPr>
        <w:pStyle w:val="NoSpacing"/>
        <w:rPr>
          <w:rFonts w:ascii="Arial" w:hAnsi="Arial" w:cs="Arial"/>
          <w:sz w:val="20"/>
          <w:szCs w:val="20"/>
        </w:rPr>
      </w:pPr>
      <w:r>
        <w:rPr>
          <w:rFonts w:ascii="Arial" w:hAnsi="Arial" w:cs="Arial"/>
          <w:sz w:val="20"/>
          <w:szCs w:val="20"/>
        </w:rPr>
        <w:t>2019: 52 weeks ending 12/28/2019</w:t>
      </w:r>
    </w:p>
    <w:p w14:paraId="02D3E94C" w14:textId="77777777" w:rsidR="00DC3686" w:rsidRDefault="00DC3686" w:rsidP="00DC3686">
      <w:pPr>
        <w:pStyle w:val="NoSpacing"/>
        <w:rPr>
          <w:rFonts w:ascii="Arial" w:hAnsi="Arial" w:cs="Arial"/>
          <w:sz w:val="20"/>
          <w:szCs w:val="20"/>
        </w:rPr>
      </w:pPr>
      <w:r>
        <w:rPr>
          <w:rFonts w:ascii="Arial" w:hAnsi="Arial" w:cs="Arial"/>
          <w:sz w:val="20"/>
          <w:szCs w:val="20"/>
        </w:rPr>
        <w:t>2020: 52 weeks ending 12/27/2020</w:t>
      </w:r>
    </w:p>
    <w:p w14:paraId="16A9B472" w14:textId="77777777" w:rsidR="00DC3686" w:rsidRDefault="00DC3686" w:rsidP="00DC3686">
      <w:pPr>
        <w:pStyle w:val="NoSpacing"/>
        <w:rPr>
          <w:rFonts w:ascii="Arial" w:hAnsi="Arial" w:cs="Arial"/>
          <w:sz w:val="20"/>
          <w:szCs w:val="20"/>
        </w:rPr>
      </w:pPr>
      <w:r>
        <w:rPr>
          <w:rFonts w:ascii="Arial" w:hAnsi="Arial" w:cs="Arial"/>
          <w:sz w:val="20"/>
          <w:szCs w:val="20"/>
        </w:rPr>
        <w:t>Q1 2021: 13 weeks ending 3/28/2021</w:t>
      </w:r>
    </w:p>
    <w:p w14:paraId="077C36DD" w14:textId="77777777" w:rsidR="00DC3686" w:rsidRDefault="00DC3686" w:rsidP="00DC3686">
      <w:pPr>
        <w:pStyle w:val="NoSpacing"/>
        <w:rPr>
          <w:rFonts w:ascii="Arial" w:hAnsi="Arial" w:cs="Arial"/>
          <w:sz w:val="20"/>
          <w:szCs w:val="20"/>
        </w:rPr>
      </w:pPr>
      <w:r>
        <w:rPr>
          <w:rFonts w:ascii="Arial" w:hAnsi="Arial" w:cs="Arial"/>
          <w:sz w:val="20"/>
          <w:szCs w:val="20"/>
        </w:rPr>
        <w:t>Q2 2021: 13 weeks ending 6/27/2021</w:t>
      </w:r>
    </w:p>
    <w:p w14:paraId="43515E4D" w14:textId="77777777" w:rsidR="00DC3686" w:rsidRDefault="00DC3686" w:rsidP="00DC3686">
      <w:pPr>
        <w:pStyle w:val="NoSpacing"/>
        <w:rPr>
          <w:rFonts w:ascii="Arial" w:hAnsi="Arial" w:cs="Arial"/>
          <w:sz w:val="20"/>
          <w:szCs w:val="20"/>
        </w:rPr>
      </w:pPr>
      <w:r>
        <w:rPr>
          <w:rFonts w:ascii="Arial" w:hAnsi="Arial" w:cs="Arial"/>
          <w:sz w:val="20"/>
          <w:szCs w:val="20"/>
        </w:rPr>
        <w:t>Q3 2021: 13 weeks ending 9/26/2021</w:t>
      </w:r>
    </w:p>
    <w:p w14:paraId="239B9BA6" w14:textId="77777777" w:rsidR="00DC3686" w:rsidRDefault="00DC3686" w:rsidP="00DC3686">
      <w:pPr>
        <w:pStyle w:val="NoSpacing"/>
        <w:rPr>
          <w:rFonts w:ascii="Arial" w:hAnsi="Arial" w:cs="Arial"/>
          <w:sz w:val="20"/>
          <w:szCs w:val="20"/>
        </w:rPr>
      </w:pPr>
      <w:r>
        <w:rPr>
          <w:rFonts w:ascii="Arial" w:hAnsi="Arial" w:cs="Arial"/>
          <w:sz w:val="20"/>
          <w:szCs w:val="20"/>
        </w:rPr>
        <w:t>Q4 2021: 13 weeks ending 12/26/2021</w:t>
      </w:r>
    </w:p>
    <w:p w14:paraId="23AEE375" w14:textId="3205119C" w:rsidR="00DC3686" w:rsidRDefault="00DC3686" w:rsidP="00DC3686">
      <w:pPr>
        <w:pStyle w:val="NoSpacing"/>
        <w:rPr>
          <w:rFonts w:ascii="Arial" w:hAnsi="Arial" w:cs="Arial"/>
          <w:sz w:val="20"/>
          <w:szCs w:val="20"/>
        </w:rPr>
      </w:pPr>
      <w:r>
        <w:rPr>
          <w:rFonts w:ascii="Arial" w:hAnsi="Arial" w:cs="Arial"/>
          <w:sz w:val="20"/>
          <w:szCs w:val="20"/>
        </w:rPr>
        <w:t>January 2022: 5 weeks ending 1/30/2022</w:t>
      </w:r>
    </w:p>
    <w:p w14:paraId="07816292" w14:textId="02962AD4" w:rsidR="008D0E13" w:rsidRDefault="008D0E13" w:rsidP="00DC3686">
      <w:pPr>
        <w:pStyle w:val="NoSpacing"/>
        <w:rPr>
          <w:rFonts w:ascii="Arial" w:hAnsi="Arial" w:cs="Arial"/>
          <w:sz w:val="20"/>
          <w:szCs w:val="20"/>
        </w:rPr>
      </w:pPr>
      <w:r>
        <w:rPr>
          <w:rFonts w:ascii="Arial" w:hAnsi="Arial" w:cs="Arial"/>
          <w:sz w:val="20"/>
          <w:szCs w:val="20"/>
        </w:rPr>
        <w:t>February 2022: 4 weeks ending 2/27/2022</w:t>
      </w:r>
    </w:p>
    <w:p w14:paraId="0758C32B" w14:textId="77777777" w:rsidR="00B60EDD" w:rsidRDefault="00B60EDD" w:rsidP="00B60EDD">
      <w:pPr>
        <w:pStyle w:val="NoSpacing"/>
        <w:rPr>
          <w:rFonts w:ascii="Arial" w:hAnsi="Arial" w:cs="Arial"/>
          <w:sz w:val="20"/>
          <w:szCs w:val="20"/>
        </w:rPr>
      </w:pPr>
    </w:p>
    <w:p w14:paraId="7343FCEB" w14:textId="77777777" w:rsidR="00C826C2" w:rsidRPr="008A6A7C" w:rsidRDefault="00C826C2" w:rsidP="00B60EDD">
      <w:pPr>
        <w:pStyle w:val="NoSpacing"/>
        <w:rPr>
          <w:rFonts w:ascii="Arial" w:hAnsi="Arial" w:cs="Arial"/>
          <w:sz w:val="20"/>
          <w:szCs w:val="20"/>
        </w:rPr>
      </w:pPr>
    </w:p>
    <w:sectPr w:rsidR="00C826C2" w:rsidRPr="008A6A7C" w:rsidSect="009172A3">
      <w:headerReference w:type="default" r:id="rId17"/>
      <w:footerReference w:type="default" r:id="rId18"/>
      <w:pgSz w:w="12240" w:h="15840"/>
      <w:pgMar w:top="1276" w:right="758" w:bottom="851"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3E49" w14:textId="77777777" w:rsidR="00B145D0" w:rsidRDefault="00B145D0" w:rsidP="007E1D2E">
      <w:pPr>
        <w:spacing w:after="0" w:line="240" w:lineRule="auto"/>
      </w:pPr>
      <w:r>
        <w:separator/>
      </w:r>
    </w:p>
  </w:endnote>
  <w:endnote w:type="continuationSeparator" w:id="0">
    <w:p w14:paraId="249A3F71" w14:textId="77777777" w:rsidR="00B145D0" w:rsidRDefault="00B145D0" w:rsidP="007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B01" w14:textId="23468BA2" w:rsidR="00112E9A" w:rsidRPr="001C4C48" w:rsidRDefault="000F45C4" w:rsidP="009172A3">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rPr>
      <mc:AlternateContent>
        <mc:Choice Requires="wps">
          <w:drawing>
            <wp:anchor distT="0" distB="0" distL="114300" distR="114300" simplePos="0" relativeHeight="251658240" behindDoc="0" locked="0" layoutInCell="1" allowOverlap="1" wp14:anchorId="091F28F7" wp14:editId="114F1E35">
              <wp:simplePos x="0" y="0"/>
              <wp:positionH relativeFrom="page">
                <wp:posOffset>457200</wp:posOffset>
              </wp:positionH>
              <wp:positionV relativeFrom="paragraph">
                <wp:posOffset>148590</wp:posOffset>
              </wp:positionV>
              <wp:extent cx="6858000" cy="20320"/>
              <wp:effectExtent l="0" t="0" r="0" b="177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52F44"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80BF8AE" w14:textId="110F4C1E" w:rsidR="00112E9A" w:rsidRPr="00030F05" w:rsidRDefault="000F45C4" w:rsidP="009172A3">
    <w:pPr>
      <w:pStyle w:val="NoSpacing"/>
      <w:rPr>
        <w:sz w:val="16"/>
      </w:rPr>
    </w:pPr>
    <w:r>
      <w:rPr>
        <w:noProof/>
        <w:sz w:val="16"/>
      </w:rPr>
      <mc:AlternateContent>
        <mc:Choice Requires="wps">
          <w:drawing>
            <wp:anchor distT="0" distB="0" distL="114300" distR="114300" simplePos="0" relativeHeight="251659264" behindDoc="0" locked="0" layoutInCell="1" allowOverlap="1" wp14:anchorId="0B734F52" wp14:editId="71F2F78A">
              <wp:simplePos x="0" y="0"/>
              <wp:positionH relativeFrom="page">
                <wp:posOffset>5035550</wp:posOffset>
              </wp:positionH>
              <wp:positionV relativeFrom="page">
                <wp:posOffset>9556750</wp:posOffset>
              </wp:positionV>
              <wp:extent cx="2359025" cy="347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025" cy="347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0E1C4D" w14:textId="77777777" w:rsidR="00112E9A" w:rsidRPr="002E71F7" w:rsidRDefault="00112E9A" w:rsidP="009172A3">
                          <w:pPr>
                            <w:jc w:val="right"/>
                            <w:rPr>
                              <w:rFonts w:ascii="Arial" w:hAnsi="Arial" w:cs="Arial"/>
                              <w:color w:val="000000" w:themeColor="text1"/>
                              <w:sz w:val="14"/>
                              <w:szCs w:val="14"/>
                            </w:rPr>
                          </w:pPr>
                          <w:r w:rsidRPr="002E71F7">
                            <w:rPr>
                              <w:rFonts w:ascii="Arial" w:hAnsi="Arial" w:cs="Arial"/>
                              <w:color w:val="000000" w:themeColor="text1"/>
                              <w:sz w:val="14"/>
                              <w:szCs w:val="14"/>
                            </w:rPr>
                            <w:t xml:space="preserve">Copyright © </w:t>
                          </w:r>
                          <w:r>
                            <w:rPr>
                              <w:rFonts w:ascii="Arial" w:hAnsi="Arial" w:cs="Arial"/>
                              <w:color w:val="000000" w:themeColor="text1"/>
                              <w:sz w:val="14"/>
                              <w:szCs w:val="14"/>
                            </w:rPr>
                            <w:t xml:space="preserve">210 Analytics and </w:t>
                          </w:r>
                          <w:r>
                            <w:rPr>
                              <w:rFonts w:ascii="Arial" w:hAnsi="Arial" w:cs="Arial"/>
                              <w:color w:val="000000" w:themeColor="text1"/>
                              <w:sz w:val="14"/>
                              <w:szCs w:val="14"/>
                            </w:rPr>
                            <w:br/>
                          </w:r>
                          <w:r w:rsidRPr="002E71F7">
                            <w:rPr>
                              <w:rFonts w:ascii="Arial" w:hAnsi="Arial" w:cs="Arial"/>
                              <w:color w:val="000000" w:themeColor="text1"/>
                              <w:sz w:val="14"/>
                              <w:szCs w:val="14"/>
                            </w:rPr>
                            <w:t>Information Resources, Inc. (IRI)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34F52" id="_x0000_t202" coordsize="21600,21600" o:spt="202" path="m,l,21600r21600,l21600,xe">
              <v:stroke joinstyle="miter"/>
              <v:path gradientshapeok="t" o:connecttype="rect"/>
            </v:shapetype>
            <v:shape id="Text Box 3" o:spid="_x0000_s1027" type="#_x0000_t202" style="position:absolute;margin-left:396.5pt;margin-top:752.5pt;width:185.75pt;height:2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" filled="f" stroked="f">
              <v:textbox>
                <w:txbxContent>
                  <w:p w14:paraId="620E1C4D" w14:textId="77777777" w:rsidR="00112E9A" w:rsidRPr="002E71F7" w:rsidRDefault="00112E9A" w:rsidP="009172A3">
                    <w:pPr>
                      <w:jc w:val="right"/>
                      <w:rPr>
                        <w:rFonts w:ascii="Arial" w:hAnsi="Arial" w:cs="Arial"/>
                        <w:color w:val="000000" w:themeColor="text1"/>
                        <w:sz w:val="14"/>
                        <w:szCs w:val="14"/>
                      </w:rPr>
                    </w:pPr>
                    <w:r w:rsidRPr="002E71F7">
                      <w:rPr>
                        <w:rFonts w:ascii="Arial" w:hAnsi="Arial" w:cs="Arial"/>
                        <w:color w:val="000000" w:themeColor="text1"/>
                        <w:sz w:val="14"/>
                        <w:szCs w:val="14"/>
                      </w:rPr>
                      <w:t xml:space="preserve">Copyright © </w:t>
                    </w:r>
                    <w:r>
                      <w:rPr>
                        <w:rFonts w:ascii="Arial" w:hAnsi="Arial" w:cs="Arial"/>
                        <w:color w:val="000000" w:themeColor="text1"/>
                        <w:sz w:val="14"/>
                        <w:szCs w:val="14"/>
                      </w:rPr>
                      <w:t xml:space="preserve">210 Analytics and </w:t>
                    </w:r>
                    <w:r>
                      <w:rPr>
                        <w:rFonts w:ascii="Arial" w:hAnsi="Arial" w:cs="Arial"/>
                        <w:color w:val="000000" w:themeColor="text1"/>
                        <w:sz w:val="14"/>
                        <w:szCs w:val="14"/>
                      </w:rPr>
                      <w:br/>
                    </w:r>
                    <w:r w:rsidRPr="002E71F7">
                      <w:rPr>
                        <w:rFonts w:ascii="Arial" w:hAnsi="Arial" w:cs="Arial"/>
                        <w:color w:val="000000" w:themeColor="text1"/>
                        <w:sz w:val="14"/>
                        <w:szCs w:val="14"/>
                      </w:rPr>
                      <w:t>Information Resources, Inc. (IRI)</w:t>
                    </w:r>
                  </w:p>
                </w:txbxContent>
              </v:textbox>
              <w10:wrap anchorx="page" anchory="page"/>
            </v:shape>
          </w:pict>
        </mc:Fallback>
      </mc:AlternateContent>
    </w:r>
    <w:r w:rsidR="00112E9A" w:rsidRPr="00030F05">
      <w:rPr>
        <w:sz w:val="16"/>
      </w:rPr>
      <w:t>Need more information?</w:t>
    </w:r>
    <w:r w:rsidR="00112E9A" w:rsidRPr="00030F05">
      <w:rPr>
        <w:sz w:val="16"/>
      </w:rPr>
      <w:br/>
    </w:r>
    <w:r>
      <w:rPr>
        <w:sz w:val="16"/>
      </w:rPr>
      <w:t>freshfoods@iriworldwide.com</w:t>
    </w:r>
    <w:r w:rsidR="00112E9A">
      <w:rPr>
        <w:sz w:val="16"/>
      </w:rPr>
      <w:tab/>
    </w:r>
    <w:r w:rsidR="00112E9A">
      <w:rPr>
        <w:sz w:val="16"/>
      </w:rPr>
      <w:tab/>
    </w:r>
    <w:r w:rsidR="00112E9A">
      <w:rPr>
        <w:sz w:val="16"/>
      </w:rPr>
      <w:tab/>
      <w:t>210 Analytics</w:t>
    </w:r>
  </w:p>
  <w:p w14:paraId="6E4FF3AA" w14:textId="61144657" w:rsidR="00112E9A" w:rsidRPr="00030F05" w:rsidRDefault="00280853" w:rsidP="009172A3">
    <w:pPr>
      <w:pStyle w:val="NoSpacing"/>
      <w:rPr>
        <w:sz w:val="16"/>
      </w:rPr>
    </w:pPr>
    <w:r>
      <w:rPr>
        <w:sz w:val="16"/>
      </w:rPr>
      <w:t>FreshProduce@iriworldwide.com</w:t>
    </w:r>
    <w:r w:rsidR="00112E9A">
      <w:rPr>
        <w:sz w:val="16"/>
      </w:rPr>
      <w:tab/>
    </w:r>
    <w:r w:rsidR="00112E9A">
      <w:rPr>
        <w:sz w:val="16"/>
      </w:rPr>
      <w:tab/>
      <w:t>aroerink@210analytics.com</w:t>
    </w:r>
  </w:p>
  <w:p w14:paraId="0C43B367" w14:textId="77777777" w:rsidR="00112E9A" w:rsidRDefault="0011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6CF2" w14:textId="77777777" w:rsidR="00B145D0" w:rsidRDefault="00B145D0" w:rsidP="007E1D2E">
      <w:pPr>
        <w:spacing w:after="0" w:line="240" w:lineRule="auto"/>
      </w:pPr>
      <w:r>
        <w:separator/>
      </w:r>
    </w:p>
  </w:footnote>
  <w:footnote w:type="continuationSeparator" w:id="0">
    <w:p w14:paraId="34499068" w14:textId="77777777" w:rsidR="00B145D0" w:rsidRDefault="00B145D0" w:rsidP="007E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3C2" w14:textId="77777777" w:rsidR="00112E9A" w:rsidRDefault="00112E9A">
    <w:pPr>
      <w:pStyle w:val="Header"/>
    </w:pPr>
    <w:r w:rsidRPr="00030F05">
      <w:rPr>
        <w:noProof/>
      </w:rPr>
      <w:drawing>
        <wp:anchor distT="0" distB="0" distL="114300" distR="114300" simplePos="0" relativeHeight="251657216" behindDoc="1" locked="1" layoutInCell="1" allowOverlap="1" wp14:anchorId="1C9A4F7D" wp14:editId="66E82C26">
          <wp:simplePos x="0" y="0"/>
          <wp:positionH relativeFrom="page">
            <wp:posOffset>1521847</wp:posOffset>
          </wp:positionH>
          <wp:positionV relativeFrom="page">
            <wp:posOffset>0</wp:posOffset>
          </wp:positionV>
          <wp:extent cx="6270431" cy="787179"/>
          <wp:effectExtent l="19050" t="0" r="0" b="0"/>
          <wp:wrapNone/>
          <wp:docPr id="1" name="Picture 1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rcRect b="28448"/>
                  <a:stretch>
                    <a:fillRect/>
                  </a:stretch>
                </pic:blipFill>
                <pic:spPr>
                  <a:xfrm>
                    <a:off x="0" y="0"/>
                    <a:ext cx="6267450" cy="790575"/>
                  </a:xfrm>
                  <a:prstGeom prst="rect">
                    <a:avLst/>
                  </a:prstGeom>
                </pic:spPr>
              </pic:pic>
            </a:graphicData>
          </a:graphic>
        </wp:anchor>
      </w:drawing>
    </w:r>
    <w:r w:rsidRPr="00030F05">
      <w:rPr>
        <w:noProof/>
      </w:rPr>
      <w:drawing>
        <wp:anchor distT="0" distB="0" distL="114300" distR="114300" simplePos="0" relativeHeight="251656192" behindDoc="0" locked="1" layoutInCell="1" allowOverlap="1" wp14:anchorId="73F2A16B" wp14:editId="3E276A20">
          <wp:simplePos x="0" y="0"/>
          <wp:positionH relativeFrom="page">
            <wp:posOffset>-55659</wp:posOffset>
          </wp:positionH>
          <wp:positionV relativeFrom="page">
            <wp:posOffset>0</wp:posOffset>
          </wp:positionV>
          <wp:extent cx="7903596" cy="289450"/>
          <wp:effectExtent l="0" t="0" r="0" b="1270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jpg"/>
                  <pic:cNvPicPr/>
                </pic:nvPicPr>
                <pic:blipFill rotWithShape="1">
                  <a:blip r:embed="rId2">
                    <a:extLst>
                      <a:ext uri="{28A0092B-C50C-407E-A947-70E740481C1C}">
                        <a14:useLocalDpi xmlns:a14="http://schemas.microsoft.com/office/drawing/2010/main"/>
                      </a:ext>
                    </a:extLst>
                  </a:blip>
                  <a:srcRect/>
                  <a:stretch/>
                </pic:blipFill>
                <pic:spPr bwMode="auto">
                  <a:xfrm>
                    <a:off x="0" y="0"/>
                    <a:ext cx="7909560" cy="2921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C90"/>
    <w:multiLevelType w:val="hybridMultilevel"/>
    <w:tmpl w:val="752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040D6"/>
    <w:multiLevelType w:val="hybridMultilevel"/>
    <w:tmpl w:val="11A0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302F0"/>
    <w:multiLevelType w:val="hybridMultilevel"/>
    <w:tmpl w:val="E13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B60CD"/>
    <w:multiLevelType w:val="hybridMultilevel"/>
    <w:tmpl w:val="ABEA9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FA0879"/>
    <w:multiLevelType w:val="hybridMultilevel"/>
    <w:tmpl w:val="69A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50D42"/>
    <w:multiLevelType w:val="hybridMultilevel"/>
    <w:tmpl w:val="8F8C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D3521"/>
    <w:multiLevelType w:val="hybridMultilevel"/>
    <w:tmpl w:val="467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82225"/>
    <w:multiLevelType w:val="hybridMultilevel"/>
    <w:tmpl w:val="52A604A8"/>
    <w:lvl w:ilvl="0" w:tplc="AAAC1FB8">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A15C7"/>
    <w:multiLevelType w:val="hybridMultilevel"/>
    <w:tmpl w:val="38A4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924DE6"/>
    <w:multiLevelType w:val="hybridMultilevel"/>
    <w:tmpl w:val="649E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5042CF"/>
    <w:multiLevelType w:val="hybridMultilevel"/>
    <w:tmpl w:val="A32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FF24BB"/>
    <w:multiLevelType w:val="hybridMultilevel"/>
    <w:tmpl w:val="A4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5869AC"/>
    <w:multiLevelType w:val="hybridMultilevel"/>
    <w:tmpl w:val="8790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B31247"/>
    <w:multiLevelType w:val="hybridMultilevel"/>
    <w:tmpl w:val="A3E0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7A61B6"/>
    <w:multiLevelType w:val="hybridMultilevel"/>
    <w:tmpl w:val="8508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E87EF7"/>
    <w:multiLevelType w:val="hybridMultilevel"/>
    <w:tmpl w:val="3FBA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5D18DB"/>
    <w:multiLevelType w:val="hybridMultilevel"/>
    <w:tmpl w:val="C2640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34E9D"/>
    <w:multiLevelType w:val="hybridMultilevel"/>
    <w:tmpl w:val="B81E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464BB5"/>
    <w:multiLevelType w:val="hybridMultilevel"/>
    <w:tmpl w:val="53684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ED5576"/>
    <w:multiLevelType w:val="hybridMultilevel"/>
    <w:tmpl w:val="64E2B4B6"/>
    <w:lvl w:ilvl="0" w:tplc="D1F2BFB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D75C21"/>
    <w:multiLevelType w:val="hybridMultilevel"/>
    <w:tmpl w:val="3930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6"/>
  </w:num>
  <w:num w:numId="3">
    <w:abstractNumId w:val="16"/>
  </w:num>
  <w:num w:numId="4">
    <w:abstractNumId w:val="17"/>
  </w:num>
  <w:num w:numId="5">
    <w:abstractNumId w:val="19"/>
  </w:num>
  <w:num w:numId="6">
    <w:abstractNumId w:val="2"/>
  </w:num>
  <w:num w:numId="7">
    <w:abstractNumId w:val="8"/>
  </w:num>
  <w:num w:numId="8">
    <w:abstractNumId w:val="9"/>
  </w:num>
  <w:num w:numId="9">
    <w:abstractNumId w:val="15"/>
  </w:num>
  <w:num w:numId="10">
    <w:abstractNumId w:val="13"/>
  </w:num>
  <w:num w:numId="11">
    <w:abstractNumId w:val="10"/>
  </w:num>
  <w:num w:numId="12">
    <w:abstractNumId w:val="4"/>
  </w:num>
  <w:num w:numId="13">
    <w:abstractNumId w:val="1"/>
  </w:num>
  <w:num w:numId="14">
    <w:abstractNumId w:val="0"/>
  </w:num>
  <w:num w:numId="15">
    <w:abstractNumId w:val="11"/>
  </w:num>
  <w:num w:numId="16">
    <w:abstractNumId w:val="14"/>
  </w:num>
  <w:num w:numId="17">
    <w:abstractNumId w:val="7"/>
  </w:num>
  <w:num w:numId="18">
    <w:abstractNumId w:val="20"/>
  </w:num>
  <w:num w:numId="19">
    <w:abstractNumId w:val="5"/>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2D"/>
    <w:rsid w:val="00000581"/>
    <w:rsid w:val="00007A72"/>
    <w:rsid w:val="00010D51"/>
    <w:rsid w:val="0001120A"/>
    <w:rsid w:val="000117EF"/>
    <w:rsid w:val="00012355"/>
    <w:rsid w:val="000166DA"/>
    <w:rsid w:val="00017F7D"/>
    <w:rsid w:val="00020882"/>
    <w:rsid w:val="00022AE5"/>
    <w:rsid w:val="00022DA3"/>
    <w:rsid w:val="00023C8F"/>
    <w:rsid w:val="00024B5F"/>
    <w:rsid w:val="000263ED"/>
    <w:rsid w:val="00027658"/>
    <w:rsid w:val="0003459A"/>
    <w:rsid w:val="00036105"/>
    <w:rsid w:val="000369B9"/>
    <w:rsid w:val="00036B2C"/>
    <w:rsid w:val="000375AF"/>
    <w:rsid w:val="00042FD2"/>
    <w:rsid w:val="000439A5"/>
    <w:rsid w:val="00043B43"/>
    <w:rsid w:val="00050514"/>
    <w:rsid w:val="0005157F"/>
    <w:rsid w:val="00051887"/>
    <w:rsid w:val="000526EA"/>
    <w:rsid w:val="00052CF6"/>
    <w:rsid w:val="000538C0"/>
    <w:rsid w:val="00053F8C"/>
    <w:rsid w:val="000544E1"/>
    <w:rsid w:val="000545C1"/>
    <w:rsid w:val="000554A9"/>
    <w:rsid w:val="00055F57"/>
    <w:rsid w:val="00057ED6"/>
    <w:rsid w:val="000607BB"/>
    <w:rsid w:val="00060A46"/>
    <w:rsid w:val="00061697"/>
    <w:rsid w:val="00061736"/>
    <w:rsid w:val="00062D68"/>
    <w:rsid w:val="00064FBD"/>
    <w:rsid w:val="000658F7"/>
    <w:rsid w:val="0006645D"/>
    <w:rsid w:val="000670BC"/>
    <w:rsid w:val="00070D2B"/>
    <w:rsid w:val="00070E17"/>
    <w:rsid w:val="00071A3E"/>
    <w:rsid w:val="00073676"/>
    <w:rsid w:val="00083DB0"/>
    <w:rsid w:val="00083EF7"/>
    <w:rsid w:val="00084469"/>
    <w:rsid w:val="00086061"/>
    <w:rsid w:val="00091E61"/>
    <w:rsid w:val="0009337A"/>
    <w:rsid w:val="000A1FB2"/>
    <w:rsid w:val="000A3E66"/>
    <w:rsid w:val="000A543A"/>
    <w:rsid w:val="000A7CDC"/>
    <w:rsid w:val="000B035F"/>
    <w:rsid w:val="000B0AF5"/>
    <w:rsid w:val="000B0C6D"/>
    <w:rsid w:val="000B16D5"/>
    <w:rsid w:val="000B44E8"/>
    <w:rsid w:val="000B4FD7"/>
    <w:rsid w:val="000B5FE1"/>
    <w:rsid w:val="000B62E2"/>
    <w:rsid w:val="000B6A06"/>
    <w:rsid w:val="000B705A"/>
    <w:rsid w:val="000B73DB"/>
    <w:rsid w:val="000C0984"/>
    <w:rsid w:val="000C0F39"/>
    <w:rsid w:val="000C1222"/>
    <w:rsid w:val="000C2C93"/>
    <w:rsid w:val="000C757A"/>
    <w:rsid w:val="000D036B"/>
    <w:rsid w:val="000D0664"/>
    <w:rsid w:val="000D5031"/>
    <w:rsid w:val="000D5607"/>
    <w:rsid w:val="000D5DA3"/>
    <w:rsid w:val="000D5E13"/>
    <w:rsid w:val="000D6CF5"/>
    <w:rsid w:val="000D6E48"/>
    <w:rsid w:val="000E02DD"/>
    <w:rsid w:val="000E109F"/>
    <w:rsid w:val="000E2CB5"/>
    <w:rsid w:val="000E3C59"/>
    <w:rsid w:val="000F1852"/>
    <w:rsid w:val="000F1BEC"/>
    <w:rsid w:val="000F3291"/>
    <w:rsid w:val="000F45C4"/>
    <w:rsid w:val="000F5310"/>
    <w:rsid w:val="000F53E4"/>
    <w:rsid w:val="000F55C0"/>
    <w:rsid w:val="000F7521"/>
    <w:rsid w:val="000F7549"/>
    <w:rsid w:val="000F7932"/>
    <w:rsid w:val="000F7F92"/>
    <w:rsid w:val="001008BD"/>
    <w:rsid w:val="0010093C"/>
    <w:rsid w:val="00100F44"/>
    <w:rsid w:val="00101C4E"/>
    <w:rsid w:val="001024F6"/>
    <w:rsid w:val="00102502"/>
    <w:rsid w:val="0010503A"/>
    <w:rsid w:val="00105352"/>
    <w:rsid w:val="0010695F"/>
    <w:rsid w:val="00106F0B"/>
    <w:rsid w:val="00110FF9"/>
    <w:rsid w:val="00112A5A"/>
    <w:rsid w:val="00112E9A"/>
    <w:rsid w:val="001141CA"/>
    <w:rsid w:val="0011420E"/>
    <w:rsid w:val="00114591"/>
    <w:rsid w:val="0011663F"/>
    <w:rsid w:val="00116FC7"/>
    <w:rsid w:val="0011773C"/>
    <w:rsid w:val="001210D2"/>
    <w:rsid w:val="001213B4"/>
    <w:rsid w:val="00121989"/>
    <w:rsid w:val="00121E18"/>
    <w:rsid w:val="00125FAE"/>
    <w:rsid w:val="00130D41"/>
    <w:rsid w:val="00131954"/>
    <w:rsid w:val="00131B9A"/>
    <w:rsid w:val="0013220C"/>
    <w:rsid w:val="00133959"/>
    <w:rsid w:val="001344E1"/>
    <w:rsid w:val="00140A5F"/>
    <w:rsid w:val="00140B3C"/>
    <w:rsid w:val="00141DBA"/>
    <w:rsid w:val="001420B1"/>
    <w:rsid w:val="00143527"/>
    <w:rsid w:val="001452A1"/>
    <w:rsid w:val="00150F33"/>
    <w:rsid w:val="00151C32"/>
    <w:rsid w:val="00151CCC"/>
    <w:rsid w:val="00152095"/>
    <w:rsid w:val="00155142"/>
    <w:rsid w:val="00155ACB"/>
    <w:rsid w:val="00157669"/>
    <w:rsid w:val="00157776"/>
    <w:rsid w:val="0016082C"/>
    <w:rsid w:val="00160D1A"/>
    <w:rsid w:val="00162C95"/>
    <w:rsid w:val="00163CF9"/>
    <w:rsid w:val="00163F0B"/>
    <w:rsid w:val="00164B37"/>
    <w:rsid w:val="0016509F"/>
    <w:rsid w:val="001676D0"/>
    <w:rsid w:val="0017206C"/>
    <w:rsid w:val="001729EA"/>
    <w:rsid w:val="00180487"/>
    <w:rsid w:val="001823F0"/>
    <w:rsid w:val="0018439F"/>
    <w:rsid w:val="001904BA"/>
    <w:rsid w:val="00190A58"/>
    <w:rsid w:val="00191B23"/>
    <w:rsid w:val="00192C41"/>
    <w:rsid w:val="00192E8C"/>
    <w:rsid w:val="001937D1"/>
    <w:rsid w:val="001946FE"/>
    <w:rsid w:val="00194FCF"/>
    <w:rsid w:val="0019681B"/>
    <w:rsid w:val="0019735A"/>
    <w:rsid w:val="0019737A"/>
    <w:rsid w:val="001A1830"/>
    <w:rsid w:val="001A2844"/>
    <w:rsid w:val="001A2FCB"/>
    <w:rsid w:val="001A4317"/>
    <w:rsid w:val="001A4F53"/>
    <w:rsid w:val="001B04C2"/>
    <w:rsid w:val="001B27BC"/>
    <w:rsid w:val="001B2A5E"/>
    <w:rsid w:val="001B361F"/>
    <w:rsid w:val="001B5D83"/>
    <w:rsid w:val="001B6F56"/>
    <w:rsid w:val="001C0658"/>
    <w:rsid w:val="001C0962"/>
    <w:rsid w:val="001C454A"/>
    <w:rsid w:val="001C5358"/>
    <w:rsid w:val="001C56E4"/>
    <w:rsid w:val="001C6281"/>
    <w:rsid w:val="001C641C"/>
    <w:rsid w:val="001C6B93"/>
    <w:rsid w:val="001D030C"/>
    <w:rsid w:val="001D0A38"/>
    <w:rsid w:val="001D0C47"/>
    <w:rsid w:val="001D0D13"/>
    <w:rsid w:val="001D13E3"/>
    <w:rsid w:val="001D1C94"/>
    <w:rsid w:val="001D1FD7"/>
    <w:rsid w:val="001D2163"/>
    <w:rsid w:val="001D5464"/>
    <w:rsid w:val="001D5C1A"/>
    <w:rsid w:val="001E19ED"/>
    <w:rsid w:val="001E1AD8"/>
    <w:rsid w:val="001E2207"/>
    <w:rsid w:val="001E26EB"/>
    <w:rsid w:val="001E28F9"/>
    <w:rsid w:val="001E3E8E"/>
    <w:rsid w:val="001E4381"/>
    <w:rsid w:val="001E4CD3"/>
    <w:rsid w:val="001E4D03"/>
    <w:rsid w:val="001E5E9F"/>
    <w:rsid w:val="001E726D"/>
    <w:rsid w:val="001F04FA"/>
    <w:rsid w:val="001F074D"/>
    <w:rsid w:val="001F292B"/>
    <w:rsid w:val="001F29DC"/>
    <w:rsid w:val="001F512A"/>
    <w:rsid w:val="001F53D3"/>
    <w:rsid w:val="001F7395"/>
    <w:rsid w:val="00200C0F"/>
    <w:rsid w:val="00200D19"/>
    <w:rsid w:val="00203B6C"/>
    <w:rsid w:val="00206FA1"/>
    <w:rsid w:val="00207525"/>
    <w:rsid w:val="0021074E"/>
    <w:rsid w:val="002137F5"/>
    <w:rsid w:val="00213F99"/>
    <w:rsid w:val="0021462C"/>
    <w:rsid w:val="00214C85"/>
    <w:rsid w:val="0021673D"/>
    <w:rsid w:val="00216752"/>
    <w:rsid w:val="0021684E"/>
    <w:rsid w:val="00217CA1"/>
    <w:rsid w:val="00217E85"/>
    <w:rsid w:val="0022022C"/>
    <w:rsid w:val="00220B71"/>
    <w:rsid w:val="0022252A"/>
    <w:rsid w:val="00223410"/>
    <w:rsid w:val="00226322"/>
    <w:rsid w:val="00227ED7"/>
    <w:rsid w:val="00230809"/>
    <w:rsid w:val="00230E25"/>
    <w:rsid w:val="00231015"/>
    <w:rsid w:val="002314B8"/>
    <w:rsid w:val="00231A49"/>
    <w:rsid w:val="00231B9B"/>
    <w:rsid w:val="00231DF3"/>
    <w:rsid w:val="00232B19"/>
    <w:rsid w:val="00232CD1"/>
    <w:rsid w:val="002358BA"/>
    <w:rsid w:val="00235FBD"/>
    <w:rsid w:val="002409F7"/>
    <w:rsid w:val="002450E6"/>
    <w:rsid w:val="0024650C"/>
    <w:rsid w:val="00247235"/>
    <w:rsid w:val="00247561"/>
    <w:rsid w:val="00250FB7"/>
    <w:rsid w:val="00251476"/>
    <w:rsid w:val="00252AC4"/>
    <w:rsid w:val="00254063"/>
    <w:rsid w:val="00254795"/>
    <w:rsid w:val="00254FD3"/>
    <w:rsid w:val="002559AC"/>
    <w:rsid w:val="002577CE"/>
    <w:rsid w:val="0026038C"/>
    <w:rsid w:val="00260E1C"/>
    <w:rsid w:val="00262B72"/>
    <w:rsid w:val="00262B7A"/>
    <w:rsid w:val="00263C9F"/>
    <w:rsid w:val="00265A50"/>
    <w:rsid w:val="00267E57"/>
    <w:rsid w:val="00271EF8"/>
    <w:rsid w:val="00272C41"/>
    <w:rsid w:val="00273813"/>
    <w:rsid w:val="002741C9"/>
    <w:rsid w:val="00274C89"/>
    <w:rsid w:val="00280853"/>
    <w:rsid w:val="00281DD0"/>
    <w:rsid w:val="002829C4"/>
    <w:rsid w:val="00283FD8"/>
    <w:rsid w:val="00284D1B"/>
    <w:rsid w:val="002855FE"/>
    <w:rsid w:val="00285C02"/>
    <w:rsid w:val="00286F2E"/>
    <w:rsid w:val="002909D7"/>
    <w:rsid w:val="00290E49"/>
    <w:rsid w:val="00292CDE"/>
    <w:rsid w:val="00292EC7"/>
    <w:rsid w:val="002938C6"/>
    <w:rsid w:val="00296016"/>
    <w:rsid w:val="002968B4"/>
    <w:rsid w:val="002979E1"/>
    <w:rsid w:val="00297D11"/>
    <w:rsid w:val="002A4D9A"/>
    <w:rsid w:val="002B1115"/>
    <w:rsid w:val="002B46DD"/>
    <w:rsid w:val="002B647B"/>
    <w:rsid w:val="002C0E44"/>
    <w:rsid w:val="002C11A9"/>
    <w:rsid w:val="002C22DF"/>
    <w:rsid w:val="002C2F4F"/>
    <w:rsid w:val="002C64EC"/>
    <w:rsid w:val="002C6B59"/>
    <w:rsid w:val="002C7619"/>
    <w:rsid w:val="002D178D"/>
    <w:rsid w:val="002D28F4"/>
    <w:rsid w:val="002D3293"/>
    <w:rsid w:val="002D3EC8"/>
    <w:rsid w:val="002D5486"/>
    <w:rsid w:val="002D7676"/>
    <w:rsid w:val="002D7D39"/>
    <w:rsid w:val="002D7F8D"/>
    <w:rsid w:val="002E0575"/>
    <w:rsid w:val="002E09F5"/>
    <w:rsid w:val="002E3448"/>
    <w:rsid w:val="002E3E0D"/>
    <w:rsid w:val="002E4BE8"/>
    <w:rsid w:val="002E5503"/>
    <w:rsid w:val="002E5A54"/>
    <w:rsid w:val="002E6833"/>
    <w:rsid w:val="002E76F7"/>
    <w:rsid w:val="002E78E1"/>
    <w:rsid w:val="002E7CDB"/>
    <w:rsid w:val="002F2661"/>
    <w:rsid w:val="002F3E80"/>
    <w:rsid w:val="002F74F6"/>
    <w:rsid w:val="002F7B5D"/>
    <w:rsid w:val="00300012"/>
    <w:rsid w:val="00301A27"/>
    <w:rsid w:val="00301A61"/>
    <w:rsid w:val="00302080"/>
    <w:rsid w:val="003025A7"/>
    <w:rsid w:val="00305692"/>
    <w:rsid w:val="003057CD"/>
    <w:rsid w:val="00307723"/>
    <w:rsid w:val="00310171"/>
    <w:rsid w:val="0031035E"/>
    <w:rsid w:val="00310885"/>
    <w:rsid w:val="00311B6D"/>
    <w:rsid w:val="00313FC0"/>
    <w:rsid w:val="003150F5"/>
    <w:rsid w:val="00315642"/>
    <w:rsid w:val="00315C59"/>
    <w:rsid w:val="003168B6"/>
    <w:rsid w:val="00317658"/>
    <w:rsid w:val="00321D95"/>
    <w:rsid w:val="00323CA3"/>
    <w:rsid w:val="00324012"/>
    <w:rsid w:val="00324348"/>
    <w:rsid w:val="00324547"/>
    <w:rsid w:val="003269C9"/>
    <w:rsid w:val="003304F8"/>
    <w:rsid w:val="00330FD7"/>
    <w:rsid w:val="0033194E"/>
    <w:rsid w:val="00331E0B"/>
    <w:rsid w:val="00332630"/>
    <w:rsid w:val="00332866"/>
    <w:rsid w:val="00334213"/>
    <w:rsid w:val="00334F5C"/>
    <w:rsid w:val="0033541D"/>
    <w:rsid w:val="00335BB3"/>
    <w:rsid w:val="00335E8D"/>
    <w:rsid w:val="00336C30"/>
    <w:rsid w:val="003400E7"/>
    <w:rsid w:val="00340AA9"/>
    <w:rsid w:val="00342B2D"/>
    <w:rsid w:val="003433C6"/>
    <w:rsid w:val="003441BB"/>
    <w:rsid w:val="00345BA2"/>
    <w:rsid w:val="00345E41"/>
    <w:rsid w:val="003507F8"/>
    <w:rsid w:val="003508FD"/>
    <w:rsid w:val="003538DC"/>
    <w:rsid w:val="003555F0"/>
    <w:rsid w:val="0035616A"/>
    <w:rsid w:val="00357E26"/>
    <w:rsid w:val="00361BCC"/>
    <w:rsid w:val="003627EF"/>
    <w:rsid w:val="003671FD"/>
    <w:rsid w:val="00367C42"/>
    <w:rsid w:val="003702C2"/>
    <w:rsid w:val="00373662"/>
    <w:rsid w:val="00375DB1"/>
    <w:rsid w:val="00380CBC"/>
    <w:rsid w:val="0038311D"/>
    <w:rsid w:val="00384446"/>
    <w:rsid w:val="00384746"/>
    <w:rsid w:val="0038533A"/>
    <w:rsid w:val="00386440"/>
    <w:rsid w:val="0038781D"/>
    <w:rsid w:val="00392773"/>
    <w:rsid w:val="00392F8D"/>
    <w:rsid w:val="00393115"/>
    <w:rsid w:val="00393357"/>
    <w:rsid w:val="003935EB"/>
    <w:rsid w:val="00393E83"/>
    <w:rsid w:val="00394F89"/>
    <w:rsid w:val="00395431"/>
    <w:rsid w:val="0039690E"/>
    <w:rsid w:val="003A0E9C"/>
    <w:rsid w:val="003A1E76"/>
    <w:rsid w:val="003A20BE"/>
    <w:rsid w:val="003A40A2"/>
    <w:rsid w:val="003A7E92"/>
    <w:rsid w:val="003B041E"/>
    <w:rsid w:val="003B0512"/>
    <w:rsid w:val="003B22D4"/>
    <w:rsid w:val="003B318C"/>
    <w:rsid w:val="003B4FA0"/>
    <w:rsid w:val="003B6387"/>
    <w:rsid w:val="003C39A1"/>
    <w:rsid w:val="003C455D"/>
    <w:rsid w:val="003C4C33"/>
    <w:rsid w:val="003C6387"/>
    <w:rsid w:val="003C63CD"/>
    <w:rsid w:val="003C7643"/>
    <w:rsid w:val="003C782B"/>
    <w:rsid w:val="003C7846"/>
    <w:rsid w:val="003C7D7A"/>
    <w:rsid w:val="003D0AE6"/>
    <w:rsid w:val="003D0C38"/>
    <w:rsid w:val="003D2003"/>
    <w:rsid w:val="003D2D37"/>
    <w:rsid w:val="003D31A0"/>
    <w:rsid w:val="003D37B7"/>
    <w:rsid w:val="003D46CC"/>
    <w:rsid w:val="003E0C1E"/>
    <w:rsid w:val="003E0E97"/>
    <w:rsid w:val="003E1146"/>
    <w:rsid w:val="003E1441"/>
    <w:rsid w:val="003E1B5F"/>
    <w:rsid w:val="003E2198"/>
    <w:rsid w:val="003E330D"/>
    <w:rsid w:val="003E4829"/>
    <w:rsid w:val="003E55E0"/>
    <w:rsid w:val="003E5674"/>
    <w:rsid w:val="003F1982"/>
    <w:rsid w:val="003F22C7"/>
    <w:rsid w:val="003F230B"/>
    <w:rsid w:val="003F3DAA"/>
    <w:rsid w:val="003F513E"/>
    <w:rsid w:val="003F5D02"/>
    <w:rsid w:val="003F676E"/>
    <w:rsid w:val="00401D64"/>
    <w:rsid w:val="00402E47"/>
    <w:rsid w:val="00403382"/>
    <w:rsid w:val="00403929"/>
    <w:rsid w:val="00403A49"/>
    <w:rsid w:val="004045F4"/>
    <w:rsid w:val="00405174"/>
    <w:rsid w:val="00405372"/>
    <w:rsid w:val="00406AA9"/>
    <w:rsid w:val="00412BCF"/>
    <w:rsid w:val="00413E9F"/>
    <w:rsid w:val="004146EF"/>
    <w:rsid w:val="00414983"/>
    <w:rsid w:val="004164A0"/>
    <w:rsid w:val="00421894"/>
    <w:rsid w:val="00422C9B"/>
    <w:rsid w:val="00422CBC"/>
    <w:rsid w:val="00423839"/>
    <w:rsid w:val="00423AA6"/>
    <w:rsid w:val="0042476D"/>
    <w:rsid w:val="00424B0A"/>
    <w:rsid w:val="004262CE"/>
    <w:rsid w:val="00427A55"/>
    <w:rsid w:val="004304A7"/>
    <w:rsid w:val="004324AC"/>
    <w:rsid w:val="004349A0"/>
    <w:rsid w:val="00434A67"/>
    <w:rsid w:val="00434B5E"/>
    <w:rsid w:val="00435088"/>
    <w:rsid w:val="00437E02"/>
    <w:rsid w:val="00440E23"/>
    <w:rsid w:val="00441424"/>
    <w:rsid w:val="00441E8F"/>
    <w:rsid w:val="00443A78"/>
    <w:rsid w:val="00444E82"/>
    <w:rsid w:val="00444F30"/>
    <w:rsid w:val="00445232"/>
    <w:rsid w:val="00445503"/>
    <w:rsid w:val="004460B5"/>
    <w:rsid w:val="00447877"/>
    <w:rsid w:val="00452431"/>
    <w:rsid w:val="00453713"/>
    <w:rsid w:val="004563F4"/>
    <w:rsid w:val="0045675D"/>
    <w:rsid w:val="00460FB7"/>
    <w:rsid w:val="0046208B"/>
    <w:rsid w:val="004634E6"/>
    <w:rsid w:val="004647C0"/>
    <w:rsid w:val="004649F1"/>
    <w:rsid w:val="00465D0F"/>
    <w:rsid w:val="00466863"/>
    <w:rsid w:val="00466C35"/>
    <w:rsid w:val="00466D79"/>
    <w:rsid w:val="00470A5F"/>
    <w:rsid w:val="00472A5B"/>
    <w:rsid w:val="00474357"/>
    <w:rsid w:val="00476037"/>
    <w:rsid w:val="0047723D"/>
    <w:rsid w:val="004773E0"/>
    <w:rsid w:val="0047795F"/>
    <w:rsid w:val="00480D74"/>
    <w:rsid w:val="004816C6"/>
    <w:rsid w:val="00482A2D"/>
    <w:rsid w:val="004850A1"/>
    <w:rsid w:val="00486117"/>
    <w:rsid w:val="00486A68"/>
    <w:rsid w:val="00487253"/>
    <w:rsid w:val="00490DEA"/>
    <w:rsid w:val="00491167"/>
    <w:rsid w:val="00493F7F"/>
    <w:rsid w:val="004940C4"/>
    <w:rsid w:val="00495014"/>
    <w:rsid w:val="00495F2C"/>
    <w:rsid w:val="004A11C3"/>
    <w:rsid w:val="004A4DF1"/>
    <w:rsid w:val="004A4F04"/>
    <w:rsid w:val="004B0A09"/>
    <w:rsid w:val="004B1860"/>
    <w:rsid w:val="004B21FF"/>
    <w:rsid w:val="004B2C15"/>
    <w:rsid w:val="004B4107"/>
    <w:rsid w:val="004B5E72"/>
    <w:rsid w:val="004B7B04"/>
    <w:rsid w:val="004C079D"/>
    <w:rsid w:val="004C2A38"/>
    <w:rsid w:val="004C2B65"/>
    <w:rsid w:val="004C48C8"/>
    <w:rsid w:val="004C5A19"/>
    <w:rsid w:val="004C6EF6"/>
    <w:rsid w:val="004C74E9"/>
    <w:rsid w:val="004D185B"/>
    <w:rsid w:val="004D26B3"/>
    <w:rsid w:val="004D2786"/>
    <w:rsid w:val="004D2E26"/>
    <w:rsid w:val="004D3159"/>
    <w:rsid w:val="004D582E"/>
    <w:rsid w:val="004D611F"/>
    <w:rsid w:val="004D6484"/>
    <w:rsid w:val="004D72F0"/>
    <w:rsid w:val="004E17F7"/>
    <w:rsid w:val="004E1D60"/>
    <w:rsid w:val="004E1FBB"/>
    <w:rsid w:val="004F346A"/>
    <w:rsid w:val="004F61B9"/>
    <w:rsid w:val="004F66AC"/>
    <w:rsid w:val="004F69B5"/>
    <w:rsid w:val="004F7335"/>
    <w:rsid w:val="005041EB"/>
    <w:rsid w:val="00504AF6"/>
    <w:rsid w:val="00504E6B"/>
    <w:rsid w:val="00504EC1"/>
    <w:rsid w:val="00504F5F"/>
    <w:rsid w:val="005070E3"/>
    <w:rsid w:val="00507D74"/>
    <w:rsid w:val="0051320B"/>
    <w:rsid w:val="00514512"/>
    <w:rsid w:val="00516F4B"/>
    <w:rsid w:val="00517A63"/>
    <w:rsid w:val="00517D7F"/>
    <w:rsid w:val="00520731"/>
    <w:rsid w:val="00521574"/>
    <w:rsid w:val="00524358"/>
    <w:rsid w:val="00525BFD"/>
    <w:rsid w:val="0053257C"/>
    <w:rsid w:val="00533970"/>
    <w:rsid w:val="00534F05"/>
    <w:rsid w:val="00540B8A"/>
    <w:rsid w:val="00541668"/>
    <w:rsid w:val="00542741"/>
    <w:rsid w:val="00542BDA"/>
    <w:rsid w:val="00543085"/>
    <w:rsid w:val="00546508"/>
    <w:rsid w:val="00547E8F"/>
    <w:rsid w:val="00550F90"/>
    <w:rsid w:val="005512D4"/>
    <w:rsid w:val="00551D01"/>
    <w:rsid w:val="0055305F"/>
    <w:rsid w:val="005561B1"/>
    <w:rsid w:val="005565BE"/>
    <w:rsid w:val="005575E8"/>
    <w:rsid w:val="005627D0"/>
    <w:rsid w:val="00562AF2"/>
    <w:rsid w:val="00563A06"/>
    <w:rsid w:val="00565FD2"/>
    <w:rsid w:val="00566B14"/>
    <w:rsid w:val="00570B51"/>
    <w:rsid w:val="00570D2C"/>
    <w:rsid w:val="00571158"/>
    <w:rsid w:val="005729FD"/>
    <w:rsid w:val="00574B6E"/>
    <w:rsid w:val="00574C00"/>
    <w:rsid w:val="00575026"/>
    <w:rsid w:val="00576016"/>
    <w:rsid w:val="005761CC"/>
    <w:rsid w:val="00576207"/>
    <w:rsid w:val="00581E1C"/>
    <w:rsid w:val="00582663"/>
    <w:rsid w:val="00592B01"/>
    <w:rsid w:val="00592DB1"/>
    <w:rsid w:val="005935E4"/>
    <w:rsid w:val="00593BC6"/>
    <w:rsid w:val="00594573"/>
    <w:rsid w:val="00595F74"/>
    <w:rsid w:val="00596B93"/>
    <w:rsid w:val="005A0868"/>
    <w:rsid w:val="005A0A2F"/>
    <w:rsid w:val="005A5440"/>
    <w:rsid w:val="005A5A01"/>
    <w:rsid w:val="005A5F29"/>
    <w:rsid w:val="005B75A0"/>
    <w:rsid w:val="005C201D"/>
    <w:rsid w:val="005C3E8E"/>
    <w:rsid w:val="005C4361"/>
    <w:rsid w:val="005C6FBA"/>
    <w:rsid w:val="005C7FDD"/>
    <w:rsid w:val="005D2937"/>
    <w:rsid w:val="005D30ED"/>
    <w:rsid w:val="005D3C9F"/>
    <w:rsid w:val="005D5770"/>
    <w:rsid w:val="005D5EFC"/>
    <w:rsid w:val="005E2F61"/>
    <w:rsid w:val="005E370A"/>
    <w:rsid w:val="005E5225"/>
    <w:rsid w:val="005F15CB"/>
    <w:rsid w:val="005F485C"/>
    <w:rsid w:val="005F4FE9"/>
    <w:rsid w:val="005F5578"/>
    <w:rsid w:val="00601D6D"/>
    <w:rsid w:val="00601E38"/>
    <w:rsid w:val="006024AB"/>
    <w:rsid w:val="006050A3"/>
    <w:rsid w:val="006054BA"/>
    <w:rsid w:val="006069A6"/>
    <w:rsid w:val="00606E2B"/>
    <w:rsid w:val="00611143"/>
    <w:rsid w:val="0061115A"/>
    <w:rsid w:val="00614D8A"/>
    <w:rsid w:val="00615446"/>
    <w:rsid w:val="00622C36"/>
    <w:rsid w:val="00622DC0"/>
    <w:rsid w:val="00623FE0"/>
    <w:rsid w:val="00624AD9"/>
    <w:rsid w:val="006266CC"/>
    <w:rsid w:val="006273E4"/>
    <w:rsid w:val="006324AE"/>
    <w:rsid w:val="00632BEE"/>
    <w:rsid w:val="00633BA9"/>
    <w:rsid w:val="00633BC2"/>
    <w:rsid w:val="00634631"/>
    <w:rsid w:val="00634B86"/>
    <w:rsid w:val="0063505C"/>
    <w:rsid w:val="0063542C"/>
    <w:rsid w:val="006356F8"/>
    <w:rsid w:val="0063796D"/>
    <w:rsid w:val="0064024D"/>
    <w:rsid w:val="0064120A"/>
    <w:rsid w:val="0064192B"/>
    <w:rsid w:val="006424E6"/>
    <w:rsid w:val="00643B46"/>
    <w:rsid w:val="00644477"/>
    <w:rsid w:val="006451B9"/>
    <w:rsid w:val="006453BA"/>
    <w:rsid w:val="0064743B"/>
    <w:rsid w:val="00647DD6"/>
    <w:rsid w:val="006502E8"/>
    <w:rsid w:val="00650E52"/>
    <w:rsid w:val="00655108"/>
    <w:rsid w:val="00656757"/>
    <w:rsid w:val="00656B34"/>
    <w:rsid w:val="006601AF"/>
    <w:rsid w:val="006637F6"/>
    <w:rsid w:val="00664D47"/>
    <w:rsid w:val="00665E7E"/>
    <w:rsid w:val="00666497"/>
    <w:rsid w:val="00667BC4"/>
    <w:rsid w:val="00670599"/>
    <w:rsid w:val="00671962"/>
    <w:rsid w:val="00672D72"/>
    <w:rsid w:val="00673BDC"/>
    <w:rsid w:val="00681E68"/>
    <w:rsid w:val="00682EC3"/>
    <w:rsid w:val="0068309E"/>
    <w:rsid w:val="00683168"/>
    <w:rsid w:val="00683227"/>
    <w:rsid w:val="00683F16"/>
    <w:rsid w:val="00685838"/>
    <w:rsid w:val="0068714A"/>
    <w:rsid w:val="00687A24"/>
    <w:rsid w:val="00690B89"/>
    <w:rsid w:val="0069149A"/>
    <w:rsid w:val="006965D0"/>
    <w:rsid w:val="006A4A53"/>
    <w:rsid w:val="006A57AF"/>
    <w:rsid w:val="006A67F6"/>
    <w:rsid w:val="006A75A2"/>
    <w:rsid w:val="006B0746"/>
    <w:rsid w:val="006B3E16"/>
    <w:rsid w:val="006C078E"/>
    <w:rsid w:val="006C11E5"/>
    <w:rsid w:val="006C230E"/>
    <w:rsid w:val="006C2468"/>
    <w:rsid w:val="006C2F8A"/>
    <w:rsid w:val="006C3FCE"/>
    <w:rsid w:val="006C5680"/>
    <w:rsid w:val="006C5F8E"/>
    <w:rsid w:val="006D13E5"/>
    <w:rsid w:val="006D3BA1"/>
    <w:rsid w:val="006D4E7C"/>
    <w:rsid w:val="006D6B85"/>
    <w:rsid w:val="006E07FB"/>
    <w:rsid w:val="006E1337"/>
    <w:rsid w:val="006E29DB"/>
    <w:rsid w:val="006E44AE"/>
    <w:rsid w:val="006E5601"/>
    <w:rsid w:val="006E61B3"/>
    <w:rsid w:val="006E7826"/>
    <w:rsid w:val="006F463B"/>
    <w:rsid w:val="006F4845"/>
    <w:rsid w:val="006F4B6C"/>
    <w:rsid w:val="00701867"/>
    <w:rsid w:val="00702075"/>
    <w:rsid w:val="007020B3"/>
    <w:rsid w:val="0070210F"/>
    <w:rsid w:val="007038C4"/>
    <w:rsid w:val="00704131"/>
    <w:rsid w:val="0070607D"/>
    <w:rsid w:val="0070639F"/>
    <w:rsid w:val="00706F41"/>
    <w:rsid w:val="007072D7"/>
    <w:rsid w:val="00710652"/>
    <w:rsid w:val="00711016"/>
    <w:rsid w:val="00712AD0"/>
    <w:rsid w:val="00712D94"/>
    <w:rsid w:val="007145CB"/>
    <w:rsid w:val="0071505A"/>
    <w:rsid w:val="00715C16"/>
    <w:rsid w:val="0071719D"/>
    <w:rsid w:val="00720CF5"/>
    <w:rsid w:val="0072249B"/>
    <w:rsid w:val="0072268E"/>
    <w:rsid w:val="0072292E"/>
    <w:rsid w:val="007248D9"/>
    <w:rsid w:val="00725919"/>
    <w:rsid w:val="007260F5"/>
    <w:rsid w:val="00726326"/>
    <w:rsid w:val="007273B2"/>
    <w:rsid w:val="007328E0"/>
    <w:rsid w:val="00732C43"/>
    <w:rsid w:val="00732CE6"/>
    <w:rsid w:val="00733C3B"/>
    <w:rsid w:val="00733D34"/>
    <w:rsid w:val="007354E2"/>
    <w:rsid w:val="00736F10"/>
    <w:rsid w:val="00737428"/>
    <w:rsid w:val="00737D50"/>
    <w:rsid w:val="0074069D"/>
    <w:rsid w:val="00740BDC"/>
    <w:rsid w:val="007437B7"/>
    <w:rsid w:val="00744F45"/>
    <w:rsid w:val="00745FC2"/>
    <w:rsid w:val="0074727A"/>
    <w:rsid w:val="00747EEE"/>
    <w:rsid w:val="00750132"/>
    <w:rsid w:val="0075209A"/>
    <w:rsid w:val="00752D23"/>
    <w:rsid w:val="00753E6A"/>
    <w:rsid w:val="00754B67"/>
    <w:rsid w:val="007566E4"/>
    <w:rsid w:val="00756B1E"/>
    <w:rsid w:val="00760CA8"/>
    <w:rsid w:val="00762631"/>
    <w:rsid w:val="00762929"/>
    <w:rsid w:val="007631ED"/>
    <w:rsid w:val="00764049"/>
    <w:rsid w:val="00764CBC"/>
    <w:rsid w:val="00764CD2"/>
    <w:rsid w:val="00764F1B"/>
    <w:rsid w:val="0076584E"/>
    <w:rsid w:val="00765C13"/>
    <w:rsid w:val="00765D68"/>
    <w:rsid w:val="00766709"/>
    <w:rsid w:val="00770809"/>
    <w:rsid w:val="00772557"/>
    <w:rsid w:val="00773CA3"/>
    <w:rsid w:val="00775BB4"/>
    <w:rsid w:val="00776E1B"/>
    <w:rsid w:val="00780FBE"/>
    <w:rsid w:val="0078177E"/>
    <w:rsid w:val="0078184A"/>
    <w:rsid w:val="00782E51"/>
    <w:rsid w:val="007831B3"/>
    <w:rsid w:val="007874C4"/>
    <w:rsid w:val="00792E7B"/>
    <w:rsid w:val="007942A7"/>
    <w:rsid w:val="007947E9"/>
    <w:rsid w:val="007A1C17"/>
    <w:rsid w:val="007A211F"/>
    <w:rsid w:val="007A36E0"/>
    <w:rsid w:val="007A379A"/>
    <w:rsid w:val="007A3C43"/>
    <w:rsid w:val="007A68CD"/>
    <w:rsid w:val="007A7087"/>
    <w:rsid w:val="007B0257"/>
    <w:rsid w:val="007B056D"/>
    <w:rsid w:val="007B2389"/>
    <w:rsid w:val="007B27CB"/>
    <w:rsid w:val="007B30EE"/>
    <w:rsid w:val="007B6172"/>
    <w:rsid w:val="007B70C7"/>
    <w:rsid w:val="007B7B59"/>
    <w:rsid w:val="007B7C7D"/>
    <w:rsid w:val="007C037B"/>
    <w:rsid w:val="007C0523"/>
    <w:rsid w:val="007C430F"/>
    <w:rsid w:val="007C64D5"/>
    <w:rsid w:val="007C6F86"/>
    <w:rsid w:val="007D0BDF"/>
    <w:rsid w:val="007D1F9F"/>
    <w:rsid w:val="007D25D5"/>
    <w:rsid w:val="007D3DBE"/>
    <w:rsid w:val="007D3E81"/>
    <w:rsid w:val="007D41CC"/>
    <w:rsid w:val="007D4DC6"/>
    <w:rsid w:val="007D58E6"/>
    <w:rsid w:val="007D6561"/>
    <w:rsid w:val="007D6C58"/>
    <w:rsid w:val="007D6F08"/>
    <w:rsid w:val="007E05E4"/>
    <w:rsid w:val="007E1D2E"/>
    <w:rsid w:val="007E4B08"/>
    <w:rsid w:val="007E5948"/>
    <w:rsid w:val="007E6C97"/>
    <w:rsid w:val="007E7F27"/>
    <w:rsid w:val="007F06A9"/>
    <w:rsid w:val="007F3002"/>
    <w:rsid w:val="007F5D0A"/>
    <w:rsid w:val="008000D5"/>
    <w:rsid w:val="00802488"/>
    <w:rsid w:val="00802FF9"/>
    <w:rsid w:val="00805821"/>
    <w:rsid w:val="008064A5"/>
    <w:rsid w:val="00810A59"/>
    <w:rsid w:val="008111C0"/>
    <w:rsid w:val="00812AF9"/>
    <w:rsid w:val="00815B38"/>
    <w:rsid w:val="008166ED"/>
    <w:rsid w:val="00821F4E"/>
    <w:rsid w:val="0082522D"/>
    <w:rsid w:val="00825C5D"/>
    <w:rsid w:val="00825EEA"/>
    <w:rsid w:val="008269D0"/>
    <w:rsid w:val="008276A2"/>
    <w:rsid w:val="00832644"/>
    <w:rsid w:val="008340B5"/>
    <w:rsid w:val="00834DC2"/>
    <w:rsid w:val="00835D0B"/>
    <w:rsid w:val="008361EF"/>
    <w:rsid w:val="008369BD"/>
    <w:rsid w:val="00836A3F"/>
    <w:rsid w:val="00836D73"/>
    <w:rsid w:val="008370F1"/>
    <w:rsid w:val="0083795B"/>
    <w:rsid w:val="00840027"/>
    <w:rsid w:val="0084072F"/>
    <w:rsid w:val="008436E5"/>
    <w:rsid w:val="00843DBE"/>
    <w:rsid w:val="008449E0"/>
    <w:rsid w:val="00844CCD"/>
    <w:rsid w:val="00850F54"/>
    <w:rsid w:val="00850F60"/>
    <w:rsid w:val="008536E5"/>
    <w:rsid w:val="00853775"/>
    <w:rsid w:val="008542A6"/>
    <w:rsid w:val="00854902"/>
    <w:rsid w:val="00854BA0"/>
    <w:rsid w:val="008550DF"/>
    <w:rsid w:val="0085632A"/>
    <w:rsid w:val="00856BFE"/>
    <w:rsid w:val="00857840"/>
    <w:rsid w:val="00860188"/>
    <w:rsid w:val="00861CC3"/>
    <w:rsid w:val="00861EB4"/>
    <w:rsid w:val="00862FC2"/>
    <w:rsid w:val="008631AD"/>
    <w:rsid w:val="00863383"/>
    <w:rsid w:val="008634AA"/>
    <w:rsid w:val="00865026"/>
    <w:rsid w:val="00865365"/>
    <w:rsid w:val="00866232"/>
    <w:rsid w:val="008674EE"/>
    <w:rsid w:val="00867AC1"/>
    <w:rsid w:val="00867D02"/>
    <w:rsid w:val="00871D48"/>
    <w:rsid w:val="00874251"/>
    <w:rsid w:val="00874C4A"/>
    <w:rsid w:val="0087772C"/>
    <w:rsid w:val="0087790F"/>
    <w:rsid w:val="0088076E"/>
    <w:rsid w:val="00880C1C"/>
    <w:rsid w:val="00880EA2"/>
    <w:rsid w:val="00880F21"/>
    <w:rsid w:val="008827C6"/>
    <w:rsid w:val="00883B51"/>
    <w:rsid w:val="008851B3"/>
    <w:rsid w:val="00887E3D"/>
    <w:rsid w:val="00890324"/>
    <w:rsid w:val="008907EE"/>
    <w:rsid w:val="0089379E"/>
    <w:rsid w:val="008967D3"/>
    <w:rsid w:val="00897C9C"/>
    <w:rsid w:val="00897F1B"/>
    <w:rsid w:val="008A16B8"/>
    <w:rsid w:val="008A194F"/>
    <w:rsid w:val="008A20BE"/>
    <w:rsid w:val="008A2C58"/>
    <w:rsid w:val="008A349E"/>
    <w:rsid w:val="008A538A"/>
    <w:rsid w:val="008A577D"/>
    <w:rsid w:val="008A6A7C"/>
    <w:rsid w:val="008B05F8"/>
    <w:rsid w:val="008B5438"/>
    <w:rsid w:val="008C32D4"/>
    <w:rsid w:val="008C3726"/>
    <w:rsid w:val="008C52F0"/>
    <w:rsid w:val="008C5947"/>
    <w:rsid w:val="008C5A40"/>
    <w:rsid w:val="008C5E14"/>
    <w:rsid w:val="008C6259"/>
    <w:rsid w:val="008C760B"/>
    <w:rsid w:val="008D0296"/>
    <w:rsid w:val="008D032E"/>
    <w:rsid w:val="008D0413"/>
    <w:rsid w:val="008D0B2F"/>
    <w:rsid w:val="008D0E13"/>
    <w:rsid w:val="008D19D4"/>
    <w:rsid w:val="008D1E6D"/>
    <w:rsid w:val="008D279D"/>
    <w:rsid w:val="008D28AD"/>
    <w:rsid w:val="008D6C3A"/>
    <w:rsid w:val="008D7B46"/>
    <w:rsid w:val="008E2423"/>
    <w:rsid w:val="008E26AD"/>
    <w:rsid w:val="008E26D5"/>
    <w:rsid w:val="008E4F9B"/>
    <w:rsid w:val="008E6AC3"/>
    <w:rsid w:val="008F0972"/>
    <w:rsid w:val="008F2DAB"/>
    <w:rsid w:val="008F2E46"/>
    <w:rsid w:val="008F45FB"/>
    <w:rsid w:val="008F5FF6"/>
    <w:rsid w:val="00901F1D"/>
    <w:rsid w:val="00905C56"/>
    <w:rsid w:val="00906C46"/>
    <w:rsid w:val="00907D5A"/>
    <w:rsid w:val="0091114D"/>
    <w:rsid w:val="00912595"/>
    <w:rsid w:val="00912E70"/>
    <w:rsid w:val="009135EA"/>
    <w:rsid w:val="009172A3"/>
    <w:rsid w:val="00921B41"/>
    <w:rsid w:val="00922D1D"/>
    <w:rsid w:val="00926C6E"/>
    <w:rsid w:val="00927255"/>
    <w:rsid w:val="009273DB"/>
    <w:rsid w:val="00927870"/>
    <w:rsid w:val="00931093"/>
    <w:rsid w:val="00933A42"/>
    <w:rsid w:val="009340F2"/>
    <w:rsid w:val="009372B9"/>
    <w:rsid w:val="00940BF0"/>
    <w:rsid w:val="00942054"/>
    <w:rsid w:val="00944DAA"/>
    <w:rsid w:val="009462B6"/>
    <w:rsid w:val="00946FA4"/>
    <w:rsid w:val="00955400"/>
    <w:rsid w:val="00956BB1"/>
    <w:rsid w:val="00960617"/>
    <w:rsid w:val="0096076B"/>
    <w:rsid w:val="0096226E"/>
    <w:rsid w:val="0096275C"/>
    <w:rsid w:val="0096285B"/>
    <w:rsid w:val="00964A8B"/>
    <w:rsid w:val="00965331"/>
    <w:rsid w:val="00965338"/>
    <w:rsid w:val="00965483"/>
    <w:rsid w:val="009666B0"/>
    <w:rsid w:val="009759B0"/>
    <w:rsid w:val="00975F30"/>
    <w:rsid w:val="0098003F"/>
    <w:rsid w:val="009808AA"/>
    <w:rsid w:val="00980CCB"/>
    <w:rsid w:val="00981177"/>
    <w:rsid w:val="00981B55"/>
    <w:rsid w:val="00983F3F"/>
    <w:rsid w:val="0098427E"/>
    <w:rsid w:val="00985228"/>
    <w:rsid w:val="00986FB1"/>
    <w:rsid w:val="0098718A"/>
    <w:rsid w:val="0098771F"/>
    <w:rsid w:val="009926A4"/>
    <w:rsid w:val="00993AE0"/>
    <w:rsid w:val="00993F23"/>
    <w:rsid w:val="0099425B"/>
    <w:rsid w:val="009960D3"/>
    <w:rsid w:val="009A07EF"/>
    <w:rsid w:val="009A0F69"/>
    <w:rsid w:val="009A1090"/>
    <w:rsid w:val="009A393E"/>
    <w:rsid w:val="009B0D12"/>
    <w:rsid w:val="009B1032"/>
    <w:rsid w:val="009B1D0D"/>
    <w:rsid w:val="009B1F30"/>
    <w:rsid w:val="009B440A"/>
    <w:rsid w:val="009B4884"/>
    <w:rsid w:val="009B653F"/>
    <w:rsid w:val="009C0A78"/>
    <w:rsid w:val="009C0B40"/>
    <w:rsid w:val="009C140E"/>
    <w:rsid w:val="009C1BD1"/>
    <w:rsid w:val="009C1E9B"/>
    <w:rsid w:val="009C22F4"/>
    <w:rsid w:val="009C48A3"/>
    <w:rsid w:val="009C5544"/>
    <w:rsid w:val="009C5CE6"/>
    <w:rsid w:val="009C5D61"/>
    <w:rsid w:val="009C6825"/>
    <w:rsid w:val="009C72C8"/>
    <w:rsid w:val="009D0F34"/>
    <w:rsid w:val="009D1A60"/>
    <w:rsid w:val="009D4100"/>
    <w:rsid w:val="009D4C1B"/>
    <w:rsid w:val="009D5406"/>
    <w:rsid w:val="009D63EC"/>
    <w:rsid w:val="009D6933"/>
    <w:rsid w:val="009D7889"/>
    <w:rsid w:val="009E0ADC"/>
    <w:rsid w:val="009E1DF8"/>
    <w:rsid w:val="009E2F2E"/>
    <w:rsid w:val="009E3E7D"/>
    <w:rsid w:val="009E5093"/>
    <w:rsid w:val="009E512D"/>
    <w:rsid w:val="009E5261"/>
    <w:rsid w:val="009E5FB1"/>
    <w:rsid w:val="009F1D55"/>
    <w:rsid w:val="009F213D"/>
    <w:rsid w:val="009F27B4"/>
    <w:rsid w:val="009F295D"/>
    <w:rsid w:val="009F417C"/>
    <w:rsid w:val="009F5C6A"/>
    <w:rsid w:val="009F5E32"/>
    <w:rsid w:val="009F65EA"/>
    <w:rsid w:val="009F6D7D"/>
    <w:rsid w:val="00A01F35"/>
    <w:rsid w:val="00A043BD"/>
    <w:rsid w:val="00A04998"/>
    <w:rsid w:val="00A04CFB"/>
    <w:rsid w:val="00A0597E"/>
    <w:rsid w:val="00A07F7A"/>
    <w:rsid w:val="00A128EA"/>
    <w:rsid w:val="00A12A7F"/>
    <w:rsid w:val="00A13BC2"/>
    <w:rsid w:val="00A15500"/>
    <w:rsid w:val="00A1610F"/>
    <w:rsid w:val="00A20B81"/>
    <w:rsid w:val="00A225AD"/>
    <w:rsid w:val="00A225C7"/>
    <w:rsid w:val="00A256D4"/>
    <w:rsid w:val="00A26555"/>
    <w:rsid w:val="00A269BE"/>
    <w:rsid w:val="00A30A8B"/>
    <w:rsid w:val="00A310F7"/>
    <w:rsid w:val="00A33B3B"/>
    <w:rsid w:val="00A34F9D"/>
    <w:rsid w:val="00A3594A"/>
    <w:rsid w:val="00A36161"/>
    <w:rsid w:val="00A3789A"/>
    <w:rsid w:val="00A424EA"/>
    <w:rsid w:val="00A425BE"/>
    <w:rsid w:val="00A42613"/>
    <w:rsid w:val="00A431AD"/>
    <w:rsid w:val="00A43207"/>
    <w:rsid w:val="00A45861"/>
    <w:rsid w:val="00A46318"/>
    <w:rsid w:val="00A51C9D"/>
    <w:rsid w:val="00A526E8"/>
    <w:rsid w:val="00A5428B"/>
    <w:rsid w:val="00A5606E"/>
    <w:rsid w:val="00A560BF"/>
    <w:rsid w:val="00A56B3F"/>
    <w:rsid w:val="00A56B7C"/>
    <w:rsid w:val="00A6005A"/>
    <w:rsid w:val="00A60628"/>
    <w:rsid w:val="00A61CB3"/>
    <w:rsid w:val="00A62860"/>
    <w:rsid w:val="00A62ABD"/>
    <w:rsid w:val="00A64C99"/>
    <w:rsid w:val="00A735EC"/>
    <w:rsid w:val="00A74177"/>
    <w:rsid w:val="00A753BE"/>
    <w:rsid w:val="00A80C20"/>
    <w:rsid w:val="00A81493"/>
    <w:rsid w:val="00A823C9"/>
    <w:rsid w:val="00A83523"/>
    <w:rsid w:val="00A84CAB"/>
    <w:rsid w:val="00A85336"/>
    <w:rsid w:val="00A869FB"/>
    <w:rsid w:val="00A873BD"/>
    <w:rsid w:val="00A87E10"/>
    <w:rsid w:val="00A90E70"/>
    <w:rsid w:val="00A9120F"/>
    <w:rsid w:val="00A956DE"/>
    <w:rsid w:val="00A95927"/>
    <w:rsid w:val="00A960AB"/>
    <w:rsid w:val="00A96741"/>
    <w:rsid w:val="00A96B52"/>
    <w:rsid w:val="00A9759E"/>
    <w:rsid w:val="00A977DB"/>
    <w:rsid w:val="00AA16AD"/>
    <w:rsid w:val="00AA181D"/>
    <w:rsid w:val="00AA21F4"/>
    <w:rsid w:val="00AA4C1A"/>
    <w:rsid w:val="00AA5716"/>
    <w:rsid w:val="00AA6AEB"/>
    <w:rsid w:val="00AA781A"/>
    <w:rsid w:val="00AB0213"/>
    <w:rsid w:val="00AB04D3"/>
    <w:rsid w:val="00AB0D40"/>
    <w:rsid w:val="00AB1306"/>
    <w:rsid w:val="00AB421F"/>
    <w:rsid w:val="00AB7EF4"/>
    <w:rsid w:val="00AC0CDA"/>
    <w:rsid w:val="00AC1329"/>
    <w:rsid w:val="00AC194D"/>
    <w:rsid w:val="00AC23A8"/>
    <w:rsid w:val="00AC3D2B"/>
    <w:rsid w:val="00AC402C"/>
    <w:rsid w:val="00AC4463"/>
    <w:rsid w:val="00AC478B"/>
    <w:rsid w:val="00AC5330"/>
    <w:rsid w:val="00AC5D4E"/>
    <w:rsid w:val="00AC64F2"/>
    <w:rsid w:val="00AC7A77"/>
    <w:rsid w:val="00AD068D"/>
    <w:rsid w:val="00AD2C35"/>
    <w:rsid w:val="00AD5C59"/>
    <w:rsid w:val="00AD5F43"/>
    <w:rsid w:val="00AD6170"/>
    <w:rsid w:val="00AE2AA0"/>
    <w:rsid w:val="00AE2CEA"/>
    <w:rsid w:val="00AE3045"/>
    <w:rsid w:val="00AE3C13"/>
    <w:rsid w:val="00AE509A"/>
    <w:rsid w:val="00AE6A20"/>
    <w:rsid w:val="00AF0999"/>
    <w:rsid w:val="00AF0D02"/>
    <w:rsid w:val="00AF12C4"/>
    <w:rsid w:val="00AF21A4"/>
    <w:rsid w:val="00AF3E13"/>
    <w:rsid w:val="00AF4493"/>
    <w:rsid w:val="00AF7EDF"/>
    <w:rsid w:val="00B01670"/>
    <w:rsid w:val="00B02D10"/>
    <w:rsid w:val="00B02ED1"/>
    <w:rsid w:val="00B05254"/>
    <w:rsid w:val="00B05A20"/>
    <w:rsid w:val="00B05EC1"/>
    <w:rsid w:val="00B06717"/>
    <w:rsid w:val="00B0769C"/>
    <w:rsid w:val="00B1061E"/>
    <w:rsid w:val="00B10C22"/>
    <w:rsid w:val="00B10EED"/>
    <w:rsid w:val="00B1417F"/>
    <w:rsid w:val="00B145D0"/>
    <w:rsid w:val="00B154A1"/>
    <w:rsid w:val="00B163DB"/>
    <w:rsid w:val="00B17BA1"/>
    <w:rsid w:val="00B20655"/>
    <w:rsid w:val="00B21410"/>
    <w:rsid w:val="00B227ED"/>
    <w:rsid w:val="00B23C22"/>
    <w:rsid w:val="00B25D8D"/>
    <w:rsid w:val="00B265F0"/>
    <w:rsid w:val="00B30587"/>
    <w:rsid w:val="00B34298"/>
    <w:rsid w:val="00B34F5D"/>
    <w:rsid w:val="00B35CE9"/>
    <w:rsid w:val="00B40F5F"/>
    <w:rsid w:val="00B414B2"/>
    <w:rsid w:val="00B41764"/>
    <w:rsid w:val="00B418C8"/>
    <w:rsid w:val="00B4410E"/>
    <w:rsid w:val="00B4527D"/>
    <w:rsid w:val="00B45851"/>
    <w:rsid w:val="00B46633"/>
    <w:rsid w:val="00B47035"/>
    <w:rsid w:val="00B47388"/>
    <w:rsid w:val="00B474E2"/>
    <w:rsid w:val="00B51D47"/>
    <w:rsid w:val="00B522AE"/>
    <w:rsid w:val="00B529F0"/>
    <w:rsid w:val="00B52DB0"/>
    <w:rsid w:val="00B53971"/>
    <w:rsid w:val="00B55F1A"/>
    <w:rsid w:val="00B60EDD"/>
    <w:rsid w:val="00B63160"/>
    <w:rsid w:val="00B64173"/>
    <w:rsid w:val="00B64A01"/>
    <w:rsid w:val="00B64CF8"/>
    <w:rsid w:val="00B65D8F"/>
    <w:rsid w:val="00B65E56"/>
    <w:rsid w:val="00B66C37"/>
    <w:rsid w:val="00B679A9"/>
    <w:rsid w:val="00B67D94"/>
    <w:rsid w:val="00B71FC0"/>
    <w:rsid w:val="00B72013"/>
    <w:rsid w:val="00B7428E"/>
    <w:rsid w:val="00B75CF4"/>
    <w:rsid w:val="00B803CA"/>
    <w:rsid w:val="00B80CC5"/>
    <w:rsid w:val="00B82411"/>
    <w:rsid w:val="00B8716D"/>
    <w:rsid w:val="00B87A29"/>
    <w:rsid w:val="00B87F76"/>
    <w:rsid w:val="00B906F3"/>
    <w:rsid w:val="00B920A9"/>
    <w:rsid w:val="00B92479"/>
    <w:rsid w:val="00B93932"/>
    <w:rsid w:val="00B94825"/>
    <w:rsid w:val="00B96776"/>
    <w:rsid w:val="00BA02A6"/>
    <w:rsid w:val="00BA12AB"/>
    <w:rsid w:val="00BA2335"/>
    <w:rsid w:val="00BA2B19"/>
    <w:rsid w:val="00BA516E"/>
    <w:rsid w:val="00BA664A"/>
    <w:rsid w:val="00BA715A"/>
    <w:rsid w:val="00BA7456"/>
    <w:rsid w:val="00BB001C"/>
    <w:rsid w:val="00BB141F"/>
    <w:rsid w:val="00BB2B8E"/>
    <w:rsid w:val="00BB45F4"/>
    <w:rsid w:val="00BB5C92"/>
    <w:rsid w:val="00BB7EE1"/>
    <w:rsid w:val="00BC0F48"/>
    <w:rsid w:val="00BC17F9"/>
    <w:rsid w:val="00BC5030"/>
    <w:rsid w:val="00BC59A0"/>
    <w:rsid w:val="00BC79B3"/>
    <w:rsid w:val="00BD01F7"/>
    <w:rsid w:val="00BD26B6"/>
    <w:rsid w:val="00BD270B"/>
    <w:rsid w:val="00BD4960"/>
    <w:rsid w:val="00BD4CDA"/>
    <w:rsid w:val="00BE2D01"/>
    <w:rsid w:val="00BE2F63"/>
    <w:rsid w:val="00BE4117"/>
    <w:rsid w:val="00BE4D0C"/>
    <w:rsid w:val="00BF1BA2"/>
    <w:rsid w:val="00BF3299"/>
    <w:rsid w:val="00BF3DE4"/>
    <w:rsid w:val="00BF447C"/>
    <w:rsid w:val="00BF5590"/>
    <w:rsid w:val="00BF5D2A"/>
    <w:rsid w:val="00BF64A8"/>
    <w:rsid w:val="00BF6E18"/>
    <w:rsid w:val="00BF7B2A"/>
    <w:rsid w:val="00C00E73"/>
    <w:rsid w:val="00C0573D"/>
    <w:rsid w:val="00C05AA1"/>
    <w:rsid w:val="00C078C4"/>
    <w:rsid w:val="00C07962"/>
    <w:rsid w:val="00C1272F"/>
    <w:rsid w:val="00C13104"/>
    <w:rsid w:val="00C13CBF"/>
    <w:rsid w:val="00C1618C"/>
    <w:rsid w:val="00C16A60"/>
    <w:rsid w:val="00C16C18"/>
    <w:rsid w:val="00C17060"/>
    <w:rsid w:val="00C170D7"/>
    <w:rsid w:val="00C17834"/>
    <w:rsid w:val="00C21AF1"/>
    <w:rsid w:val="00C23843"/>
    <w:rsid w:val="00C24977"/>
    <w:rsid w:val="00C24BE6"/>
    <w:rsid w:val="00C30167"/>
    <w:rsid w:val="00C30B2D"/>
    <w:rsid w:val="00C33146"/>
    <w:rsid w:val="00C33DFE"/>
    <w:rsid w:val="00C34E13"/>
    <w:rsid w:val="00C373EC"/>
    <w:rsid w:val="00C400DC"/>
    <w:rsid w:val="00C450D4"/>
    <w:rsid w:val="00C46B4A"/>
    <w:rsid w:val="00C50733"/>
    <w:rsid w:val="00C511F1"/>
    <w:rsid w:val="00C513EC"/>
    <w:rsid w:val="00C51566"/>
    <w:rsid w:val="00C5173F"/>
    <w:rsid w:val="00C52F97"/>
    <w:rsid w:val="00C53684"/>
    <w:rsid w:val="00C53871"/>
    <w:rsid w:val="00C54548"/>
    <w:rsid w:val="00C56329"/>
    <w:rsid w:val="00C573F6"/>
    <w:rsid w:val="00C6009B"/>
    <w:rsid w:val="00C609A2"/>
    <w:rsid w:val="00C620F5"/>
    <w:rsid w:val="00C63BCE"/>
    <w:rsid w:val="00C65CED"/>
    <w:rsid w:val="00C675C5"/>
    <w:rsid w:val="00C71CF7"/>
    <w:rsid w:val="00C7382E"/>
    <w:rsid w:val="00C752C1"/>
    <w:rsid w:val="00C76128"/>
    <w:rsid w:val="00C7789D"/>
    <w:rsid w:val="00C80A17"/>
    <w:rsid w:val="00C80B04"/>
    <w:rsid w:val="00C826C2"/>
    <w:rsid w:val="00C858B3"/>
    <w:rsid w:val="00C85C80"/>
    <w:rsid w:val="00C867B8"/>
    <w:rsid w:val="00C86E94"/>
    <w:rsid w:val="00C90196"/>
    <w:rsid w:val="00C9097A"/>
    <w:rsid w:val="00C90B00"/>
    <w:rsid w:val="00C96000"/>
    <w:rsid w:val="00C96A36"/>
    <w:rsid w:val="00C96B2E"/>
    <w:rsid w:val="00C970E6"/>
    <w:rsid w:val="00C9712F"/>
    <w:rsid w:val="00C9773E"/>
    <w:rsid w:val="00CA25CA"/>
    <w:rsid w:val="00CA499C"/>
    <w:rsid w:val="00CA6213"/>
    <w:rsid w:val="00CB06C1"/>
    <w:rsid w:val="00CB11FF"/>
    <w:rsid w:val="00CB1955"/>
    <w:rsid w:val="00CB5465"/>
    <w:rsid w:val="00CB6454"/>
    <w:rsid w:val="00CB64D9"/>
    <w:rsid w:val="00CB76FB"/>
    <w:rsid w:val="00CB799E"/>
    <w:rsid w:val="00CC1B1C"/>
    <w:rsid w:val="00CC2438"/>
    <w:rsid w:val="00CC28A5"/>
    <w:rsid w:val="00CC529C"/>
    <w:rsid w:val="00CC6288"/>
    <w:rsid w:val="00CC792C"/>
    <w:rsid w:val="00CD0219"/>
    <w:rsid w:val="00CD0494"/>
    <w:rsid w:val="00CD165B"/>
    <w:rsid w:val="00CD176C"/>
    <w:rsid w:val="00CD25A6"/>
    <w:rsid w:val="00CD34F8"/>
    <w:rsid w:val="00CD46AB"/>
    <w:rsid w:val="00CD5009"/>
    <w:rsid w:val="00CD725A"/>
    <w:rsid w:val="00CD753C"/>
    <w:rsid w:val="00CE028A"/>
    <w:rsid w:val="00CE0741"/>
    <w:rsid w:val="00CE165E"/>
    <w:rsid w:val="00CE3182"/>
    <w:rsid w:val="00CE4E5B"/>
    <w:rsid w:val="00CE5BD4"/>
    <w:rsid w:val="00CE5DAF"/>
    <w:rsid w:val="00CE678D"/>
    <w:rsid w:val="00CE6E5A"/>
    <w:rsid w:val="00CF1139"/>
    <w:rsid w:val="00CF2FF0"/>
    <w:rsid w:val="00CF309B"/>
    <w:rsid w:val="00CF30D8"/>
    <w:rsid w:val="00CF3159"/>
    <w:rsid w:val="00CF3BFD"/>
    <w:rsid w:val="00CF43CE"/>
    <w:rsid w:val="00CF5A5C"/>
    <w:rsid w:val="00CF61E8"/>
    <w:rsid w:val="00CF651D"/>
    <w:rsid w:val="00CF7D61"/>
    <w:rsid w:val="00D00701"/>
    <w:rsid w:val="00D00A24"/>
    <w:rsid w:val="00D014A0"/>
    <w:rsid w:val="00D046A6"/>
    <w:rsid w:val="00D046CF"/>
    <w:rsid w:val="00D05F99"/>
    <w:rsid w:val="00D06621"/>
    <w:rsid w:val="00D078F7"/>
    <w:rsid w:val="00D07FD3"/>
    <w:rsid w:val="00D110C6"/>
    <w:rsid w:val="00D11B4A"/>
    <w:rsid w:val="00D1385F"/>
    <w:rsid w:val="00D14741"/>
    <w:rsid w:val="00D151FE"/>
    <w:rsid w:val="00D15A58"/>
    <w:rsid w:val="00D20A0A"/>
    <w:rsid w:val="00D23FC8"/>
    <w:rsid w:val="00D244FF"/>
    <w:rsid w:val="00D2524A"/>
    <w:rsid w:val="00D2690A"/>
    <w:rsid w:val="00D31C35"/>
    <w:rsid w:val="00D328FE"/>
    <w:rsid w:val="00D32D11"/>
    <w:rsid w:val="00D32DE5"/>
    <w:rsid w:val="00D35394"/>
    <w:rsid w:val="00D3750C"/>
    <w:rsid w:val="00D4006C"/>
    <w:rsid w:val="00D4285A"/>
    <w:rsid w:val="00D437BC"/>
    <w:rsid w:val="00D44187"/>
    <w:rsid w:val="00D44AC8"/>
    <w:rsid w:val="00D460F3"/>
    <w:rsid w:val="00D4705D"/>
    <w:rsid w:val="00D47F5B"/>
    <w:rsid w:val="00D52EC4"/>
    <w:rsid w:val="00D54C29"/>
    <w:rsid w:val="00D553EE"/>
    <w:rsid w:val="00D5634C"/>
    <w:rsid w:val="00D577E8"/>
    <w:rsid w:val="00D60950"/>
    <w:rsid w:val="00D64EB4"/>
    <w:rsid w:val="00D661F2"/>
    <w:rsid w:val="00D66F5A"/>
    <w:rsid w:val="00D677B3"/>
    <w:rsid w:val="00D72965"/>
    <w:rsid w:val="00D76410"/>
    <w:rsid w:val="00D765CD"/>
    <w:rsid w:val="00D77735"/>
    <w:rsid w:val="00D778DC"/>
    <w:rsid w:val="00D80851"/>
    <w:rsid w:val="00D81AC2"/>
    <w:rsid w:val="00D81ADA"/>
    <w:rsid w:val="00D82D94"/>
    <w:rsid w:val="00D832FC"/>
    <w:rsid w:val="00D83BB6"/>
    <w:rsid w:val="00D83F79"/>
    <w:rsid w:val="00D855DD"/>
    <w:rsid w:val="00D8582D"/>
    <w:rsid w:val="00D870ED"/>
    <w:rsid w:val="00D913D9"/>
    <w:rsid w:val="00D943BB"/>
    <w:rsid w:val="00D94AC7"/>
    <w:rsid w:val="00D96437"/>
    <w:rsid w:val="00D97697"/>
    <w:rsid w:val="00D97905"/>
    <w:rsid w:val="00DA120C"/>
    <w:rsid w:val="00DA19D3"/>
    <w:rsid w:val="00DA4EEF"/>
    <w:rsid w:val="00DA5072"/>
    <w:rsid w:val="00DA7952"/>
    <w:rsid w:val="00DB1D9D"/>
    <w:rsid w:val="00DB3E36"/>
    <w:rsid w:val="00DB41E8"/>
    <w:rsid w:val="00DB444F"/>
    <w:rsid w:val="00DB7061"/>
    <w:rsid w:val="00DB79D2"/>
    <w:rsid w:val="00DC0A82"/>
    <w:rsid w:val="00DC3686"/>
    <w:rsid w:val="00DC43E0"/>
    <w:rsid w:val="00DC4415"/>
    <w:rsid w:val="00DC5CE6"/>
    <w:rsid w:val="00DC5E32"/>
    <w:rsid w:val="00DC66BC"/>
    <w:rsid w:val="00DC7894"/>
    <w:rsid w:val="00DD3DF6"/>
    <w:rsid w:val="00DD4400"/>
    <w:rsid w:val="00DE2445"/>
    <w:rsid w:val="00DE3692"/>
    <w:rsid w:val="00DE4141"/>
    <w:rsid w:val="00DE6DF3"/>
    <w:rsid w:val="00DF12AE"/>
    <w:rsid w:val="00DF15D5"/>
    <w:rsid w:val="00DF3970"/>
    <w:rsid w:val="00DF4495"/>
    <w:rsid w:val="00DF671A"/>
    <w:rsid w:val="00DF6A62"/>
    <w:rsid w:val="00E00543"/>
    <w:rsid w:val="00E01B25"/>
    <w:rsid w:val="00E0228D"/>
    <w:rsid w:val="00E04507"/>
    <w:rsid w:val="00E0613E"/>
    <w:rsid w:val="00E0645D"/>
    <w:rsid w:val="00E07A83"/>
    <w:rsid w:val="00E11EB4"/>
    <w:rsid w:val="00E15013"/>
    <w:rsid w:val="00E15889"/>
    <w:rsid w:val="00E17206"/>
    <w:rsid w:val="00E176AF"/>
    <w:rsid w:val="00E20669"/>
    <w:rsid w:val="00E2235D"/>
    <w:rsid w:val="00E22C87"/>
    <w:rsid w:val="00E23AF6"/>
    <w:rsid w:val="00E24425"/>
    <w:rsid w:val="00E3183D"/>
    <w:rsid w:val="00E32CAF"/>
    <w:rsid w:val="00E32CCB"/>
    <w:rsid w:val="00E407FC"/>
    <w:rsid w:val="00E42F81"/>
    <w:rsid w:val="00E43E81"/>
    <w:rsid w:val="00E4420B"/>
    <w:rsid w:val="00E449F2"/>
    <w:rsid w:val="00E450AE"/>
    <w:rsid w:val="00E4510B"/>
    <w:rsid w:val="00E45902"/>
    <w:rsid w:val="00E46385"/>
    <w:rsid w:val="00E508BC"/>
    <w:rsid w:val="00E53110"/>
    <w:rsid w:val="00E53629"/>
    <w:rsid w:val="00E53AE9"/>
    <w:rsid w:val="00E54996"/>
    <w:rsid w:val="00E56660"/>
    <w:rsid w:val="00E569E2"/>
    <w:rsid w:val="00E56AA2"/>
    <w:rsid w:val="00E575CB"/>
    <w:rsid w:val="00E60412"/>
    <w:rsid w:val="00E614AD"/>
    <w:rsid w:val="00E62323"/>
    <w:rsid w:val="00E623A4"/>
    <w:rsid w:val="00E62AA9"/>
    <w:rsid w:val="00E62B72"/>
    <w:rsid w:val="00E633B0"/>
    <w:rsid w:val="00E65295"/>
    <w:rsid w:val="00E67891"/>
    <w:rsid w:val="00E7405A"/>
    <w:rsid w:val="00E76864"/>
    <w:rsid w:val="00E775E7"/>
    <w:rsid w:val="00E7781E"/>
    <w:rsid w:val="00E82AEF"/>
    <w:rsid w:val="00E82FE3"/>
    <w:rsid w:val="00E843B4"/>
    <w:rsid w:val="00E86435"/>
    <w:rsid w:val="00E86580"/>
    <w:rsid w:val="00E86788"/>
    <w:rsid w:val="00E86C64"/>
    <w:rsid w:val="00E92520"/>
    <w:rsid w:val="00E9324D"/>
    <w:rsid w:val="00E96D1E"/>
    <w:rsid w:val="00E97D52"/>
    <w:rsid w:val="00E97EAD"/>
    <w:rsid w:val="00E97EEF"/>
    <w:rsid w:val="00EA0010"/>
    <w:rsid w:val="00EA009F"/>
    <w:rsid w:val="00EA1EBF"/>
    <w:rsid w:val="00EA1FE4"/>
    <w:rsid w:val="00EA326A"/>
    <w:rsid w:val="00EA32B7"/>
    <w:rsid w:val="00EA3D43"/>
    <w:rsid w:val="00EA4935"/>
    <w:rsid w:val="00EB0739"/>
    <w:rsid w:val="00EB0B1D"/>
    <w:rsid w:val="00EB0E0E"/>
    <w:rsid w:val="00EB0E7B"/>
    <w:rsid w:val="00EB211E"/>
    <w:rsid w:val="00EB28C1"/>
    <w:rsid w:val="00EB319F"/>
    <w:rsid w:val="00EB33CE"/>
    <w:rsid w:val="00EB367C"/>
    <w:rsid w:val="00EB3E0D"/>
    <w:rsid w:val="00EB4984"/>
    <w:rsid w:val="00EB6614"/>
    <w:rsid w:val="00EB6BCC"/>
    <w:rsid w:val="00EC0786"/>
    <w:rsid w:val="00EC0FFF"/>
    <w:rsid w:val="00EC2806"/>
    <w:rsid w:val="00EC369F"/>
    <w:rsid w:val="00EC4A60"/>
    <w:rsid w:val="00EC62BA"/>
    <w:rsid w:val="00EC73D8"/>
    <w:rsid w:val="00ED011A"/>
    <w:rsid w:val="00ED0BA8"/>
    <w:rsid w:val="00ED2205"/>
    <w:rsid w:val="00ED477A"/>
    <w:rsid w:val="00ED58AA"/>
    <w:rsid w:val="00ED6961"/>
    <w:rsid w:val="00ED6BB6"/>
    <w:rsid w:val="00ED74DD"/>
    <w:rsid w:val="00EE00E5"/>
    <w:rsid w:val="00EE0DB9"/>
    <w:rsid w:val="00EE1154"/>
    <w:rsid w:val="00EE2214"/>
    <w:rsid w:val="00EE3CF4"/>
    <w:rsid w:val="00EE5FDD"/>
    <w:rsid w:val="00EE62DD"/>
    <w:rsid w:val="00EE6659"/>
    <w:rsid w:val="00EE720B"/>
    <w:rsid w:val="00EF0B26"/>
    <w:rsid w:val="00EF11C6"/>
    <w:rsid w:val="00EF1EF8"/>
    <w:rsid w:val="00EF394C"/>
    <w:rsid w:val="00EF524A"/>
    <w:rsid w:val="00EF6473"/>
    <w:rsid w:val="00F0002F"/>
    <w:rsid w:val="00F006F5"/>
    <w:rsid w:val="00F00F9A"/>
    <w:rsid w:val="00F01B8A"/>
    <w:rsid w:val="00F03833"/>
    <w:rsid w:val="00F103B9"/>
    <w:rsid w:val="00F10CCE"/>
    <w:rsid w:val="00F125A2"/>
    <w:rsid w:val="00F146EB"/>
    <w:rsid w:val="00F153CA"/>
    <w:rsid w:val="00F215A6"/>
    <w:rsid w:val="00F216C1"/>
    <w:rsid w:val="00F248CB"/>
    <w:rsid w:val="00F25253"/>
    <w:rsid w:val="00F25C7A"/>
    <w:rsid w:val="00F27029"/>
    <w:rsid w:val="00F2712D"/>
    <w:rsid w:val="00F279E5"/>
    <w:rsid w:val="00F30D44"/>
    <w:rsid w:val="00F32ADF"/>
    <w:rsid w:val="00F3330C"/>
    <w:rsid w:val="00F34AEA"/>
    <w:rsid w:val="00F50B81"/>
    <w:rsid w:val="00F53078"/>
    <w:rsid w:val="00F55870"/>
    <w:rsid w:val="00F56532"/>
    <w:rsid w:val="00F56D59"/>
    <w:rsid w:val="00F57312"/>
    <w:rsid w:val="00F5745D"/>
    <w:rsid w:val="00F578C0"/>
    <w:rsid w:val="00F60225"/>
    <w:rsid w:val="00F60611"/>
    <w:rsid w:val="00F616B0"/>
    <w:rsid w:val="00F63F15"/>
    <w:rsid w:val="00F64AE5"/>
    <w:rsid w:val="00F6669E"/>
    <w:rsid w:val="00F67DC6"/>
    <w:rsid w:val="00F72FA2"/>
    <w:rsid w:val="00F73AC7"/>
    <w:rsid w:val="00F74E79"/>
    <w:rsid w:val="00F754E9"/>
    <w:rsid w:val="00F75A8C"/>
    <w:rsid w:val="00F75CF8"/>
    <w:rsid w:val="00F76E3D"/>
    <w:rsid w:val="00F80CE4"/>
    <w:rsid w:val="00F80E97"/>
    <w:rsid w:val="00F82F23"/>
    <w:rsid w:val="00F8382F"/>
    <w:rsid w:val="00F85733"/>
    <w:rsid w:val="00F85A8A"/>
    <w:rsid w:val="00F8649C"/>
    <w:rsid w:val="00F87064"/>
    <w:rsid w:val="00F90F58"/>
    <w:rsid w:val="00F91260"/>
    <w:rsid w:val="00F9167D"/>
    <w:rsid w:val="00F91C67"/>
    <w:rsid w:val="00F92077"/>
    <w:rsid w:val="00F960AA"/>
    <w:rsid w:val="00F962B2"/>
    <w:rsid w:val="00FA1373"/>
    <w:rsid w:val="00FA3B84"/>
    <w:rsid w:val="00FA4BE1"/>
    <w:rsid w:val="00FA4FE7"/>
    <w:rsid w:val="00FA5F3C"/>
    <w:rsid w:val="00FA64D3"/>
    <w:rsid w:val="00FA6D34"/>
    <w:rsid w:val="00FB130D"/>
    <w:rsid w:val="00FB38A9"/>
    <w:rsid w:val="00FB4EC7"/>
    <w:rsid w:val="00FB5652"/>
    <w:rsid w:val="00FB648A"/>
    <w:rsid w:val="00FC00DE"/>
    <w:rsid w:val="00FC0E2F"/>
    <w:rsid w:val="00FC1239"/>
    <w:rsid w:val="00FC1871"/>
    <w:rsid w:val="00FC3CB9"/>
    <w:rsid w:val="00FC5204"/>
    <w:rsid w:val="00FC5EC6"/>
    <w:rsid w:val="00FC6223"/>
    <w:rsid w:val="00FC685E"/>
    <w:rsid w:val="00FC7844"/>
    <w:rsid w:val="00FD1952"/>
    <w:rsid w:val="00FD2030"/>
    <w:rsid w:val="00FD27EA"/>
    <w:rsid w:val="00FD286B"/>
    <w:rsid w:val="00FD42B1"/>
    <w:rsid w:val="00FD5ACD"/>
    <w:rsid w:val="00FD619D"/>
    <w:rsid w:val="00FE03D5"/>
    <w:rsid w:val="00FE1936"/>
    <w:rsid w:val="00FE1C56"/>
    <w:rsid w:val="00FE2632"/>
    <w:rsid w:val="00FE532E"/>
    <w:rsid w:val="00FE5CFB"/>
    <w:rsid w:val="00FE5D0F"/>
    <w:rsid w:val="00FE759E"/>
    <w:rsid w:val="00FE77A5"/>
    <w:rsid w:val="00FE7DF5"/>
    <w:rsid w:val="00FE7DF7"/>
    <w:rsid w:val="00FE7EF5"/>
    <w:rsid w:val="00FF2D6B"/>
    <w:rsid w:val="00FF31EA"/>
    <w:rsid w:val="00FF5F7E"/>
    <w:rsid w:val="00FF5FAB"/>
    <w:rsid w:val="00FF7209"/>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02D"/>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60"/>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CD5009"/>
    <w:rPr>
      <w:color w:val="0000FF"/>
      <w:u w:val="single"/>
    </w:rPr>
  </w:style>
  <w:style w:type="paragraph" w:styleId="Header">
    <w:name w:val="header"/>
    <w:basedOn w:val="Normal"/>
    <w:link w:val="HeaderChar"/>
    <w:uiPriority w:val="99"/>
    <w:unhideWhenUsed/>
    <w:rsid w:val="007E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2E"/>
  </w:style>
  <w:style w:type="paragraph" w:styleId="Footer">
    <w:name w:val="footer"/>
    <w:basedOn w:val="Normal"/>
    <w:link w:val="FooterChar"/>
    <w:uiPriority w:val="99"/>
    <w:unhideWhenUsed/>
    <w:rsid w:val="007E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2E"/>
  </w:style>
  <w:style w:type="character" w:styleId="CommentReference">
    <w:name w:val="annotation reference"/>
    <w:basedOn w:val="DefaultParagraphFont"/>
    <w:uiPriority w:val="99"/>
    <w:semiHidden/>
    <w:unhideWhenUsed/>
    <w:rsid w:val="00BD270B"/>
    <w:rPr>
      <w:sz w:val="16"/>
      <w:szCs w:val="16"/>
    </w:rPr>
  </w:style>
  <w:style w:type="paragraph" w:styleId="CommentText">
    <w:name w:val="annotation text"/>
    <w:basedOn w:val="Normal"/>
    <w:link w:val="CommentTextChar"/>
    <w:uiPriority w:val="99"/>
    <w:semiHidden/>
    <w:unhideWhenUsed/>
    <w:rsid w:val="00BD270B"/>
    <w:pPr>
      <w:spacing w:line="240" w:lineRule="auto"/>
    </w:pPr>
    <w:rPr>
      <w:sz w:val="20"/>
      <w:szCs w:val="20"/>
    </w:rPr>
  </w:style>
  <w:style w:type="character" w:customStyle="1" w:styleId="CommentTextChar">
    <w:name w:val="Comment Text Char"/>
    <w:basedOn w:val="DefaultParagraphFont"/>
    <w:link w:val="CommentText"/>
    <w:uiPriority w:val="99"/>
    <w:semiHidden/>
    <w:rsid w:val="00BD270B"/>
    <w:rPr>
      <w:sz w:val="20"/>
      <w:szCs w:val="20"/>
    </w:rPr>
  </w:style>
  <w:style w:type="paragraph" w:styleId="CommentSubject">
    <w:name w:val="annotation subject"/>
    <w:basedOn w:val="CommentText"/>
    <w:next w:val="CommentText"/>
    <w:link w:val="CommentSubjectChar"/>
    <w:uiPriority w:val="99"/>
    <w:semiHidden/>
    <w:unhideWhenUsed/>
    <w:rsid w:val="00BD270B"/>
    <w:rPr>
      <w:b/>
      <w:bCs/>
    </w:rPr>
  </w:style>
  <w:style w:type="character" w:customStyle="1" w:styleId="CommentSubjectChar">
    <w:name w:val="Comment Subject Char"/>
    <w:basedOn w:val="CommentTextChar"/>
    <w:link w:val="CommentSubject"/>
    <w:uiPriority w:val="99"/>
    <w:semiHidden/>
    <w:rsid w:val="00BD270B"/>
    <w:rPr>
      <w:b/>
      <w:bCs/>
      <w:sz w:val="20"/>
      <w:szCs w:val="20"/>
    </w:rPr>
  </w:style>
  <w:style w:type="character" w:customStyle="1" w:styleId="NoSpacingChar">
    <w:name w:val="No Spacing Char"/>
    <w:basedOn w:val="DefaultParagraphFont"/>
    <w:link w:val="NoSpacing"/>
    <w:uiPriority w:val="1"/>
    <w:rsid w:val="00782E51"/>
  </w:style>
  <w:style w:type="paragraph" w:styleId="ListParagraph">
    <w:name w:val="List Paragraph"/>
    <w:basedOn w:val="Normal"/>
    <w:uiPriority w:val="34"/>
    <w:qFormat/>
    <w:rsid w:val="00BE4117"/>
    <w:pPr>
      <w:spacing w:after="160" w:line="259" w:lineRule="auto"/>
      <w:ind w:left="720"/>
      <w:contextualSpacing/>
    </w:pPr>
  </w:style>
  <w:style w:type="table" w:customStyle="1" w:styleId="ListTable4-Accent51">
    <w:name w:val="List Table 4 - Accent 51"/>
    <w:basedOn w:val="TableNormal"/>
    <w:uiPriority w:val="49"/>
    <w:rsid w:val="00232B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45675D"/>
    <w:rPr>
      <w:color w:val="605E5C"/>
      <w:shd w:val="clear" w:color="auto" w:fill="E1DFDD"/>
    </w:rPr>
  </w:style>
  <w:style w:type="character" w:styleId="UnresolvedMention">
    <w:name w:val="Unresolved Mention"/>
    <w:basedOn w:val="DefaultParagraphFont"/>
    <w:uiPriority w:val="99"/>
    <w:semiHidden/>
    <w:unhideWhenUsed/>
    <w:rsid w:val="00834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484712557">
      <w:bodyDiv w:val="1"/>
      <w:marLeft w:val="0"/>
      <w:marRight w:val="0"/>
      <w:marTop w:val="0"/>
      <w:marBottom w:val="0"/>
      <w:divBdr>
        <w:top w:val="none" w:sz="0" w:space="0" w:color="auto"/>
        <w:left w:val="none" w:sz="0" w:space="0" w:color="auto"/>
        <w:bottom w:val="none" w:sz="0" w:space="0" w:color="auto"/>
        <w:right w:val="none" w:sz="0" w:space="0" w:color="auto"/>
      </w:divBdr>
    </w:div>
    <w:div w:id="571233653">
      <w:bodyDiv w:val="1"/>
      <w:marLeft w:val="0"/>
      <w:marRight w:val="0"/>
      <w:marTop w:val="0"/>
      <w:marBottom w:val="0"/>
      <w:divBdr>
        <w:top w:val="none" w:sz="0" w:space="0" w:color="auto"/>
        <w:left w:val="none" w:sz="0" w:space="0" w:color="auto"/>
        <w:bottom w:val="none" w:sz="0" w:space="0" w:color="auto"/>
        <w:right w:val="none" w:sz="0" w:space="0" w:color="auto"/>
      </w:divBdr>
    </w:div>
    <w:div w:id="588974724">
      <w:bodyDiv w:val="1"/>
      <w:marLeft w:val="0"/>
      <w:marRight w:val="0"/>
      <w:marTop w:val="0"/>
      <w:marBottom w:val="0"/>
      <w:divBdr>
        <w:top w:val="none" w:sz="0" w:space="0" w:color="auto"/>
        <w:left w:val="none" w:sz="0" w:space="0" w:color="auto"/>
        <w:bottom w:val="none" w:sz="0" w:space="0" w:color="auto"/>
        <w:right w:val="none" w:sz="0" w:space="0" w:color="auto"/>
      </w:divBdr>
    </w:div>
    <w:div w:id="616985097">
      <w:bodyDiv w:val="1"/>
      <w:marLeft w:val="0"/>
      <w:marRight w:val="0"/>
      <w:marTop w:val="0"/>
      <w:marBottom w:val="0"/>
      <w:divBdr>
        <w:top w:val="none" w:sz="0" w:space="0" w:color="auto"/>
        <w:left w:val="none" w:sz="0" w:space="0" w:color="auto"/>
        <w:bottom w:val="none" w:sz="0" w:space="0" w:color="auto"/>
        <w:right w:val="none" w:sz="0" w:space="0" w:color="auto"/>
      </w:divBdr>
    </w:div>
    <w:div w:id="692338332">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31126497">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908079451">
      <w:bodyDiv w:val="1"/>
      <w:marLeft w:val="0"/>
      <w:marRight w:val="0"/>
      <w:marTop w:val="0"/>
      <w:marBottom w:val="0"/>
      <w:divBdr>
        <w:top w:val="none" w:sz="0" w:space="0" w:color="auto"/>
        <w:left w:val="none" w:sz="0" w:space="0" w:color="auto"/>
        <w:bottom w:val="none" w:sz="0" w:space="0" w:color="auto"/>
        <w:right w:val="none" w:sz="0" w:space="0" w:color="auto"/>
      </w:divBdr>
    </w:div>
    <w:div w:id="920066878">
      <w:bodyDiv w:val="1"/>
      <w:marLeft w:val="0"/>
      <w:marRight w:val="0"/>
      <w:marTop w:val="0"/>
      <w:marBottom w:val="0"/>
      <w:divBdr>
        <w:top w:val="none" w:sz="0" w:space="0" w:color="auto"/>
        <w:left w:val="none" w:sz="0" w:space="0" w:color="auto"/>
        <w:bottom w:val="none" w:sz="0" w:space="0" w:color="auto"/>
        <w:right w:val="none" w:sz="0" w:space="0" w:color="auto"/>
      </w:divBdr>
    </w:div>
    <w:div w:id="958537348">
      <w:bodyDiv w:val="1"/>
      <w:marLeft w:val="0"/>
      <w:marRight w:val="0"/>
      <w:marTop w:val="0"/>
      <w:marBottom w:val="0"/>
      <w:divBdr>
        <w:top w:val="none" w:sz="0" w:space="0" w:color="auto"/>
        <w:left w:val="none" w:sz="0" w:space="0" w:color="auto"/>
        <w:bottom w:val="none" w:sz="0" w:space="0" w:color="auto"/>
        <w:right w:val="none" w:sz="0" w:space="0" w:color="auto"/>
      </w:divBdr>
    </w:div>
    <w:div w:id="1066418647">
      <w:bodyDiv w:val="1"/>
      <w:marLeft w:val="0"/>
      <w:marRight w:val="0"/>
      <w:marTop w:val="0"/>
      <w:marBottom w:val="0"/>
      <w:divBdr>
        <w:top w:val="none" w:sz="0" w:space="0" w:color="auto"/>
        <w:left w:val="none" w:sz="0" w:space="0" w:color="auto"/>
        <w:bottom w:val="none" w:sz="0" w:space="0" w:color="auto"/>
        <w:right w:val="none" w:sz="0" w:space="0" w:color="auto"/>
      </w:divBdr>
    </w:div>
    <w:div w:id="1193878164">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197628">
      <w:bodyDiv w:val="1"/>
      <w:marLeft w:val="0"/>
      <w:marRight w:val="0"/>
      <w:marTop w:val="0"/>
      <w:marBottom w:val="0"/>
      <w:divBdr>
        <w:top w:val="none" w:sz="0" w:space="0" w:color="auto"/>
        <w:left w:val="none" w:sz="0" w:space="0" w:color="auto"/>
        <w:bottom w:val="none" w:sz="0" w:space="0" w:color="auto"/>
        <w:right w:val="none" w:sz="0" w:space="0" w:color="auto"/>
      </w:divBdr>
    </w:div>
    <w:div w:id="1319967319">
      <w:bodyDiv w:val="1"/>
      <w:marLeft w:val="0"/>
      <w:marRight w:val="0"/>
      <w:marTop w:val="0"/>
      <w:marBottom w:val="0"/>
      <w:divBdr>
        <w:top w:val="none" w:sz="0" w:space="0" w:color="auto"/>
        <w:left w:val="none" w:sz="0" w:space="0" w:color="auto"/>
        <w:bottom w:val="none" w:sz="0" w:space="0" w:color="auto"/>
        <w:right w:val="none" w:sz="0" w:space="0" w:color="auto"/>
      </w:divBdr>
    </w:div>
    <w:div w:id="1476682346">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726249752">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watson@freshprodu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reshproduc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e-Marie\Documents\210%20Analytics\Clients\IRI\2022\February%202022\Line_graph_produce_Feb_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ne-Marie\Documents\210%20Analytics\Clients\IRI\2022\February%202022\Line_graph_produce_Feb_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ne-Marie\Documents\210%20Analytics\Clients\IRI\2022\February%202022\Line_graph_produce_Feb_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000"/>
            </a:pPr>
            <a:r>
              <a:rPr lang="en-US" sz="1000"/>
              <a:t>% Dollar growth versus the same time period year ago</a:t>
            </a:r>
          </a:p>
        </c:rich>
      </c:tx>
      <c:overlay val="0"/>
    </c:title>
    <c:autoTitleDeleted val="0"/>
    <c:plotArea>
      <c:layout/>
      <c:lineChart>
        <c:grouping val="standard"/>
        <c:varyColors val="0"/>
        <c:ser>
          <c:idx val="0"/>
          <c:order val="0"/>
          <c:tx>
            <c:strRef>
              <c:f>Sheet1!$A$30</c:f>
              <c:strCache>
                <c:ptCount val="1"/>
                <c:pt idx="0">
                  <c:v>Produce dpt  </c:v>
                </c:pt>
              </c:strCache>
            </c:strRef>
          </c:tx>
          <c:marker>
            <c:symbol val="none"/>
          </c:marker>
          <c:dLbls>
            <c:dLbl>
              <c:idx val="0"/>
              <c:layout>
                <c:manualLayout>
                  <c:x val="-6.3073042185404743E-2"/>
                  <c:y val="-1.0999996535434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8A-439E-AF83-26BAB823B612}"/>
                </c:ext>
              </c:extLst>
            </c:dLbl>
            <c:dLbl>
              <c:idx val="1"/>
              <c:layout>
                <c:manualLayout>
                  <c:x val="-3.2262228751839012E-2"/>
                  <c:y val="-1.89999940157499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8A-439E-AF83-26BAB823B612}"/>
                </c:ext>
              </c:extLst>
            </c:dLbl>
            <c:dLbl>
              <c:idx val="5"/>
              <c:layout>
                <c:manualLayout>
                  <c:x val="-2.4229214437575215E-2"/>
                  <c:y val="-1.4999995275592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8A-439E-AF83-26BAB823B612}"/>
                </c:ext>
              </c:extLst>
            </c:dLbl>
            <c:dLbl>
              <c:idx val="6"/>
              <c:layout>
                <c:manualLayout>
                  <c:x val="-3.1237274439556876E-2"/>
                  <c:y val="4.12132484256795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8A-439E-AF83-26BAB823B612}"/>
                </c:ext>
              </c:extLst>
            </c:dLbl>
            <c:dLbl>
              <c:idx val="7"/>
              <c:layout>
                <c:manualLayout>
                  <c:x val="-1.7440512703191361E-2"/>
                  <c:y val="2.3974073919125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A-439E-AF83-26BAB823B612}"/>
                </c:ext>
              </c:extLst>
            </c:dLbl>
            <c:dLbl>
              <c:idx val="8"/>
              <c:layout>
                <c:manualLayout>
                  <c:x val="-1.8726705522064315E-2"/>
                  <c:y val="-2.2288533225572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A-439E-AF83-26BAB823B612}"/>
                </c:ext>
              </c:extLst>
            </c:dLbl>
            <c:dLbl>
              <c:idx val="9"/>
              <c:layout>
                <c:manualLayout>
                  <c:x val="-1.4612762247133194E-2"/>
                  <c:y val="-2.9476601902744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A-439E-AF83-26BAB823B612}"/>
                </c:ext>
              </c:extLst>
            </c:dLbl>
            <c:dLbl>
              <c:idx val="11"/>
              <c:layout>
                <c:manualLayout>
                  <c:x val="-2.4693211455823771E-2"/>
                  <c:y val="2.8111932055596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A-439E-AF83-26BAB823B612}"/>
                </c:ext>
              </c:extLst>
            </c:dLbl>
            <c:dLbl>
              <c:idx val="12"/>
              <c:layout>
                <c:manualLayout>
                  <c:x val="-2.3484444590904287E-2"/>
                  <c:y val="-1.7942411916633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A-439E-AF83-26BAB823B612}"/>
                </c:ext>
              </c:extLst>
            </c:dLbl>
            <c:dLbl>
              <c:idx val="13"/>
              <c:layout>
                <c:manualLayout>
                  <c:x val="-1.8576973326594252E-2"/>
                  <c:y val="3.08599510085453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8A-439E-AF83-26BAB823B612}"/>
                </c:ext>
              </c:extLst>
            </c:dLbl>
            <c:spPr>
              <a:noFill/>
              <a:ln>
                <a:noFill/>
              </a:ln>
              <a:effectLst/>
            </c:spPr>
            <c:txPr>
              <a:bodyPr/>
              <a:lstStyle/>
              <a:p>
                <a:pPr>
                  <a:defRPr sz="900">
                    <a:solidFill>
                      <a:schemeClr val="accent1"/>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Sheet1!$B$29:$L$29</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Sheet1!$B$30:$L$30</c:f>
              <c:numCache>
                <c:formatCode>0%</c:formatCode>
                <c:ptCount val="11"/>
                <c:pt idx="0">
                  <c:v>1.7999999999999999E-2</c:v>
                </c:pt>
                <c:pt idx="1">
                  <c:v>6.8000000000000005E-2</c:v>
                </c:pt>
                <c:pt idx="2">
                  <c:v>0.151</c:v>
                </c:pt>
                <c:pt idx="3">
                  <c:v>0.121</c:v>
                </c:pt>
                <c:pt idx="4">
                  <c:v>0.11700000000000001</c:v>
                </c:pt>
                <c:pt idx="5">
                  <c:v>4.8000000000000001E-2</c:v>
                </c:pt>
                <c:pt idx="6">
                  <c:v>-1.0999999999999999E-2</c:v>
                </c:pt>
                <c:pt idx="7">
                  <c:v>0.02</c:v>
                </c:pt>
                <c:pt idx="8">
                  <c:v>5.0999999999999997E-2</c:v>
                </c:pt>
                <c:pt idx="9">
                  <c:v>4.3999999999999997E-2</c:v>
                </c:pt>
                <c:pt idx="10" formatCode="0.0%">
                  <c:v>4.5999999999999999E-2</c:v>
                </c:pt>
              </c:numCache>
            </c:numRef>
          </c:val>
          <c:smooth val="0"/>
          <c:extLst>
            <c:ext xmlns:c16="http://schemas.microsoft.com/office/drawing/2014/chart" uri="{C3380CC4-5D6E-409C-BE32-E72D297353CC}">
              <c16:uniqueId val="{0000000A-9D8A-439E-AF83-26BAB823B612}"/>
            </c:ext>
          </c:extLst>
        </c:ser>
        <c:ser>
          <c:idx val="1"/>
          <c:order val="1"/>
          <c:tx>
            <c:strRef>
              <c:f>Sheet1!$A$31</c:f>
              <c:strCache>
                <c:ptCount val="1"/>
                <c:pt idx="0">
                  <c:v>Fresh fruit</c:v>
                </c:pt>
              </c:strCache>
            </c:strRef>
          </c:tx>
          <c:marker>
            <c:symbol val="none"/>
          </c:marker>
          <c:dLbls>
            <c:dLbl>
              <c:idx val="0"/>
              <c:layout>
                <c:manualLayout>
                  <c:x val="-6.4151356812203172E-2"/>
                  <c:y val="-4.999998425197379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D8A-439E-AF83-26BAB823B612}"/>
                </c:ext>
              </c:extLst>
            </c:dLbl>
            <c:dLbl>
              <c:idx val="5"/>
              <c:layout>
                <c:manualLayout>
                  <c:x val="-2.5939110462519059E-2"/>
                  <c:y val="4.6999985196855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D8A-439E-AF83-26BAB823B612}"/>
                </c:ext>
              </c:extLst>
            </c:dLbl>
            <c:dLbl>
              <c:idx val="7"/>
              <c:layout>
                <c:manualLayout>
                  <c:x val="-2.0012859709561771E-2"/>
                  <c:y val="1.7494594481524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D8A-439E-AF83-26BAB823B612}"/>
                </c:ext>
              </c:extLst>
            </c:dLbl>
            <c:dLbl>
              <c:idx val="8"/>
              <c:layout>
                <c:manualLayout>
                  <c:x val="-1.5503347337317341E-2"/>
                  <c:y val="2.2435382531660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D8A-439E-AF83-26BAB823B612}"/>
                </c:ext>
              </c:extLst>
            </c:dLbl>
            <c:dLbl>
              <c:idx val="9"/>
              <c:layout>
                <c:manualLayout>
                  <c:x val="-2.1295823144015694E-2"/>
                  <c:y val="1.88159029388621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D8A-439E-AF83-26BAB823B612}"/>
                </c:ext>
              </c:extLst>
            </c:dLbl>
            <c:dLbl>
              <c:idx val="11"/>
              <c:layout>
                <c:manualLayout>
                  <c:x val="-1.6288929183536787E-2"/>
                  <c:y val="-2.811193205559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D8A-439E-AF83-26BAB823B612}"/>
                </c:ext>
              </c:extLst>
            </c:dLbl>
            <c:dLbl>
              <c:idx val="12"/>
              <c:layout>
                <c:manualLayout>
                  <c:x val="-2.6024411456978667E-2"/>
                  <c:y val="-1.67609970915972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D8A-439E-AF83-26BAB823B612}"/>
                </c:ext>
              </c:extLst>
            </c:dLbl>
            <c:spPr>
              <a:noFill/>
              <a:ln>
                <a:noFill/>
              </a:ln>
              <a:effectLst/>
            </c:spPr>
            <c:txPr>
              <a:bodyPr/>
              <a:lstStyle/>
              <a:p>
                <a:pPr>
                  <a:defRPr sz="900">
                    <a:solidFill>
                      <a:schemeClr val="accent2"/>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Sheet1!$B$29:$L$29</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Sheet1!$B$31:$L$31</c:f>
              <c:numCache>
                <c:formatCode>0%</c:formatCode>
                <c:ptCount val="11"/>
                <c:pt idx="0">
                  <c:v>-2E-3</c:v>
                </c:pt>
                <c:pt idx="1">
                  <c:v>5.2999999999999999E-2</c:v>
                </c:pt>
                <c:pt idx="2">
                  <c:v>0.106</c:v>
                </c:pt>
                <c:pt idx="3">
                  <c:v>9.5000000000000001E-2</c:v>
                </c:pt>
                <c:pt idx="4">
                  <c:v>8.6999999999999994E-2</c:v>
                </c:pt>
                <c:pt idx="5">
                  <c:v>5.0999999999999997E-2</c:v>
                </c:pt>
                <c:pt idx="6">
                  <c:v>4.4999999999999998E-2</c:v>
                </c:pt>
                <c:pt idx="7">
                  <c:v>6.0999999999999999E-2</c:v>
                </c:pt>
                <c:pt idx="8">
                  <c:v>0.109</c:v>
                </c:pt>
                <c:pt idx="9">
                  <c:v>0.10100000000000001</c:v>
                </c:pt>
                <c:pt idx="10" formatCode="0.0%">
                  <c:v>0.115</c:v>
                </c:pt>
              </c:numCache>
            </c:numRef>
          </c:val>
          <c:smooth val="0"/>
          <c:extLst>
            <c:ext xmlns:c16="http://schemas.microsoft.com/office/drawing/2014/chart" uri="{C3380CC4-5D6E-409C-BE32-E72D297353CC}">
              <c16:uniqueId val="{00000012-9D8A-439E-AF83-26BAB823B612}"/>
            </c:ext>
          </c:extLst>
        </c:ser>
        <c:ser>
          <c:idx val="2"/>
          <c:order val="2"/>
          <c:tx>
            <c:strRef>
              <c:f>Sheet1!$A$32</c:f>
              <c:strCache>
                <c:ptCount val="1"/>
                <c:pt idx="0">
                  <c:v>Fresh vegetables</c:v>
                </c:pt>
              </c:strCache>
            </c:strRef>
          </c:tx>
          <c:marker>
            <c:symbol val="none"/>
          </c:marker>
          <c:dLbls>
            <c:dLbl>
              <c:idx val="0"/>
              <c:layout>
                <c:manualLayout>
                  <c:x val="-5.6586555146759317E-2"/>
                  <c:y val="-2.6999991496065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D8A-439E-AF83-26BAB823B612}"/>
                </c:ext>
              </c:extLst>
            </c:dLbl>
            <c:dLbl>
              <c:idx val="5"/>
              <c:layout>
                <c:manualLayout>
                  <c:x val="-2.277731918402871E-2"/>
                  <c:y val="-4.4261372788715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D8A-439E-AF83-26BAB823B612}"/>
                </c:ext>
              </c:extLst>
            </c:dLbl>
            <c:dLbl>
              <c:idx val="6"/>
              <c:layout>
                <c:manualLayout>
                  <c:x val="-3.1041294327908947E-2"/>
                  <c:y val="2.7901431609973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9D8A-439E-AF83-26BAB823B612}"/>
                </c:ext>
              </c:extLst>
            </c:dLbl>
            <c:dLbl>
              <c:idx val="7"/>
              <c:layout>
                <c:manualLayout>
                  <c:x val="-2.3588523321920823E-2"/>
                  <c:y val="3.4341241019288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D8A-439E-AF83-26BAB823B612}"/>
                </c:ext>
              </c:extLst>
            </c:dLbl>
            <c:dLbl>
              <c:idx val="8"/>
              <c:layout>
                <c:manualLayout>
                  <c:x val="-1.239801252219018E-2"/>
                  <c:y val="-2.5761163512281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D8A-439E-AF83-26BAB823B612}"/>
                </c:ext>
              </c:extLst>
            </c:dLbl>
            <c:dLbl>
              <c:idx val="9"/>
              <c:layout>
                <c:manualLayout>
                  <c:x val="-3.2305314201447846E-2"/>
                  <c:y val="7.6361220070212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D8A-439E-AF83-26BAB823B612}"/>
                </c:ext>
              </c:extLst>
            </c:dLbl>
            <c:dLbl>
              <c:idx val="10"/>
              <c:layout>
                <c:manualLayout>
                  <c:x val="-3.5910281697338862E-2"/>
                  <c:y val="5.3980287609124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D8A-439E-AF83-26BAB823B612}"/>
                </c:ext>
              </c:extLst>
            </c:dLbl>
            <c:dLbl>
              <c:idx val="11"/>
              <c:layout>
                <c:manualLayout>
                  <c:x val="-2.2165180456543882E-2"/>
                  <c:y val="3.6336780868286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D8A-439E-AF83-26BAB823B612}"/>
                </c:ext>
              </c:extLst>
            </c:dLbl>
            <c:dLbl>
              <c:idx val="12"/>
              <c:layout>
                <c:manualLayout>
                  <c:x val="-2.4583776145535061E-2"/>
                  <c:y val="2.83001698427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D8A-439E-AF83-26BAB823B612}"/>
                </c:ext>
              </c:extLst>
            </c:dLbl>
            <c:dLbl>
              <c:idx val="13"/>
              <c:layout>
                <c:manualLayout>
                  <c:x val="-2.1939062981788597E-2"/>
                  <c:y val="5.0061698302751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D8A-439E-AF83-26BAB823B612}"/>
                </c:ext>
              </c:extLst>
            </c:dLbl>
            <c:spPr>
              <a:noFill/>
              <a:ln>
                <a:noFill/>
              </a:ln>
              <a:effectLst/>
            </c:spPr>
            <c:txPr>
              <a:bodyPr/>
              <a:lstStyle/>
              <a:p>
                <a:pPr>
                  <a:defRPr sz="900">
                    <a:solidFill>
                      <a:schemeClr val="accent3">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Sheet1!$B$29:$L$29</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Sheet1!$B$32:$L$32</c:f>
              <c:numCache>
                <c:formatCode>0%</c:formatCode>
                <c:ptCount val="11"/>
                <c:pt idx="0">
                  <c:v>3.9E-2</c:v>
                </c:pt>
                <c:pt idx="1">
                  <c:v>8.4000000000000005E-2</c:v>
                </c:pt>
                <c:pt idx="2">
                  <c:v>0.20699999999999999</c:v>
                </c:pt>
                <c:pt idx="3">
                  <c:v>0.151</c:v>
                </c:pt>
                <c:pt idx="4">
                  <c:v>0.14799999999999999</c:v>
                </c:pt>
                <c:pt idx="5">
                  <c:v>4.7E-2</c:v>
                </c:pt>
                <c:pt idx="6">
                  <c:v>-7.0999999999999994E-2</c:v>
                </c:pt>
                <c:pt idx="7">
                  <c:v>-2.4E-2</c:v>
                </c:pt>
                <c:pt idx="8">
                  <c:v>1E-3</c:v>
                </c:pt>
                <c:pt idx="9">
                  <c:v>-5.0000000000000001E-3</c:v>
                </c:pt>
                <c:pt idx="10" formatCode="0.0%">
                  <c:v>-1.7999999999999999E-2</c:v>
                </c:pt>
              </c:numCache>
            </c:numRef>
          </c:val>
          <c:smooth val="0"/>
          <c:extLst>
            <c:ext xmlns:c16="http://schemas.microsoft.com/office/drawing/2014/chart" uri="{C3380CC4-5D6E-409C-BE32-E72D297353CC}">
              <c16:uniqueId val="{0000001C-9D8A-439E-AF83-26BAB823B612}"/>
            </c:ext>
          </c:extLst>
        </c:ser>
        <c:ser>
          <c:idx val="3"/>
          <c:order val="3"/>
          <c:tx>
            <c:strRef>
              <c:f>Sheet1!$A$33</c:f>
              <c:strCache>
                <c:ptCount val="1"/>
                <c:pt idx="0">
                  <c:v>Produce dpt vs. 2019</c:v>
                </c:pt>
              </c:strCache>
            </c:strRef>
          </c:tx>
          <c:spPr>
            <a:ln>
              <a:noFill/>
            </a:ln>
          </c:spPr>
          <c:marker>
            <c:spPr>
              <a:solidFill>
                <a:srgbClr val="7030A0"/>
              </a:solidFill>
              <a:ln>
                <a:noFill/>
              </a:ln>
            </c:spPr>
          </c:marker>
          <c:dLbls>
            <c:dLbl>
              <c:idx val="7"/>
              <c:layout>
                <c:manualLayout>
                  <c:x val="8.9521073276133262E-3"/>
                  <c:y val="-3.6194795927983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D8A-439E-AF83-26BAB823B612}"/>
                </c:ext>
              </c:extLst>
            </c:dLbl>
            <c:dLbl>
              <c:idx val="11"/>
              <c:layout>
                <c:manualLayout>
                  <c:x val="0"/>
                  <c:y val="-1.37155337815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D8A-439E-AF83-26BAB823B612}"/>
                </c:ext>
              </c:extLst>
            </c:dLbl>
            <c:spPr>
              <a:noFill/>
              <a:ln>
                <a:noFill/>
              </a:ln>
              <a:effectLst/>
            </c:spPr>
            <c:txPr>
              <a:bodyPr/>
              <a:lstStyle/>
              <a:p>
                <a:pPr>
                  <a:defRPr sz="900">
                    <a:solidFill>
                      <a:schemeClr val="accent4"/>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Sheet1!$B$29:$L$29</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Sheet1!$B$33:$L$33</c:f>
              <c:numCache>
                <c:formatCode>General</c:formatCode>
                <c:ptCount val="11"/>
                <c:pt idx="5" formatCode="0%">
                  <c:v>0.12</c:v>
                </c:pt>
                <c:pt idx="6" formatCode="0%">
                  <c:v>0.13800000000000001</c:v>
                </c:pt>
                <c:pt idx="7" formatCode="0%">
                  <c:v>0.14399999999999999</c:v>
                </c:pt>
                <c:pt idx="8" formatCode="0%">
                  <c:v>0.17499999999999999</c:v>
                </c:pt>
                <c:pt idx="9" formatCode="0%">
                  <c:v>0.156</c:v>
                </c:pt>
                <c:pt idx="10" formatCode="0.0%">
                  <c:v>0.16400000000000001</c:v>
                </c:pt>
              </c:numCache>
            </c:numRef>
          </c:val>
          <c:smooth val="0"/>
          <c:extLst>
            <c:ext xmlns:c16="http://schemas.microsoft.com/office/drawing/2014/chart" uri="{C3380CC4-5D6E-409C-BE32-E72D297353CC}">
              <c16:uniqueId val="{0000001F-9D8A-439E-AF83-26BAB823B612}"/>
            </c:ext>
          </c:extLst>
        </c:ser>
        <c:ser>
          <c:idx val="4"/>
          <c:order val="4"/>
          <c:tx>
            <c:strRef>
              <c:f>Sheet1!$A$34</c:f>
              <c:strCache>
                <c:ptCount val="1"/>
                <c:pt idx="0">
                  <c:v>Fresh fruit vs. 2019</c:v>
                </c:pt>
              </c:strCache>
            </c:strRef>
          </c:tx>
          <c:spPr>
            <a:ln>
              <a:noFill/>
            </a:ln>
          </c:spPr>
          <c:marker>
            <c:spPr>
              <a:solidFill>
                <a:schemeClr val="accent5"/>
              </a:solidFill>
              <a:ln>
                <a:noFill/>
              </a:ln>
            </c:spPr>
          </c:marker>
          <c:dLbls>
            <c:dLbl>
              <c:idx val="7"/>
              <c:layout>
                <c:manualLayout>
                  <c:x val="3.9861921591190204E-3"/>
                  <c:y val="-2.20209267808502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D8A-439E-AF83-26BAB823B612}"/>
                </c:ext>
              </c:extLst>
            </c:dLbl>
            <c:dLbl>
              <c:idx val="8"/>
              <c:layout>
                <c:manualLayout>
                  <c:x val="2.5723932915874053E-3"/>
                  <c:y val="-1.7617603975670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D8A-439E-AF83-26BAB823B612}"/>
                </c:ext>
              </c:extLst>
            </c:dLbl>
            <c:dLbl>
              <c:idx val="9"/>
              <c:layout>
                <c:manualLayout>
                  <c:x val="2.5212729927190933E-3"/>
                  <c:y val="3.91296256722776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D8A-439E-AF83-26BAB823B612}"/>
                </c:ext>
              </c:extLst>
            </c:dLbl>
            <c:dLbl>
              <c:idx val="11"/>
              <c:layout>
                <c:manualLayout>
                  <c:x val="-2.5193144132161509E-3"/>
                  <c:y val="-4.1146601344727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D8A-439E-AF83-26BAB823B612}"/>
                </c:ext>
              </c:extLst>
            </c:dLbl>
            <c:dLbl>
              <c:idx val="12"/>
              <c:layout>
                <c:manualLayout>
                  <c:x val="-1.850662112055403E-16"/>
                  <c:y val="-1.3712400220694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D8A-439E-AF83-26BAB823B612}"/>
                </c:ext>
              </c:extLst>
            </c:dLbl>
            <c:spPr>
              <a:noFill/>
              <a:ln>
                <a:noFill/>
              </a:ln>
              <a:effectLst/>
            </c:spPr>
            <c:txPr>
              <a:bodyPr/>
              <a:lstStyle/>
              <a:p>
                <a:pPr>
                  <a:defRPr sz="900">
                    <a:solidFill>
                      <a:schemeClr val="accent5">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Sheet1!$B$29:$L$29</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Sheet1!$B$34:$L$34</c:f>
              <c:numCache>
                <c:formatCode>General</c:formatCode>
                <c:ptCount val="11"/>
                <c:pt idx="5" formatCode="0%">
                  <c:v>0.106</c:v>
                </c:pt>
                <c:pt idx="6" formatCode="0%">
                  <c:v>0.156</c:v>
                </c:pt>
                <c:pt idx="7" formatCode="0%">
                  <c:v>0.16300000000000001</c:v>
                </c:pt>
                <c:pt idx="8" formatCode="0%">
                  <c:v>0.20599999999999999</c:v>
                </c:pt>
                <c:pt idx="9" formatCode="0%">
                  <c:v>0.2</c:v>
                </c:pt>
                <c:pt idx="10" formatCode="0.0%">
                  <c:v>0.218</c:v>
                </c:pt>
              </c:numCache>
            </c:numRef>
          </c:val>
          <c:smooth val="0"/>
          <c:extLst>
            <c:ext xmlns:c16="http://schemas.microsoft.com/office/drawing/2014/chart" uri="{C3380CC4-5D6E-409C-BE32-E72D297353CC}">
              <c16:uniqueId val="{00000025-9D8A-439E-AF83-26BAB823B612}"/>
            </c:ext>
          </c:extLst>
        </c:ser>
        <c:ser>
          <c:idx val="5"/>
          <c:order val="5"/>
          <c:tx>
            <c:strRef>
              <c:f>Sheet1!$A$35</c:f>
              <c:strCache>
                <c:ptCount val="1"/>
                <c:pt idx="0">
                  <c:v>Fresh veg vs. 2019</c:v>
                </c:pt>
              </c:strCache>
            </c:strRef>
          </c:tx>
          <c:spPr>
            <a:ln>
              <a:noFill/>
            </a:ln>
          </c:spPr>
          <c:marker>
            <c:spPr>
              <a:ln>
                <a:noFill/>
              </a:ln>
            </c:spPr>
          </c:marker>
          <c:dLbls>
            <c:dLbl>
              <c:idx val="7"/>
              <c:layout>
                <c:manualLayout>
                  <c:x val="6.4308675159260378E-3"/>
                  <c:y val="-5.183583550081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D8A-439E-AF83-26BAB823B612}"/>
                </c:ext>
              </c:extLst>
            </c:dLbl>
            <c:dLbl>
              <c:idx val="8"/>
              <c:layout>
                <c:manualLayout>
                  <c:x val="3.8585403060229836E-3"/>
                  <c:y val="-4.30305125256425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D8A-439E-AF83-26BAB823B612}"/>
                </c:ext>
              </c:extLst>
            </c:dLbl>
            <c:dLbl>
              <c:idx val="9"/>
              <c:layout>
                <c:manualLayout>
                  <c:x val="0"/>
                  <c:y val="4.7431678953346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D8A-439E-AF83-26BAB823B612}"/>
                </c:ext>
              </c:extLst>
            </c:dLbl>
            <c:dLbl>
              <c:idx val="11"/>
              <c:layout>
                <c:manualLayout>
                  <c:x val="0"/>
                  <c:y val="1.6458640537890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9D8A-439E-AF83-26BAB823B612}"/>
                </c:ext>
              </c:extLst>
            </c:dLbl>
            <c:dLbl>
              <c:idx val="12"/>
              <c:layout>
                <c:manualLayout>
                  <c:x val="-1.850662112055403E-16"/>
                  <c:y val="1.91973603089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D8A-439E-AF83-26BAB823B612}"/>
                </c:ext>
              </c:extLst>
            </c:dLbl>
            <c:spPr>
              <a:noFill/>
              <a:ln>
                <a:noFill/>
              </a:ln>
              <a:effectLst/>
            </c:spPr>
            <c:txPr>
              <a:bodyPr/>
              <a:lstStyle/>
              <a:p>
                <a:pPr>
                  <a:defRPr sz="900">
                    <a:solidFill>
                      <a:schemeClr val="accent6">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Sheet1!$B$29:$L$29</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Sheet1!$B$35:$L$35</c:f>
              <c:numCache>
                <c:formatCode>General</c:formatCode>
                <c:ptCount val="11"/>
                <c:pt idx="5" formatCode="0%">
                  <c:v>0.13500000000000001</c:v>
                </c:pt>
                <c:pt idx="6" formatCode="0%">
                  <c:v>0.121</c:v>
                </c:pt>
                <c:pt idx="7" formatCode="0%">
                  <c:v>0.125</c:v>
                </c:pt>
                <c:pt idx="8" formatCode="0%">
                  <c:v>0.151</c:v>
                </c:pt>
                <c:pt idx="9" formatCode="0%">
                  <c:v>0.122</c:v>
                </c:pt>
                <c:pt idx="10" formatCode="0.0%">
                  <c:v>0.113</c:v>
                </c:pt>
              </c:numCache>
            </c:numRef>
          </c:val>
          <c:smooth val="0"/>
          <c:extLst>
            <c:ext xmlns:c16="http://schemas.microsoft.com/office/drawing/2014/chart" uri="{C3380CC4-5D6E-409C-BE32-E72D297353CC}">
              <c16:uniqueId val="{0000002B-9D8A-439E-AF83-26BAB823B612}"/>
            </c:ext>
          </c:extLst>
        </c:ser>
        <c:dLbls>
          <c:showLegendKey val="0"/>
          <c:showVal val="1"/>
          <c:showCatName val="0"/>
          <c:showSerName val="0"/>
          <c:showPercent val="0"/>
          <c:showBubbleSize val="0"/>
        </c:dLbls>
        <c:smooth val="0"/>
        <c:axId val="147893248"/>
        <c:axId val="147837696"/>
      </c:lineChart>
      <c:catAx>
        <c:axId val="147893248"/>
        <c:scaling>
          <c:orientation val="minMax"/>
        </c:scaling>
        <c:delete val="0"/>
        <c:axPos val="b"/>
        <c:numFmt formatCode="General" sourceLinked="0"/>
        <c:majorTickMark val="none"/>
        <c:minorTickMark val="none"/>
        <c:tickLblPos val="nextTo"/>
        <c:crossAx val="147837696"/>
        <c:crosses val="autoZero"/>
        <c:auto val="1"/>
        <c:lblAlgn val="ctr"/>
        <c:lblOffset val="100"/>
        <c:noMultiLvlLbl val="0"/>
      </c:catAx>
      <c:valAx>
        <c:axId val="147837696"/>
        <c:scaling>
          <c:orientation val="minMax"/>
        </c:scaling>
        <c:delete val="1"/>
        <c:axPos val="l"/>
        <c:numFmt formatCode="0%" sourceLinked="1"/>
        <c:majorTickMark val="none"/>
        <c:minorTickMark val="none"/>
        <c:tickLblPos val="none"/>
        <c:crossAx val="147893248"/>
        <c:crosses val="autoZero"/>
        <c:crossBetween val="between"/>
      </c:valAx>
    </c:plotArea>
    <c:legend>
      <c:legendPos val="t"/>
      <c:layout>
        <c:manualLayout>
          <c:xMode val="edge"/>
          <c:yMode val="edge"/>
          <c:x val="4.8713872069891723E-2"/>
          <c:y val="0.11871712429478265"/>
          <c:w val="0.89999990885384662"/>
          <c:h val="0.10552403875547432"/>
        </c:manualLayout>
      </c:layou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Share of dollars across temperature zones</a:t>
            </a:r>
          </a:p>
        </c:rich>
      </c:tx>
      <c:layout>
        <c:manualLayout>
          <c:xMode val="edge"/>
          <c:yMode val="edge"/>
          <c:x val="1.0460850088679821E-2"/>
          <c:y val="2.1621621621621651E-2"/>
        </c:manualLayout>
      </c:layout>
      <c:overlay val="0"/>
    </c:title>
    <c:autoTitleDeleted val="0"/>
    <c:plotArea>
      <c:layout/>
      <c:barChart>
        <c:barDir val="col"/>
        <c:grouping val="percentStacked"/>
        <c:varyColors val="0"/>
        <c:ser>
          <c:idx val="0"/>
          <c:order val="0"/>
          <c:tx>
            <c:strRef>
              <c:f>Sheet1!$A$108</c:f>
              <c:strCache>
                <c:ptCount val="1"/>
                <c:pt idx="0">
                  <c:v>Fresh</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Sheet1!$B$107:$F$107</c:f>
              <c:strCache>
                <c:ptCount val="5"/>
                <c:pt idx="0">
                  <c:v>2019</c:v>
                </c:pt>
                <c:pt idx="1">
                  <c:v>2020</c:v>
                </c:pt>
                <c:pt idx="2">
                  <c:v>2021</c:v>
                </c:pt>
                <c:pt idx="3">
                  <c:v>Jan 22</c:v>
                </c:pt>
                <c:pt idx="4">
                  <c:v>Feb 22</c:v>
                </c:pt>
              </c:strCache>
            </c:strRef>
          </c:cat>
          <c:val>
            <c:numRef>
              <c:f>Sheet1!$B$108:$F$108</c:f>
              <c:numCache>
                <c:formatCode>0.0%</c:formatCode>
                <c:ptCount val="5"/>
                <c:pt idx="0">
                  <c:v>0.80800000000000005</c:v>
                </c:pt>
                <c:pt idx="1">
                  <c:v>0.79400000000000004</c:v>
                </c:pt>
                <c:pt idx="2">
                  <c:v>0.81</c:v>
                </c:pt>
                <c:pt idx="3">
                  <c:v>0.78800000000000003</c:v>
                </c:pt>
                <c:pt idx="4">
                  <c:v>0.79900000000000004</c:v>
                </c:pt>
              </c:numCache>
            </c:numRef>
          </c:val>
          <c:extLst>
            <c:ext xmlns:c16="http://schemas.microsoft.com/office/drawing/2014/chart" uri="{C3380CC4-5D6E-409C-BE32-E72D297353CC}">
              <c16:uniqueId val="{00000000-1D8F-453B-AF2E-27DD03954C48}"/>
            </c:ext>
          </c:extLst>
        </c:ser>
        <c:ser>
          <c:idx val="1"/>
          <c:order val="1"/>
          <c:tx>
            <c:strRef>
              <c:f>Sheet1!$A$109</c:f>
              <c:strCache>
                <c:ptCount val="1"/>
                <c:pt idx="0">
                  <c:v>Shelf stable</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Sheet1!$B$107:$F$107</c:f>
              <c:strCache>
                <c:ptCount val="5"/>
                <c:pt idx="0">
                  <c:v>2019</c:v>
                </c:pt>
                <c:pt idx="1">
                  <c:v>2020</c:v>
                </c:pt>
                <c:pt idx="2">
                  <c:v>2021</c:v>
                </c:pt>
                <c:pt idx="3">
                  <c:v>Jan 22</c:v>
                </c:pt>
                <c:pt idx="4">
                  <c:v>Feb 22</c:v>
                </c:pt>
              </c:strCache>
            </c:strRef>
          </c:cat>
          <c:val>
            <c:numRef>
              <c:f>Sheet1!$B$109:$F$109</c:f>
              <c:numCache>
                <c:formatCode>0.0%</c:formatCode>
                <c:ptCount val="5"/>
                <c:pt idx="0">
                  <c:v>0.115</c:v>
                </c:pt>
                <c:pt idx="1">
                  <c:v>0.121</c:v>
                </c:pt>
                <c:pt idx="2">
                  <c:v>0.111</c:v>
                </c:pt>
                <c:pt idx="3">
                  <c:v>0.126</c:v>
                </c:pt>
                <c:pt idx="4">
                  <c:v>0.11799999999999999</c:v>
                </c:pt>
              </c:numCache>
            </c:numRef>
          </c:val>
          <c:extLst>
            <c:ext xmlns:c16="http://schemas.microsoft.com/office/drawing/2014/chart" uri="{C3380CC4-5D6E-409C-BE32-E72D297353CC}">
              <c16:uniqueId val="{00000001-1D8F-453B-AF2E-27DD03954C48}"/>
            </c:ext>
          </c:extLst>
        </c:ser>
        <c:ser>
          <c:idx val="2"/>
          <c:order val="2"/>
          <c:tx>
            <c:strRef>
              <c:f>Sheet1!$A$110</c:f>
              <c:strCache>
                <c:ptCount val="1"/>
                <c:pt idx="0">
                  <c:v>Frozen</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Sheet1!$B$107:$F$107</c:f>
              <c:strCache>
                <c:ptCount val="5"/>
                <c:pt idx="0">
                  <c:v>2019</c:v>
                </c:pt>
                <c:pt idx="1">
                  <c:v>2020</c:v>
                </c:pt>
                <c:pt idx="2">
                  <c:v>2021</c:v>
                </c:pt>
                <c:pt idx="3">
                  <c:v>Jan 22</c:v>
                </c:pt>
                <c:pt idx="4">
                  <c:v>Feb 22</c:v>
                </c:pt>
              </c:strCache>
            </c:strRef>
          </c:cat>
          <c:val>
            <c:numRef>
              <c:f>Sheet1!$B$110:$F$110</c:f>
              <c:numCache>
                <c:formatCode>0.0%</c:formatCode>
                <c:ptCount val="5"/>
                <c:pt idx="0">
                  <c:v>7.6999999999999999E-2</c:v>
                </c:pt>
                <c:pt idx="1">
                  <c:v>8.4000000000000005E-2</c:v>
                </c:pt>
                <c:pt idx="2">
                  <c:v>7.9000000000000001E-2</c:v>
                </c:pt>
                <c:pt idx="3">
                  <c:v>8.5000000000000006E-2</c:v>
                </c:pt>
                <c:pt idx="4">
                  <c:v>8.2000000000000003E-2</c:v>
                </c:pt>
              </c:numCache>
            </c:numRef>
          </c:val>
          <c:extLst>
            <c:ext xmlns:c16="http://schemas.microsoft.com/office/drawing/2014/chart" uri="{C3380CC4-5D6E-409C-BE32-E72D297353CC}">
              <c16:uniqueId val="{00000002-1D8F-453B-AF2E-27DD03954C48}"/>
            </c:ext>
          </c:extLst>
        </c:ser>
        <c:dLbls>
          <c:showLegendKey val="0"/>
          <c:showVal val="1"/>
          <c:showCatName val="0"/>
          <c:showSerName val="0"/>
          <c:showPercent val="0"/>
          <c:showBubbleSize val="0"/>
        </c:dLbls>
        <c:gapWidth val="95"/>
        <c:overlap val="100"/>
        <c:axId val="148140416"/>
        <c:axId val="148141952"/>
      </c:barChart>
      <c:catAx>
        <c:axId val="148140416"/>
        <c:scaling>
          <c:orientation val="minMax"/>
        </c:scaling>
        <c:delete val="0"/>
        <c:axPos val="b"/>
        <c:numFmt formatCode="General" sourceLinked="0"/>
        <c:majorTickMark val="none"/>
        <c:minorTickMark val="none"/>
        <c:tickLblPos val="nextTo"/>
        <c:crossAx val="148141952"/>
        <c:crosses val="autoZero"/>
        <c:auto val="1"/>
        <c:lblAlgn val="ctr"/>
        <c:lblOffset val="100"/>
        <c:noMultiLvlLbl val="0"/>
      </c:catAx>
      <c:valAx>
        <c:axId val="148141952"/>
        <c:scaling>
          <c:orientation val="minMax"/>
        </c:scaling>
        <c:delete val="1"/>
        <c:axPos val="l"/>
        <c:numFmt formatCode="0%" sourceLinked="1"/>
        <c:majorTickMark val="out"/>
        <c:minorTickMark val="none"/>
        <c:tickLblPos val="none"/>
        <c:crossAx val="148140416"/>
        <c:crosses val="autoZero"/>
        <c:crossBetween val="between"/>
      </c:valAx>
    </c:plotArea>
    <c:legend>
      <c:legendPos val="t"/>
      <c:layout>
        <c:manualLayout>
          <c:xMode val="edge"/>
          <c:yMode val="edge"/>
          <c:x val="7.4020215934037974E-3"/>
          <c:y val="0.1037521297652093"/>
          <c:w val="0.26231847072101305"/>
          <c:h val="5.8695519257678831E-2"/>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Dollar and volume growth total produce (fixed and random weight)</a:t>
            </a:r>
            <a:br>
              <a:rPr lang="en-US" sz="1000"/>
            </a:br>
            <a:r>
              <a:rPr lang="en-US" sz="1000"/>
              <a:t>versus the comparable period YA and 2YA</a:t>
            </a:r>
          </a:p>
        </c:rich>
      </c:tx>
      <c:overlay val="0"/>
    </c:title>
    <c:autoTitleDeleted val="0"/>
    <c:plotArea>
      <c:layout>
        <c:manualLayout>
          <c:layoutTarget val="inner"/>
          <c:xMode val="edge"/>
          <c:yMode val="edge"/>
          <c:x val="1.5534523839044542E-2"/>
          <c:y val="0.1738405967790867"/>
          <c:w val="0.96893095232191095"/>
          <c:h val="0.80986327937037239"/>
        </c:manualLayout>
      </c:layout>
      <c:lineChart>
        <c:grouping val="standard"/>
        <c:varyColors val="0"/>
        <c:ser>
          <c:idx val="0"/>
          <c:order val="0"/>
          <c:tx>
            <c:strRef>
              <c:f>Sheet1!$A$65</c:f>
              <c:strCache>
                <c:ptCount val="1"/>
                <c:pt idx="0">
                  <c:v>Dollar growth</c:v>
                </c:pt>
              </c:strCache>
            </c:strRef>
          </c:tx>
          <c:spPr>
            <a:ln>
              <a:solidFill>
                <a:schemeClr val="tx2">
                  <a:lumMod val="75000"/>
                </a:schemeClr>
              </a:solidFill>
            </a:ln>
          </c:spPr>
          <c:marker>
            <c:symbol val="none"/>
          </c:marker>
          <c:dLbls>
            <c:dLbl>
              <c:idx val="0"/>
              <c:layout>
                <c:manualLayout>
                  <c:x val="-3.4746457593163152E-2"/>
                  <c:y val="-6.055788746505889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8E-4275-B4EA-87E1CA9338B3}"/>
                </c:ext>
              </c:extLst>
            </c:dLbl>
            <c:dLbl>
              <c:idx val="3"/>
              <c:layout>
                <c:manualLayout>
                  <c:x val="-2.3079483993763576E-2"/>
                  <c:y val="-3.6784734830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8E-4275-B4EA-87E1CA9338B3}"/>
                </c:ext>
              </c:extLst>
            </c:dLbl>
            <c:dLbl>
              <c:idx val="4"/>
              <c:layout>
                <c:manualLayout>
                  <c:x val="-1.8940200502051956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8E-4275-B4EA-87E1CA9338B3}"/>
                </c:ext>
              </c:extLst>
            </c:dLbl>
            <c:dLbl>
              <c:idx val="5"/>
              <c:layout>
                <c:manualLayout>
                  <c:x val="-2.2857501245362351E-2"/>
                  <c:y val="-2.9521279068627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8E-4275-B4EA-87E1CA9338B3}"/>
                </c:ext>
              </c:extLst>
            </c:dLbl>
            <c:dLbl>
              <c:idx val="6"/>
              <c:layout>
                <c:manualLayout>
                  <c:x val="-2.0533236137664852E-2"/>
                  <c:y val="-2.6329789439586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8E-4275-B4EA-87E1CA9338B3}"/>
                </c:ext>
              </c:extLst>
            </c:dLbl>
            <c:dLbl>
              <c:idx val="7"/>
              <c:layout>
                <c:manualLayout>
                  <c:x val="-2.4819779699024668E-2"/>
                  <c:y val="3.14516129032258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8E-4275-B4EA-87E1CA9338B3}"/>
                </c:ext>
              </c:extLst>
            </c:dLbl>
            <c:dLbl>
              <c:idx val="8"/>
              <c:layout>
                <c:manualLayout>
                  <c:x val="-2.0943394110203416E-2"/>
                  <c:y val="3.2915342322617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8E-4275-B4EA-87E1CA9338B3}"/>
                </c:ext>
              </c:extLst>
            </c:dLbl>
            <c:dLbl>
              <c:idx val="9"/>
              <c:layout>
                <c:manualLayout>
                  <c:x val="-2.7593496067436257E-2"/>
                  <c:y val="-3.3151564162587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8E-4275-B4EA-87E1CA9338B3}"/>
                </c:ext>
              </c:extLst>
            </c:dLbl>
            <c:dLbl>
              <c:idx val="10"/>
              <c:layout>
                <c:manualLayout>
                  <c:x val="-2.568672597757363E-2"/>
                  <c:y val="-2.2427209973375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8E-4275-B4EA-87E1CA9338B3}"/>
                </c:ext>
              </c:extLst>
            </c:dLbl>
            <c:dLbl>
              <c:idx val="11"/>
              <c:layout>
                <c:manualLayout>
                  <c:x val="-2.6635130515179177E-2"/>
                  <c:y val="2.0220574201968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8E-4275-B4EA-87E1CA9338B3}"/>
                </c:ext>
              </c:extLst>
            </c:dLbl>
            <c:dLbl>
              <c:idx val="12"/>
              <c:layout>
                <c:manualLayout>
                  <c:x val="-4.3507064647141533E-2"/>
                  <c:y val="-1.4779488174454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08E-4275-B4EA-87E1CA9338B3}"/>
                </c:ext>
              </c:extLst>
            </c:dLbl>
            <c:dLbl>
              <c:idx val="13"/>
              <c:layout>
                <c:manualLayout>
                  <c:x val="-2.5774155342648455E-2"/>
                  <c:y val="-1.7144206282367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08E-4275-B4EA-87E1CA9338B3}"/>
                </c:ext>
              </c:extLst>
            </c:dLbl>
            <c:spPr>
              <a:noFill/>
              <a:ln>
                <a:noFill/>
              </a:ln>
              <a:effectLst/>
            </c:spPr>
            <c:txPr>
              <a:bodyPr/>
              <a:lstStyle/>
              <a:p>
                <a:pPr>
                  <a:defRPr sz="900">
                    <a:solidFill>
                      <a:schemeClr val="tx2">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Sheet1!$B$64:$L$64</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Sheet1!$B$65:$L$65</c:f>
              <c:numCache>
                <c:formatCode>0%</c:formatCode>
                <c:ptCount val="11"/>
                <c:pt idx="0">
                  <c:v>1.7999999999999999E-2</c:v>
                </c:pt>
                <c:pt idx="1">
                  <c:v>6.8000000000000005E-2</c:v>
                </c:pt>
                <c:pt idx="2">
                  <c:v>0.151</c:v>
                </c:pt>
                <c:pt idx="3">
                  <c:v>0.121</c:v>
                </c:pt>
                <c:pt idx="4">
                  <c:v>0.11700000000000001</c:v>
                </c:pt>
                <c:pt idx="5">
                  <c:v>4.8000000000000001E-2</c:v>
                </c:pt>
                <c:pt idx="6">
                  <c:v>-1.0999999999999999E-2</c:v>
                </c:pt>
                <c:pt idx="7">
                  <c:v>2.1000000000000001E-2</c:v>
                </c:pt>
                <c:pt idx="8">
                  <c:v>5.0999999999999997E-2</c:v>
                </c:pt>
                <c:pt idx="9">
                  <c:v>4.3999999999999997E-2</c:v>
                </c:pt>
                <c:pt idx="10" formatCode="0.0%">
                  <c:v>4.5999999999999999E-2</c:v>
                </c:pt>
              </c:numCache>
            </c:numRef>
          </c:val>
          <c:smooth val="0"/>
          <c:extLst>
            <c:ext xmlns:c16="http://schemas.microsoft.com/office/drawing/2014/chart" uri="{C3380CC4-5D6E-409C-BE32-E72D297353CC}">
              <c16:uniqueId val="{0000000C-008E-4275-B4EA-87E1CA9338B3}"/>
            </c:ext>
          </c:extLst>
        </c:ser>
        <c:ser>
          <c:idx val="1"/>
          <c:order val="1"/>
          <c:tx>
            <c:strRef>
              <c:f>Sheet1!$A$66</c:f>
              <c:strCache>
                <c:ptCount val="1"/>
                <c:pt idx="0">
                  <c:v>Volume growth</c:v>
                </c:pt>
              </c:strCache>
            </c:strRef>
          </c:tx>
          <c:spPr>
            <a:ln>
              <a:solidFill>
                <a:schemeClr val="accent5"/>
              </a:solidFill>
            </a:ln>
          </c:spPr>
          <c:marker>
            <c:symbol val="none"/>
          </c:marker>
          <c:dLbls>
            <c:dLbl>
              <c:idx val="0"/>
              <c:layout>
                <c:manualLayout>
                  <c:x val="-3.8663758336473515E-2"/>
                  <c:y val="-1.628463865677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08E-4275-B4EA-87E1CA9338B3}"/>
                </c:ext>
              </c:extLst>
            </c:dLbl>
            <c:dLbl>
              <c:idx val="3"/>
              <c:layout>
                <c:manualLayout>
                  <c:x val="-2.4672519793166498E-2"/>
                  <c:y val="3.351498062348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08E-4275-B4EA-87E1CA9338B3}"/>
                </c:ext>
              </c:extLst>
            </c:dLbl>
            <c:dLbl>
              <c:idx val="4"/>
              <c:layout>
                <c:manualLayout>
                  <c:x val="-2.4163268159799151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08E-4275-B4EA-87E1CA9338B3}"/>
                </c:ext>
              </c:extLst>
            </c:dLbl>
            <c:dLbl>
              <c:idx val="5"/>
              <c:layout>
                <c:manualLayout>
                  <c:x val="-2.1839003052101652E-2"/>
                  <c:y val="2.3138299810546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08E-4275-B4EA-87E1CA9338B3}"/>
                </c:ext>
              </c:extLst>
            </c:dLbl>
            <c:dLbl>
              <c:idx val="6"/>
              <c:layout>
                <c:manualLayout>
                  <c:x val="-2.0533236137664852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08E-4275-B4EA-87E1CA9338B3}"/>
                </c:ext>
              </c:extLst>
            </c:dLbl>
            <c:dLbl>
              <c:idx val="7"/>
              <c:layout>
                <c:manualLayout>
                  <c:x val="-3.1575961188850206E-2"/>
                  <c:y val="2.66129032258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08E-4275-B4EA-87E1CA9338B3}"/>
                </c:ext>
              </c:extLst>
            </c:dLbl>
            <c:dLbl>
              <c:idx val="8"/>
              <c:layout>
                <c:manualLayout>
                  <c:x val="-1.992808089141105E-2"/>
                  <c:y val="3.4227780674391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08E-4275-B4EA-87E1CA9338B3}"/>
                </c:ext>
              </c:extLst>
            </c:dLbl>
            <c:dLbl>
              <c:idx val="9"/>
              <c:layout>
                <c:manualLayout>
                  <c:x val="-2.8589820939239265E-2"/>
                  <c:y val="3.90957479557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08E-4275-B4EA-87E1CA9338B3}"/>
                </c:ext>
              </c:extLst>
            </c:dLbl>
            <c:dLbl>
              <c:idx val="10"/>
              <c:layout>
                <c:manualLayout>
                  <c:x val="-2.0347090283063852E-2"/>
                  <c:y val="2.1016944229333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08E-4275-B4EA-87E1CA9338B3}"/>
                </c:ext>
              </c:extLst>
            </c:dLbl>
            <c:dLbl>
              <c:idx val="11"/>
              <c:layout>
                <c:manualLayout>
                  <c:x val="-3.4819550194175992E-2"/>
                  <c:y val="2.1716677351344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08E-4275-B4EA-87E1CA9338B3}"/>
                </c:ext>
              </c:extLst>
            </c:dLbl>
            <c:dLbl>
              <c:idx val="12"/>
              <c:layout>
                <c:manualLayout>
                  <c:x val="-2.8045278100028978E-2"/>
                  <c:y val="1.950892439027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08E-4275-B4EA-87E1CA9338B3}"/>
                </c:ext>
              </c:extLst>
            </c:dLbl>
            <c:dLbl>
              <c:idx val="13"/>
              <c:layout>
                <c:manualLayout>
                  <c:x val="-2.8232166423407545E-2"/>
                  <c:y val="3.13325149298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08E-4275-B4EA-87E1CA9338B3}"/>
                </c:ext>
              </c:extLst>
            </c:dLbl>
            <c:dLbl>
              <c:idx val="14"/>
              <c:layout>
                <c:manualLayout>
                  <c:x val="-2.6888223658378608E-2"/>
                  <c:y val="2.7237512827605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08E-4275-B4EA-87E1CA9338B3}"/>
                </c:ext>
              </c:extLst>
            </c:dLbl>
            <c:dLbl>
              <c:idx val="15"/>
              <c:layout>
                <c:manualLayout>
                  <c:x val="-2.550151795139673E-2"/>
                  <c:y val="1.9974176073577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08E-4275-B4EA-87E1CA9338B3}"/>
                </c:ext>
              </c:extLst>
            </c:dLbl>
            <c:dLbl>
              <c:idx val="16"/>
              <c:layout>
                <c:manualLayout>
                  <c:x val="-2.1762107687852764E-2"/>
                  <c:y val="1.7553063822234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08E-4275-B4EA-87E1CA9338B3}"/>
                </c:ext>
              </c:extLst>
            </c:dLbl>
            <c:spPr>
              <a:noFill/>
              <a:ln>
                <a:noFill/>
              </a:ln>
              <a:effectLst/>
            </c:spPr>
            <c:txPr>
              <a:bodyPr/>
              <a:lstStyle/>
              <a:p>
                <a:pPr>
                  <a:defRPr sz="900">
                    <a:solidFill>
                      <a:schemeClr val="accent5">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Sheet1!$B$64:$L$64</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Sheet1!$B$66:$L$66</c:f>
              <c:numCache>
                <c:formatCode>0%</c:formatCode>
                <c:ptCount val="11"/>
                <c:pt idx="0">
                  <c:v>5.0000000000000001E-3</c:v>
                </c:pt>
                <c:pt idx="1">
                  <c:v>9.7000000000000003E-2</c:v>
                </c:pt>
                <c:pt idx="2">
                  <c:v>0.153</c:v>
                </c:pt>
                <c:pt idx="3">
                  <c:v>9.7000000000000003E-2</c:v>
                </c:pt>
                <c:pt idx="4">
                  <c:v>0.1</c:v>
                </c:pt>
                <c:pt idx="5">
                  <c:v>0</c:v>
                </c:pt>
                <c:pt idx="6">
                  <c:v>-0.08</c:v>
                </c:pt>
                <c:pt idx="7">
                  <c:v>-2.5000000000000001E-2</c:v>
                </c:pt>
                <c:pt idx="8">
                  <c:v>-3.5999999999999997E-2</c:v>
                </c:pt>
                <c:pt idx="9">
                  <c:v>-4.2999999999999997E-2</c:v>
                </c:pt>
                <c:pt idx="10" formatCode="0.0%">
                  <c:v>-5.7000000000000002E-2</c:v>
                </c:pt>
              </c:numCache>
            </c:numRef>
          </c:val>
          <c:smooth val="0"/>
          <c:extLst>
            <c:ext xmlns:c16="http://schemas.microsoft.com/office/drawing/2014/chart" uri="{C3380CC4-5D6E-409C-BE32-E72D297353CC}">
              <c16:uniqueId val="{0000001C-008E-4275-B4EA-87E1CA9338B3}"/>
            </c:ext>
          </c:extLst>
        </c:ser>
        <c:ser>
          <c:idx val="2"/>
          <c:order val="2"/>
          <c:tx>
            <c:strRef>
              <c:f>Sheet1!$A$67</c:f>
              <c:strCache>
                <c:ptCount val="1"/>
                <c:pt idx="0">
                  <c:v>Dollars vs. 2019</c:v>
                </c:pt>
              </c:strCache>
            </c:strRef>
          </c:tx>
          <c:spPr>
            <a:ln>
              <a:noFill/>
            </a:ln>
          </c:spPr>
          <c:marker>
            <c:spPr>
              <a:ln>
                <a:noFill/>
              </a:ln>
            </c:spPr>
          </c:marker>
          <c:dLbls>
            <c:dLbl>
              <c:idx val="7"/>
              <c:layout>
                <c:manualLayout>
                  <c:x val="-2.4870184691729913E-2"/>
                  <c:y val="-2.1161474270535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08E-4275-B4EA-87E1CA9338B3}"/>
                </c:ext>
              </c:extLst>
            </c:dLbl>
            <c:dLbl>
              <c:idx val="8"/>
              <c:layout>
                <c:manualLayout>
                  <c:x val="-3.0424468035466029E-2"/>
                  <c:y val="3.5822089806341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08E-4275-B4EA-87E1CA9338B3}"/>
                </c:ext>
              </c:extLst>
            </c:dLbl>
            <c:dLbl>
              <c:idx val="9"/>
              <c:layout>
                <c:manualLayout>
                  <c:x val="-2.9022767742298981E-2"/>
                  <c:y val="-2.3792098519060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08E-4275-B4EA-87E1CA9338B3}"/>
                </c:ext>
              </c:extLst>
            </c:dLbl>
            <c:dLbl>
              <c:idx val="10"/>
              <c:layout>
                <c:manualLayout>
                  <c:x val="-2.6268246098989385E-2"/>
                  <c:y val="-1.802336964302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08E-4275-B4EA-87E1CA9338B3}"/>
                </c:ext>
              </c:extLst>
            </c:dLbl>
            <c:dLbl>
              <c:idx val="11"/>
              <c:layout>
                <c:manualLayout>
                  <c:x val="-2.3030779625602561E-2"/>
                  <c:y val="-2.832015034535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08E-4275-B4EA-87E1CA9338B3}"/>
                </c:ext>
              </c:extLst>
            </c:dLbl>
            <c:dLbl>
              <c:idx val="12"/>
              <c:layout>
                <c:manualLayout>
                  <c:x val="-2.8577602453530172E-2"/>
                  <c:y val="-2.6011896239898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08E-4275-B4EA-87E1CA9338B3}"/>
                </c:ext>
              </c:extLst>
            </c:dLbl>
            <c:dLbl>
              <c:idx val="13"/>
              <c:layout>
                <c:manualLayout>
                  <c:x val="-2.1825119143991344E-2"/>
                  <c:y val="-1.8917744863301604E-2"/>
                </c:manualLayout>
              </c:layout>
              <c:showLegendKey val="0"/>
              <c:showVal val="1"/>
              <c:showCatName val="0"/>
              <c:showSerName val="0"/>
              <c:showPercent val="0"/>
              <c:showBubbleSize val="0"/>
              <c:extLst>
                <c:ext xmlns:c15="http://schemas.microsoft.com/office/drawing/2012/chart" uri="{CE6537A1-D6FC-4f65-9D91-7224C49458BB}">
                  <c15:layout>
                    <c:manualLayout>
                      <c:w val="3.606821543859863E-2"/>
                      <c:h val="3.5106127644469388E-2"/>
                    </c:manualLayout>
                  </c15:layout>
                </c:ext>
                <c:ext xmlns:c16="http://schemas.microsoft.com/office/drawing/2014/chart" uri="{C3380CC4-5D6E-409C-BE32-E72D297353CC}">
                  <c16:uniqueId val="{00000023-008E-4275-B4EA-87E1CA9338B3}"/>
                </c:ext>
              </c:extLst>
            </c:dLbl>
            <c:dLbl>
              <c:idx val="14"/>
              <c:layout>
                <c:manualLayout>
                  <c:x val="-2.7734114139637552E-2"/>
                  <c:y val="-2.421112251342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008E-4275-B4EA-87E1CA9338B3}"/>
                </c:ext>
              </c:extLst>
            </c:dLbl>
            <c:dLbl>
              <c:idx val="15"/>
              <c:layout>
                <c:manualLayout>
                  <c:x val="-3.1894231260583286E-2"/>
                  <c:y val="-2.421112251342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008E-4275-B4EA-87E1CA9338B3}"/>
                </c:ext>
              </c:extLst>
            </c:dLbl>
            <c:dLbl>
              <c:idx val="16"/>
              <c:layout>
                <c:manualLayout>
                  <c:x val="-2.3573997018691919E-2"/>
                  <c:y val="-2.6632234764769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008E-4275-B4EA-87E1CA9338B3}"/>
                </c:ext>
              </c:extLst>
            </c:dLbl>
            <c:spPr>
              <a:noFill/>
              <a:ln>
                <a:noFill/>
              </a:ln>
              <a:effectLst/>
            </c:spPr>
            <c:txPr>
              <a:bodyPr wrap="square" lIns="38100" tIns="19050" rIns="38100" bIns="19050" anchor="ctr">
                <a:spAutoFit/>
              </a:bodyPr>
              <a:lstStyle/>
              <a:p>
                <a:pPr>
                  <a:defRPr sz="900">
                    <a:solidFill>
                      <a:schemeClr val="accent3">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Sheet1!$B$64:$L$64</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Sheet1!$B$67:$L$67</c:f>
              <c:numCache>
                <c:formatCode>General</c:formatCode>
                <c:ptCount val="11"/>
                <c:pt idx="5" formatCode="0%">
                  <c:v>0.12</c:v>
                </c:pt>
                <c:pt idx="6" formatCode="0%">
                  <c:v>0.13900000000000001</c:v>
                </c:pt>
                <c:pt idx="7" formatCode="0%">
                  <c:v>0.14499999999999999</c:v>
                </c:pt>
                <c:pt idx="8" formatCode="0%">
                  <c:v>0.17499999999999999</c:v>
                </c:pt>
                <c:pt idx="9" formatCode="0%">
                  <c:v>0.156</c:v>
                </c:pt>
                <c:pt idx="10" formatCode="0.0%">
                  <c:v>0.16400000000000001</c:v>
                </c:pt>
              </c:numCache>
            </c:numRef>
          </c:val>
          <c:smooth val="0"/>
          <c:extLst>
            <c:ext xmlns:c16="http://schemas.microsoft.com/office/drawing/2014/chart" uri="{C3380CC4-5D6E-409C-BE32-E72D297353CC}">
              <c16:uniqueId val="{00000027-008E-4275-B4EA-87E1CA9338B3}"/>
            </c:ext>
          </c:extLst>
        </c:ser>
        <c:ser>
          <c:idx val="3"/>
          <c:order val="3"/>
          <c:tx>
            <c:strRef>
              <c:f>Sheet1!$A$68</c:f>
              <c:strCache>
                <c:ptCount val="1"/>
                <c:pt idx="0">
                  <c:v>Volume vs. 2019</c:v>
                </c:pt>
              </c:strCache>
            </c:strRef>
          </c:tx>
          <c:spPr>
            <a:ln>
              <a:noFill/>
            </a:ln>
          </c:spPr>
          <c:marker>
            <c:symbol val="square"/>
            <c:size val="5"/>
            <c:spPr>
              <a:solidFill>
                <a:srgbClr val="7030A0"/>
              </a:solidFill>
              <a:ln>
                <a:noFill/>
              </a:ln>
            </c:spPr>
          </c:marker>
          <c:dLbls>
            <c:dLbl>
              <c:idx val="7"/>
              <c:layout>
                <c:manualLayout>
                  <c:x val="-1.9342251634456464E-2"/>
                  <c:y val="-2.137098626771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008E-4275-B4EA-87E1CA9338B3}"/>
                </c:ext>
              </c:extLst>
            </c:dLbl>
            <c:dLbl>
              <c:idx val="8"/>
              <c:layout>
                <c:manualLayout>
                  <c:x val="-1.9345964074931898E-2"/>
                  <c:y val="-2.137098626771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008E-4275-B4EA-87E1CA9338B3}"/>
                </c:ext>
              </c:extLst>
            </c:dLbl>
            <c:dLbl>
              <c:idx val="9"/>
              <c:layout>
                <c:manualLayout>
                  <c:x val="-8.0470352267955035E-3"/>
                  <c:y val="3.64843583741221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008E-4275-B4EA-87E1CA9338B3}"/>
                </c:ext>
              </c:extLst>
            </c:dLbl>
            <c:dLbl>
              <c:idx val="10"/>
              <c:layout>
                <c:manualLayout>
                  <c:x val="-2.0725135711537262E-2"/>
                  <c:y val="-2.4718602892409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008E-4275-B4EA-87E1CA9338B3}"/>
                </c:ext>
              </c:extLst>
            </c:dLbl>
            <c:dLbl>
              <c:idx val="11"/>
              <c:layout>
                <c:manualLayout>
                  <c:x val="-1.8961180538600863E-2"/>
                  <c:y val="-2.3534354915610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008E-4275-B4EA-87E1CA9338B3}"/>
                </c:ext>
              </c:extLst>
            </c:dLbl>
            <c:dLbl>
              <c:idx val="12"/>
              <c:layout>
                <c:manualLayout>
                  <c:x val="-2.0302572633897901E-2"/>
                  <c:y val="-2.364721306150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008E-4275-B4EA-87E1CA9338B3}"/>
                </c:ext>
              </c:extLst>
            </c:dLbl>
            <c:dLbl>
              <c:idx val="13"/>
              <c:layout>
                <c:manualLayout>
                  <c:x val="-2.4553259036990436E-2"/>
                  <c:y val="-1.8917744863301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008E-4275-B4EA-87E1CA9338B3}"/>
                </c:ext>
              </c:extLst>
            </c:dLbl>
            <c:dLbl>
              <c:idx val="14"/>
              <c:layout>
                <c:manualLayout>
                  <c:x val="-2.3573997018692019E-2"/>
                  <c:y val="-1.9368898010741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008E-4275-B4EA-87E1CA9338B3}"/>
                </c:ext>
              </c:extLst>
            </c:dLbl>
            <c:dLbl>
              <c:idx val="15"/>
              <c:layout>
                <c:manualLayout>
                  <c:x val="-2.0800585604728163E-2"/>
                  <c:y val="-1.2105561256713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008E-4275-B4EA-87E1CA9338B3}"/>
                </c:ext>
              </c:extLst>
            </c:dLbl>
            <c:dLbl>
              <c:idx val="16"/>
              <c:layout>
                <c:manualLayout>
                  <c:x val="-2.3573997018691919E-2"/>
                  <c:y val="-2.4211122513427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008E-4275-B4EA-87E1CA9338B3}"/>
                </c:ext>
              </c:extLst>
            </c:dLbl>
            <c:spPr>
              <a:noFill/>
              <a:ln>
                <a:noFill/>
              </a:ln>
              <a:effectLst/>
            </c:spPr>
            <c:txPr>
              <a:bodyPr wrap="square" lIns="38100" tIns="19050" rIns="38100" bIns="19050" anchor="ctr">
                <a:spAutoFit/>
              </a:bodyPr>
              <a:lstStyle/>
              <a:p>
                <a:pPr>
                  <a:defRPr sz="900">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Sheet1!$B$64:$L$64</c:f>
              <c:strCache>
                <c:ptCount val="11"/>
                <c:pt idx="0">
                  <c:v>2019</c:v>
                </c:pt>
                <c:pt idx="1">
                  <c:v>Q1 '20</c:v>
                </c:pt>
                <c:pt idx="2">
                  <c:v>Q2 '20</c:v>
                </c:pt>
                <c:pt idx="3">
                  <c:v>Q3 '20</c:v>
                </c:pt>
                <c:pt idx="4">
                  <c:v>Q4 '20</c:v>
                </c:pt>
                <c:pt idx="5">
                  <c:v>Q1 '21</c:v>
                </c:pt>
                <c:pt idx="6">
                  <c:v>Q2 '21</c:v>
                </c:pt>
                <c:pt idx="7">
                  <c:v>Q3 '21</c:v>
                </c:pt>
                <c:pt idx="8">
                  <c:v>Q4 '21</c:v>
                </c:pt>
                <c:pt idx="9">
                  <c:v>Jan 22</c:v>
                </c:pt>
                <c:pt idx="10">
                  <c:v>Feb 22</c:v>
                </c:pt>
              </c:strCache>
            </c:strRef>
          </c:cat>
          <c:val>
            <c:numRef>
              <c:f>Sheet1!$B$68:$L$68</c:f>
              <c:numCache>
                <c:formatCode>General</c:formatCode>
                <c:ptCount val="11"/>
                <c:pt idx="5" formatCode="0%">
                  <c:v>9.5000000000000001E-2</c:v>
                </c:pt>
                <c:pt idx="6" formatCode="0%">
                  <c:v>6.0999999999999999E-2</c:v>
                </c:pt>
                <c:pt idx="7" formatCode="0%">
                  <c:v>6.9000000000000006E-2</c:v>
                </c:pt>
                <c:pt idx="8" formatCode="0%">
                  <c:v>6.0999999999999999E-2</c:v>
                </c:pt>
                <c:pt idx="9" formatCode="0%">
                  <c:v>3.3000000000000002E-2</c:v>
                </c:pt>
                <c:pt idx="10" formatCode="0.0%">
                  <c:v>1.9E-2</c:v>
                </c:pt>
              </c:numCache>
            </c:numRef>
          </c:val>
          <c:smooth val="0"/>
          <c:extLst>
            <c:ext xmlns:c16="http://schemas.microsoft.com/office/drawing/2014/chart" uri="{C3380CC4-5D6E-409C-BE32-E72D297353CC}">
              <c16:uniqueId val="{00000032-008E-4275-B4EA-87E1CA9338B3}"/>
            </c:ext>
          </c:extLst>
        </c:ser>
        <c:dLbls>
          <c:showLegendKey val="0"/>
          <c:showVal val="1"/>
          <c:showCatName val="0"/>
          <c:showSerName val="0"/>
          <c:showPercent val="0"/>
          <c:showBubbleSize val="0"/>
        </c:dLbls>
        <c:smooth val="0"/>
        <c:axId val="147973248"/>
        <c:axId val="147974784"/>
      </c:lineChart>
      <c:catAx>
        <c:axId val="147973248"/>
        <c:scaling>
          <c:orientation val="minMax"/>
        </c:scaling>
        <c:delete val="0"/>
        <c:axPos val="b"/>
        <c:numFmt formatCode="General" sourceLinked="0"/>
        <c:majorTickMark val="none"/>
        <c:minorTickMark val="none"/>
        <c:tickLblPos val="nextTo"/>
        <c:txPr>
          <a:bodyPr/>
          <a:lstStyle/>
          <a:p>
            <a:pPr>
              <a:defRPr sz="900"/>
            </a:pPr>
            <a:endParaRPr lang="en-US"/>
          </a:p>
        </c:txPr>
        <c:crossAx val="147974784"/>
        <c:crosses val="autoZero"/>
        <c:auto val="1"/>
        <c:lblAlgn val="ctr"/>
        <c:lblOffset val="100"/>
        <c:noMultiLvlLbl val="0"/>
      </c:catAx>
      <c:valAx>
        <c:axId val="147974784"/>
        <c:scaling>
          <c:orientation val="minMax"/>
        </c:scaling>
        <c:delete val="1"/>
        <c:axPos val="l"/>
        <c:numFmt formatCode="0%" sourceLinked="1"/>
        <c:majorTickMark val="none"/>
        <c:minorTickMark val="none"/>
        <c:tickLblPos val="none"/>
        <c:crossAx val="14797324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C50A1FC79394A9023C6A5DFA7A09D" ma:contentTypeVersion="13" ma:contentTypeDescription="Create a new document." ma:contentTypeScope="" ma:versionID="79705aaae5de6f9ed494cfeb67a4f3c7">
  <xsd:schema xmlns:xsd="http://www.w3.org/2001/XMLSchema" xmlns:xs="http://www.w3.org/2001/XMLSchema" xmlns:p="http://schemas.microsoft.com/office/2006/metadata/properties" xmlns:ns3="4f61ba3f-198b-401e-8f2f-b2c662dca9cb" xmlns:ns4="b9b95171-1552-4127-953a-44d049f6e73c" targetNamespace="http://schemas.microsoft.com/office/2006/metadata/properties" ma:root="true" ma:fieldsID="b556130ecffddc83dc8ca6d01a721ba0" ns3:_="" ns4:_="">
    <xsd:import namespace="4f61ba3f-198b-401e-8f2f-b2c662dca9cb"/>
    <xsd:import namespace="b9b95171-1552-4127-953a-44d049f6e7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ba3f-198b-401e-8f2f-b2c662dca9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95171-1552-4127-953a-44d049f6e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12EC2-62BE-486D-9F59-FCA11438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ba3f-198b-401e-8f2f-b2c662dca9cb"/>
    <ds:schemaRef ds:uri="b9b95171-1552-4127-953a-44d049f6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3BEEF-BB43-4692-BD09-7A0D07B70B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B094F-237B-42B9-A007-1B37B12C3D19}">
  <ds:schemaRefs>
    <ds:schemaRef ds:uri="http://schemas.microsoft.com/sharepoint/v3/contenttype/forms"/>
  </ds:schemaRefs>
</ds:datastoreItem>
</file>

<file path=customXml/itemProps4.xml><?xml version="1.0" encoding="utf-8"?>
<ds:datastoreItem xmlns:ds="http://schemas.openxmlformats.org/officeDocument/2006/customXml" ds:itemID="{A489BB5F-1791-4D16-A7A4-E5D20A12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Anne-Marie Roerink</cp:lastModifiedBy>
  <cp:revision>2</cp:revision>
  <dcterms:created xsi:type="dcterms:W3CDTF">2022-03-13T13:22:00Z</dcterms:created>
  <dcterms:modified xsi:type="dcterms:W3CDTF">2022-03-13T13:22:00Z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0x010100F7BC50A1FC79394A9023C6A5DFA7A09D</vt:lpwstr>
  </property>
</Properties>
</file>