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22E98" w14:textId="78F6903C" w:rsidR="003935EB" w:rsidRPr="001D030C" w:rsidRDefault="00400319" w:rsidP="003935EB">
      <w:pPr>
        <w:pStyle w:val="Heading1"/>
        <w:spacing w:before="0"/>
        <w:ind w:right="-142"/>
        <w:rPr>
          <w:rFonts w:ascii="Arial" w:hAnsi="Arial" w:cs="Arial"/>
          <w:color w:val="595959" w:themeColor="text1" w:themeTint="A6"/>
          <w:szCs w:val="32"/>
        </w:rPr>
      </w:pPr>
      <w:r>
        <w:rPr>
          <w:rFonts w:ascii="Arial" w:hAnsi="Arial" w:cs="Arial"/>
          <w:color w:val="595959" w:themeColor="text1" w:themeTint="A6"/>
          <w:szCs w:val="32"/>
        </w:rPr>
        <w:t>Late Easter Sales Results in Dollar Gains for Fresh Fruit and Vegetables</w:t>
      </w:r>
    </w:p>
    <w:p w14:paraId="74F26225" w14:textId="77777777" w:rsidR="000B705A" w:rsidRPr="00B35CE9" w:rsidRDefault="000B705A" w:rsidP="000B705A">
      <w:pPr>
        <w:rPr>
          <w:rFonts w:ascii="Arial" w:hAnsi="Arial" w:cs="Arial"/>
          <w:sz w:val="20"/>
          <w:szCs w:val="20"/>
        </w:rPr>
      </w:pPr>
      <w:r w:rsidRPr="00B35CE9">
        <w:rPr>
          <w:rFonts w:ascii="Arial" w:hAnsi="Arial" w:cs="Arial"/>
          <w:sz w:val="20"/>
          <w:szCs w:val="20"/>
        </w:rPr>
        <w:t xml:space="preserve">By: Anne-Marie Roerink, President, 210 Analytics </w:t>
      </w:r>
      <w:r w:rsidRPr="007E1D2E">
        <w:rPr>
          <w:rFonts w:ascii="Arial" w:hAnsi="Arial" w:cs="Arial"/>
          <w:noProof/>
          <w:sz w:val="20"/>
          <w:szCs w:val="20"/>
        </w:rPr>
        <w:drawing>
          <wp:anchor distT="0" distB="0" distL="114300" distR="114300" simplePos="0" relativeHeight="251659264" behindDoc="0" locked="1" layoutInCell="1" allowOverlap="1" wp14:anchorId="124ABB56" wp14:editId="58017E60">
            <wp:simplePos x="0" y="0"/>
            <wp:positionH relativeFrom="page">
              <wp:posOffset>313055</wp:posOffset>
            </wp:positionH>
            <wp:positionV relativeFrom="page">
              <wp:posOffset>1129030</wp:posOffset>
            </wp:positionV>
            <wp:extent cx="7212330" cy="634365"/>
            <wp:effectExtent l="0" t="0" r="0" b="0"/>
            <wp:wrapNone/>
            <wp:docPr id="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shadow PS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12330" cy="634365"/>
                    </a:xfrm>
                    <a:prstGeom prst="rect">
                      <a:avLst/>
                    </a:prstGeom>
                  </pic:spPr>
                </pic:pic>
              </a:graphicData>
            </a:graphic>
          </wp:anchor>
        </w:drawing>
      </w:r>
    </w:p>
    <w:p w14:paraId="11AC18FC" w14:textId="77777777" w:rsidR="000B705A" w:rsidRDefault="000B705A" w:rsidP="000B705A">
      <w:pPr>
        <w:pStyle w:val="NoSpacing"/>
        <w:rPr>
          <w:rFonts w:ascii="Arial" w:hAnsi="Arial" w:cs="Arial"/>
          <w:sz w:val="20"/>
          <w:szCs w:val="20"/>
        </w:rPr>
      </w:pPr>
    </w:p>
    <w:p w14:paraId="109104CB" w14:textId="77777777" w:rsidR="00625436" w:rsidRDefault="00625436" w:rsidP="00625436">
      <w:pPr>
        <w:pStyle w:val="NoSpacing"/>
        <w:rPr>
          <w:rFonts w:ascii="Arial" w:hAnsi="Arial" w:cs="Arial"/>
          <w:b/>
          <w:color w:val="595959" w:themeColor="text1" w:themeTint="A6"/>
          <w:sz w:val="24"/>
          <w:szCs w:val="20"/>
        </w:rPr>
      </w:pPr>
      <w:r>
        <w:rPr>
          <w:rFonts w:ascii="Arial" w:hAnsi="Arial" w:cs="Arial"/>
          <w:b/>
          <w:color w:val="595959" w:themeColor="text1" w:themeTint="A6"/>
          <w:sz w:val="24"/>
          <w:szCs w:val="20"/>
        </w:rPr>
        <w:t>The April Marketplace</w:t>
      </w:r>
    </w:p>
    <w:p w14:paraId="26719433" w14:textId="26AF9602" w:rsidR="00625436" w:rsidRDefault="00CE2B8C" w:rsidP="00625436">
      <w:pPr>
        <w:pStyle w:val="NoSpacing"/>
        <w:rPr>
          <w:rFonts w:ascii="Arial" w:hAnsi="Arial" w:cs="Arial"/>
          <w:sz w:val="20"/>
          <w:szCs w:val="20"/>
        </w:rPr>
      </w:pPr>
      <w:r>
        <w:rPr>
          <w:rFonts w:ascii="Arial" w:hAnsi="Arial" w:cs="Arial"/>
          <w:sz w:val="20"/>
          <w:szCs w:val="20"/>
        </w:rPr>
        <w:t>The shift in Easter/Passover dates from early- to mid-April moved holiday dollars from March to April, and as such, from the first to the second quarter.</w:t>
      </w:r>
      <w:r w:rsidR="00625436">
        <w:rPr>
          <w:rFonts w:ascii="Arial" w:hAnsi="Arial" w:cs="Arial"/>
          <w:sz w:val="20"/>
          <w:szCs w:val="20"/>
        </w:rPr>
        <w:t xml:space="preserve"> Easter is typically a big selling season for fresh produce and was the most disrupted of the major holidays in 2020 when most states were under shelter-in-place mandates. In its Easter 2022 overview, the National Retail Federation found that consumer engagement was nearly back to pre-pandemic levels, with 80% celebrating. </w:t>
      </w:r>
      <w:r>
        <w:rPr>
          <w:rFonts w:ascii="Arial" w:hAnsi="Arial" w:cs="Arial"/>
          <w:sz w:val="20"/>
          <w:szCs w:val="20"/>
        </w:rPr>
        <w:t xml:space="preserve">Average per person spending on all holiday-related purchases was $170 — a three-year low. </w:t>
      </w:r>
      <w:r w:rsidR="00625436">
        <w:rPr>
          <w:rFonts w:ascii="Arial" w:hAnsi="Arial" w:cs="Arial"/>
          <w:sz w:val="20"/>
          <w:szCs w:val="20"/>
        </w:rPr>
        <w:t>Amid 40-year high inflation, consumers expected to spend more on food, but pulled back on spending in all other categories, including clothing, gifts</w:t>
      </w:r>
      <w:r w:rsidR="007352EE">
        <w:rPr>
          <w:rFonts w:ascii="Arial" w:hAnsi="Arial" w:cs="Arial"/>
          <w:sz w:val="20"/>
          <w:szCs w:val="20"/>
        </w:rPr>
        <w:t xml:space="preserve"> and</w:t>
      </w:r>
      <w:r w:rsidR="00625436">
        <w:rPr>
          <w:rFonts w:ascii="Arial" w:hAnsi="Arial" w:cs="Arial"/>
          <w:sz w:val="20"/>
          <w:szCs w:val="20"/>
        </w:rPr>
        <w:t xml:space="preserve"> decorations.  </w:t>
      </w:r>
    </w:p>
    <w:p w14:paraId="6E4F21B2" w14:textId="77777777" w:rsidR="00625436" w:rsidRDefault="00625436" w:rsidP="00625436">
      <w:pPr>
        <w:pStyle w:val="NoSpacing"/>
        <w:rPr>
          <w:rFonts w:ascii="Arial" w:hAnsi="Arial" w:cs="Arial"/>
          <w:sz w:val="20"/>
          <w:szCs w:val="20"/>
        </w:rPr>
      </w:pPr>
    </w:p>
    <w:p w14:paraId="6CCC9A34" w14:textId="7612C3BC" w:rsidR="00625436" w:rsidRDefault="00625436" w:rsidP="00625436">
      <w:pPr>
        <w:pStyle w:val="NoSpacing"/>
        <w:rPr>
          <w:rFonts w:ascii="Arial" w:hAnsi="Arial" w:cs="Arial"/>
          <w:sz w:val="20"/>
          <w:szCs w:val="20"/>
        </w:rPr>
      </w:pPr>
      <w:r w:rsidRPr="00D26915">
        <w:rPr>
          <w:rFonts w:ascii="Arial" w:hAnsi="Arial" w:cs="Arial"/>
          <w:sz w:val="20"/>
          <w:szCs w:val="20"/>
        </w:rPr>
        <w:t xml:space="preserve">Inflation </w:t>
      </w:r>
      <w:r>
        <w:rPr>
          <w:rFonts w:ascii="Arial" w:hAnsi="Arial" w:cs="Arial"/>
          <w:sz w:val="20"/>
          <w:szCs w:val="20"/>
        </w:rPr>
        <w:t xml:space="preserve">not only took the headlines for the Easter holiday, but also dominated everyday spending. </w:t>
      </w:r>
      <w:r w:rsidR="007352EE">
        <w:rPr>
          <w:rFonts w:ascii="Arial" w:hAnsi="Arial" w:cs="Arial"/>
          <w:sz w:val="20"/>
          <w:szCs w:val="20"/>
        </w:rPr>
        <w:t>“</w:t>
      </w:r>
      <w:r>
        <w:rPr>
          <w:rFonts w:ascii="Arial" w:hAnsi="Arial" w:cs="Arial"/>
          <w:sz w:val="20"/>
          <w:szCs w:val="20"/>
        </w:rPr>
        <w:t xml:space="preserve">The April </w:t>
      </w:r>
      <w:r w:rsidRPr="00D26915">
        <w:rPr>
          <w:rFonts w:ascii="Arial" w:hAnsi="Arial" w:cs="Arial"/>
          <w:sz w:val="20"/>
          <w:szCs w:val="20"/>
        </w:rPr>
        <w:t>2022 IRI survey of primary shoppers found that 9</w:t>
      </w:r>
      <w:r>
        <w:rPr>
          <w:rFonts w:ascii="Arial" w:hAnsi="Arial" w:cs="Arial"/>
          <w:sz w:val="20"/>
          <w:szCs w:val="20"/>
        </w:rPr>
        <w:t>0</w:t>
      </w:r>
      <w:r w:rsidRPr="00D26915">
        <w:rPr>
          <w:rFonts w:ascii="Arial" w:hAnsi="Arial" w:cs="Arial"/>
          <w:sz w:val="20"/>
          <w:szCs w:val="20"/>
        </w:rPr>
        <w:t>% of consumers believe food prices are somewhat or a lot higher than last year, of whom 9</w:t>
      </w:r>
      <w:r>
        <w:rPr>
          <w:rFonts w:ascii="Arial" w:hAnsi="Arial" w:cs="Arial"/>
          <w:sz w:val="20"/>
          <w:szCs w:val="20"/>
        </w:rPr>
        <w:t>6</w:t>
      </w:r>
      <w:r w:rsidRPr="00D26915">
        <w:rPr>
          <w:rFonts w:ascii="Arial" w:hAnsi="Arial" w:cs="Arial"/>
          <w:sz w:val="20"/>
          <w:szCs w:val="20"/>
        </w:rPr>
        <w:t>% are concerned about it</w:t>
      </w:r>
      <w:r w:rsidR="007352EE">
        <w:rPr>
          <w:rFonts w:ascii="Arial" w:hAnsi="Arial" w:cs="Arial"/>
          <w:sz w:val="20"/>
          <w:szCs w:val="20"/>
        </w:rPr>
        <w:t>,” shared Jonna Parker, Team Lead Fresh for IRI</w:t>
      </w:r>
      <w:r w:rsidRPr="00D26915">
        <w:rPr>
          <w:rFonts w:ascii="Arial" w:hAnsi="Arial" w:cs="Arial"/>
          <w:sz w:val="20"/>
          <w:szCs w:val="20"/>
        </w:rPr>
        <w:t xml:space="preserve">. </w:t>
      </w:r>
      <w:r w:rsidR="007352EE">
        <w:rPr>
          <w:rFonts w:ascii="Arial" w:hAnsi="Arial" w:cs="Arial"/>
          <w:sz w:val="20"/>
          <w:szCs w:val="20"/>
        </w:rPr>
        <w:t>“</w:t>
      </w:r>
      <w:r w:rsidRPr="00D26915">
        <w:rPr>
          <w:rFonts w:ascii="Arial" w:hAnsi="Arial" w:cs="Arial"/>
          <w:sz w:val="20"/>
          <w:szCs w:val="20"/>
        </w:rPr>
        <w:t xml:space="preserve">This includes </w:t>
      </w:r>
      <w:r>
        <w:rPr>
          <w:rFonts w:ascii="Arial" w:hAnsi="Arial" w:cs="Arial"/>
          <w:sz w:val="20"/>
          <w:szCs w:val="20"/>
        </w:rPr>
        <w:t>53</w:t>
      </w:r>
      <w:r w:rsidRPr="00D26915">
        <w:rPr>
          <w:rFonts w:ascii="Arial" w:hAnsi="Arial" w:cs="Arial"/>
          <w:sz w:val="20"/>
          <w:szCs w:val="20"/>
        </w:rPr>
        <w:t>% who are extremely concerned</w:t>
      </w:r>
      <w:r>
        <w:rPr>
          <w:rFonts w:ascii="Arial" w:hAnsi="Arial" w:cs="Arial"/>
          <w:sz w:val="20"/>
          <w:szCs w:val="20"/>
        </w:rPr>
        <w:t xml:space="preserve"> — the first time this number has moved past half of the population</w:t>
      </w:r>
      <w:r w:rsidRPr="00D26915">
        <w:rPr>
          <w:rFonts w:ascii="Arial" w:hAnsi="Arial" w:cs="Arial"/>
          <w:sz w:val="20"/>
          <w:szCs w:val="20"/>
        </w:rPr>
        <w:t>. This compares to 2</w:t>
      </w:r>
      <w:r>
        <w:rPr>
          <w:rFonts w:ascii="Arial" w:hAnsi="Arial" w:cs="Arial"/>
          <w:sz w:val="20"/>
          <w:szCs w:val="20"/>
        </w:rPr>
        <w:t>3</w:t>
      </w:r>
      <w:r w:rsidRPr="00D26915">
        <w:rPr>
          <w:rFonts w:ascii="Arial" w:hAnsi="Arial" w:cs="Arial"/>
          <w:sz w:val="20"/>
          <w:szCs w:val="20"/>
        </w:rPr>
        <w:t>% of consumers being extremely concerned over coronavirus in this same survey — meaning inflation has a far greater grip on the nation’s food spending than COVID-19</w:t>
      </w:r>
      <w:r>
        <w:rPr>
          <w:rFonts w:ascii="Arial" w:hAnsi="Arial" w:cs="Arial"/>
          <w:sz w:val="20"/>
          <w:szCs w:val="20"/>
        </w:rPr>
        <w:t xml:space="preserve"> at this point in time</w:t>
      </w:r>
      <w:r w:rsidRPr="00D26915">
        <w:rPr>
          <w:rFonts w:ascii="Arial" w:hAnsi="Arial" w:cs="Arial"/>
          <w:sz w:val="20"/>
          <w:szCs w:val="20"/>
        </w:rPr>
        <w:t>.</w:t>
      </w:r>
      <w:r w:rsidR="007352EE">
        <w:rPr>
          <w:rFonts w:ascii="Arial" w:hAnsi="Arial" w:cs="Arial"/>
          <w:sz w:val="20"/>
          <w:szCs w:val="20"/>
        </w:rPr>
        <w:t>”</w:t>
      </w:r>
      <w:r w:rsidRPr="00D26915">
        <w:rPr>
          <w:rFonts w:ascii="Arial" w:hAnsi="Arial" w:cs="Arial"/>
          <w:sz w:val="20"/>
          <w:szCs w:val="20"/>
        </w:rPr>
        <w:t xml:space="preserve"> </w:t>
      </w:r>
    </w:p>
    <w:p w14:paraId="0044B681" w14:textId="77777777" w:rsidR="00625436" w:rsidRDefault="00625436" w:rsidP="00625436">
      <w:pPr>
        <w:pStyle w:val="NoSpacing"/>
        <w:rPr>
          <w:rFonts w:ascii="Arial" w:hAnsi="Arial" w:cs="Arial"/>
          <w:sz w:val="20"/>
          <w:szCs w:val="20"/>
        </w:rPr>
      </w:pPr>
    </w:p>
    <w:p w14:paraId="671A1ED8" w14:textId="77777777" w:rsidR="00625436" w:rsidRDefault="00625436" w:rsidP="00625436">
      <w:pPr>
        <w:pStyle w:val="NoSpacing"/>
        <w:rPr>
          <w:rFonts w:ascii="Arial" w:hAnsi="Arial" w:cs="Arial"/>
          <w:sz w:val="20"/>
          <w:szCs w:val="20"/>
        </w:rPr>
      </w:pPr>
      <w:r>
        <w:rPr>
          <w:rFonts w:ascii="Arial" w:hAnsi="Arial" w:cs="Arial"/>
          <w:sz w:val="20"/>
          <w:szCs w:val="20"/>
        </w:rPr>
        <w:t>As a result of inflation, consumers are taking a wide variety of measures, according to the April IRI survey:</w:t>
      </w:r>
    </w:p>
    <w:p w14:paraId="701E3635" w14:textId="7E39749F" w:rsidR="00625436" w:rsidRDefault="00625436" w:rsidP="00625436">
      <w:pPr>
        <w:pStyle w:val="NoSpacing"/>
        <w:numPr>
          <w:ilvl w:val="0"/>
          <w:numId w:val="23"/>
        </w:numPr>
        <w:rPr>
          <w:rFonts w:ascii="Arial" w:hAnsi="Arial" w:cs="Arial"/>
          <w:sz w:val="20"/>
          <w:szCs w:val="20"/>
        </w:rPr>
      </w:pPr>
      <w:r>
        <w:rPr>
          <w:rFonts w:ascii="Arial" w:hAnsi="Arial" w:cs="Arial"/>
          <w:sz w:val="20"/>
          <w:szCs w:val="20"/>
        </w:rPr>
        <w:t xml:space="preserve">35% of consumers are planning on cutting back on restaurant spending, however, that may not automatically translate into fewer restaurant visits. In fact, the consumer estimated share of meals prepared at home dropped slightly below 80%, to 78.8%. This points to consumers visiting restaurants a bit more than during December through February, but they are finding ways to reduce their spending. Restaurant takeout remains big, at 52% of consumers having ordered restaurant takeout in April 2022, which may also be a money-saving tactic versus eating on premise. </w:t>
      </w:r>
      <w:r w:rsidR="007352EE">
        <w:rPr>
          <w:rFonts w:ascii="Arial" w:hAnsi="Arial" w:cs="Arial"/>
          <w:sz w:val="20"/>
          <w:szCs w:val="20"/>
        </w:rPr>
        <w:t>“There is an opportunity here for fresh produce,” said Parker. “Items like salad kits, fruit or veggie platters or fresh produce snack items are ideally positioned to complement takeout food such as pizza, burgers, etc. In this way, retail may not get all the dollars, but remains in the game.”</w:t>
      </w:r>
    </w:p>
    <w:p w14:paraId="52129380" w14:textId="78676FE6" w:rsidR="00625436" w:rsidRDefault="00625436" w:rsidP="00625436">
      <w:pPr>
        <w:pStyle w:val="NoSpacing"/>
        <w:numPr>
          <w:ilvl w:val="0"/>
          <w:numId w:val="23"/>
        </w:numPr>
        <w:rPr>
          <w:rFonts w:ascii="Arial" w:hAnsi="Arial" w:cs="Arial"/>
          <w:sz w:val="20"/>
          <w:szCs w:val="20"/>
        </w:rPr>
      </w:pPr>
      <w:r>
        <w:rPr>
          <w:rFonts w:ascii="Arial" w:hAnsi="Arial" w:cs="Arial"/>
          <w:sz w:val="20"/>
          <w:szCs w:val="20"/>
        </w:rPr>
        <w:t>Opportunities for retail remain the home-cooked meal with 91% of consumers expecting they will cook from scratch as much (72%) or more often (19%) as last year. Another opportunity is renewed in-person socializing with friends and family with 15% expecting to entertain more.</w:t>
      </w:r>
      <w:r w:rsidR="00CE2B8C">
        <w:rPr>
          <w:rFonts w:ascii="Arial" w:hAnsi="Arial" w:cs="Arial"/>
          <w:sz w:val="20"/>
          <w:szCs w:val="20"/>
        </w:rPr>
        <w:t xml:space="preserve"> “We absolutely see this in the numbers,” added Parker. “For several months now, sales of fruit and vegetable trays and platters have been among the growth leaders. In-stock availability, a variety of sizes and playing into the hot streak of charcuterie are great ways to grow sales.”</w:t>
      </w:r>
    </w:p>
    <w:p w14:paraId="2DB18645" w14:textId="77777777" w:rsidR="00625436" w:rsidRDefault="00625436" w:rsidP="00625436">
      <w:pPr>
        <w:pStyle w:val="NoSpacing"/>
        <w:numPr>
          <w:ilvl w:val="0"/>
          <w:numId w:val="23"/>
        </w:numPr>
        <w:rPr>
          <w:rFonts w:ascii="Arial" w:hAnsi="Arial" w:cs="Arial"/>
          <w:sz w:val="20"/>
          <w:szCs w:val="20"/>
        </w:rPr>
      </w:pPr>
      <w:r>
        <w:rPr>
          <w:rFonts w:ascii="Arial" w:hAnsi="Arial" w:cs="Arial"/>
          <w:sz w:val="20"/>
          <w:szCs w:val="20"/>
        </w:rPr>
        <w:t xml:space="preserve">The slight increase in online shopping hand-in-hand with the Omicron wave of COVID-19 has also receded. Describing their last grocery shopping trip, 13% of consumers shopped online and 87% shopped in person. Among those shopping online, pickup was slightly more popular (7%) than delivery (6%). </w:t>
      </w:r>
    </w:p>
    <w:p w14:paraId="0E78C6B5" w14:textId="77777777" w:rsidR="00625436" w:rsidRDefault="00625436" w:rsidP="00625436">
      <w:pPr>
        <w:pStyle w:val="NoSpacing"/>
        <w:numPr>
          <w:ilvl w:val="0"/>
          <w:numId w:val="23"/>
        </w:numPr>
        <w:rPr>
          <w:rFonts w:ascii="Arial" w:hAnsi="Arial" w:cs="Arial"/>
          <w:sz w:val="20"/>
          <w:szCs w:val="20"/>
        </w:rPr>
      </w:pPr>
      <w:r>
        <w:rPr>
          <w:rFonts w:ascii="Arial" w:hAnsi="Arial" w:cs="Arial"/>
          <w:sz w:val="20"/>
          <w:szCs w:val="20"/>
        </w:rPr>
        <w:t xml:space="preserve">An ever-growing 78% of consumers, up from 72% in March, are </w:t>
      </w:r>
      <w:r w:rsidRPr="006968A2">
        <w:rPr>
          <w:rFonts w:ascii="Arial" w:hAnsi="Arial" w:cs="Arial"/>
          <w:sz w:val="20"/>
          <w:szCs w:val="20"/>
        </w:rPr>
        <w:t xml:space="preserve">making one or more changes to save money while shopping for groceries. While consumers tried to combine all grocery needs into one store, one trip in the past few years, 17% of consumers now visit multiple retailers to get the best deals. More commonly, </w:t>
      </w:r>
      <w:r>
        <w:rPr>
          <w:rFonts w:ascii="Arial" w:hAnsi="Arial" w:cs="Arial"/>
          <w:sz w:val="20"/>
          <w:szCs w:val="20"/>
        </w:rPr>
        <w:t>47</w:t>
      </w:r>
      <w:r w:rsidRPr="006968A2">
        <w:rPr>
          <w:rFonts w:ascii="Arial" w:hAnsi="Arial" w:cs="Arial"/>
          <w:sz w:val="20"/>
          <w:szCs w:val="20"/>
        </w:rPr>
        <w:t>% of consumers are looking for sales promotions. However, in the volatile market, both the frequency of promotions and the depth of the discounts are down significantly versus pre-pandemic across departments</w:t>
      </w:r>
      <w:r>
        <w:rPr>
          <w:rFonts w:ascii="Arial" w:hAnsi="Arial" w:cs="Arial"/>
          <w:sz w:val="20"/>
          <w:szCs w:val="20"/>
        </w:rPr>
        <w:t xml:space="preserve"> and consumers are recognizing this. The survey found that 55% of consumers are finding fewer items they want on sale and 44% believe that when they find promotions, the discounts offered are not as deep as in prior years. </w:t>
      </w:r>
    </w:p>
    <w:p w14:paraId="4A6BC5BA" w14:textId="77777777" w:rsidR="00625436" w:rsidRDefault="00625436" w:rsidP="00625436">
      <w:pPr>
        <w:pStyle w:val="NoSpacing"/>
        <w:numPr>
          <w:ilvl w:val="0"/>
          <w:numId w:val="23"/>
        </w:numPr>
        <w:rPr>
          <w:rFonts w:ascii="Arial" w:hAnsi="Arial" w:cs="Arial"/>
          <w:sz w:val="20"/>
          <w:szCs w:val="20"/>
        </w:rPr>
      </w:pPr>
      <w:r>
        <w:rPr>
          <w:rFonts w:ascii="Arial" w:hAnsi="Arial" w:cs="Arial"/>
          <w:sz w:val="20"/>
          <w:szCs w:val="20"/>
        </w:rPr>
        <w:t xml:space="preserve">More than half of consumers, 51%, are now stocking up on certain items. This is driven by concerns over out-of-stocks (24%) and worries that prices may rise further (20%). </w:t>
      </w:r>
    </w:p>
    <w:p w14:paraId="57F748EA" w14:textId="77777777" w:rsidR="00625436" w:rsidRDefault="00625436" w:rsidP="00941D8A">
      <w:pPr>
        <w:pStyle w:val="NoSpacing"/>
        <w:rPr>
          <w:rFonts w:ascii="Arial" w:hAnsi="Arial" w:cs="Arial"/>
          <w:sz w:val="20"/>
          <w:szCs w:val="20"/>
        </w:rPr>
      </w:pPr>
    </w:p>
    <w:p w14:paraId="6826E2FD" w14:textId="29EE3E92" w:rsidR="00941D8A" w:rsidRDefault="00D65642" w:rsidP="00941D8A">
      <w:pPr>
        <w:pStyle w:val="NoSpacing"/>
        <w:rPr>
          <w:rFonts w:ascii="Arial" w:hAnsi="Arial" w:cs="Arial"/>
          <w:sz w:val="20"/>
          <w:szCs w:val="20"/>
        </w:rPr>
      </w:pPr>
      <w:r>
        <w:rPr>
          <w:rFonts w:ascii="Arial" w:hAnsi="Arial" w:cs="Arial"/>
          <w:sz w:val="20"/>
          <w:szCs w:val="20"/>
        </w:rPr>
        <w:t>“</w:t>
      </w:r>
      <w:r w:rsidR="008B729A">
        <w:rPr>
          <w:rFonts w:ascii="Arial" w:hAnsi="Arial" w:cs="Arial"/>
          <w:sz w:val="20"/>
          <w:szCs w:val="20"/>
        </w:rPr>
        <w:t>T</w:t>
      </w:r>
      <w:r w:rsidR="007352EE">
        <w:rPr>
          <w:rFonts w:ascii="Arial" w:hAnsi="Arial" w:cs="Arial"/>
          <w:sz w:val="20"/>
          <w:szCs w:val="20"/>
        </w:rPr>
        <w:t>hese consumer</w:t>
      </w:r>
      <w:r w:rsidR="008B729A">
        <w:rPr>
          <w:rFonts w:ascii="Arial" w:hAnsi="Arial" w:cs="Arial"/>
          <w:sz w:val="20"/>
          <w:szCs w:val="20"/>
        </w:rPr>
        <w:t xml:space="preserve"> money-saving measures </w:t>
      </w:r>
      <w:r w:rsidR="007352EE">
        <w:rPr>
          <w:rFonts w:ascii="Arial" w:hAnsi="Arial" w:cs="Arial"/>
          <w:sz w:val="20"/>
          <w:szCs w:val="20"/>
        </w:rPr>
        <w:t>combined with the continued volatility on the supply side</w:t>
      </w:r>
      <w:r w:rsidR="008B729A">
        <w:rPr>
          <w:rFonts w:ascii="Arial" w:hAnsi="Arial" w:cs="Arial"/>
          <w:sz w:val="20"/>
          <w:szCs w:val="20"/>
        </w:rPr>
        <w:t xml:space="preserve"> are creating an environment of continued change and uncertainty,” said</w:t>
      </w:r>
      <w:r w:rsidR="008B729A" w:rsidRPr="008B729A">
        <w:rPr>
          <w:rFonts w:ascii="Arial" w:hAnsi="Arial" w:cs="Arial"/>
          <w:sz w:val="20"/>
          <w:szCs w:val="20"/>
        </w:rPr>
        <w:t xml:space="preserve"> </w:t>
      </w:r>
      <w:r w:rsidR="008B729A">
        <w:rPr>
          <w:rFonts w:ascii="Arial" w:hAnsi="Arial" w:cs="Arial"/>
          <w:sz w:val="20"/>
          <w:szCs w:val="20"/>
        </w:rPr>
        <w:t xml:space="preserve">Joe Watson, VP, Retail, Foodservice &amp; Wholesale for IFPA. </w:t>
      </w:r>
      <w:r w:rsidR="00941D8A">
        <w:rPr>
          <w:rFonts w:ascii="Arial" w:hAnsi="Arial" w:cs="Arial"/>
          <w:sz w:val="20"/>
          <w:szCs w:val="20"/>
        </w:rPr>
        <w:t xml:space="preserve">To document the ever-changing nature of the marketplace, IRI, 210 Analytics and </w:t>
      </w:r>
      <w:r>
        <w:rPr>
          <w:rFonts w:ascii="Arial" w:hAnsi="Arial" w:cs="Arial"/>
          <w:sz w:val="20"/>
          <w:szCs w:val="20"/>
        </w:rPr>
        <w:t xml:space="preserve">IFPA </w:t>
      </w:r>
      <w:r w:rsidR="00941D8A">
        <w:rPr>
          <w:rFonts w:ascii="Arial" w:hAnsi="Arial" w:cs="Arial"/>
          <w:sz w:val="20"/>
          <w:szCs w:val="20"/>
        </w:rPr>
        <w:t xml:space="preserve">continue to team up to bring the latest trends and analysis relative to the </w:t>
      </w:r>
      <w:r>
        <w:rPr>
          <w:rFonts w:ascii="Arial" w:hAnsi="Arial" w:cs="Arial"/>
          <w:sz w:val="20"/>
          <w:szCs w:val="20"/>
        </w:rPr>
        <w:t xml:space="preserve">produce </w:t>
      </w:r>
      <w:r w:rsidR="00941D8A">
        <w:rPr>
          <w:rFonts w:ascii="Arial" w:hAnsi="Arial" w:cs="Arial"/>
          <w:sz w:val="20"/>
          <w:szCs w:val="20"/>
        </w:rPr>
        <w:t xml:space="preserve">department. </w:t>
      </w:r>
    </w:p>
    <w:p w14:paraId="67004921" w14:textId="6F59550E" w:rsidR="0034772B" w:rsidRPr="0034772B" w:rsidRDefault="0034772B" w:rsidP="00941D8A">
      <w:pPr>
        <w:pStyle w:val="NoSpacing"/>
        <w:rPr>
          <w:rFonts w:ascii="Arial" w:hAnsi="Arial" w:cs="Arial"/>
          <w:color w:val="595959" w:themeColor="text1" w:themeTint="A6"/>
          <w:sz w:val="20"/>
          <w:szCs w:val="20"/>
        </w:rPr>
      </w:pPr>
    </w:p>
    <w:p w14:paraId="5026A554" w14:textId="77777777" w:rsidR="00CE2B8C" w:rsidRPr="00355721" w:rsidRDefault="00CE2B8C" w:rsidP="00CE2B8C">
      <w:pPr>
        <w:pStyle w:val="NoSpacing"/>
        <w:rPr>
          <w:rFonts w:ascii="Arial" w:hAnsi="Arial" w:cs="Arial"/>
          <w:b/>
          <w:color w:val="595959" w:themeColor="text1" w:themeTint="A6"/>
          <w:sz w:val="24"/>
          <w:szCs w:val="20"/>
        </w:rPr>
      </w:pPr>
      <w:r w:rsidRPr="00355721">
        <w:rPr>
          <w:rFonts w:ascii="Arial" w:hAnsi="Arial" w:cs="Arial"/>
          <w:b/>
          <w:color w:val="595959" w:themeColor="text1" w:themeTint="A6"/>
          <w:sz w:val="24"/>
          <w:szCs w:val="20"/>
        </w:rPr>
        <w:t>Inflation</w:t>
      </w:r>
      <w:r>
        <w:rPr>
          <w:rFonts w:ascii="Arial" w:hAnsi="Arial" w:cs="Arial"/>
          <w:b/>
          <w:color w:val="595959" w:themeColor="text1" w:themeTint="A6"/>
          <w:sz w:val="24"/>
          <w:szCs w:val="20"/>
        </w:rPr>
        <w:t xml:space="preserve"> Insights</w:t>
      </w:r>
    </w:p>
    <w:p w14:paraId="75A15823" w14:textId="77777777" w:rsidR="00CE2B8C" w:rsidRDefault="00CE2B8C" w:rsidP="00CE2B8C">
      <w:pPr>
        <w:pStyle w:val="NoSpacing"/>
        <w:rPr>
          <w:rFonts w:ascii="Arial" w:hAnsi="Arial" w:cs="Arial"/>
          <w:color w:val="000000" w:themeColor="text1"/>
          <w:sz w:val="20"/>
          <w:szCs w:val="20"/>
        </w:rPr>
      </w:pPr>
      <w:r>
        <w:rPr>
          <w:rFonts w:ascii="Arial" w:hAnsi="Arial" w:cs="Arial"/>
          <w:sz w:val="20"/>
          <w:szCs w:val="20"/>
        </w:rPr>
        <w:t xml:space="preserve">The price per unit across all foods and beverages in the IRI-measured multi-outlet stores, including supermarkets, club, mass, supercenter, drug and military, accelerated further to an increase of 10.7% in the four weeks ending April 24, </w:t>
      </w:r>
      <w:r>
        <w:rPr>
          <w:rFonts w:ascii="Arial" w:hAnsi="Arial" w:cs="Arial"/>
          <w:sz w:val="20"/>
          <w:szCs w:val="20"/>
        </w:rPr>
        <w:lastRenderedPageBreak/>
        <w:t xml:space="preserve">2022 (“April”) versus the same four weeks in 2021. Inflation was in the double digits in the center of the store as well as in perishables and compared to April 2019, prices across all foods and beverages were up 21.3%. </w:t>
      </w:r>
    </w:p>
    <w:p w14:paraId="49BF21A3" w14:textId="77777777" w:rsidR="00CE2B8C" w:rsidRDefault="00CE2B8C" w:rsidP="00CE2B8C">
      <w:pPr>
        <w:pStyle w:val="NoSpacing"/>
        <w:rPr>
          <w:rFonts w:ascii="Arial" w:hAnsi="Arial" w:cs="Arial"/>
          <w:b/>
          <w:color w:val="595959" w:themeColor="text1" w:themeTint="A6"/>
          <w:sz w:val="24"/>
          <w:szCs w:val="20"/>
        </w:rPr>
      </w:pPr>
    </w:p>
    <w:tbl>
      <w:tblPr>
        <w:tblStyle w:val="LightShading-Accent5"/>
        <w:tblW w:w="10440" w:type="dxa"/>
        <w:tblBorders>
          <w:top w:val="none" w:sz="0" w:space="0" w:color="auto"/>
          <w:bottom w:val="none" w:sz="0" w:space="0" w:color="auto"/>
        </w:tblBorders>
        <w:tblCellMar>
          <w:left w:w="57" w:type="dxa"/>
          <w:right w:w="57" w:type="dxa"/>
        </w:tblCellMar>
        <w:tblLook w:val="04A0" w:firstRow="1" w:lastRow="0" w:firstColumn="1" w:lastColumn="0" w:noHBand="0" w:noVBand="1"/>
      </w:tblPr>
      <w:tblGrid>
        <w:gridCol w:w="1952"/>
        <w:gridCol w:w="943"/>
        <w:gridCol w:w="943"/>
        <w:gridCol w:w="943"/>
        <w:gridCol w:w="943"/>
        <w:gridCol w:w="943"/>
        <w:gridCol w:w="943"/>
        <w:gridCol w:w="943"/>
        <w:gridCol w:w="943"/>
        <w:gridCol w:w="944"/>
      </w:tblGrid>
      <w:tr w:rsidR="00CE2B8C" w:rsidRPr="00770F6B" w14:paraId="58918716" w14:textId="77777777" w:rsidTr="00B4616F">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952" w:type="dxa"/>
            <w:shd w:val="clear" w:color="auto" w:fill="17365D" w:themeFill="text2" w:themeFillShade="BF"/>
            <w:vAlign w:val="center"/>
          </w:tcPr>
          <w:p w14:paraId="447A4BD9" w14:textId="77777777" w:rsidR="00CE2B8C" w:rsidRPr="00C37EEB" w:rsidRDefault="00CE2B8C" w:rsidP="00B4616F">
            <w:pPr>
              <w:pStyle w:val="NoSpacing"/>
              <w:rPr>
                <w:rFonts w:ascii="Arial" w:hAnsi="Arial" w:cs="Arial"/>
                <w:bCs w:val="0"/>
                <w:color w:val="F2F2F2" w:themeColor="background1" w:themeShade="F2"/>
                <w:sz w:val="18"/>
                <w:szCs w:val="18"/>
              </w:rPr>
            </w:pPr>
            <w:r w:rsidRPr="00C37EEB">
              <w:rPr>
                <w:rFonts w:ascii="Arial" w:hAnsi="Arial" w:cs="Arial"/>
                <w:bCs w:val="0"/>
                <w:color w:val="F2F2F2" w:themeColor="background1" w:themeShade="F2"/>
                <w:sz w:val="18"/>
                <w:szCs w:val="18"/>
              </w:rPr>
              <w:t>Average price/unit vs. YA</w:t>
            </w:r>
          </w:p>
        </w:tc>
        <w:tc>
          <w:tcPr>
            <w:tcW w:w="943" w:type="dxa"/>
            <w:shd w:val="clear" w:color="auto" w:fill="17365D" w:themeFill="text2" w:themeFillShade="BF"/>
            <w:vAlign w:val="center"/>
          </w:tcPr>
          <w:p w14:paraId="22BC914F" w14:textId="77777777" w:rsidR="00CE2B8C" w:rsidRPr="006C208B"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Q1 21</w:t>
            </w:r>
          </w:p>
        </w:tc>
        <w:tc>
          <w:tcPr>
            <w:tcW w:w="943" w:type="dxa"/>
            <w:shd w:val="clear" w:color="auto" w:fill="17365D" w:themeFill="text2" w:themeFillShade="BF"/>
            <w:vAlign w:val="center"/>
          </w:tcPr>
          <w:p w14:paraId="371F567F" w14:textId="77777777" w:rsidR="00CE2B8C" w:rsidRPr="006C208B"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Q2 21</w:t>
            </w:r>
          </w:p>
        </w:tc>
        <w:tc>
          <w:tcPr>
            <w:tcW w:w="943" w:type="dxa"/>
            <w:shd w:val="clear" w:color="auto" w:fill="17365D" w:themeFill="text2" w:themeFillShade="BF"/>
            <w:vAlign w:val="center"/>
          </w:tcPr>
          <w:p w14:paraId="484614F6" w14:textId="77777777" w:rsidR="00CE2B8C" w:rsidRPr="006C208B"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Q3 21</w:t>
            </w:r>
          </w:p>
        </w:tc>
        <w:tc>
          <w:tcPr>
            <w:tcW w:w="943" w:type="dxa"/>
            <w:shd w:val="clear" w:color="auto" w:fill="17365D" w:themeFill="text2" w:themeFillShade="BF"/>
            <w:vAlign w:val="center"/>
          </w:tcPr>
          <w:p w14:paraId="439EFE81" w14:textId="77777777" w:rsidR="00CE2B8C" w:rsidRPr="006C208B"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Q4 21</w:t>
            </w:r>
          </w:p>
        </w:tc>
        <w:tc>
          <w:tcPr>
            <w:tcW w:w="943" w:type="dxa"/>
            <w:shd w:val="clear" w:color="auto" w:fill="17365D" w:themeFill="text2" w:themeFillShade="BF"/>
            <w:vAlign w:val="center"/>
          </w:tcPr>
          <w:p w14:paraId="45966C3C" w14:textId="77777777" w:rsidR="00CE2B8C"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 xml:space="preserve">Q1 22 </w:t>
            </w:r>
          </w:p>
        </w:tc>
        <w:tc>
          <w:tcPr>
            <w:tcW w:w="943" w:type="dxa"/>
            <w:shd w:val="clear" w:color="auto" w:fill="17365D" w:themeFill="text2" w:themeFillShade="BF"/>
            <w:vAlign w:val="center"/>
          </w:tcPr>
          <w:p w14:paraId="36C31DAD" w14:textId="77777777" w:rsidR="00CE2B8C"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Jan 22</w:t>
            </w:r>
          </w:p>
        </w:tc>
        <w:tc>
          <w:tcPr>
            <w:tcW w:w="943" w:type="dxa"/>
            <w:shd w:val="clear" w:color="auto" w:fill="17365D" w:themeFill="text2" w:themeFillShade="BF"/>
            <w:vAlign w:val="center"/>
          </w:tcPr>
          <w:p w14:paraId="7656548E" w14:textId="77777777" w:rsidR="00CE2B8C" w:rsidRPr="006C208B"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Feb 22</w:t>
            </w:r>
          </w:p>
        </w:tc>
        <w:tc>
          <w:tcPr>
            <w:tcW w:w="943" w:type="dxa"/>
            <w:shd w:val="clear" w:color="auto" w:fill="17365D" w:themeFill="text2" w:themeFillShade="BF"/>
            <w:vAlign w:val="center"/>
          </w:tcPr>
          <w:p w14:paraId="68F6BC33" w14:textId="77777777" w:rsidR="00CE2B8C"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Mar 22</w:t>
            </w:r>
          </w:p>
        </w:tc>
        <w:tc>
          <w:tcPr>
            <w:tcW w:w="944" w:type="dxa"/>
            <w:shd w:val="clear" w:color="auto" w:fill="17365D" w:themeFill="text2" w:themeFillShade="BF"/>
            <w:vAlign w:val="center"/>
          </w:tcPr>
          <w:p w14:paraId="5C9EF107" w14:textId="77777777" w:rsidR="00CE2B8C" w:rsidRDefault="00CE2B8C" w:rsidP="00B4616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2F2F2" w:themeColor="background1" w:themeShade="F2"/>
                <w:sz w:val="18"/>
                <w:szCs w:val="18"/>
              </w:rPr>
            </w:pPr>
            <w:r>
              <w:rPr>
                <w:rFonts w:ascii="Arial" w:hAnsi="Arial" w:cs="Arial"/>
                <w:color w:val="F2F2F2" w:themeColor="background1" w:themeShade="F2"/>
                <w:sz w:val="18"/>
                <w:szCs w:val="18"/>
              </w:rPr>
              <w:t>Apr 22</w:t>
            </w:r>
          </w:p>
        </w:tc>
      </w:tr>
      <w:tr w:rsidR="00CE2B8C" w:rsidRPr="007F5087" w14:paraId="33A30D86" w14:textId="77777777" w:rsidTr="00B4616F">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952" w:type="dxa"/>
            <w:vAlign w:val="center"/>
          </w:tcPr>
          <w:p w14:paraId="61F84642" w14:textId="77777777" w:rsidR="00CE2B8C" w:rsidRPr="007F5087" w:rsidRDefault="00CE2B8C" w:rsidP="00B4616F">
            <w:pPr>
              <w:pStyle w:val="NoSpacing"/>
              <w:jc w:val="right"/>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Total food and beverages</w:t>
            </w:r>
          </w:p>
        </w:tc>
        <w:tc>
          <w:tcPr>
            <w:tcW w:w="943" w:type="dxa"/>
            <w:vAlign w:val="center"/>
          </w:tcPr>
          <w:p w14:paraId="0CAC4811"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+5.5%</w:t>
            </w:r>
          </w:p>
        </w:tc>
        <w:tc>
          <w:tcPr>
            <w:tcW w:w="943" w:type="dxa"/>
            <w:vAlign w:val="center"/>
          </w:tcPr>
          <w:p w14:paraId="485571D7"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+2.7%</w:t>
            </w:r>
          </w:p>
        </w:tc>
        <w:tc>
          <w:tcPr>
            <w:tcW w:w="943" w:type="dxa"/>
            <w:vAlign w:val="center"/>
          </w:tcPr>
          <w:p w14:paraId="10FD31C1"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+5.0%</w:t>
            </w:r>
          </w:p>
        </w:tc>
        <w:tc>
          <w:tcPr>
            <w:tcW w:w="943" w:type="dxa"/>
            <w:vAlign w:val="center"/>
          </w:tcPr>
          <w:p w14:paraId="5C6A7B20"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+8.0%</w:t>
            </w:r>
          </w:p>
        </w:tc>
        <w:tc>
          <w:tcPr>
            <w:tcW w:w="943" w:type="dxa"/>
            <w:vAlign w:val="center"/>
          </w:tcPr>
          <w:p w14:paraId="7C02556F"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+9.9%</w:t>
            </w:r>
          </w:p>
        </w:tc>
        <w:tc>
          <w:tcPr>
            <w:tcW w:w="943" w:type="dxa"/>
            <w:vAlign w:val="center"/>
          </w:tcPr>
          <w:p w14:paraId="0094893A"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+9.1%</w:t>
            </w:r>
          </w:p>
        </w:tc>
        <w:tc>
          <w:tcPr>
            <w:tcW w:w="943" w:type="dxa"/>
            <w:vAlign w:val="center"/>
          </w:tcPr>
          <w:p w14:paraId="5D6119F6"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+10.3%</w:t>
            </w:r>
          </w:p>
        </w:tc>
        <w:tc>
          <w:tcPr>
            <w:tcW w:w="943" w:type="dxa"/>
            <w:vAlign w:val="center"/>
          </w:tcPr>
          <w:p w14:paraId="712DCC6E"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+10.3%</w:t>
            </w:r>
          </w:p>
        </w:tc>
        <w:tc>
          <w:tcPr>
            <w:tcW w:w="944" w:type="dxa"/>
            <w:vAlign w:val="center"/>
          </w:tcPr>
          <w:p w14:paraId="05088A01" w14:textId="77777777" w:rsidR="00CE2B8C" w:rsidRPr="007F5087" w:rsidRDefault="00CE2B8C"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7F5087">
              <w:rPr>
                <w:rFonts w:ascii="Arial" w:hAnsi="Arial" w:cs="Arial"/>
                <w:color w:val="215868" w:themeColor="accent5" w:themeShade="80"/>
                <w:sz w:val="18"/>
                <w:szCs w:val="18"/>
              </w:rPr>
              <w:t>+</w:t>
            </w:r>
            <w:r>
              <w:rPr>
                <w:rFonts w:ascii="Arial" w:hAnsi="Arial" w:cs="Arial"/>
                <w:color w:val="215868" w:themeColor="accent5" w:themeShade="80"/>
                <w:sz w:val="18"/>
                <w:szCs w:val="18"/>
              </w:rPr>
              <w:t>10.7</w:t>
            </w:r>
            <w:r w:rsidRPr="007F5087">
              <w:rPr>
                <w:rFonts w:ascii="Arial" w:hAnsi="Arial" w:cs="Arial"/>
                <w:color w:val="215868" w:themeColor="accent5" w:themeShade="80"/>
                <w:sz w:val="18"/>
                <w:szCs w:val="18"/>
              </w:rPr>
              <w:t>%</w:t>
            </w:r>
          </w:p>
        </w:tc>
      </w:tr>
    </w:tbl>
    <w:p w14:paraId="114A9A42" w14:textId="77777777" w:rsidR="00CE2B8C" w:rsidRDefault="00CE2B8C" w:rsidP="00CE2B8C">
      <w:pPr>
        <w:pStyle w:val="NoSpacing"/>
        <w:rPr>
          <w:rFonts w:ascii="Arial" w:hAnsi="Arial" w:cs="Arial"/>
          <w:sz w:val="16"/>
          <w:szCs w:val="16"/>
        </w:rPr>
      </w:pPr>
    </w:p>
    <w:p w14:paraId="760CA1E0" w14:textId="77777777" w:rsidR="00CE2B8C" w:rsidRPr="006879B2" w:rsidRDefault="00CE2B8C" w:rsidP="00CE2B8C">
      <w:pPr>
        <w:pStyle w:val="NoSpacing"/>
        <w:rPr>
          <w:rFonts w:ascii="Arial" w:hAnsi="Arial" w:cs="Arial"/>
          <w:sz w:val="16"/>
          <w:szCs w:val="16"/>
        </w:rPr>
      </w:pPr>
      <w:r>
        <w:rPr>
          <w:rFonts w:ascii="Arial" w:hAnsi="Arial" w:cs="Arial"/>
          <w:sz w:val="16"/>
          <w:szCs w:val="16"/>
        </w:rPr>
        <w:t xml:space="preserve">Source: IRI, Integrated Fresh, Total US, MULO, average price per unit and % gain versus YA </w:t>
      </w:r>
    </w:p>
    <w:p w14:paraId="1AF11EDB" w14:textId="77777777" w:rsidR="009C02A0" w:rsidRDefault="009C02A0" w:rsidP="00D8582D">
      <w:pPr>
        <w:pStyle w:val="NoSpacing"/>
        <w:rPr>
          <w:rFonts w:ascii="Arial" w:hAnsi="Arial" w:cs="Arial"/>
          <w:sz w:val="20"/>
          <w:szCs w:val="20"/>
        </w:rPr>
      </w:pPr>
    </w:p>
    <w:p w14:paraId="33E52E4B" w14:textId="57F923BA" w:rsidR="00354739" w:rsidRDefault="00DD3DF6" w:rsidP="00DD3DF6">
      <w:pPr>
        <w:pStyle w:val="NoSpacing"/>
        <w:rPr>
          <w:rFonts w:ascii="Arial" w:hAnsi="Arial" w:cs="Arial"/>
          <w:sz w:val="20"/>
          <w:szCs w:val="20"/>
        </w:rPr>
      </w:pPr>
      <w:r>
        <w:rPr>
          <w:rFonts w:ascii="Arial" w:hAnsi="Arial" w:cs="Arial"/>
          <w:sz w:val="20"/>
          <w:szCs w:val="20"/>
        </w:rPr>
        <w:t xml:space="preserve">Fresh produce prices </w:t>
      </w:r>
      <w:r w:rsidR="00BC7B47">
        <w:rPr>
          <w:rFonts w:ascii="Arial" w:hAnsi="Arial" w:cs="Arial"/>
          <w:sz w:val="20"/>
          <w:szCs w:val="20"/>
        </w:rPr>
        <w:t xml:space="preserve">were </w:t>
      </w:r>
      <w:r>
        <w:rPr>
          <w:rFonts w:ascii="Arial" w:hAnsi="Arial" w:cs="Arial"/>
          <w:sz w:val="20"/>
          <w:szCs w:val="20"/>
        </w:rPr>
        <w:t xml:space="preserve">also </w:t>
      </w:r>
      <w:r w:rsidR="00B1061E">
        <w:rPr>
          <w:rFonts w:ascii="Arial" w:hAnsi="Arial" w:cs="Arial"/>
          <w:sz w:val="20"/>
          <w:szCs w:val="20"/>
        </w:rPr>
        <w:t xml:space="preserve">up from </w:t>
      </w:r>
      <w:r>
        <w:rPr>
          <w:rFonts w:ascii="Arial" w:hAnsi="Arial" w:cs="Arial"/>
          <w:sz w:val="20"/>
          <w:szCs w:val="20"/>
        </w:rPr>
        <w:t>last year</w:t>
      </w:r>
      <w:r w:rsidR="005575F0">
        <w:rPr>
          <w:rFonts w:ascii="Arial" w:hAnsi="Arial" w:cs="Arial"/>
          <w:sz w:val="20"/>
          <w:szCs w:val="20"/>
        </w:rPr>
        <w:t xml:space="preserve">, at </w:t>
      </w:r>
      <w:r w:rsidR="00BC7B47">
        <w:rPr>
          <w:rFonts w:ascii="Arial" w:hAnsi="Arial" w:cs="Arial"/>
          <w:sz w:val="20"/>
          <w:szCs w:val="20"/>
        </w:rPr>
        <w:t xml:space="preserve">+8.7% level on a per unit basis and </w:t>
      </w:r>
      <w:r w:rsidR="005575F0">
        <w:rPr>
          <w:rFonts w:ascii="Arial" w:hAnsi="Arial" w:cs="Arial"/>
          <w:sz w:val="20"/>
          <w:szCs w:val="20"/>
        </w:rPr>
        <w:t>+</w:t>
      </w:r>
      <w:r w:rsidR="00BC7B47">
        <w:rPr>
          <w:rFonts w:ascii="Arial" w:hAnsi="Arial" w:cs="Arial"/>
          <w:sz w:val="20"/>
          <w:szCs w:val="20"/>
        </w:rPr>
        <w:t>10.1</w:t>
      </w:r>
      <w:r w:rsidR="005575F0">
        <w:rPr>
          <w:rFonts w:ascii="Arial" w:hAnsi="Arial" w:cs="Arial"/>
          <w:sz w:val="20"/>
          <w:szCs w:val="20"/>
        </w:rPr>
        <w:t>%</w:t>
      </w:r>
      <w:r w:rsidR="00BC7B47">
        <w:rPr>
          <w:rFonts w:ascii="Arial" w:hAnsi="Arial" w:cs="Arial"/>
          <w:sz w:val="20"/>
          <w:szCs w:val="20"/>
        </w:rPr>
        <w:t xml:space="preserve"> on a per pound basis. The increases are predominantly driven by fruit, that had double-digit inflation once more in both the four-week and 52-week view</w:t>
      </w:r>
      <w:r w:rsidR="003433C6">
        <w:rPr>
          <w:rFonts w:ascii="Arial" w:hAnsi="Arial" w:cs="Arial"/>
          <w:sz w:val="20"/>
          <w:szCs w:val="20"/>
        </w:rPr>
        <w:t xml:space="preserve">. </w:t>
      </w:r>
    </w:p>
    <w:p w14:paraId="4944409F" w14:textId="77777777" w:rsidR="00354739" w:rsidRDefault="00354739" w:rsidP="00DD3DF6">
      <w:pPr>
        <w:pStyle w:val="NoSpacing"/>
        <w:rPr>
          <w:rFonts w:ascii="Arial" w:hAnsi="Arial" w:cs="Arial"/>
          <w:sz w:val="20"/>
          <w:szCs w:val="20"/>
        </w:rPr>
      </w:pPr>
    </w:p>
    <w:p w14:paraId="64527A4B" w14:textId="2077F1E5" w:rsidR="00C616F0" w:rsidRDefault="00B1061E" w:rsidP="00DD3DF6">
      <w:pPr>
        <w:pStyle w:val="NoSpacing"/>
        <w:rPr>
          <w:rFonts w:ascii="Arial" w:hAnsi="Arial" w:cs="Arial"/>
          <w:sz w:val="20"/>
          <w:szCs w:val="20"/>
        </w:rPr>
      </w:pPr>
      <w:r>
        <w:rPr>
          <w:rFonts w:ascii="Arial" w:hAnsi="Arial" w:cs="Arial"/>
          <w:color w:val="000000" w:themeColor="text1"/>
          <w:sz w:val="20"/>
          <w:szCs w:val="20"/>
        </w:rPr>
        <w:t>“</w:t>
      </w:r>
      <w:r w:rsidR="00CE2B8C">
        <w:rPr>
          <w:rFonts w:ascii="Arial" w:hAnsi="Arial" w:cs="Arial"/>
          <w:color w:val="000000" w:themeColor="text1"/>
          <w:sz w:val="20"/>
          <w:szCs w:val="20"/>
        </w:rPr>
        <w:t>The average price per pound across</w:t>
      </w:r>
      <w:r w:rsidR="00CE2B8C" w:rsidRPr="00872B23">
        <w:rPr>
          <w:rFonts w:ascii="Arial" w:hAnsi="Arial" w:cs="Arial"/>
          <w:sz w:val="20"/>
          <w:szCs w:val="20"/>
        </w:rPr>
        <w:t xml:space="preserve"> fruits and vegetables was $1.89</w:t>
      </w:r>
      <w:r w:rsidR="00CE2B8C">
        <w:rPr>
          <w:rFonts w:ascii="Arial" w:hAnsi="Arial" w:cs="Arial"/>
          <w:sz w:val="20"/>
          <w:szCs w:val="20"/>
        </w:rPr>
        <w:t>, unchanged from March</w:t>
      </w:r>
      <w:r w:rsidR="00BC7B47">
        <w:rPr>
          <w:rFonts w:ascii="Arial" w:hAnsi="Arial" w:cs="Arial"/>
          <w:color w:val="000000" w:themeColor="text1"/>
          <w:sz w:val="20"/>
          <w:szCs w:val="20"/>
        </w:rPr>
        <w:t>,” said Watson. “</w:t>
      </w:r>
      <w:r w:rsidR="00A81DD5">
        <w:rPr>
          <w:rFonts w:ascii="Arial" w:hAnsi="Arial" w:cs="Arial"/>
          <w:color w:val="000000" w:themeColor="text1"/>
          <w:sz w:val="20"/>
          <w:szCs w:val="20"/>
        </w:rPr>
        <w:t xml:space="preserve">The moderation in inflation on the vegetable side is finally leading to some price stability month-over-month, even if compared to year ago, we are still looking at robust increases. </w:t>
      </w:r>
      <w:r w:rsidR="00BC7B47">
        <w:rPr>
          <w:rFonts w:ascii="Arial" w:hAnsi="Arial" w:cs="Arial"/>
          <w:sz w:val="20"/>
          <w:szCs w:val="20"/>
        </w:rPr>
        <w:t xml:space="preserve">Based on input from </w:t>
      </w:r>
      <w:r w:rsidR="00872B23" w:rsidRPr="00872B23">
        <w:rPr>
          <w:rFonts w:ascii="Arial" w:hAnsi="Arial" w:cs="Arial"/>
          <w:sz w:val="20"/>
          <w:szCs w:val="20"/>
        </w:rPr>
        <w:t>retail produce professionals around the country</w:t>
      </w:r>
      <w:r w:rsidR="00BC7B47">
        <w:rPr>
          <w:rFonts w:ascii="Arial" w:hAnsi="Arial" w:cs="Arial"/>
          <w:sz w:val="20"/>
          <w:szCs w:val="20"/>
        </w:rPr>
        <w:t xml:space="preserve">, I remain </w:t>
      </w:r>
      <w:r w:rsidR="00872B23" w:rsidRPr="00872B23">
        <w:rPr>
          <w:rFonts w:ascii="Arial" w:hAnsi="Arial" w:cs="Arial"/>
          <w:sz w:val="20"/>
          <w:szCs w:val="20"/>
        </w:rPr>
        <w:t xml:space="preserve">positive </w:t>
      </w:r>
      <w:r w:rsidR="00872B23">
        <w:rPr>
          <w:rFonts w:ascii="Arial" w:hAnsi="Arial" w:cs="Arial"/>
          <w:sz w:val="20"/>
          <w:szCs w:val="20"/>
        </w:rPr>
        <w:t xml:space="preserve">going </w:t>
      </w:r>
      <w:r w:rsidR="00872B23" w:rsidRPr="00872B23">
        <w:rPr>
          <w:rFonts w:ascii="Arial" w:hAnsi="Arial" w:cs="Arial"/>
          <w:sz w:val="20"/>
          <w:szCs w:val="20"/>
        </w:rPr>
        <w:t xml:space="preserve">into the summer season. </w:t>
      </w:r>
      <w:r w:rsidR="00B75D3A">
        <w:rPr>
          <w:rFonts w:ascii="Arial" w:hAnsi="Arial" w:cs="Arial"/>
          <w:sz w:val="20"/>
          <w:szCs w:val="20"/>
        </w:rPr>
        <w:t xml:space="preserve">While elevated freight costs will </w:t>
      </w:r>
      <w:r w:rsidR="00A81DD5">
        <w:rPr>
          <w:rFonts w:ascii="Arial" w:hAnsi="Arial" w:cs="Arial"/>
          <w:sz w:val="20"/>
          <w:szCs w:val="20"/>
        </w:rPr>
        <w:t xml:space="preserve">likely </w:t>
      </w:r>
      <w:r w:rsidR="00B75D3A">
        <w:rPr>
          <w:rFonts w:ascii="Arial" w:hAnsi="Arial" w:cs="Arial"/>
          <w:sz w:val="20"/>
          <w:szCs w:val="20"/>
        </w:rPr>
        <w:t>persist, summer typically means more regional crops, which</w:t>
      </w:r>
      <w:r w:rsidR="00872B23" w:rsidRPr="00872B23">
        <w:rPr>
          <w:rFonts w:ascii="Arial" w:hAnsi="Arial" w:cs="Arial"/>
          <w:sz w:val="20"/>
          <w:szCs w:val="20"/>
        </w:rPr>
        <w:t xml:space="preserve"> could lessen the burden of high </w:t>
      </w:r>
      <w:r w:rsidR="00B75D3A">
        <w:rPr>
          <w:rFonts w:ascii="Arial" w:hAnsi="Arial" w:cs="Arial"/>
          <w:sz w:val="20"/>
          <w:szCs w:val="20"/>
        </w:rPr>
        <w:t xml:space="preserve">transportation </w:t>
      </w:r>
      <w:r w:rsidR="00872B23" w:rsidRPr="00872B23">
        <w:rPr>
          <w:rFonts w:ascii="Arial" w:hAnsi="Arial" w:cs="Arial"/>
          <w:sz w:val="20"/>
          <w:szCs w:val="20"/>
        </w:rPr>
        <w:t>costs.”</w:t>
      </w:r>
      <w:r w:rsidR="00C616F0">
        <w:rPr>
          <w:rFonts w:ascii="Arial" w:hAnsi="Arial" w:cs="Arial"/>
          <w:sz w:val="20"/>
          <w:szCs w:val="20"/>
        </w:rPr>
        <w:t xml:space="preserve">  </w:t>
      </w:r>
    </w:p>
    <w:p w14:paraId="2EDF8097" w14:textId="77777777" w:rsidR="00DD3DF6" w:rsidRPr="000A543A" w:rsidRDefault="00DD3DF6" w:rsidP="00DD3DF6">
      <w:pPr>
        <w:pStyle w:val="NoSpacing"/>
        <w:rPr>
          <w:rFonts w:ascii="Arial" w:hAnsi="Arial" w:cs="Arial"/>
          <w:sz w:val="20"/>
          <w:szCs w:val="20"/>
        </w:rPr>
      </w:pPr>
    </w:p>
    <w:tbl>
      <w:tblPr>
        <w:tblStyle w:val="LightShading-Accent5"/>
        <w:tblW w:w="10008" w:type="dxa"/>
        <w:tblBorders>
          <w:top w:val="none" w:sz="0" w:space="0" w:color="auto"/>
          <w:bottom w:val="none" w:sz="0" w:space="0" w:color="auto"/>
        </w:tblBorders>
        <w:tblLook w:val="04A0" w:firstRow="1" w:lastRow="0" w:firstColumn="1" w:lastColumn="0" w:noHBand="0" w:noVBand="1"/>
      </w:tblPr>
      <w:tblGrid>
        <w:gridCol w:w="4260"/>
        <w:gridCol w:w="2130"/>
        <w:gridCol w:w="1702"/>
        <w:gridCol w:w="1916"/>
      </w:tblGrid>
      <w:tr w:rsidR="00DD3DF6" w:rsidRPr="002A71C0" w14:paraId="34E708B3" w14:textId="77777777" w:rsidTr="001F29DC">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260" w:type="dxa"/>
            <w:tcBorders>
              <w:top w:val="none" w:sz="0" w:space="0" w:color="auto"/>
              <w:bottom w:val="none" w:sz="0" w:space="0" w:color="auto"/>
            </w:tcBorders>
            <w:shd w:val="clear" w:color="auto" w:fill="17365D" w:themeFill="text2" w:themeFillShade="BF"/>
            <w:vAlign w:val="center"/>
          </w:tcPr>
          <w:p w14:paraId="4F54E5B7" w14:textId="374E1DE7" w:rsidR="00DD3DF6" w:rsidRPr="004850A1" w:rsidRDefault="00DD3DF6" w:rsidP="001F29DC">
            <w:pPr>
              <w:pStyle w:val="NoSpacing"/>
              <w:rPr>
                <w:rFonts w:ascii="Arial" w:hAnsi="Arial" w:cs="Arial"/>
                <w:color w:val="FFFFFF" w:themeColor="background1"/>
                <w:sz w:val="18"/>
                <w:szCs w:val="18"/>
              </w:rPr>
            </w:pPr>
            <w:r w:rsidRPr="004850A1">
              <w:rPr>
                <w:rFonts w:ascii="Arial" w:hAnsi="Arial" w:cs="Arial"/>
                <w:color w:val="FFFFFF" w:themeColor="background1"/>
                <w:sz w:val="18"/>
                <w:szCs w:val="18"/>
              </w:rPr>
              <w:t>Price per volume</w:t>
            </w:r>
            <w:r w:rsidR="00551D01">
              <w:rPr>
                <w:rFonts w:ascii="Arial" w:hAnsi="Arial" w:cs="Arial"/>
                <w:color w:val="FFFFFF" w:themeColor="background1"/>
                <w:sz w:val="18"/>
                <w:szCs w:val="18"/>
              </w:rPr>
              <w:t xml:space="preserve"> (lb)</w:t>
            </w:r>
          </w:p>
        </w:tc>
        <w:tc>
          <w:tcPr>
            <w:tcW w:w="2130" w:type="dxa"/>
            <w:tcBorders>
              <w:top w:val="none" w:sz="0" w:space="0" w:color="auto"/>
              <w:bottom w:val="none" w:sz="0" w:space="0" w:color="auto"/>
            </w:tcBorders>
            <w:shd w:val="clear" w:color="auto" w:fill="17365D" w:themeFill="text2" w:themeFillShade="BF"/>
            <w:vAlign w:val="center"/>
          </w:tcPr>
          <w:p w14:paraId="06FD748D" w14:textId="77777777" w:rsidR="00DD3DF6" w:rsidRPr="004850A1" w:rsidRDefault="00DD3DF6"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850A1">
              <w:rPr>
                <w:rFonts w:ascii="Arial" w:hAnsi="Arial" w:cs="Arial"/>
                <w:color w:val="FFFFFF" w:themeColor="background1"/>
                <w:sz w:val="18"/>
                <w:szCs w:val="18"/>
              </w:rPr>
              <w:t>Price/volume</w:t>
            </w:r>
          </w:p>
        </w:tc>
        <w:tc>
          <w:tcPr>
            <w:tcW w:w="1702" w:type="dxa"/>
            <w:tcBorders>
              <w:top w:val="none" w:sz="0" w:space="0" w:color="auto"/>
              <w:bottom w:val="none" w:sz="0" w:space="0" w:color="auto"/>
            </w:tcBorders>
            <w:shd w:val="clear" w:color="auto" w:fill="17365D" w:themeFill="text2" w:themeFillShade="BF"/>
            <w:vAlign w:val="center"/>
          </w:tcPr>
          <w:p w14:paraId="446CFB3F" w14:textId="77777777" w:rsidR="00DD3DF6" w:rsidRPr="004850A1" w:rsidRDefault="00DD3DF6"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850A1">
              <w:rPr>
                <w:rFonts w:ascii="Arial" w:hAnsi="Arial" w:cs="Arial"/>
                <w:color w:val="FFFFFF" w:themeColor="background1"/>
                <w:sz w:val="18"/>
                <w:szCs w:val="18"/>
              </w:rPr>
              <w:t>Change vs. 202</w:t>
            </w:r>
            <w:r w:rsidR="0038781D">
              <w:rPr>
                <w:rFonts w:ascii="Arial" w:hAnsi="Arial" w:cs="Arial"/>
                <w:color w:val="FFFFFF" w:themeColor="background1"/>
                <w:sz w:val="18"/>
                <w:szCs w:val="18"/>
              </w:rPr>
              <w:t>1</w:t>
            </w:r>
          </w:p>
        </w:tc>
        <w:tc>
          <w:tcPr>
            <w:tcW w:w="1916" w:type="dxa"/>
            <w:tcBorders>
              <w:top w:val="none" w:sz="0" w:space="0" w:color="auto"/>
              <w:bottom w:val="none" w:sz="0" w:space="0" w:color="auto"/>
            </w:tcBorders>
            <w:shd w:val="clear" w:color="auto" w:fill="17365D" w:themeFill="text2" w:themeFillShade="BF"/>
            <w:vAlign w:val="center"/>
          </w:tcPr>
          <w:p w14:paraId="23EF784E" w14:textId="77777777" w:rsidR="00DD3DF6" w:rsidRPr="004850A1" w:rsidRDefault="00DD3DF6"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850A1">
              <w:rPr>
                <w:rFonts w:ascii="Arial" w:hAnsi="Arial" w:cs="Arial"/>
                <w:color w:val="FFFFFF" w:themeColor="background1"/>
                <w:sz w:val="18"/>
                <w:szCs w:val="18"/>
              </w:rPr>
              <w:t>Change vs. 20</w:t>
            </w:r>
            <w:r w:rsidR="0038781D">
              <w:rPr>
                <w:rFonts w:ascii="Arial" w:hAnsi="Arial" w:cs="Arial"/>
                <w:color w:val="FFFFFF" w:themeColor="background1"/>
                <w:sz w:val="18"/>
                <w:szCs w:val="18"/>
              </w:rPr>
              <w:t>20</w:t>
            </w:r>
          </w:p>
        </w:tc>
      </w:tr>
      <w:tr w:rsidR="007F5087" w:rsidRPr="00B75D3A" w14:paraId="1434C87A" w14:textId="77777777" w:rsidTr="00D6564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60" w:type="dxa"/>
            <w:vAlign w:val="center"/>
          </w:tcPr>
          <w:p w14:paraId="1E4595FE" w14:textId="7F892E0D" w:rsidR="00BF64A8" w:rsidRPr="00B75D3A" w:rsidRDefault="00BF64A8" w:rsidP="00BF64A8">
            <w:pPr>
              <w:pStyle w:val="NoSpacing"/>
              <w:jc w:val="right"/>
              <w:rPr>
                <w:rFonts w:ascii="Arial" w:hAnsi="Arial" w:cs="Arial"/>
                <w:color w:val="215868" w:themeColor="accent5" w:themeShade="80"/>
                <w:sz w:val="18"/>
                <w:szCs w:val="18"/>
              </w:rPr>
            </w:pPr>
            <w:r w:rsidRPr="00B75D3A">
              <w:rPr>
                <w:rFonts w:ascii="Arial" w:hAnsi="Arial" w:cs="Arial"/>
                <w:color w:val="215868" w:themeColor="accent5" w:themeShade="80"/>
                <w:sz w:val="18"/>
                <w:szCs w:val="18"/>
              </w:rPr>
              <w:t xml:space="preserve">Total fresh produce </w:t>
            </w:r>
            <w:r w:rsidR="002769A5" w:rsidRPr="00B75D3A">
              <w:rPr>
                <w:rFonts w:ascii="Arial" w:hAnsi="Arial" w:cs="Arial"/>
                <w:color w:val="215868" w:themeColor="accent5" w:themeShade="80"/>
                <w:sz w:val="18"/>
                <w:szCs w:val="18"/>
              </w:rPr>
              <w:t xml:space="preserve">April </w:t>
            </w:r>
            <w:r w:rsidRPr="00B75D3A">
              <w:rPr>
                <w:rFonts w:ascii="Arial" w:hAnsi="Arial" w:cs="Arial"/>
                <w:color w:val="215868" w:themeColor="accent5" w:themeShade="80"/>
                <w:sz w:val="18"/>
                <w:szCs w:val="18"/>
              </w:rPr>
              <w:t>2022</w:t>
            </w:r>
          </w:p>
        </w:tc>
        <w:tc>
          <w:tcPr>
            <w:tcW w:w="2130" w:type="dxa"/>
            <w:vAlign w:val="center"/>
          </w:tcPr>
          <w:p w14:paraId="6E97F861" w14:textId="73392B6F" w:rsidR="00BF64A8" w:rsidRPr="00B75D3A" w:rsidRDefault="00BF64A8" w:rsidP="00D65642">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18"/>
              </w:rPr>
            </w:pPr>
            <w:r w:rsidRPr="00B75D3A">
              <w:rPr>
                <w:rFonts w:ascii="Arial" w:hAnsi="Arial" w:cs="Arial"/>
                <w:b/>
                <w:bCs/>
                <w:color w:val="215868" w:themeColor="accent5" w:themeShade="80"/>
                <w:sz w:val="18"/>
                <w:szCs w:val="18"/>
              </w:rPr>
              <w:t>$</w:t>
            </w:r>
            <w:r w:rsidR="002769A5" w:rsidRPr="00B75D3A">
              <w:rPr>
                <w:rFonts w:ascii="Arial" w:hAnsi="Arial" w:cs="Arial"/>
                <w:b/>
                <w:bCs/>
                <w:color w:val="215868" w:themeColor="accent5" w:themeShade="80"/>
                <w:sz w:val="18"/>
                <w:szCs w:val="18"/>
              </w:rPr>
              <w:t>1.89</w:t>
            </w:r>
          </w:p>
        </w:tc>
        <w:tc>
          <w:tcPr>
            <w:tcW w:w="1702" w:type="dxa"/>
            <w:vAlign w:val="center"/>
          </w:tcPr>
          <w:p w14:paraId="5720898A" w14:textId="78D6B83A" w:rsidR="00BF64A8" w:rsidRPr="00B75D3A" w:rsidRDefault="00BF64A8" w:rsidP="00D65642">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18"/>
              </w:rPr>
            </w:pPr>
            <w:r w:rsidRPr="00B75D3A">
              <w:rPr>
                <w:rFonts w:ascii="Arial" w:hAnsi="Arial" w:cs="Arial"/>
                <w:b/>
                <w:bCs/>
                <w:color w:val="215868" w:themeColor="accent5" w:themeShade="80"/>
                <w:sz w:val="18"/>
                <w:szCs w:val="18"/>
              </w:rPr>
              <w:t>+</w:t>
            </w:r>
            <w:r w:rsidR="002769A5" w:rsidRPr="00B75D3A">
              <w:rPr>
                <w:rFonts w:ascii="Arial" w:hAnsi="Arial" w:cs="Arial"/>
                <w:b/>
                <w:bCs/>
                <w:color w:val="215868" w:themeColor="accent5" w:themeShade="80"/>
                <w:sz w:val="18"/>
                <w:szCs w:val="18"/>
              </w:rPr>
              <w:t>10.1</w:t>
            </w:r>
            <w:r w:rsidRPr="00B75D3A">
              <w:rPr>
                <w:rFonts w:ascii="Arial" w:hAnsi="Arial" w:cs="Arial"/>
                <w:b/>
                <w:bCs/>
                <w:color w:val="215868" w:themeColor="accent5" w:themeShade="80"/>
                <w:sz w:val="18"/>
                <w:szCs w:val="18"/>
              </w:rPr>
              <w:t>%</w:t>
            </w:r>
          </w:p>
        </w:tc>
        <w:tc>
          <w:tcPr>
            <w:tcW w:w="1916" w:type="dxa"/>
            <w:vAlign w:val="center"/>
          </w:tcPr>
          <w:p w14:paraId="164946FB" w14:textId="15C3D277" w:rsidR="00BF64A8" w:rsidRPr="00B75D3A" w:rsidRDefault="00BF64A8" w:rsidP="00D65642">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w:t>
            </w:r>
            <w:r w:rsidR="002769A5" w:rsidRPr="00B75D3A">
              <w:rPr>
                <w:rFonts w:ascii="Arial" w:hAnsi="Arial" w:cs="Arial"/>
                <w:b/>
                <w:bCs/>
                <w:color w:val="215868" w:themeColor="accent5" w:themeShade="80"/>
                <w:sz w:val="18"/>
                <w:szCs w:val="18"/>
              </w:rPr>
              <w:t>19.0</w:t>
            </w:r>
            <w:r w:rsidRPr="00B75D3A">
              <w:rPr>
                <w:rFonts w:ascii="Arial" w:hAnsi="Arial" w:cs="Arial"/>
                <w:b/>
                <w:bCs/>
                <w:color w:val="215868" w:themeColor="accent5" w:themeShade="80"/>
                <w:sz w:val="18"/>
                <w:szCs w:val="18"/>
              </w:rPr>
              <w:t>%</w:t>
            </w:r>
          </w:p>
        </w:tc>
      </w:tr>
      <w:tr w:rsidR="007F5087" w:rsidRPr="007F5087" w14:paraId="5A66D034" w14:textId="77777777" w:rsidTr="00D65642">
        <w:trPr>
          <w:trHeight w:val="259"/>
        </w:trPr>
        <w:tc>
          <w:tcPr>
            <w:cnfStyle w:val="001000000000" w:firstRow="0" w:lastRow="0" w:firstColumn="1" w:lastColumn="0" w:oddVBand="0" w:evenVBand="0" w:oddHBand="0" w:evenHBand="0" w:firstRowFirstColumn="0" w:firstRowLastColumn="0" w:lastRowFirstColumn="0" w:lastRowLastColumn="0"/>
            <w:tcW w:w="4260" w:type="dxa"/>
          </w:tcPr>
          <w:p w14:paraId="47FBBA20" w14:textId="0A386F92" w:rsidR="002769A5" w:rsidRPr="007F5087" w:rsidRDefault="002769A5" w:rsidP="002769A5">
            <w:pPr>
              <w:pStyle w:val="NoSpacing"/>
              <w:jc w:val="right"/>
              <w:rPr>
                <w:rFonts w:ascii="Arial" w:hAnsi="Arial" w:cs="Arial"/>
                <w:b w:val="0"/>
                <w:bCs w:val="0"/>
                <w:color w:val="215868" w:themeColor="accent5" w:themeShade="80"/>
                <w:sz w:val="18"/>
                <w:szCs w:val="18"/>
              </w:rPr>
            </w:pPr>
            <w:r w:rsidRPr="007F5087">
              <w:rPr>
                <w:rFonts w:ascii="Arial" w:hAnsi="Arial" w:cs="Arial"/>
                <w:b w:val="0"/>
                <w:bCs w:val="0"/>
                <w:color w:val="215868" w:themeColor="accent5" w:themeShade="80"/>
                <w:sz w:val="18"/>
                <w:szCs w:val="18"/>
              </w:rPr>
              <w:t>Total fresh produce latest 52 weeks</w:t>
            </w:r>
          </w:p>
        </w:tc>
        <w:tc>
          <w:tcPr>
            <w:tcW w:w="2130" w:type="dxa"/>
            <w:vAlign w:val="center"/>
          </w:tcPr>
          <w:p w14:paraId="1F20343F" w14:textId="3FBAE9F8"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$1.73</w:t>
            </w:r>
          </w:p>
        </w:tc>
        <w:tc>
          <w:tcPr>
            <w:tcW w:w="1702" w:type="dxa"/>
            <w:vAlign w:val="center"/>
          </w:tcPr>
          <w:p w14:paraId="31810777" w14:textId="1DC2015B"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+7.7%</w:t>
            </w:r>
          </w:p>
        </w:tc>
        <w:tc>
          <w:tcPr>
            <w:tcW w:w="1916" w:type="dxa"/>
            <w:vAlign w:val="center"/>
          </w:tcPr>
          <w:p w14:paraId="3E082B02" w14:textId="2FF38879"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+10.8%</w:t>
            </w:r>
          </w:p>
        </w:tc>
      </w:tr>
      <w:tr w:rsidR="007F5087" w:rsidRPr="00B75D3A" w14:paraId="5B57AE54" w14:textId="77777777" w:rsidTr="00D6564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60" w:type="dxa"/>
            <w:vAlign w:val="center"/>
          </w:tcPr>
          <w:p w14:paraId="71D907A4" w14:textId="1171F2C7" w:rsidR="002769A5" w:rsidRPr="00B75D3A" w:rsidRDefault="002769A5" w:rsidP="002769A5">
            <w:pPr>
              <w:pStyle w:val="NoSpacing"/>
              <w:jc w:val="right"/>
              <w:rPr>
                <w:rFonts w:ascii="Arial" w:hAnsi="Arial" w:cs="Arial"/>
                <w:color w:val="215868" w:themeColor="accent5" w:themeShade="80"/>
                <w:sz w:val="18"/>
                <w:szCs w:val="18"/>
              </w:rPr>
            </w:pPr>
            <w:r w:rsidRPr="00B75D3A">
              <w:rPr>
                <w:rFonts w:ascii="Arial" w:hAnsi="Arial" w:cs="Arial"/>
                <w:color w:val="215868" w:themeColor="accent5" w:themeShade="80"/>
                <w:sz w:val="18"/>
                <w:szCs w:val="18"/>
              </w:rPr>
              <w:t>Fresh fruit April 2022</w:t>
            </w:r>
          </w:p>
        </w:tc>
        <w:tc>
          <w:tcPr>
            <w:tcW w:w="2130" w:type="dxa"/>
            <w:vAlign w:val="center"/>
          </w:tcPr>
          <w:p w14:paraId="2E070CA6" w14:textId="24595C6A"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$1.79</w:t>
            </w:r>
          </w:p>
        </w:tc>
        <w:tc>
          <w:tcPr>
            <w:tcW w:w="1702" w:type="dxa"/>
            <w:vAlign w:val="center"/>
          </w:tcPr>
          <w:p w14:paraId="5F7D0FB3" w14:textId="6CCA52F2"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+13.1%</w:t>
            </w:r>
          </w:p>
        </w:tc>
        <w:tc>
          <w:tcPr>
            <w:tcW w:w="1916" w:type="dxa"/>
            <w:vAlign w:val="center"/>
          </w:tcPr>
          <w:p w14:paraId="5BD0263C" w14:textId="7C67D1CB"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w:t>
            </w:r>
            <w:r w:rsidR="00CE5C38" w:rsidRPr="00B75D3A">
              <w:rPr>
                <w:rFonts w:ascii="Arial" w:hAnsi="Arial" w:cs="Arial"/>
                <w:b/>
                <w:bCs/>
                <w:color w:val="215868" w:themeColor="accent5" w:themeShade="80"/>
                <w:sz w:val="18"/>
                <w:szCs w:val="18"/>
              </w:rPr>
              <w:t>22.6</w:t>
            </w:r>
            <w:r w:rsidRPr="00B75D3A">
              <w:rPr>
                <w:rFonts w:ascii="Arial" w:hAnsi="Arial" w:cs="Arial"/>
                <w:b/>
                <w:bCs/>
                <w:color w:val="215868" w:themeColor="accent5" w:themeShade="80"/>
                <w:sz w:val="18"/>
                <w:szCs w:val="18"/>
              </w:rPr>
              <w:t>%</w:t>
            </w:r>
          </w:p>
        </w:tc>
      </w:tr>
      <w:tr w:rsidR="007F5087" w:rsidRPr="007F5087" w14:paraId="1144520F" w14:textId="77777777" w:rsidTr="00D65642">
        <w:trPr>
          <w:trHeight w:val="259"/>
        </w:trPr>
        <w:tc>
          <w:tcPr>
            <w:cnfStyle w:val="001000000000" w:firstRow="0" w:lastRow="0" w:firstColumn="1" w:lastColumn="0" w:oddVBand="0" w:evenVBand="0" w:oddHBand="0" w:evenHBand="0" w:firstRowFirstColumn="0" w:firstRowLastColumn="0" w:lastRowFirstColumn="0" w:lastRowLastColumn="0"/>
            <w:tcW w:w="4260" w:type="dxa"/>
            <w:vAlign w:val="center"/>
          </w:tcPr>
          <w:p w14:paraId="4DC7A0E2" w14:textId="77777777" w:rsidR="002769A5" w:rsidRPr="007F5087" w:rsidRDefault="002769A5" w:rsidP="002769A5">
            <w:pPr>
              <w:pStyle w:val="NoSpacing"/>
              <w:jc w:val="right"/>
              <w:rPr>
                <w:rFonts w:ascii="Arial" w:hAnsi="Arial" w:cs="Arial"/>
                <w:b w:val="0"/>
                <w:bCs w:val="0"/>
                <w:color w:val="215868" w:themeColor="accent5" w:themeShade="80"/>
                <w:sz w:val="18"/>
                <w:szCs w:val="18"/>
              </w:rPr>
            </w:pPr>
            <w:r w:rsidRPr="007F5087">
              <w:rPr>
                <w:rFonts w:ascii="Arial" w:hAnsi="Arial" w:cs="Arial"/>
                <w:b w:val="0"/>
                <w:bCs w:val="0"/>
                <w:color w:val="215868" w:themeColor="accent5" w:themeShade="80"/>
                <w:sz w:val="18"/>
                <w:szCs w:val="18"/>
              </w:rPr>
              <w:t xml:space="preserve"> Fresh fruit latest 52 weeks</w:t>
            </w:r>
          </w:p>
        </w:tc>
        <w:tc>
          <w:tcPr>
            <w:tcW w:w="2130" w:type="dxa"/>
            <w:vAlign w:val="center"/>
          </w:tcPr>
          <w:p w14:paraId="7E73EC2B" w14:textId="43355D6E"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$1.61</w:t>
            </w:r>
          </w:p>
        </w:tc>
        <w:tc>
          <w:tcPr>
            <w:tcW w:w="1702" w:type="dxa"/>
            <w:vAlign w:val="center"/>
          </w:tcPr>
          <w:p w14:paraId="4038274E" w14:textId="1DADE0F2"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+10.9%</w:t>
            </w:r>
          </w:p>
        </w:tc>
        <w:tc>
          <w:tcPr>
            <w:tcW w:w="1916" w:type="dxa"/>
            <w:vAlign w:val="center"/>
          </w:tcPr>
          <w:p w14:paraId="4548B493" w14:textId="6541443C"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w:t>
            </w:r>
            <w:r w:rsidR="00CE5C38" w:rsidRPr="007F5087">
              <w:rPr>
                <w:rFonts w:ascii="Arial" w:hAnsi="Arial" w:cs="Arial"/>
                <w:color w:val="215868" w:themeColor="accent5" w:themeShade="80"/>
                <w:sz w:val="18"/>
                <w:szCs w:val="18"/>
              </w:rPr>
              <w:t>13.6</w:t>
            </w:r>
            <w:r w:rsidRPr="007F5087">
              <w:rPr>
                <w:rFonts w:ascii="Arial" w:hAnsi="Arial" w:cs="Arial"/>
                <w:color w:val="215868" w:themeColor="accent5" w:themeShade="80"/>
                <w:sz w:val="18"/>
                <w:szCs w:val="18"/>
              </w:rPr>
              <w:t>%</w:t>
            </w:r>
          </w:p>
        </w:tc>
      </w:tr>
      <w:tr w:rsidR="007F5087" w:rsidRPr="00B75D3A" w14:paraId="49DE74F5" w14:textId="77777777" w:rsidTr="00D6564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260" w:type="dxa"/>
            <w:vAlign w:val="center"/>
          </w:tcPr>
          <w:p w14:paraId="354E4AFC" w14:textId="51C9EFBD" w:rsidR="002769A5" w:rsidRPr="00B75D3A" w:rsidRDefault="002769A5" w:rsidP="002769A5">
            <w:pPr>
              <w:pStyle w:val="NoSpacing"/>
              <w:jc w:val="right"/>
              <w:rPr>
                <w:rFonts w:ascii="Arial" w:hAnsi="Arial" w:cs="Arial"/>
                <w:color w:val="215868" w:themeColor="accent5" w:themeShade="80"/>
                <w:sz w:val="18"/>
                <w:szCs w:val="18"/>
              </w:rPr>
            </w:pPr>
            <w:r w:rsidRPr="00B75D3A">
              <w:rPr>
                <w:rFonts w:ascii="Arial" w:hAnsi="Arial" w:cs="Arial"/>
                <w:color w:val="215868" w:themeColor="accent5" w:themeShade="80"/>
                <w:sz w:val="18"/>
                <w:szCs w:val="18"/>
              </w:rPr>
              <w:t>Fresh vegetables April 2022</w:t>
            </w:r>
          </w:p>
        </w:tc>
        <w:tc>
          <w:tcPr>
            <w:tcW w:w="2130" w:type="dxa"/>
            <w:vAlign w:val="center"/>
          </w:tcPr>
          <w:p w14:paraId="179F7533" w14:textId="43C905BB"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w:t>
            </w:r>
            <w:r w:rsidR="00CE5C38" w:rsidRPr="00B75D3A">
              <w:rPr>
                <w:rFonts w:ascii="Arial" w:hAnsi="Arial" w:cs="Arial"/>
                <w:b/>
                <w:bCs/>
                <w:color w:val="215868" w:themeColor="accent5" w:themeShade="80"/>
                <w:sz w:val="18"/>
                <w:szCs w:val="18"/>
              </w:rPr>
              <w:t>1.97</w:t>
            </w:r>
          </w:p>
        </w:tc>
        <w:tc>
          <w:tcPr>
            <w:tcW w:w="1702" w:type="dxa"/>
            <w:vAlign w:val="center"/>
          </w:tcPr>
          <w:p w14:paraId="5B5FDC39" w14:textId="1ACEC7FB"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w:t>
            </w:r>
            <w:r w:rsidR="00CE5C38" w:rsidRPr="00B75D3A">
              <w:rPr>
                <w:rFonts w:ascii="Arial" w:hAnsi="Arial" w:cs="Arial"/>
                <w:b/>
                <w:bCs/>
                <w:color w:val="215868" w:themeColor="accent5" w:themeShade="80"/>
                <w:sz w:val="18"/>
                <w:szCs w:val="18"/>
              </w:rPr>
              <w:t>6.9</w:t>
            </w:r>
            <w:r w:rsidRPr="00B75D3A">
              <w:rPr>
                <w:rFonts w:ascii="Arial" w:hAnsi="Arial" w:cs="Arial"/>
                <w:b/>
                <w:bCs/>
                <w:color w:val="215868" w:themeColor="accent5" w:themeShade="80"/>
                <w:sz w:val="18"/>
                <w:szCs w:val="18"/>
              </w:rPr>
              <w:t>%</w:t>
            </w:r>
          </w:p>
        </w:tc>
        <w:tc>
          <w:tcPr>
            <w:tcW w:w="1916" w:type="dxa"/>
            <w:vAlign w:val="center"/>
          </w:tcPr>
          <w:p w14:paraId="0790677A" w14:textId="0D921AEC" w:rsidR="002769A5" w:rsidRPr="00B75D3A" w:rsidRDefault="002769A5" w:rsidP="002769A5">
            <w:pPr>
              <w:jc w:val="right"/>
              <w:cnfStyle w:val="000000100000" w:firstRow="0" w:lastRow="0" w:firstColumn="0" w:lastColumn="0" w:oddVBand="0" w:evenVBand="0" w:oddHBand="1" w:evenHBand="0" w:firstRowFirstColumn="0" w:firstRowLastColumn="0" w:lastRowFirstColumn="0" w:lastRowLastColumn="0"/>
              <w:rPr>
                <w:b/>
                <w:bCs/>
                <w:color w:val="215868" w:themeColor="accent5" w:themeShade="80"/>
              </w:rPr>
            </w:pPr>
            <w:r w:rsidRPr="00B75D3A">
              <w:rPr>
                <w:rFonts w:ascii="Arial" w:hAnsi="Arial" w:cs="Arial"/>
                <w:b/>
                <w:bCs/>
                <w:color w:val="215868" w:themeColor="accent5" w:themeShade="80"/>
                <w:sz w:val="18"/>
                <w:szCs w:val="18"/>
              </w:rPr>
              <w:t>+</w:t>
            </w:r>
            <w:r w:rsidR="00CE5C38" w:rsidRPr="00B75D3A">
              <w:rPr>
                <w:rFonts w:ascii="Arial" w:hAnsi="Arial" w:cs="Arial"/>
                <w:b/>
                <w:bCs/>
                <w:color w:val="215868" w:themeColor="accent5" w:themeShade="80"/>
                <w:sz w:val="18"/>
                <w:szCs w:val="18"/>
              </w:rPr>
              <w:t>15.7</w:t>
            </w:r>
            <w:r w:rsidRPr="00B75D3A">
              <w:rPr>
                <w:rFonts w:ascii="Arial" w:hAnsi="Arial" w:cs="Arial"/>
                <w:b/>
                <w:bCs/>
                <w:color w:val="215868" w:themeColor="accent5" w:themeShade="80"/>
                <w:sz w:val="18"/>
                <w:szCs w:val="18"/>
              </w:rPr>
              <w:t>%</w:t>
            </w:r>
          </w:p>
        </w:tc>
      </w:tr>
      <w:tr w:rsidR="007F5087" w:rsidRPr="007F5087" w14:paraId="0E7328F7" w14:textId="77777777" w:rsidTr="00D65642">
        <w:trPr>
          <w:trHeight w:val="259"/>
        </w:trPr>
        <w:tc>
          <w:tcPr>
            <w:cnfStyle w:val="001000000000" w:firstRow="0" w:lastRow="0" w:firstColumn="1" w:lastColumn="0" w:oddVBand="0" w:evenVBand="0" w:oddHBand="0" w:evenHBand="0" w:firstRowFirstColumn="0" w:firstRowLastColumn="0" w:lastRowFirstColumn="0" w:lastRowLastColumn="0"/>
            <w:tcW w:w="4260" w:type="dxa"/>
          </w:tcPr>
          <w:p w14:paraId="7639B956" w14:textId="1EF08D42" w:rsidR="002769A5" w:rsidRPr="007F5087" w:rsidRDefault="002769A5" w:rsidP="002769A5">
            <w:pPr>
              <w:pStyle w:val="NoSpacing"/>
              <w:jc w:val="right"/>
              <w:rPr>
                <w:rFonts w:ascii="Arial" w:hAnsi="Arial" w:cs="Arial"/>
                <w:b w:val="0"/>
                <w:bCs w:val="0"/>
                <w:color w:val="215868" w:themeColor="accent5" w:themeShade="80"/>
                <w:sz w:val="18"/>
                <w:szCs w:val="18"/>
              </w:rPr>
            </w:pPr>
            <w:r w:rsidRPr="007F5087">
              <w:rPr>
                <w:rFonts w:ascii="Arial" w:hAnsi="Arial" w:cs="Arial"/>
                <w:b w:val="0"/>
                <w:bCs w:val="0"/>
                <w:color w:val="215868" w:themeColor="accent5" w:themeShade="80"/>
                <w:sz w:val="18"/>
                <w:szCs w:val="18"/>
              </w:rPr>
              <w:t>Fresh vegetables latest 52 weeks</w:t>
            </w:r>
          </w:p>
        </w:tc>
        <w:tc>
          <w:tcPr>
            <w:tcW w:w="2130" w:type="dxa"/>
            <w:vAlign w:val="center"/>
          </w:tcPr>
          <w:p w14:paraId="1F880C62" w14:textId="634200A0"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w:t>
            </w:r>
            <w:r w:rsidR="00CE5C38" w:rsidRPr="007F5087">
              <w:rPr>
                <w:rFonts w:ascii="Arial" w:hAnsi="Arial" w:cs="Arial"/>
                <w:color w:val="215868" w:themeColor="accent5" w:themeShade="80"/>
                <w:sz w:val="18"/>
                <w:szCs w:val="18"/>
              </w:rPr>
              <w:t>1.83</w:t>
            </w:r>
          </w:p>
        </w:tc>
        <w:tc>
          <w:tcPr>
            <w:tcW w:w="1702" w:type="dxa"/>
            <w:vAlign w:val="center"/>
          </w:tcPr>
          <w:p w14:paraId="414FD40F" w14:textId="7B1C03BC"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w:t>
            </w:r>
            <w:r w:rsidR="00CE5C38" w:rsidRPr="007F5087">
              <w:rPr>
                <w:rFonts w:ascii="Arial" w:hAnsi="Arial" w:cs="Arial"/>
                <w:color w:val="215868" w:themeColor="accent5" w:themeShade="80"/>
                <w:sz w:val="18"/>
                <w:szCs w:val="18"/>
              </w:rPr>
              <w:t>4.8</w:t>
            </w:r>
            <w:r w:rsidRPr="007F5087">
              <w:rPr>
                <w:rFonts w:ascii="Arial" w:hAnsi="Arial" w:cs="Arial"/>
                <w:color w:val="215868" w:themeColor="accent5" w:themeShade="80"/>
                <w:sz w:val="18"/>
                <w:szCs w:val="18"/>
              </w:rPr>
              <w:t>%</w:t>
            </w:r>
          </w:p>
        </w:tc>
        <w:tc>
          <w:tcPr>
            <w:tcW w:w="1916" w:type="dxa"/>
            <w:vAlign w:val="center"/>
          </w:tcPr>
          <w:p w14:paraId="2E870FBA" w14:textId="105FBD1D" w:rsidR="002769A5" w:rsidRPr="007F5087" w:rsidRDefault="002769A5" w:rsidP="002769A5">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7F5087">
              <w:rPr>
                <w:rFonts w:ascii="Arial" w:hAnsi="Arial" w:cs="Arial"/>
                <w:color w:val="215868" w:themeColor="accent5" w:themeShade="80"/>
                <w:sz w:val="18"/>
                <w:szCs w:val="18"/>
              </w:rPr>
              <w:t>+</w:t>
            </w:r>
            <w:r w:rsidR="00CE5C38" w:rsidRPr="007F5087">
              <w:rPr>
                <w:rFonts w:ascii="Arial" w:hAnsi="Arial" w:cs="Arial"/>
                <w:color w:val="215868" w:themeColor="accent5" w:themeShade="80"/>
                <w:sz w:val="18"/>
                <w:szCs w:val="18"/>
              </w:rPr>
              <w:t>8.1</w:t>
            </w:r>
            <w:r w:rsidRPr="007F5087">
              <w:rPr>
                <w:rFonts w:ascii="Arial" w:hAnsi="Arial" w:cs="Arial"/>
                <w:color w:val="215868" w:themeColor="accent5" w:themeShade="80"/>
                <w:sz w:val="18"/>
                <w:szCs w:val="18"/>
              </w:rPr>
              <w:t>%</w:t>
            </w:r>
          </w:p>
        </w:tc>
      </w:tr>
    </w:tbl>
    <w:p w14:paraId="0F3442BC" w14:textId="77777777" w:rsidR="00DD3DF6" w:rsidRPr="008A1AD9" w:rsidRDefault="00DD3DF6" w:rsidP="00DD3DF6">
      <w:pPr>
        <w:pStyle w:val="NoSpacing"/>
        <w:rPr>
          <w:rFonts w:ascii="Arial" w:hAnsi="Arial" w:cs="Arial"/>
          <w:sz w:val="6"/>
          <w:szCs w:val="6"/>
        </w:rPr>
      </w:pPr>
    </w:p>
    <w:p w14:paraId="62F0D49A" w14:textId="77777777" w:rsidR="00DD3DF6" w:rsidRPr="006879B2" w:rsidRDefault="00DD3DF6" w:rsidP="00DD3DF6">
      <w:pPr>
        <w:pStyle w:val="NoSpacing"/>
        <w:rPr>
          <w:rFonts w:ascii="Arial" w:hAnsi="Arial" w:cs="Arial"/>
          <w:sz w:val="16"/>
          <w:szCs w:val="16"/>
        </w:rPr>
      </w:pPr>
      <w:r>
        <w:rPr>
          <w:rFonts w:ascii="Arial" w:hAnsi="Arial" w:cs="Arial"/>
          <w:sz w:val="16"/>
          <w:szCs w:val="16"/>
        </w:rPr>
        <w:t>Source: IRI, Integrated Fresh, Total US, MULO, average price per volume and % gain versus YA and 2YA</w:t>
      </w:r>
    </w:p>
    <w:p w14:paraId="4C18FB86" w14:textId="55F2548B" w:rsidR="00D8582D" w:rsidRDefault="00D8582D" w:rsidP="001210D2">
      <w:pPr>
        <w:pStyle w:val="NoSpacing"/>
        <w:rPr>
          <w:rFonts w:ascii="Arial" w:hAnsi="Arial" w:cs="Arial"/>
          <w:sz w:val="20"/>
          <w:szCs w:val="20"/>
        </w:rPr>
      </w:pPr>
    </w:p>
    <w:p w14:paraId="4CA242BE" w14:textId="07E76298" w:rsidR="00C616F0" w:rsidRDefault="00C616F0" w:rsidP="001210D2">
      <w:pPr>
        <w:pStyle w:val="NoSpacing"/>
        <w:rPr>
          <w:rFonts w:ascii="Arial" w:hAnsi="Arial" w:cs="Arial"/>
          <w:sz w:val="20"/>
          <w:szCs w:val="20"/>
        </w:rPr>
      </w:pPr>
    </w:p>
    <w:p w14:paraId="2C3B6172" w14:textId="77777777" w:rsidR="00A81DD5" w:rsidRPr="00CF43CE" w:rsidRDefault="00A81DD5" w:rsidP="00A81DD5">
      <w:pPr>
        <w:pStyle w:val="NoSpacing"/>
        <w:rPr>
          <w:rFonts w:ascii="Arial" w:hAnsi="Arial" w:cs="Arial"/>
          <w:b/>
          <w:bCs/>
          <w:color w:val="595959" w:themeColor="text1" w:themeTint="A6"/>
          <w:sz w:val="24"/>
          <w:szCs w:val="24"/>
        </w:rPr>
      </w:pPr>
      <w:r>
        <w:rPr>
          <w:rFonts w:ascii="Arial" w:hAnsi="Arial" w:cs="Arial"/>
          <w:b/>
          <w:bCs/>
          <w:color w:val="595959" w:themeColor="text1" w:themeTint="A6"/>
          <w:sz w:val="24"/>
          <w:szCs w:val="24"/>
        </w:rPr>
        <w:t>April 2022 Sales</w:t>
      </w:r>
    </w:p>
    <w:p w14:paraId="7D16170C" w14:textId="77777777" w:rsidR="00A81DD5" w:rsidRDefault="00A81DD5" w:rsidP="00A81DD5">
      <w:pPr>
        <w:pStyle w:val="NoSpacing"/>
        <w:rPr>
          <w:rFonts w:ascii="Arial" w:hAnsi="Arial" w:cs="Arial"/>
          <w:sz w:val="20"/>
          <w:szCs w:val="20"/>
        </w:rPr>
      </w:pPr>
      <w:r>
        <w:rPr>
          <w:rFonts w:ascii="Arial" w:hAnsi="Arial" w:cs="Arial"/>
          <w:sz w:val="20"/>
          <w:szCs w:val="20"/>
        </w:rPr>
        <w:t xml:space="preserve">The four April </w:t>
      </w:r>
      <w:r w:rsidRPr="006A0AAA">
        <w:rPr>
          <w:rFonts w:ascii="Arial" w:hAnsi="Arial" w:cs="Arial"/>
          <w:sz w:val="20"/>
          <w:szCs w:val="20"/>
        </w:rPr>
        <w:t>2022</w:t>
      </w:r>
      <w:r>
        <w:rPr>
          <w:rFonts w:ascii="Arial" w:hAnsi="Arial" w:cs="Arial"/>
          <w:sz w:val="20"/>
          <w:szCs w:val="20"/>
        </w:rPr>
        <w:t xml:space="preserve"> weeks</w:t>
      </w:r>
      <w:r w:rsidRPr="006A0AAA">
        <w:rPr>
          <w:rFonts w:ascii="Arial" w:hAnsi="Arial" w:cs="Arial"/>
          <w:sz w:val="20"/>
          <w:szCs w:val="20"/>
        </w:rPr>
        <w:t xml:space="preserve"> brought $</w:t>
      </w:r>
      <w:r>
        <w:rPr>
          <w:rFonts w:ascii="Arial" w:hAnsi="Arial" w:cs="Arial"/>
          <w:sz w:val="20"/>
          <w:szCs w:val="20"/>
        </w:rPr>
        <w:t>56.2 billion in total food and beverage sales, which was up from $54.3</w:t>
      </w:r>
      <w:r w:rsidRPr="006A0AAA">
        <w:rPr>
          <w:rFonts w:ascii="Arial" w:hAnsi="Arial" w:cs="Arial"/>
          <w:sz w:val="20"/>
          <w:szCs w:val="20"/>
        </w:rPr>
        <w:t xml:space="preserve"> billion i</w:t>
      </w:r>
      <w:r>
        <w:rPr>
          <w:rFonts w:ascii="Arial" w:hAnsi="Arial" w:cs="Arial"/>
          <w:sz w:val="20"/>
          <w:szCs w:val="20"/>
        </w:rPr>
        <w:t xml:space="preserve">n March — likely boosted by the later Easter/Passover timing. Compared with April 2021, dollars increased 8.0% and compared with pre-pandemic, April sales were up 22.0%. Inflation played a significant role with year-on-year unit sales down 2.4%. Perishables, including produce, seafood, meat, bakery and deli, had slightly above average growth, at +7.6%. Frozen foods had the highest increase versus pre-pandemic, at +29.5%. </w:t>
      </w:r>
    </w:p>
    <w:p w14:paraId="537F0FE2" w14:textId="77777777" w:rsidR="00A81DD5" w:rsidRDefault="00A81DD5" w:rsidP="00A81DD5">
      <w:pPr>
        <w:pStyle w:val="NoSpacing"/>
        <w:rPr>
          <w:rFonts w:ascii="Arial" w:hAnsi="Arial" w:cs="Arial"/>
          <w:sz w:val="20"/>
          <w:szCs w:val="20"/>
        </w:rPr>
      </w:pPr>
    </w:p>
    <w:tbl>
      <w:tblPr>
        <w:tblStyle w:val="LightShading-Accent5"/>
        <w:tblW w:w="10728" w:type="dxa"/>
        <w:tblBorders>
          <w:top w:val="none" w:sz="0" w:space="0" w:color="auto"/>
          <w:bottom w:val="none" w:sz="0" w:space="0" w:color="auto"/>
        </w:tblBorders>
        <w:tblLayout w:type="fixed"/>
        <w:tblLook w:val="04A0" w:firstRow="1" w:lastRow="0" w:firstColumn="1" w:lastColumn="0" w:noHBand="0" w:noVBand="1"/>
      </w:tblPr>
      <w:tblGrid>
        <w:gridCol w:w="2448"/>
        <w:gridCol w:w="504"/>
        <w:gridCol w:w="502"/>
        <w:gridCol w:w="1269"/>
        <w:gridCol w:w="1269"/>
        <w:gridCol w:w="1269"/>
        <w:gridCol w:w="1269"/>
        <w:gridCol w:w="1269"/>
        <w:gridCol w:w="929"/>
      </w:tblGrid>
      <w:tr w:rsidR="00A81DD5" w:rsidRPr="00706DE2" w14:paraId="02D102F0" w14:textId="77777777" w:rsidTr="00B4616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448" w:type="dxa"/>
            <w:vMerge w:val="restart"/>
            <w:tcBorders>
              <w:top w:val="none" w:sz="0" w:space="0" w:color="auto"/>
              <w:left w:val="none" w:sz="0" w:space="0" w:color="auto"/>
              <w:bottom w:val="none" w:sz="0" w:space="0" w:color="auto"/>
              <w:right w:val="none" w:sz="0" w:space="0" w:color="auto"/>
            </w:tcBorders>
            <w:shd w:val="clear" w:color="auto" w:fill="17365D" w:themeFill="text2" w:themeFillShade="BF"/>
            <w:hideMark/>
          </w:tcPr>
          <w:p w14:paraId="4C9139ED" w14:textId="77777777" w:rsidR="00A81DD5" w:rsidRPr="00706DE2" w:rsidRDefault="00A81DD5" w:rsidP="00B4616F">
            <w:pPr>
              <w:rPr>
                <w:rFonts w:ascii="Arial" w:eastAsia="Times New Roman" w:hAnsi="Arial" w:cs="Arial"/>
                <w:color w:val="FFFFFF" w:themeColor="background1"/>
                <w:sz w:val="18"/>
                <w:szCs w:val="20"/>
              </w:rPr>
            </w:pPr>
            <w:r>
              <w:rPr>
                <w:rFonts w:ascii="Arial" w:eastAsia="Times New Roman" w:hAnsi="Arial" w:cs="Arial"/>
                <w:color w:val="FFFFFF" w:themeColor="background1"/>
                <w:sz w:val="18"/>
                <w:szCs w:val="20"/>
              </w:rPr>
              <w:t>April 2022</w:t>
            </w:r>
          </w:p>
        </w:tc>
        <w:tc>
          <w:tcPr>
            <w:tcW w:w="504"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7A68175B" w14:textId="77777777" w:rsidR="00A81DD5" w:rsidRPr="00706DE2" w:rsidRDefault="00A81DD5" w:rsidP="00B461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p>
        </w:tc>
        <w:tc>
          <w:tcPr>
            <w:tcW w:w="7776" w:type="dxa"/>
            <w:gridSpan w:val="7"/>
            <w:tcBorders>
              <w:top w:val="none" w:sz="0" w:space="0" w:color="auto"/>
              <w:left w:val="none" w:sz="0" w:space="0" w:color="auto"/>
              <w:bottom w:val="none" w:sz="0" w:space="0" w:color="auto"/>
              <w:right w:val="none" w:sz="0" w:space="0" w:color="auto"/>
            </w:tcBorders>
            <w:shd w:val="clear" w:color="auto" w:fill="17365D" w:themeFill="text2" w:themeFillShade="BF"/>
          </w:tcPr>
          <w:p w14:paraId="0654EB3C" w14:textId="77777777" w:rsidR="00A81DD5" w:rsidRPr="00706DE2" w:rsidRDefault="00A81DD5" w:rsidP="00B4616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706DE2">
              <w:rPr>
                <w:rFonts w:ascii="Arial" w:eastAsia="Times New Roman" w:hAnsi="Arial" w:cs="Arial"/>
                <w:color w:val="FFFFFF" w:themeColor="background1"/>
                <w:sz w:val="18"/>
                <w:szCs w:val="20"/>
              </w:rPr>
              <w:t>% sales change</w:t>
            </w:r>
            <w:r>
              <w:rPr>
                <w:rFonts w:ascii="Arial" w:eastAsia="Times New Roman" w:hAnsi="Arial" w:cs="Arial"/>
                <w:color w:val="FFFFFF" w:themeColor="background1"/>
                <w:sz w:val="18"/>
                <w:szCs w:val="20"/>
              </w:rPr>
              <w:t xml:space="preserve"> </w:t>
            </w:r>
            <w:r w:rsidRPr="00706DE2">
              <w:rPr>
                <w:rFonts w:ascii="Arial" w:eastAsia="Times New Roman" w:hAnsi="Arial" w:cs="Arial"/>
                <w:color w:val="FFFFFF" w:themeColor="background1"/>
                <w:sz w:val="18"/>
                <w:szCs w:val="20"/>
              </w:rPr>
              <w:t>versus year ago</w:t>
            </w:r>
          </w:p>
        </w:tc>
      </w:tr>
      <w:tr w:rsidR="00A81DD5" w:rsidRPr="00706DE2" w14:paraId="3833D922" w14:textId="77777777" w:rsidTr="00B4616F">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448" w:type="dxa"/>
            <w:vMerge/>
            <w:tcBorders>
              <w:left w:val="none" w:sz="0" w:space="0" w:color="auto"/>
              <w:right w:val="none" w:sz="0" w:space="0" w:color="auto"/>
            </w:tcBorders>
            <w:hideMark/>
          </w:tcPr>
          <w:p w14:paraId="276A7620" w14:textId="77777777" w:rsidR="00A81DD5" w:rsidRPr="00706DE2" w:rsidRDefault="00A81DD5" w:rsidP="00B4616F">
            <w:pPr>
              <w:rPr>
                <w:rFonts w:ascii="Arial" w:eastAsia="Times New Roman" w:hAnsi="Arial" w:cs="Arial"/>
                <w:color w:val="FFFFFF" w:themeColor="background1"/>
                <w:sz w:val="18"/>
                <w:szCs w:val="20"/>
              </w:rPr>
            </w:pPr>
          </w:p>
        </w:tc>
        <w:tc>
          <w:tcPr>
            <w:tcW w:w="1006" w:type="dxa"/>
            <w:gridSpan w:val="2"/>
            <w:tcBorders>
              <w:left w:val="none" w:sz="0" w:space="0" w:color="auto"/>
              <w:right w:val="none" w:sz="0" w:space="0" w:color="auto"/>
            </w:tcBorders>
            <w:shd w:val="clear" w:color="auto" w:fill="17365D" w:themeFill="text2" w:themeFillShade="BF"/>
          </w:tcPr>
          <w:p w14:paraId="3A42614D"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 xml:space="preserve">Dollar </w:t>
            </w:r>
          </w:p>
          <w:p w14:paraId="1F9B8FE1" w14:textId="77777777" w:rsidR="00A81DD5" w:rsidRPr="00706DE2"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size</w:t>
            </w:r>
          </w:p>
        </w:tc>
        <w:tc>
          <w:tcPr>
            <w:tcW w:w="1269" w:type="dxa"/>
            <w:tcBorders>
              <w:left w:val="none" w:sz="0" w:space="0" w:color="auto"/>
              <w:right w:val="none" w:sz="0" w:space="0" w:color="auto"/>
            </w:tcBorders>
            <w:shd w:val="clear" w:color="auto" w:fill="17365D" w:themeFill="text2" w:themeFillShade="BF"/>
          </w:tcPr>
          <w:p w14:paraId="2DEB7A77"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sidRPr="00706DE2">
              <w:rPr>
                <w:rFonts w:ascii="Arial" w:eastAsia="Times New Roman" w:hAnsi="Arial" w:cs="Arial"/>
                <w:b/>
                <w:color w:val="FFFFFF" w:themeColor="background1"/>
                <w:sz w:val="18"/>
                <w:szCs w:val="20"/>
              </w:rPr>
              <w:t>Dollar</w:t>
            </w:r>
            <w:r>
              <w:rPr>
                <w:rFonts w:ascii="Arial" w:eastAsia="Times New Roman" w:hAnsi="Arial" w:cs="Arial"/>
                <w:b/>
                <w:color w:val="FFFFFF" w:themeColor="background1"/>
                <w:sz w:val="18"/>
                <w:szCs w:val="20"/>
              </w:rPr>
              <w:t>s</w:t>
            </w:r>
          </w:p>
          <w:p w14:paraId="3DC5E4E6" w14:textId="77777777" w:rsidR="00A81DD5" w:rsidRPr="00706DE2"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vs. 2021</w:t>
            </w:r>
          </w:p>
        </w:tc>
        <w:tc>
          <w:tcPr>
            <w:tcW w:w="1269" w:type="dxa"/>
            <w:tcBorders>
              <w:left w:val="none" w:sz="0" w:space="0" w:color="auto"/>
              <w:right w:val="none" w:sz="0" w:space="0" w:color="auto"/>
            </w:tcBorders>
            <w:shd w:val="clear" w:color="auto" w:fill="17365D" w:themeFill="text2" w:themeFillShade="BF"/>
          </w:tcPr>
          <w:p w14:paraId="6BEB11D6"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 xml:space="preserve">Dollars </w:t>
            </w:r>
            <w:r>
              <w:rPr>
                <w:rFonts w:ascii="Arial" w:eastAsia="Times New Roman" w:hAnsi="Arial" w:cs="Arial"/>
                <w:b/>
                <w:color w:val="FFFFFF" w:themeColor="background1"/>
                <w:sz w:val="18"/>
                <w:szCs w:val="20"/>
              </w:rPr>
              <w:br/>
              <w:t xml:space="preserve"> vs. 2020</w:t>
            </w:r>
          </w:p>
        </w:tc>
        <w:tc>
          <w:tcPr>
            <w:tcW w:w="1269" w:type="dxa"/>
            <w:tcBorders>
              <w:left w:val="none" w:sz="0" w:space="0" w:color="auto"/>
              <w:right w:val="none" w:sz="0" w:space="0" w:color="auto"/>
            </w:tcBorders>
            <w:shd w:val="clear" w:color="auto" w:fill="17365D" w:themeFill="text2" w:themeFillShade="BF"/>
          </w:tcPr>
          <w:p w14:paraId="3418271E"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 xml:space="preserve">Dollars </w:t>
            </w:r>
            <w:r>
              <w:rPr>
                <w:rFonts w:ascii="Arial" w:eastAsia="Times New Roman" w:hAnsi="Arial" w:cs="Arial"/>
                <w:b/>
                <w:color w:val="FFFFFF" w:themeColor="background1"/>
                <w:sz w:val="18"/>
                <w:szCs w:val="20"/>
              </w:rPr>
              <w:br/>
              <w:t>vs. 2019</w:t>
            </w:r>
          </w:p>
        </w:tc>
        <w:tc>
          <w:tcPr>
            <w:tcW w:w="1269" w:type="dxa"/>
            <w:tcBorders>
              <w:left w:val="none" w:sz="0" w:space="0" w:color="auto"/>
              <w:right w:val="none" w:sz="0" w:space="0" w:color="auto"/>
            </w:tcBorders>
            <w:shd w:val="clear" w:color="auto" w:fill="17365D" w:themeFill="text2" w:themeFillShade="BF"/>
          </w:tcPr>
          <w:p w14:paraId="1DA184CA" w14:textId="77777777" w:rsidR="00A81DD5" w:rsidRPr="00706DE2"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Units</w:t>
            </w:r>
            <w:r>
              <w:rPr>
                <w:rFonts w:ascii="Arial" w:eastAsia="Times New Roman" w:hAnsi="Arial" w:cs="Arial"/>
                <w:b/>
                <w:color w:val="FFFFFF" w:themeColor="background1"/>
                <w:sz w:val="18"/>
                <w:szCs w:val="20"/>
              </w:rPr>
              <w:br/>
              <w:t xml:space="preserve"> vs. 2021</w:t>
            </w:r>
          </w:p>
        </w:tc>
        <w:tc>
          <w:tcPr>
            <w:tcW w:w="1269" w:type="dxa"/>
            <w:tcBorders>
              <w:left w:val="none" w:sz="0" w:space="0" w:color="auto"/>
              <w:right w:val="none" w:sz="0" w:space="0" w:color="auto"/>
            </w:tcBorders>
            <w:shd w:val="clear" w:color="auto" w:fill="17365D" w:themeFill="text2" w:themeFillShade="BF"/>
          </w:tcPr>
          <w:p w14:paraId="586FF985"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 xml:space="preserve">Units </w:t>
            </w:r>
            <w:r>
              <w:rPr>
                <w:rFonts w:ascii="Arial" w:eastAsia="Times New Roman" w:hAnsi="Arial" w:cs="Arial"/>
                <w:b/>
                <w:color w:val="FFFFFF" w:themeColor="background1"/>
                <w:sz w:val="18"/>
                <w:szCs w:val="20"/>
              </w:rPr>
              <w:br/>
              <w:t xml:space="preserve">vs. 2020 </w:t>
            </w:r>
          </w:p>
        </w:tc>
        <w:tc>
          <w:tcPr>
            <w:tcW w:w="929" w:type="dxa"/>
            <w:tcBorders>
              <w:left w:val="none" w:sz="0" w:space="0" w:color="auto"/>
              <w:right w:val="none" w:sz="0" w:space="0" w:color="auto"/>
            </w:tcBorders>
            <w:shd w:val="clear" w:color="auto" w:fill="17365D" w:themeFill="text2" w:themeFillShade="BF"/>
          </w:tcPr>
          <w:p w14:paraId="5AC44FBD"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sz w:val="18"/>
                <w:szCs w:val="20"/>
              </w:rPr>
            </w:pPr>
            <w:r>
              <w:rPr>
                <w:rFonts w:ascii="Arial" w:eastAsia="Times New Roman" w:hAnsi="Arial" w:cs="Arial"/>
                <w:b/>
                <w:color w:val="FFFFFF" w:themeColor="background1"/>
                <w:sz w:val="18"/>
                <w:szCs w:val="20"/>
              </w:rPr>
              <w:t>Units vs. 2019</w:t>
            </w:r>
          </w:p>
        </w:tc>
      </w:tr>
      <w:tr w:rsidR="00A81DD5" w:rsidRPr="00295B72" w14:paraId="3EAB91C4" w14:textId="77777777" w:rsidTr="00B4616F">
        <w:trPr>
          <w:trHeight w:val="113"/>
        </w:trPr>
        <w:tc>
          <w:tcPr>
            <w:cnfStyle w:val="001000000000" w:firstRow="0" w:lastRow="0" w:firstColumn="1" w:lastColumn="0" w:oddVBand="0" w:evenVBand="0" w:oddHBand="0" w:evenHBand="0" w:firstRowFirstColumn="0" w:firstRowLastColumn="0" w:lastRowFirstColumn="0" w:lastRowLastColumn="0"/>
            <w:tcW w:w="2448" w:type="dxa"/>
            <w:noWrap/>
            <w:hideMark/>
          </w:tcPr>
          <w:p w14:paraId="381DAE2A" w14:textId="77777777" w:rsidR="00A81DD5" w:rsidRPr="002F5F30" w:rsidRDefault="00A81DD5" w:rsidP="00B4616F">
            <w:pPr>
              <w:rPr>
                <w:rFonts w:ascii="Arial" w:eastAsia="Times New Roman" w:hAnsi="Arial" w:cs="Arial"/>
                <w:b w:val="0"/>
                <w:color w:val="215868" w:themeColor="accent5" w:themeShade="80"/>
                <w:sz w:val="18"/>
                <w:szCs w:val="18"/>
              </w:rPr>
            </w:pPr>
            <w:r w:rsidRPr="002F5F30">
              <w:rPr>
                <w:rFonts w:ascii="Arial" w:eastAsia="Times New Roman" w:hAnsi="Arial" w:cs="Arial"/>
                <w:b w:val="0"/>
                <w:color w:val="215868" w:themeColor="accent5" w:themeShade="80"/>
                <w:sz w:val="18"/>
                <w:szCs w:val="18"/>
              </w:rPr>
              <w:t>Total food and beverages</w:t>
            </w:r>
          </w:p>
        </w:tc>
        <w:tc>
          <w:tcPr>
            <w:tcW w:w="1006" w:type="dxa"/>
            <w:gridSpan w:val="2"/>
          </w:tcPr>
          <w:p w14:paraId="65AF5FAA"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2F5F30">
              <w:rPr>
                <w:rFonts w:ascii="Arial" w:eastAsia="Times New Roman" w:hAnsi="Arial" w:cs="Arial"/>
                <w:color w:val="215868" w:themeColor="accent5" w:themeShade="80"/>
                <w:sz w:val="18"/>
                <w:szCs w:val="18"/>
              </w:rPr>
              <w:t>$</w:t>
            </w:r>
            <w:r>
              <w:rPr>
                <w:rFonts w:ascii="Arial" w:eastAsia="Times New Roman" w:hAnsi="Arial" w:cs="Arial"/>
                <w:color w:val="215868" w:themeColor="accent5" w:themeShade="80"/>
                <w:sz w:val="18"/>
                <w:szCs w:val="18"/>
              </w:rPr>
              <w:t>56.2</w:t>
            </w:r>
            <w:r w:rsidRPr="002F5F30">
              <w:rPr>
                <w:rFonts w:ascii="Arial" w:eastAsia="Times New Roman" w:hAnsi="Arial" w:cs="Arial"/>
                <w:color w:val="215868" w:themeColor="accent5" w:themeShade="80"/>
                <w:sz w:val="18"/>
                <w:szCs w:val="18"/>
              </w:rPr>
              <w:t>B</w:t>
            </w:r>
          </w:p>
        </w:tc>
        <w:tc>
          <w:tcPr>
            <w:tcW w:w="1269" w:type="dxa"/>
          </w:tcPr>
          <w:p w14:paraId="13F5F7DE"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+8.0</w:t>
            </w:r>
            <w:r w:rsidRPr="002F5F30">
              <w:rPr>
                <w:rFonts w:ascii="Arial" w:eastAsia="Times New Roman" w:hAnsi="Arial" w:cs="Arial"/>
                <w:color w:val="215868" w:themeColor="accent5" w:themeShade="80"/>
                <w:sz w:val="18"/>
                <w:szCs w:val="18"/>
              </w:rPr>
              <w:t>%</w:t>
            </w:r>
          </w:p>
        </w:tc>
        <w:tc>
          <w:tcPr>
            <w:tcW w:w="1269" w:type="dxa"/>
          </w:tcPr>
          <w:p w14:paraId="5E32C3D5"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+1.2</w:t>
            </w:r>
            <w:r w:rsidRPr="002F5F30">
              <w:rPr>
                <w:rFonts w:ascii="Arial" w:eastAsia="Times New Roman" w:hAnsi="Arial" w:cs="Arial"/>
                <w:color w:val="215868" w:themeColor="accent5" w:themeShade="80"/>
                <w:sz w:val="18"/>
                <w:szCs w:val="18"/>
              </w:rPr>
              <w:t>%</w:t>
            </w:r>
          </w:p>
        </w:tc>
        <w:tc>
          <w:tcPr>
            <w:tcW w:w="1269" w:type="dxa"/>
          </w:tcPr>
          <w:p w14:paraId="5C8FA775" w14:textId="77777777" w:rsidR="00A81DD5"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+22.0%</w:t>
            </w:r>
          </w:p>
        </w:tc>
        <w:tc>
          <w:tcPr>
            <w:tcW w:w="1269" w:type="dxa"/>
          </w:tcPr>
          <w:p w14:paraId="0E180E9F"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eastAsia="Times New Roman" w:hAnsi="Arial" w:cs="Arial"/>
                <w:color w:val="215868" w:themeColor="accent5" w:themeShade="80"/>
                <w:sz w:val="18"/>
                <w:szCs w:val="18"/>
              </w:rPr>
              <w:t>-2.4</w:t>
            </w:r>
            <w:r w:rsidRPr="002F5F30">
              <w:rPr>
                <w:rFonts w:ascii="Arial" w:eastAsia="Times New Roman" w:hAnsi="Arial" w:cs="Arial"/>
                <w:color w:val="215868" w:themeColor="accent5" w:themeShade="80"/>
                <w:sz w:val="18"/>
                <w:szCs w:val="18"/>
              </w:rPr>
              <w:t>%</w:t>
            </w:r>
          </w:p>
        </w:tc>
        <w:tc>
          <w:tcPr>
            <w:tcW w:w="1269" w:type="dxa"/>
          </w:tcPr>
          <w:p w14:paraId="4BF59871"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-11.2%</w:t>
            </w:r>
          </w:p>
        </w:tc>
        <w:tc>
          <w:tcPr>
            <w:tcW w:w="929" w:type="dxa"/>
          </w:tcPr>
          <w:p w14:paraId="27E6071C" w14:textId="77777777" w:rsidR="00A81DD5"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+0.6%</w:t>
            </w:r>
          </w:p>
        </w:tc>
      </w:tr>
      <w:tr w:rsidR="00A81DD5" w:rsidRPr="00295B72" w14:paraId="47FFD708" w14:textId="77777777" w:rsidTr="00B4616F">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noWrap/>
          </w:tcPr>
          <w:p w14:paraId="5703E8D0" w14:textId="77777777" w:rsidR="00A81DD5" w:rsidRPr="002F5F30" w:rsidRDefault="00A81DD5" w:rsidP="00B4616F">
            <w:pPr>
              <w:rPr>
                <w:rFonts w:ascii="Arial" w:eastAsia="Times New Roman" w:hAnsi="Arial" w:cs="Arial"/>
                <w:b w:val="0"/>
                <w:color w:val="215868" w:themeColor="accent5" w:themeShade="80"/>
                <w:sz w:val="18"/>
                <w:szCs w:val="18"/>
              </w:rPr>
            </w:pPr>
            <w:r w:rsidRPr="002F5F30">
              <w:rPr>
                <w:rFonts w:ascii="Arial" w:eastAsia="Times New Roman" w:hAnsi="Arial" w:cs="Arial"/>
                <w:b w:val="0"/>
                <w:color w:val="215868" w:themeColor="accent5" w:themeShade="80"/>
                <w:sz w:val="18"/>
                <w:szCs w:val="18"/>
              </w:rPr>
              <w:t>Total perishables</w:t>
            </w:r>
          </w:p>
        </w:tc>
        <w:tc>
          <w:tcPr>
            <w:tcW w:w="1006" w:type="dxa"/>
            <w:gridSpan w:val="2"/>
            <w:tcBorders>
              <w:left w:val="none" w:sz="0" w:space="0" w:color="auto"/>
              <w:right w:val="none" w:sz="0" w:space="0" w:color="auto"/>
            </w:tcBorders>
          </w:tcPr>
          <w:p w14:paraId="4C0760E2" w14:textId="77777777" w:rsidR="00A81DD5" w:rsidRPr="002F5F30"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2F5F30">
              <w:rPr>
                <w:rFonts w:ascii="Arial" w:eastAsia="Times New Roman" w:hAnsi="Arial" w:cs="Arial"/>
                <w:color w:val="215868" w:themeColor="accent5" w:themeShade="80"/>
                <w:sz w:val="18"/>
                <w:szCs w:val="18"/>
              </w:rPr>
              <w:t>$</w:t>
            </w:r>
            <w:r>
              <w:rPr>
                <w:rFonts w:ascii="Arial" w:eastAsia="Times New Roman" w:hAnsi="Arial" w:cs="Arial"/>
                <w:color w:val="215868" w:themeColor="accent5" w:themeShade="80"/>
                <w:sz w:val="18"/>
                <w:szCs w:val="18"/>
              </w:rPr>
              <w:t>25.0</w:t>
            </w:r>
            <w:r w:rsidRPr="002F5F30">
              <w:rPr>
                <w:rFonts w:ascii="Arial" w:eastAsia="Times New Roman" w:hAnsi="Arial" w:cs="Arial"/>
                <w:color w:val="215868" w:themeColor="accent5" w:themeShade="80"/>
                <w:sz w:val="18"/>
                <w:szCs w:val="18"/>
              </w:rPr>
              <w:t>B</w:t>
            </w:r>
          </w:p>
        </w:tc>
        <w:tc>
          <w:tcPr>
            <w:tcW w:w="1269" w:type="dxa"/>
            <w:tcBorders>
              <w:left w:val="none" w:sz="0" w:space="0" w:color="auto"/>
              <w:right w:val="none" w:sz="0" w:space="0" w:color="auto"/>
            </w:tcBorders>
          </w:tcPr>
          <w:p w14:paraId="521C9877" w14:textId="77777777" w:rsidR="00A81DD5" w:rsidRPr="002F5F30"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+7.6</w:t>
            </w:r>
            <w:r w:rsidRPr="002F5F30">
              <w:rPr>
                <w:rFonts w:ascii="Arial" w:eastAsia="Times New Roman" w:hAnsi="Arial" w:cs="Arial"/>
                <w:color w:val="215868" w:themeColor="accent5" w:themeShade="80"/>
                <w:sz w:val="18"/>
                <w:szCs w:val="18"/>
              </w:rPr>
              <w:t>%</w:t>
            </w:r>
          </w:p>
        </w:tc>
        <w:tc>
          <w:tcPr>
            <w:tcW w:w="1269" w:type="dxa"/>
            <w:tcBorders>
              <w:left w:val="none" w:sz="0" w:space="0" w:color="auto"/>
              <w:right w:val="none" w:sz="0" w:space="0" w:color="auto"/>
            </w:tcBorders>
          </w:tcPr>
          <w:p w14:paraId="2E11E952" w14:textId="77777777" w:rsidR="00A81DD5" w:rsidRPr="002F5F30"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+1.6</w:t>
            </w:r>
            <w:r w:rsidRPr="002F5F30">
              <w:rPr>
                <w:rFonts w:ascii="Arial" w:eastAsia="Times New Roman" w:hAnsi="Arial" w:cs="Arial"/>
                <w:color w:val="215868" w:themeColor="accent5" w:themeShade="80"/>
                <w:sz w:val="18"/>
                <w:szCs w:val="18"/>
              </w:rPr>
              <w:t>%</w:t>
            </w:r>
          </w:p>
        </w:tc>
        <w:tc>
          <w:tcPr>
            <w:tcW w:w="1269" w:type="dxa"/>
            <w:tcBorders>
              <w:left w:val="none" w:sz="0" w:space="0" w:color="auto"/>
              <w:right w:val="none" w:sz="0" w:space="0" w:color="auto"/>
            </w:tcBorders>
          </w:tcPr>
          <w:p w14:paraId="0030AB56"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+21.0%</w:t>
            </w:r>
          </w:p>
        </w:tc>
        <w:tc>
          <w:tcPr>
            <w:tcW w:w="1269" w:type="dxa"/>
            <w:tcBorders>
              <w:left w:val="none" w:sz="0" w:space="0" w:color="auto"/>
              <w:right w:val="none" w:sz="0" w:space="0" w:color="auto"/>
            </w:tcBorders>
          </w:tcPr>
          <w:p w14:paraId="6629ACB9" w14:textId="77777777" w:rsidR="00A81DD5" w:rsidRPr="002F5F30" w:rsidRDefault="00A81DD5" w:rsidP="00B4616F">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Pr>
                <w:rFonts w:ascii="Arial" w:eastAsia="Times New Roman" w:hAnsi="Arial" w:cs="Arial"/>
                <w:color w:val="215868" w:themeColor="accent5" w:themeShade="80"/>
                <w:sz w:val="18"/>
                <w:szCs w:val="18"/>
              </w:rPr>
              <w:t>-3.2</w:t>
            </w:r>
            <w:r w:rsidRPr="002F5F30">
              <w:rPr>
                <w:rFonts w:ascii="Arial" w:eastAsia="Times New Roman" w:hAnsi="Arial" w:cs="Arial"/>
                <w:color w:val="215868" w:themeColor="accent5" w:themeShade="80"/>
                <w:sz w:val="18"/>
                <w:szCs w:val="18"/>
              </w:rPr>
              <w:t>%</w:t>
            </w:r>
          </w:p>
        </w:tc>
        <w:tc>
          <w:tcPr>
            <w:tcW w:w="1269" w:type="dxa"/>
            <w:tcBorders>
              <w:left w:val="none" w:sz="0" w:space="0" w:color="auto"/>
              <w:right w:val="none" w:sz="0" w:space="0" w:color="auto"/>
            </w:tcBorders>
          </w:tcPr>
          <w:p w14:paraId="67D43509" w14:textId="77777777" w:rsidR="00A81DD5" w:rsidRPr="002F5F30"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-9.8%</w:t>
            </w:r>
          </w:p>
        </w:tc>
        <w:tc>
          <w:tcPr>
            <w:tcW w:w="929" w:type="dxa"/>
            <w:tcBorders>
              <w:left w:val="none" w:sz="0" w:space="0" w:color="auto"/>
              <w:right w:val="none" w:sz="0" w:space="0" w:color="auto"/>
            </w:tcBorders>
          </w:tcPr>
          <w:p w14:paraId="53037DD9" w14:textId="77777777" w:rsidR="00A81DD5" w:rsidRDefault="00A81DD5" w:rsidP="00B4616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+1.0%</w:t>
            </w:r>
          </w:p>
        </w:tc>
      </w:tr>
      <w:tr w:rsidR="00A81DD5" w:rsidRPr="00A30CAC" w14:paraId="0CF7B11F" w14:textId="77777777" w:rsidTr="00B4616F">
        <w:trPr>
          <w:trHeight w:val="113"/>
        </w:trPr>
        <w:tc>
          <w:tcPr>
            <w:cnfStyle w:val="001000000000" w:firstRow="0" w:lastRow="0" w:firstColumn="1" w:lastColumn="0" w:oddVBand="0" w:evenVBand="0" w:oddHBand="0" w:evenHBand="0" w:firstRowFirstColumn="0" w:firstRowLastColumn="0" w:lastRowFirstColumn="0" w:lastRowLastColumn="0"/>
            <w:tcW w:w="2448" w:type="dxa"/>
            <w:noWrap/>
          </w:tcPr>
          <w:p w14:paraId="3CE928A5" w14:textId="77777777" w:rsidR="00A81DD5" w:rsidRPr="002F5F30" w:rsidRDefault="00A81DD5" w:rsidP="00B4616F">
            <w:pPr>
              <w:rPr>
                <w:rFonts w:ascii="Arial" w:eastAsia="Times New Roman" w:hAnsi="Arial" w:cs="Arial"/>
                <w:b w:val="0"/>
                <w:color w:val="215868" w:themeColor="accent5" w:themeShade="80"/>
                <w:sz w:val="18"/>
                <w:szCs w:val="18"/>
              </w:rPr>
            </w:pPr>
            <w:r w:rsidRPr="002F5F30">
              <w:rPr>
                <w:rFonts w:ascii="Arial" w:eastAsia="Times New Roman" w:hAnsi="Arial" w:cs="Arial"/>
                <w:b w:val="0"/>
                <w:color w:val="215868" w:themeColor="accent5" w:themeShade="80"/>
                <w:sz w:val="18"/>
                <w:szCs w:val="18"/>
              </w:rPr>
              <w:t>Total frozen</w:t>
            </w:r>
          </w:p>
        </w:tc>
        <w:tc>
          <w:tcPr>
            <w:tcW w:w="1006" w:type="dxa"/>
            <w:gridSpan w:val="2"/>
          </w:tcPr>
          <w:p w14:paraId="57C91A81"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2F5F30">
              <w:rPr>
                <w:rFonts w:ascii="Arial" w:eastAsia="Times New Roman" w:hAnsi="Arial" w:cs="Arial"/>
                <w:color w:val="215868" w:themeColor="accent5" w:themeShade="80"/>
                <w:sz w:val="18"/>
                <w:szCs w:val="18"/>
              </w:rPr>
              <w:t>$</w:t>
            </w:r>
            <w:r>
              <w:rPr>
                <w:rFonts w:ascii="Arial" w:eastAsia="Times New Roman" w:hAnsi="Arial" w:cs="Arial"/>
                <w:color w:val="215868" w:themeColor="accent5" w:themeShade="80"/>
                <w:sz w:val="18"/>
                <w:szCs w:val="18"/>
              </w:rPr>
              <w:t>5.3</w:t>
            </w:r>
            <w:r w:rsidRPr="002F5F30">
              <w:rPr>
                <w:rFonts w:ascii="Arial" w:eastAsia="Times New Roman" w:hAnsi="Arial" w:cs="Arial"/>
                <w:color w:val="215868" w:themeColor="accent5" w:themeShade="80"/>
                <w:sz w:val="18"/>
                <w:szCs w:val="18"/>
              </w:rPr>
              <w:t>B</w:t>
            </w:r>
          </w:p>
        </w:tc>
        <w:tc>
          <w:tcPr>
            <w:tcW w:w="1269" w:type="dxa"/>
          </w:tcPr>
          <w:p w14:paraId="590ABB87"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+6.8</w:t>
            </w:r>
            <w:r w:rsidRPr="002F5F30">
              <w:rPr>
                <w:rFonts w:ascii="Arial" w:eastAsia="Times New Roman" w:hAnsi="Arial" w:cs="Arial"/>
                <w:color w:val="215868" w:themeColor="accent5" w:themeShade="80"/>
                <w:sz w:val="18"/>
                <w:szCs w:val="18"/>
              </w:rPr>
              <w:t>%</w:t>
            </w:r>
          </w:p>
        </w:tc>
        <w:tc>
          <w:tcPr>
            <w:tcW w:w="1269" w:type="dxa"/>
          </w:tcPr>
          <w:p w14:paraId="0BC8FCC4"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-5.8</w:t>
            </w:r>
            <w:r w:rsidRPr="002F5F30">
              <w:rPr>
                <w:rFonts w:ascii="Arial" w:eastAsia="Times New Roman" w:hAnsi="Arial" w:cs="Arial"/>
                <w:color w:val="215868" w:themeColor="accent5" w:themeShade="80"/>
                <w:sz w:val="18"/>
                <w:szCs w:val="18"/>
              </w:rPr>
              <w:t>%</w:t>
            </w:r>
          </w:p>
        </w:tc>
        <w:tc>
          <w:tcPr>
            <w:tcW w:w="1269" w:type="dxa"/>
          </w:tcPr>
          <w:p w14:paraId="3895B30F" w14:textId="77777777" w:rsidR="00A81DD5"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+29.5%</w:t>
            </w:r>
          </w:p>
        </w:tc>
        <w:tc>
          <w:tcPr>
            <w:tcW w:w="1269" w:type="dxa"/>
          </w:tcPr>
          <w:p w14:paraId="620327B4" w14:textId="77777777" w:rsidR="00A81DD5" w:rsidRPr="002F5F30" w:rsidRDefault="00A81DD5" w:rsidP="00B4616F">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Pr>
                <w:rFonts w:ascii="Arial" w:eastAsia="Times New Roman" w:hAnsi="Arial" w:cs="Arial"/>
                <w:color w:val="215868" w:themeColor="accent5" w:themeShade="80"/>
                <w:sz w:val="18"/>
                <w:szCs w:val="18"/>
              </w:rPr>
              <w:t>-5.1</w:t>
            </w:r>
            <w:r w:rsidRPr="002F5F30">
              <w:rPr>
                <w:rFonts w:ascii="Arial" w:eastAsia="Times New Roman" w:hAnsi="Arial" w:cs="Arial"/>
                <w:color w:val="215868" w:themeColor="accent5" w:themeShade="80"/>
                <w:sz w:val="18"/>
                <w:szCs w:val="18"/>
              </w:rPr>
              <w:t>%</w:t>
            </w:r>
          </w:p>
        </w:tc>
        <w:tc>
          <w:tcPr>
            <w:tcW w:w="1269" w:type="dxa"/>
          </w:tcPr>
          <w:p w14:paraId="2E171BC1" w14:textId="77777777" w:rsidR="00A81DD5"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-16.3%</w:t>
            </w:r>
          </w:p>
        </w:tc>
        <w:tc>
          <w:tcPr>
            <w:tcW w:w="929" w:type="dxa"/>
          </w:tcPr>
          <w:p w14:paraId="47907C27" w14:textId="77777777" w:rsidR="00A81DD5" w:rsidRDefault="00A81DD5" w:rsidP="00B4616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eastAsia="Times New Roman" w:hAnsi="Arial" w:cs="Arial"/>
                <w:color w:val="215868" w:themeColor="accent5" w:themeShade="80"/>
                <w:sz w:val="18"/>
                <w:szCs w:val="18"/>
              </w:rPr>
              <w:t>+5.1%</w:t>
            </w:r>
          </w:p>
        </w:tc>
      </w:tr>
    </w:tbl>
    <w:p w14:paraId="1552BAA5" w14:textId="77777777" w:rsidR="00A81DD5" w:rsidRPr="00B64ECF" w:rsidRDefault="00A81DD5" w:rsidP="00A81DD5">
      <w:pPr>
        <w:pStyle w:val="NoSpacing"/>
        <w:rPr>
          <w:rFonts w:ascii="Arial" w:hAnsi="Arial" w:cs="Arial"/>
          <w:sz w:val="12"/>
          <w:szCs w:val="16"/>
        </w:rPr>
      </w:pPr>
    </w:p>
    <w:p w14:paraId="21CF1141" w14:textId="77777777" w:rsidR="00A81DD5" w:rsidRDefault="00A81DD5" w:rsidP="00A81DD5">
      <w:pPr>
        <w:pStyle w:val="NoSpacing"/>
        <w:rPr>
          <w:rFonts w:ascii="Arial" w:hAnsi="Arial" w:cs="Arial"/>
          <w:color w:val="7F7F7F" w:themeColor="text1" w:themeTint="80"/>
          <w:sz w:val="16"/>
          <w:szCs w:val="16"/>
        </w:rPr>
      </w:pPr>
      <w:r w:rsidRPr="00A04CFB">
        <w:rPr>
          <w:rFonts w:ascii="Arial" w:hAnsi="Arial" w:cs="Arial"/>
          <w:color w:val="7F7F7F" w:themeColor="text1" w:themeTint="80"/>
          <w:sz w:val="16"/>
          <w:szCs w:val="16"/>
        </w:rPr>
        <w:t>Source: IRI, Integrated Fresh, Total US, MULO</w:t>
      </w:r>
    </w:p>
    <w:p w14:paraId="52BE2674" w14:textId="463A50BE" w:rsidR="00C616F0" w:rsidRDefault="00C616F0" w:rsidP="001210D2">
      <w:pPr>
        <w:pStyle w:val="NoSpacing"/>
        <w:rPr>
          <w:rFonts w:ascii="Arial" w:hAnsi="Arial" w:cs="Arial"/>
          <w:sz w:val="20"/>
          <w:szCs w:val="20"/>
        </w:rPr>
      </w:pPr>
    </w:p>
    <w:p w14:paraId="5C40F56A" w14:textId="078192CC" w:rsidR="001C641C" w:rsidRDefault="00B75D3A" w:rsidP="00CF43CE">
      <w:pPr>
        <w:pStyle w:val="NoSpacing"/>
        <w:rPr>
          <w:rFonts w:ascii="Arial" w:hAnsi="Arial" w:cs="Arial"/>
          <w:sz w:val="20"/>
          <w:szCs w:val="20"/>
        </w:rPr>
      </w:pPr>
      <w:r>
        <w:rPr>
          <w:rFonts w:ascii="Arial" w:hAnsi="Arial" w:cs="Arial"/>
          <w:sz w:val="20"/>
          <w:szCs w:val="20"/>
        </w:rPr>
        <w:t xml:space="preserve">April </w:t>
      </w:r>
      <w:r w:rsidR="00647DD6">
        <w:rPr>
          <w:rFonts w:ascii="Arial" w:hAnsi="Arial" w:cs="Arial"/>
          <w:sz w:val="20"/>
          <w:szCs w:val="20"/>
        </w:rPr>
        <w:t xml:space="preserve">2022 </w:t>
      </w:r>
      <w:r w:rsidR="00A96063">
        <w:rPr>
          <w:rFonts w:ascii="Arial" w:hAnsi="Arial" w:cs="Arial"/>
          <w:sz w:val="20"/>
          <w:szCs w:val="20"/>
        </w:rPr>
        <w:t xml:space="preserve">fresh </w:t>
      </w:r>
      <w:r w:rsidR="00891C7E">
        <w:rPr>
          <w:rFonts w:ascii="Arial" w:hAnsi="Arial" w:cs="Arial"/>
          <w:sz w:val="20"/>
          <w:szCs w:val="20"/>
        </w:rPr>
        <w:t xml:space="preserve">produce sales </w:t>
      </w:r>
      <w:r w:rsidR="00D046CF">
        <w:rPr>
          <w:rFonts w:ascii="Arial" w:hAnsi="Arial" w:cs="Arial"/>
          <w:sz w:val="20"/>
          <w:szCs w:val="20"/>
        </w:rPr>
        <w:t>reached $</w:t>
      </w:r>
      <w:r>
        <w:rPr>
          <w:rFonts w:ascii="Arial" w:hAnsi="Arial" w:cs="Arial"/>
          <w:sz w:val="20"/>
          <w:szCs w:val="20"/>
        </w:rPr>
        <w:t>5.7</w:t>
      </w:r>
      <w:r w:rsidR="00D046CF">
        <w:rPr>
          <w:rFonts w:ascii="Arial" w:hAnsi="Arial" w:cs="Arial"/>
          <w:sz w:val="20"/>
          <w:szCs w:val="20"/>
        </w:rPr>
        <w:t xml:space="preserve"> billion</w:t>
      </w:r>
      <w:r w:rsidR="001C641C">
        <w:rPr>
          <w:rFonts w:ascii="Arial" w:hAnsi="Arial" w:cs="Arial"/>
          <w:sz w:val="20"/>
          <w:szCs w:val="20"/>
        </w:rPr>
        <w:t xml:space="preserve">, surpassing the record set in </w:t>
      </w:r>
      <w:r w:rsidR="002741C9">
        <w:rPr>
          <w:rFonts w:ascii="Arial" w:hAnsi="Arial" w:cs="Arial"/>
          <w:sz w:val="20"/>
          <w:szCs w:val="20"/>
        </w:rPr>
        <w:t>2021</w:t>
      </w:r>
      <w:r w:rsidR="00576505">
        <w:rPr>
          <w:rFonts w:ascii="Arial" w:hAnsi="Arial" w:cs="Arial"/>
          <w:sz w:val="20"/>
          <w:szCs w:val="20"/>
        </w:rPr>
        <w:t xml:space="preserve"> by 4.</w:t>
      </w:r>
      <w:r>
        <w:rPr>
          <w:rFonts w:ascii="Arial" w:hAnsi="Arial" w:cs="Arial"/>
          <w:sz w:val="20"/>
          <w:szCs w:val="20"/>
        </w:rPr>
        <w:t>3</w:t>
      </w:r>
      <w:r w:rsidR="00576505">
        <w:rPr>
          <w:rFonts w:ascii="Arial" w:hAnsi="Arial" w:cs="Arial"/>
          <w:sz w:val="20"/>
          <w:szCs w:val="20"/>
        </w:rPr>
        <w:t>%</w:t>
      </w:r>
      <w:r w:rsidR="001C641C">
        <w:rPr>
          <w:rFonts w:ascii="Arial" w:hAnsi="Arial" w:cs="Arial"/>
          <w:sz w:val="20"/>
          <w:szCs w:val="20"/>
        </w:rPr>
        <w:t xml:space="preserve">. </w:t>
      </w:r>
      <w:r w:rsidR="00A96063">
        <w:rPr>
          <w:rFonts w:ascii="Arial" w:hAnsi="Arial" w:cs="Arial"/>
          <w:sz w:val="20"/>
          <w:szCs w:val="20"/>
        </w:rPr>
        <w:t>Month-over-month, April sales were slightly higher than March, likely because of the shift in Easter/Passover timing. However, looking beyond dollars that were highly affected by inflation shows</w:t>
      </w:r>
      <w:r w:rsidR="00D046CF">
        <w:rPr>
          <w:rFonts w:ascii="Arial" w:hAnsi="Arial" w:cs="Arial"/>
          <w:sz w:val="20"/>
          <w:szCs w:val="20"/>
        </w:rPr>
        <w:t xml:space="preserve"> </w:t>
      </w:r>
      <w:r w:rsidR="001C641C">
        <w:rPr>
          <w:rFonts w:ascii="Arial" w:hAnsi="Arial" w:cs="Arial"/>
          <w:sz w:val="20"/>
          <w:szCs w:val="20"/>
        </w:rPr>
        <w:t>unit and volume decline</w:t>
      </w:r>
      <w:r w:rsidR="00A96063">
        <w:rPr>
          <w:rFonts w:ascii="Arial" w:hAnsi="Arial" w:cs="Arial"/>
          <w:sz w:val="20"/>
          <w:szCs w:val="20"/>
        </w:rPr>
        <w:t>s</w:t>
      </w:r>
      <w:r w:rsidR="001C641C">
        <w:rPr>
          <w:rFonts w:ascii="Arial" w:hAnsi="Arial" w:cs="Arial"/>
          <w:sz w:val="20"/>
          <w:szCs w:val="20"/>
        </w:rPr>
        <w:t xml:space="preserve">. </w:t>
      </w:r>
      <w:r w:rsidR="00667BC4">
        <w:rPr>
          <w:rFonts w:ascii="Arial" w:hAnsi="Arial" w:cs="Arial"/>
          <w:sz w:val="20"/>
          <w:szCs w:val="20"/>
        </w:rPr>
        <w:t>“</w:t>
      </w:r>
      <w:r w:rsidR="00A96063">
        <w:rPr>
          <w:rFonts w:ascii="Arial" w:hAnsi="Arial" w:cs="Arial"/>
          <w:sz w:val="20"/>
          <w:szCs w:val="20"/>
        </w:rPr>
        <w:t xml:space="preserve">There are many forces at play relative to the volume pressure,” said Watson. “Restaurant sales are ticking up a bit again, </w:t>
      </w:r>
      <w:r w:rsidR="00A81DD5">
        <w:rPr>
          <w:rFonts w:ascii="Arial" w:hAnsi="Arial" w:cs="Arial"/>
          <w:sz w:val="20"/>
          <w:szCs w:val="20"/>
        </w:rPr>
        <w:t>frozen and shelf-stable play a role</w:t>
      </w:r>
      <w:r w:rsidR="00A96063">
        <w:rPr>
          <w:rFonts w:ascii="Arial" w:hAnsi="Arial" w:cs="Arial"/>
          <w:sz w:val="20"/>
          <w:szCs w:val="20"/>
        </w:rPr>
        <w:t xml:space="preserve">, and there is the impact of </w:t>
      </w:r>
      <w:r w:rsidR="002741C9">
        <w:rPr>
          <w:rFonts w:ascii="Arial" w:hAnsi="Arial" w:cs="Arial"/>
          <w:sz w:val="20"/>
          <w:szCs w:val="20"/>
        </w:rPr>
        <w:t>supply chain disruption</w:t>
      </w:r>
      <w:r w:rsidR="0000075A">
        <w:rPr>
          <w:rFonts w:ascii="Arial" w:hAnsi="Arial" w:cs="Arial"/>
          <w:sz w:val="20"/>
          <w:szCs w:val="20"/>
        </w:rPr>
        <w:t xml:space="preserve"> and out-of-stocks. Assortment has been affected </w:t>
      </w:r>
      <w:r w:rsidR="00027658">
        <w:rPr>
          <w:rFonts w:ascii="Arial" w:hAnsi="Arial" w:cs="Arial"/>
          <w:sz w:val="20"/>
          <w:szCs w:val="20"/>
        </w:rPr>
        <w:t>by the labor, transportation and other supply chain issues</w:t>
      </w:r>
      <w:r w:rsidR="00262B72">
        <w:rPr>
          <w:rFonts w:ascii="Arial" w:hAnsi="Arial" w:cs="Arial"/>
          <w:sz w:val="20"/>
          <w:szCs w:val="20"/>
        </w:rPr>
        <w:t xml:space="preserve">. </w:t>
      </w:r>
      <w:r w:rsidR="00A96063">
        <w:rPr>
          <w:rFonts w:ascii="Arial" w:hAnsi="Arial" w:cs="Arial"/>
          <w:sz w:val="20"/>
          <w:szCs w:val="20"/>
        </w:rPr>
        <w:t>We can’t sell what we don’t have, so some of the unit and volume pressure may simply be our inability to meet demand</w:t>
      </w:r>
      <w:r w:rsidR="009D7889">
        <w:rPr>
          <w:rFonts w:ascii="Arial" w:hAnsi="Arial" w:cs="Arial"/>
          <w:sz w:val="20"/>
          <w:szCs w:val="20"/>
        </w:rPr>
        <w:t>.</w:t>
      </w:r>
      <w:r w:rsidR="00A96063">
        <w:rPr>
          <w:rFonts w:ascii="Arial" w:hAnsi="Arial" w:cs="Arial"/>
          <w:sz w:val="20"/>
          <w:szCs w:val="20"/>
        </w:rPr>
        <w:t xml:space="preserve"> Fresh mushrooms are a good example of that.</w:t>
      </w:r>
      <w:r w:rsidR="00A84CAB">
        <w:rPr>
          <w:rFonts w:ascii="Arial" w:hAnsi="Arial" w:cs="Arial"/>
          <w:sz w:val="20"/>
          <w:szCs w:val="20"/>
        </w:rPr>
        <w:t>”</w:t>
      </w:r>
      <w:r w:rsidR="001C641C">
        <w:rPr>
          <w:rFonts w:ascii="Arial" w:hAnsi="Arial" w:cs="Arial"/>
          <w:sz w:val="20"/>
          <w:szCs w:val="20"/>
        </w:rPr>
        <w:t xml:space="preserve">  </w:t>
      </w:r>
    </w:p>
    <w:p w14:paraId="4313C97D" w14:textId="77777777" w:rsidR="00E97D52" w:rsidRDefault="00E97D52" w:rsidP="00CF43CE">
      <w:pPr>
        <w:pStyle w:val="NoSpacing"/>
        <w:rPr>
          <w:rFonts w:ascii="Arial" w:hAnsi="Arial" w:cs="Arial"/>
          <w:sz w:val="20"/>
          <w:szCs w:val="20"/>
        </w:rPr>
      </w:pPr>
    </w:p>
    <w:tbl>
      <w:tblPr>
        <w:tblStyle w:val="LightShading-Accent5"/>
        <w:tblW w:w="10728" w:type="dxa"/>
        <w:tblBorders>
          <w:top w:val="none" w:sz="0" w:space="0" w:color="auto"/>
          <w:bottom w:val="none" w:sz="0" w:space="0" w:color="auto"/>
        </w:tblBorders>
        <w:tblLayout w:type="fixed"/>
        <w:tblLook w:val="04A0" w:firstRow="1" w:lastRow="0" w:firstColumn="1" w:lastColumn="0" w:noHBand="0" w:noVBand="1"/>
      </w:tblPr>
      <w:tblGrid>
        <w:gridCol w:w="1872"/>
        <w:gridCol w:w="1265"/>
        <w:gridCol w:w="1265"/>
        <w:gridCol w:w="1265"/>
        <w:gridCol w:w="1265"/>
        <w:gridCol w:w="1265"/>
        <w:gridCol w:w="1265"/>
        <w:gridCol w:w="1266"/>
      </w:tblGrid>
      <w:tr w:rsidR="001729EA" w:rsidRPr="001729EA" w14:paraId="5E5E5D5E" w14:textId="77777777" w:rsidTr="001729EA">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1872" w:type="dxa"/>
            <w:tcBorders>
              <w:top w:val="none" w:sz="0" w:space="0" w:color="auto"/>
              <w:left w:val="none" w:sz="0" w:space="0" w:color="auto"/>
              <w:bottom w:val="none" w:sz="0" w:space="0" w:color="auto"/>
              <w:right w:val="none" w:sz="0" w:space="0" w:color="auto"/>
            </w:tcBorders>
            <w:shd w:val="clear" w:color="auto" w:fill="17365D" w:themeFill="text2" w:themeFillShade="BF"/>
            <w:hideMark/>
          </w:tcPr>
          <w:p w14:paraId="69258784" w14:textId="767C7A28" w:rsidR="001729EA" w:rsidRPr="001729EA" w:rsidRDefault="00B75D3A" w:rsidP="00E97D52">
            <w:pPr>
              <w:rPr>
                <w:rFonts w:ascii="Arial" w:eastAsia="Times New Roman" w:hAnsi="Arial" w:cs="Arial"/>
                <w:color w:val="FFFFFF" w:themeColor="background1"/>
                <w:sz w:val="18"/>
                <w:szCs w:val="20"/>
              </w:rPr>
            </w:pPr>
            <w:r>
              <w:rPr>
                <w:rFonts w:ascii="Arial" w:eastAsia="Times New Roman" w:hAnsi="Arial" w:cs="Arial"/>
                <w:color w:val="FFFFFF" w:themeColor="background1"/>
                <w:sz w:val="18"/>
                <w:szCs w:val="20"/>
              </w:rPr>
              <w:t xml:space="preserve">April </w:t>
            </w:r>
            <w:r w:rsidR="001729EA" w:rsidRPr="001729EA">
              <w:rPr>
                <w:rFonts w:ascii="Arial" w:eastAsia="Times New Roman" w:hAnsi="Arial" w:cs="Arial"/>
                <w:color w:val="FFFFFF" w:themeColor="background1"/>
                <w:sz w:val="18"/>
                <w:szCs w:val="20"/>
              </w:rPr>
              <w:t>202</w:t>
            </w:r>
            <w:r w:rsidR="0038781D">
              <w:rPr>
                <w:rFonts w:ascii="Arial" w:eastAsia="Times New Roman" w:hAnsi="Arial" w:cs="Arial"/>
                <w:color w:val="FFFFFF" w:themeColor="background1"/>
                <w:sz w:val="18"/>
                <w:szCs w:val="20"/>
              </w:rPr>
              <w:t>2</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5FCCBB40"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 size</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4C388075"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 growth vs. ‘2</w:t>
            </w:r>
            <w:r w:rsidR="0038781D">
              <w:rPr>
                <w:rFonts w:ascii="Arial" w:eastAsia="Times New Roman" w:hAnsi="Arial" w:cs="Arial"/>
                <w:color w:val="FFFFFF" w:themeColor="background1"/>
                <w:sz w:val="18"/>
                <w:szCs w:val="20"/>
              </w:rPr>
              <w:t>1</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EA4EC29"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 growth vs. ‘</w:t>
            </w:r>
            <w:r w:rsidR="0038781D">
              <w:rPr>
                <w:rFonts w:ascii="Arial" w:eastAsia="Times New Roman" w:hAnsi="Arial" w:cs="Arial"/>
                <w:color w:val="FFFFFF" w:themeColor="background1"/>
                <w:sz w:val="18"/>
                <w:szCs w:val="20"/>
              </w:rPr>
              <w:t>20</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0804AAB4"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Unit growth vs. ‘2</w:t>
            </w:r>
            <w:r w:rsidR="0038781D">
              <w:rPr>
                <w:rFonts w:ascii="Arial" w:eastAsia="Times New Roman" w:hAnsi="Arial" w:cs="Arial"/>
                <w:color w:val="FFFFFF" w:themeColor="background1"/>
                <w:sz w:val="18"/>
                <w:szCs w:val="20"/>
              </w:rPr>
              <w:t>1</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36156BA5"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Unit growth vs. ‘</w:t>
            </w:r>
            <w:r w:rsidR="0038781D">
              <w:rPr>
                <w:rFonts w:ascii="Arial" w:eastAsia="Times New Roman" w:hAnsi="Arial" w:cs="Arial"/>
                <w:color w:val="FFFFFF" w:themeColor="background1"/>
                <w:sz w:val="18"/>
                <w:szCs w:val="20"/>
              </w:rPr>
              <w:t>20</w:t>
            </w:r>
          </w:p>
        </w:tc>
        <w:tc>
          <w:tcPr>
            <w:tcW w:w="1265"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6ECF71E1"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Volume growth vs. ‘2</w:t>
            </w:r>
            <w:r w:rsidR="0038781D">
              <w:rPr>
                <w:rFonts w:ascii="Arial" w:eastAsia="Times New Roman" w:hAnsi="Arial" w:cs="Arial"/>
                <w:color w:val="FFFFFF" w:themeColor="background1"/>
                <w:sz w:val="18"/>
                <w:szCs w:val="20"/>
              </w:rPr>
              <w:t>1</w:t>
            </w:r>
          </w:p>
        </w:tc>
        <w:tc>
          <w:tcPr>
            <w:tcW w:w="1266"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750B5E2" w14:textId="77777777" w:rsidR="001729EA" w:rsidRPr="001729EA" w:rsidRDefault="001729EA" w:rsidP="00E97D52">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20"/>
              </w:rPr>
            </w:pPr>
            <w:r w:rsidRPr="001729EA">
              <w:rPr>
                <w:rFonts w:ascii="Arial" w:eastAsia="Times New Roman" w:hAnsi="Arial" w:cs="Arial"/>
                <w:color w:val="FFFFFF" w:themeColor="background1"/>
                <w:sz w:val="18"/>
                <w:szCs w:val="20"/>
              </w:rPr>
              <w:t>Volume growth vs. ‘</w:t>
            </w:r>
            <w:r w:rsidR="0038781D">
              <w:rPr>
                <w:rFonts w:ascii="Arial" w:eastAsia="Times New Roman" w:hAnsi="Arial" w:cs="Arial"/>
                <w:color w:val="FFFFFF" w:themeColor="background1"/>
                <w:sz w:val="18"/>
                <w:szCs w:val="20"/>
              </w:rPr>
              <w:t>20</w:t>
            </w:r>
          </w:p>
        </w:tc>
      </w:tr>
      <w:tr w:rsidR="001729EA" w:rsidRPr="000A733E" w14:paraId="4C79F54A" w14:textId="77777777" w:rsidTr="001729E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72" w:type="dxa"/>
            <w:tcBorders>
              <w:left w:val="none" w:sz="0" w:space="0" w:color="auto"/>
              <w:right w:val="none" w:sz="0" w:space="0" w:color="auto"/>
            </w:tcBorders>
            <w:noWrap/>
          </w:tcPr>
          <w:p w14:paraId="6530B6D0" w14:textId="77777777" w:rsidR="001729EA" w:rsidRPr="000A733E" w:rsidRDefault="001729EA" w:rsidP="00E97D52">
            <w:pPr>
              <w:rPr>
                <w:rFonts w:ascii="Arial" w:eastAsia="Times New Roman" w:hAnsi="Arial" w:cs="Arial"/>
                <w:b w:val="0"/>
                <w:color w:val="17365D" w:themeColor="text2" w:themeShade="BF"/>
                <w:sz w:val="18"/>
                <w:szCs w:val="18"/>
              </w:rPr>
            </w:pPr>
            <w:r>
              <w:rPr>
                <w:rFonts w:ascii="Arial" w:eastAsia="Times New Roman" w:hAnsi="Arial" w:cs="Arial"/>
                <w:b w:val="0"/>
                <w:color w:val="17365D" w:themeColor="text2" w:themeShade="BF"/>
                <w:sz w:val="18"/>
                <w:szCs w:val="18"/>
              </w:rPr>
              <w:t>Total fresh produce</w:t>
            </w:r>
          </w:p>
        </w:tc>
        <w:tc>
          <w:tcPr>
            <w:tcW w:w="1265" w:type="dxa"/>
            <w:tcBorders>
              <w:left w:val="none" w:sz="0" w:space="0" w:color="auto"/>
              <w:right w:val="none" w:sz="0" w:space="0" w:color="auto"/>
            </w:tcBorders>
            <w:vAlign w:val="center"/>
          </w:tcPr>
          <w:p w14:paraId="18E23756" w14:textId="1E875D34" w:rsidR="001729EA" w:rsidRPr="00E97D52" w:rsidRDefault="001729EA"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E97D52">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5.748</w:t>
            </w:r>
            <w:r w:rsidRPr="00E97D52">
              <w:rPr>
                <w:rFonts w:ascii="Arial" w:eastAsia="Times New Roman" w:hAnsi="Arial" w:cs="Arial"/>
                <w:color w:val="17365D" w:themeColor="text2" w:themeShade="BF"/>
                <w:sz w:val="18"/>
                <w:szCs w:val="18"/>
              </w:rPr>
              <w:t>B</w:t>
            </w:r>
          </w:p>
        </w:tc>
        <w:tc>
          <w:tcPr>
            <w:tcW w:w="1265" w:type="dxa"/>
            <w:tcBorders>
              <w:left w:val="none" w:sz="0" w:space="0" w:color="auto"/>
              <w:right w:val="none" w:sz="0" w:space="0" w:color="auto"/>
            </w:tcBorders>
          </w:tcPr>
          <w:p w14:paraId="397195B1" w14:textId="314FEF42" w:rsidR="001729EA" w:rsidRPr="00E97D52" w:rsidRDefault="001729EA"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591300">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4.3</w:t>
            </w:r>
            <w:r w:rsidRPr="00591300">
              <w:rPr>
                <w:rFonts w:ascii="Arial" w:eastAsia="Times New Roman" w:hAnsi="Arial" w:cs="Arial"/>
                <w:color w:val="17365D" w:themeColor="text2" w:themeShade="BF"/>
                <w:sz w:val="18"/>
                <w:szCs w:val="18"/>
              </w:rPr>
              <w:t>%</w:t>
            </w:r>
          </w:p>
        </w:tc>
        <w:tc>
          <w:tcPr>
            <w:tcW w:w="1265" w:type="dxa"/>
            <w:tcBorders>
              <w:left w:val="none" w:sz="0" w:space="0" w:color="auto"/>
              <w:right w:val="none" w:sz="0" w:space="0" w:color="auto"/>
            </w:tcBorders>
          </w:tcPr>
          <w:p w14:paraId="55886AA9" w14:textId="52DF7F50" w:rsidR="001729EA" w:rsidRPr="00E97D52" w:rsidRDefault="00B75D3A" w:rsidP="00E97D5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rPr>
            </w:pPr>
            <w:r>
              <w:rPr>
                <w:rFonts w:ascii="Arial" w:eastAsia="Times New Roman" w:hAnsi="Arial" w:cs="Arial"/>
                <w:color w:val="17365D" w:themeColor="text2" w:themeShade="BF"/>
                <w:sz w:val="18"/>
                <w:szCs w:val="18"/>
              </w:rPr>
              <w:t>+1.3</w:t>
            </w:r>
            <w:r w:rsidR="001729EA" w:rsidRPr="00591300">
              <w:rPr>
                <w:rFonts w:ascii="Arial" w:eastAsia="Times New Roman" w:hAnsi="Arial" w:cs="Arial"/>
                <w:color w:val="17365D" w:themeColor="text2" w:themeShade="BF"/>
                <w:sz w:val="18"/>
                <w:szCs w:val="18"/>
              </w:rPr>
              <w:t>%</w:t>
            </w:r>
          </w:p>
        </w:tc>
        <w:tc>
          <w:tcPr>
            <w:tcW w:w="1265" w:type="dxa"/>
            <w:tcBorders>
              <w:left w:val="none" w:sz="0" w:space="0" w:color="auto"/>
              <w:right w:val="none" w:sz="0" w:space="0" w:color="auto"/>
            </w:tcBorders>
          </w:tcPr>
          <w:p w14:paraId="6D70BA8C" w14:textId="7DFBC56D" w:rsidR="001729EA" w:rsidRPr="00E97D52" w:rsidRDefault="001729EA"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0A0500">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4.4</w:t>
            </w:r>
            <w:r w:rsidRPr="000A0500">
              <w:rPr>
                <w:rFonts w:ascii="Arial" w:eastAsia="Times New Roman" w:hAnsi="Arial" w:cs="Arial"/>
                <w:color w:val="17365D" w:themeColor="text2" w:themeShade="BF"/>
                <w:sz w:val="18"/>
                <w:szCs w:val="18"/>
              </w:rPr>
              <w:t>%</w:t>
            </w:r>
          </w:p>
        </w:tc>
        <w:tc>
          <w:tcPr>
            <w:tcW w:w="1265" w:type="dxa"/>
            <w:tcBorders>
              <w:left w:val="none" w:sz="0" w:space="0" w:color="auto"/>
              <w:right w:val="none" w:sz="0" w:space="0" w:color="auto"/>
            </w:tcBorders>
          </w:tcPr>
          <w:p w14:paraId="18B16EF1" w14:textId="3104C673" w:rsidR="001729EA" w:rsidRPr="00E97D52" w:rsidRDefault="00CD2F2B"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10.6</w:t>
            </w:r>
            <w:r w:rsidR="001729EA" w:rsidRPr="007650CC">
              <w:rPr>
                <w:rFonts w:ascii="Arial" w:eastAsia="Times New Roman" w:hAnsi="Arial" w:cs="Arial"/>
                <w:color w:val="17365D" w:themeColor="text2" w:themeShade="BF"/>
                <w:sz w:val="18"/>
                <w:szCs w:val="18"/>
              </w:rPr>
              <w:t>%</w:t>
            </w:r>
          </w:p>
        </w:tc>
        <w:tc>
          <w:tcPr>
            <w:tcW w:w="1265" w:type="dxa"/>
            <w:tcBorders>
              <w:left w:val="none" w:sz="0" w:space="0" w:color="auto"/>
              <w:right w:val="none" w:sz="0" w:space="0" w:color="auto"/>
            </w:tcBorders>
          </w:tcPr>
          <w:p w14:paraId="69F9E48C" w14:textId="6A3B6C7B" w:rsidR="001729EA" w:rsidRPr="00E97D52" w:rsidRDefault="001729EA"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E87888">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5.2</w:t>
            </w:r>
            <w:r w:rsidRPr="00E87888">
              <w:rPr>
                <w:rFonts w:ascii="Arial" w:eastAsia="Times New Roman" w:hAnsi="Arial" w:cs="Arial"/>
                <w:color w:val="17365D" w:themeColor="text2" w:themeShade="BF"/>
                <w:sz w:val="18"/>
                <w:szCs w:val="18"/>
              </w:rPr>
              <w:t>%</w:t>
            </w:r>
          </w:p>
        </w:tc>
        <w:tc>
          <w:tcPr>
            <w:tcW w:w="1266" w:type="dxa"/>
            <w:tcBorders>
              <w:left w:val="none" w:sz="0" w:space="0" w:color="auto"/>
              <w:right w:val="none" w:sz="0" w:space="0" w:color="auto"/>
            </w:tcBorders>
          </w:tcPr>
          <w:p w14:paraId="32C1B643" w14:textId="195AD74B" w:rsidR="001729EA" w:rsidRPr="00E97D52" w:rsidRDefault="00CD2F2B" w:rsidP="00E97D5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w:t>
            </w:r>
            <w:r w:rsidR="00B75D3A">
              <w:rPr>
                <w:rFonts w:ascii="Arial" w:eastAsia="Times New Roman" w:hAnsi="Arial" w:cs="Arial"/>
                <w:color w:val="17365D" w:themeColor="text2" w:themeShade="BF"/>
                <w:sz w:val="18"/>
                <w:szCs w:val="18"/>
              </w:rPr>
              <w:t>14.9</w:t>
            </w:r>
            <w:r w:rsidR="001729EA" w:rsidRPr="00560673">
              <w:rPr>
                <w:rFonts w:ascii="Arial" w:eastAsia="Times New Roman" w:hAnsi="Arial" w:cs="Arial"/>
                <w:color w:val="17365D" w:themeColor="text2" w:themeShade="BF"/>
                <w:sz w:val="18"/>
                <w:szCs w:val="18"/>
              </w:rPr>
              <w:t>%</w:t>
            </w:r>
          </w:p>
        </w:tc>
      </w:tr>
      <w:tr w:rsidR="00B75D3A" w:rsidRPr="000A733E" w14:paraId="00EC79C9" w14:textId="77777777" w:rsidTr="006E6284">
        <w:trPr>
          <w:trHeight w:val="113"/>
        </w:trPr>
        <w:tc>
          <w:tcPr>
            <w:cnfStyle w:val="001000000000" w:firstRow="0" w:lastRow="0" w:firstColumn="1" w:lastColumn="0" w:oddVBand="0" w:evenVBand="0" w:oddHBand="0" w:evenHBand="0" w:firstRowFirstColumn="0" w:firstRowLastColumn="0" w:lastRowFirstColumn="0" w:lastRowLastColumn="0"/>
            <w:tcW w:w="1872" w:type="dxa"/>
            <w:noWrap/>
          </w:tcPr>
          <w:p w14:paraId="21B21BAF" w14:textId="77777777" w:rsidR="00B75D3A" w:rsidRPr="000A733E" w:rsidRDefault="00B75D3A" w:rsidP="00B75D3A">
            <w:pPr>
              <w:rPr>
                <w:rFonts w:ascii="Arial" w:eastAsia="Times New Roman" w:hAnsi="Arial" w:cs="Arial"/>
                <w:b w:val="0"/>
                <w:color w:val="17365D" w:themeColor="text2" w:themeShade="BF"/>
                <w:sz w:val="18"/>
                <w:szCs w:val="18"/>
              </w:rPr>
            </w:pPr>
            <w:r>
              <w:rPr>
                <w:rFonts w:ascii="Arial" w:eastAsia="Times New Roman" w:hAnsi="Arial" w:cs="Arial"/>
                <w:b w:val="0"/>
                <w:color w:val="17365D" w:themeColor="text2" w:themeShade="BF"/>
                <w:sz w:val="18"/>
                <w:szCs w:val="18"/>
              </w:rPr>
              <w:lastRenderedPageBreak/>
              <w:t>Fresh fruit</w:t>
            </w:r>
          </w:p>
        </w:tc>
        <w:tc>
          <w:tcPr>
            <w:tcW w:w="1265" w:type="dxa"/>
            <w:vAlign w:val="center"/>
          </w:tcPr>
          <w:p w14:paraId="48DCBDB3" w14:textId="606B2785"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rPr>
            </w:pPr>
            <w:r w:rsidRPr="00E97D52">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2.819</w:t>
            </w:r>
            <w:r w:rsidRPr="00E97D52">
              <w:rPr>
                <w:rFonts w:ascii="Arial" w:eastAsia="Times New Roman" w:hAnsi="Arial" w:cs="Arial"/>
                <w:color w:val="17365D" w:themeColor="text2" w:themeShade="BF"/>
                <w:sz w:val="18"/>
                <w:szCs w:val="18"/>
              </w:rPr>
              <w:t>B</w:t>
            </w:r>
          </w:p>
        </w:tc>
        <w:tc>
          <w:tcPr>
            <w:tcW w:w="1265" w:type="dxa"/>
          </w:tcPr>
          <w:p w14:paraId="57664D8C" w14:textId="0D33962C"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18"/>
                <w:szCs w:val="18"/>
              </w:rPr>
            </w:pPr>
            <w:r w:rsidRPr="00591300">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6.1</w:t>
            </w:r>
            <w:r w:rsidRPr="00591300">
              <w:rPr>
                <w:rFonts w:ascii="Arial" w:eastAsia="Times New Roman" w:hAnsi="Arial" w:cs="Arial"/>
                <w:color w:val="17365D" w:themeColor="text2" w:themeShade="BF"/>
                <w:sz w:val="18"/>
                <w:szCs w:val="18"/>
              </w:rPr>
              <w:t>%</w:t>
            </w:r>
          </w:p>
        </w:tc>
        <w:tc>
          <w:tcPr>
            <w:tcW w:w="1265" w:type="dxa"/>
          </w:tcPr>
          <w:p w14:paraId="0AB9E5AE" w14:textId="32E1EE77"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rPr>
            </w:pPr>
            <w:r>
              <w:rPr>
                <w:rFonts w:ascii="Arial" w:eastAsia="Times New Roman" w:hAnsi="Arial" w:cs="Arial"/>
                <w:color w:val="17365D" w:themeColor="text2" w:themeShade="BF"/>
                <w:sz w:val="18"/>
                <w:szCs w:val="18"/>
              </w:rPr>
              <w:t>+9.0</w:t>
            </w:r>
            <w:r w:rsidRPr="00591300">
              <w:rPr>
                <w:rFonts w:ascii="Arial" w:eastAsia="Times New Roman" w:hAnsi="Arial" w:cs="Arial"/>
                <w:color w:val="17365D" w:themeColor="text2" w:themeShade="BF"/>
                <w:sz w:val="18"/>
                <w:szCs w:val="18"/>
              </w:rPr>
              <w:t>%</w:t>
            </w:r>
          </w:p>
        </w:tc>
        <w:tc>
          <w:tcPr>
            <w:tcW w:w="1265" w:type="dxa"/>
          </w:tcPr>
          <w:p w14:paraId="18ACF451" w14:textId="6F3CE700"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18"/>
                <w:szCs w:val="18"/>
              </w:rPr>
            </w:pPr>
            <w:r w:rsidRPr="000A0500">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2.7</w:t>
            </w:r>
            <w:r w:rsidRPr="000A0500">
              <w:rPr>
                <w:rFonts w:ascii="Arial" w:eastAsia="Times New Roman" w:hAnsi="Arial" w:cs="Arial"/>
                <w:color w:val="17365D" w:themeColor="text2" w:themeShade="BF"/>
                <w:sz w:val="18"/>
                <w:szCs w:val="18"/>
              </w:rPr>
              <w:t>%</w:t>
            </w:r>
          </w:p>
        </w:tc>
        <w:tc>
          <w:tcPr>
            <w:tcW w:w="1265" w:type="dxa"/>
          </w:tcPr>
          <w:p w14:paraId="3E25926E" w14:textId="5B728FC1"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-5.6</w:t>
            </w:r>
            <w:r w:rsidRPr="007650CC">
              <w:rPr>
                <w:rFonts w:ascii="Arial" w:eastAsia="Times New Roman" w:hAnsi="Arial" w:cs="Arial"/>
                <w:color w:val="17365D" w:themeColor="text2" w:themeShade="BF"/>
                <w:sz w:val="18"/>
                <w:szCs w:val="18"/>
              </w:rPr>
              <w:t>%</w:t>
            </w:r>
          </w:p>
        </w:tc>
        <w:tc>
          <w:tcPr>
            <w:tcW w:w="1265" w:type="dxa"/>
          </w:tcPr>
          <w:p w14:paraId="426F58FB" w14:textId="00F4FC69"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18"/>
                <w:szCs w:val="18"/>
              </w:rPr>
            </w:pPr>
            <w:r w:rsidRPr="00E87888">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6.2</w:t>
            </w:r>
            <w:r w:rsidRPr="00E87888">
              <w:rPr>
                <w:rFonts w:ascii="Arial" w:eastAsia="Times New Roman" w:hAnsi="Arial" w:cs="Arial"/>
                <w:color w:val="17365D" w:themeColor="text2" w:themeShade="BF"/>
                <w:sz w:val="18"/>
                <w:szCs w:val="18"/>
              </w:rPr>
              <w:t>%</w:t>
            </w:r>
          </w:p>
        </w:tc>
        <w:tc>
          <w:tcPr>
            <w:tcW w:w="1266" w:type="dxa"/>
          </w:tcPr>
          <w:p w14:paraId="44B578EA" w14:textId="20C81B6A" w:rsidR="00B75D3A" w:rsidRPr="00E97D52" w:rsidRDefault="00B75D3A" w:rsidP="00B75D3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-11.2</w:t>
            </w:r>
            <w:r w:rsidRPr="00560673">
              <w:rPr>
                <w:rFonts w:ascii="Arial" w:eastAsia="Times New Roman" w:hAnsi="Arial" w:cs="Arial"/>
                <w:color w:val="17365D" w:themeColor="text2" w:themeShade="BF"/>
                <w:sz w:val="18"/>
                <w:szCs w:val="18"/>
              </w:rPr>
              <w:t>%</w:t>
            </w:r>
          </w:p>
        </w:tc>
      </w:tr>
      <w:tr w:rsidR="00B75D3A" w:rsidRPr="000A733E" w14:paraId="52DE1385" w14:textId="77777777" w:rsidTr="001729EA">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72" w:type="dxa"/>
            <w:noWrap/>
          </w:tcPr>
          <w:p w14:paraId="7DC406A0" w14:textId="77777777" w:rsidR="00B75D3A" w:rsidRPr="000A733E" w:rsidRDefault="00B75D3A" w:rsidP="00B75D3A">
            <w:pPr>
              <w:rPr>
                <w:rFonts w:ascii="Arial" w:eastAsia="Times New Roman" w:hAnsi="Arial" w:cs="Arial"/>
                <w:b w:val="0"/>
                <w:color w:val="17365D" w:themeColor="text2" w:themeShade="BF"/>
                <w:sz w:val="18"/>
                <w:szCs w:val="18"/>
              </w:rPr>
            </w:pPr>
            <w:r>
              <w:rPr>
                <w:rFonts w:ascii="Arial" w:eastAsia="Times New Roman" w:hAnsi="Arial" w:cs="Arial"/>
                <w:b w:val="0"/>
                <w:color w:val="17365D" w:themeColor="text2" w:themeShade="BF"/>
                <w:sz w:val="18"/>
                <w:szCs w:val="18"/>
              </w:rPr>
              <w:t>Fresh vegetables</w:t>
            </w:r>
          </w:p>
        </w:tc>
        <w:tc>
          <w:tcPr>
            <w:tcW w:w="1265" w:type="dxa"/>
            <w:vAlign w:val="center"/>
          </w:tcPr>
          <w:p w14:paraId="643F13CC" w14:textId="290A9044"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rPr>
            </w:pPr>
            <w:r w:rsidRPr="00E97D52">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2.835</w:t>
            </w:r>
            <w:r w:rsidRPr="00E97D52">
              <w:rPr>
                <w:rFonts w:ascii="Arial" w:eastAsia="Times New Roman" w:hAnsi="Arial" w:cs="Arial"/>
                <w:color w:val="17365D" w:themeColor="text2" w:themeShade="BF"/>
                <w:sz w:val="18"/>
                <w:szCs w:val="18"/>
              </w:rPr>
              <w:t>B</w:t>
            </w:r>
          </w:p>
        </w:tc>
        <w:tc>
          <w:tcPr>
            <w:tcW w:w="1265" w:type="dxa"/>
          </w:tcPr>
          <w:p w14:paraId="62E753B2" w14:textId="3EC4747C"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591300">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2.4</w:t>
            </w:r>
            <w:r w:rsidRPr="00591300">
              <w:rPr>
                <w:rFonts w:ascii="Arial" w:eastAsia="Times New Roman" w:hAnsi="Arial" w:cs="Arial"/>
                <w:color w:val="17365D" w:themeColor="text2" w:themeShade="BF"/>
                <w:sz w:val="18"/>
                <w:szCs w:val="18"/>
              </w:rPr>
              <w:t>%</w:t>
            </w:r>
          </w:p>
        </w:tc>
        <w:tc>
          <w:tcPr>
            <w:tcW w:w="1265" w:type="dxa"/>
          </w:tcPr>
          <w:p w14:paraId="5F82C4A8" w14:textId="20BC45DF"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rPr>
            </w:pPr>
            <w:r>
              <w:rPr>
                <w:rFonts w:ascii="Arial" w:eastAsia="Times New Roman" w:hAnsi="Arial" w:cs="Arial"/>
                <w:color w:val="17365D" w:themeColor="text2" w:themeShade="BF"/>
                <w:sz w:val="18"/>
                <w:szCs w:val="18"/>
              </w:rPr>
              <w:t>-6.2</w:t>
            </w:r>
            <w:r w:rsidRPr="00591300">
              <w:rPr>
                <w:rFonts w:ascii="Arial" w:eastAsia="Times New Roman" w:hAnsi="Arial" w:cs="Arial"/>
                <w:color w:val="17365D" w:themeColor="text2" w:themeShade="BF"/>
                <w:sz w:val="18"/>
                <w:szCs w:val="18"/>
              </w:rPr>
              <w:t>%</w:t>
            </w:r>
          </w:p>
        </w:tc>
        <w:tc>
          <w:tcPr>
            <w:tcW w:w="1265" w:type="dxa"/>
          </w:tcPr>
          <w:p w14:paraId="36BF3793" w14:textId="444883A7"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0A0500">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5.8</w:t>
            </w:r>
            <w:r w:rsidRPr="000A0500">
              <w:rPr>
                <w:rFonts w:ascii="Arial" w:eastAsia="Times New Roman" w:hAnsi="Arial" w:cs="Arial"/>
                <w:color w:val="17365D" w:themeColor="text2" w:themeShade="BF"/>
                <w:sz w:val="18"/>
                <w:szCs w:val="18"/>
              </w:rPr>
              <w:t>%</w:t>
            </w:r>
          </w:p>
        </w:tc>
        <w:tc>
          <w:tcPr>
            <w:tcW w:w="1265" w:type="dxa"/>
          </w:tcPr>
          <w:p w14:paraId="60C3D45F" w14:textId="11117D46"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-14.5</w:t>
            </w:r>
            <w:r w:rsidRPr="007650CC">
              <w:rPr>
                <w:rFonts w:ascii="Arial" w:eastAsia="Times New Roman" w:hAnsi="Arial" w:cs="Arial"/>
                <w:color w:val="17365D" w:themeColor="text2" w:themeShade="BF"/>
                <w:sz w:val="18"/>
                <w:szCs w:val="18"/>
              </w:rPr>
              <w:t>%</w:t>
            </w:r>
          </w:p>
        </w:tc>
        <w:tc>
          <w:tcPr>
            <w:tcW w:w="1265" w:type="dxa"/>
          </w:tcPr>
          <w:p w14:paraId="53B735C6" w14:textId="5D638D92"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sidRPr="00E87888">
              <w:rPr>
                <w:rFonts w:ascii="Arial" w:eastAsia="Times New Roman" w:hAnsi="Arial" w:cs="Arial"/>
                <w:color w:val="17365D" w:themeColor="text2" w:themeShade="BF"/>
                <w:sz w:val="18"/>
                <w:szCs w:val="18"/>
              </w:rPr>
              <w:t>-</w:t>
            </w:r>
            <w:r>
              <w:rPr>
                <w:rFonts w:ascii="Arial" w:eastAsia="Times New Roman" w:hAnsi="Arial" w:cs="Arial"/>
                <w:color w:val="17365D" w:themeColor="text2" w:themeShade="BF"/>
                <w:sz w:val="18"/>
                <w:szCs w:val="18"/>
              </w:rPr>
              <w:t>4.2</w:t>
            </w:r>
            <w:r w:rsidRPr="00E87888">
              <w:rPr>
                <w:rFonts w:ascii="Arial" w:eastAsia="Times New Roman" w:hAnsi="Arial" w:cs="Arial"/>
                <w:color w:val="17365D" w:themeColor="text2" w:themeShade="BF"/>
                <w:sz w:val="18"/>
                <w:szCs w:val="18"/>
              </w:rPr>
              <w:t>%</w:t>
            </w:r>
          </w:p>
        </w:tc>
        <w:tc>
          <w:tcPr>
            <w:tcW w:w="1266" w:type="dxa"/>
          </w:tcPr>
          <w:p w14:paraId="3696D109" w14:textId="030A7F83" w:rsidR="00B75D3A" w:rsidRPr="00E97D52" w:rsidRDefault="00B75D3A" w:rsidP="00B75D3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17365D" w:themeColor="text2" w:themeShade="BF"/>
                <w:sz w:val="18"/>
                <w:szCs w:val="18"/>
              </w:rPr>
            </w:pPr>
            <w:r>
              <w:rPr>
                <w:rFonts w:ascii="Arial" w:eastAsia="Times New Roman" w:hAnsi="Arial" w:cs="Arial"/>
                <w:color w:val="17365D" w:themeColor="text2" w:themeShade="BF"/>
                <w:sz w:val="18"/>
                <w:szCs w:val="18"/>
              </w:rPr>
              <w:t>-18.9</w:t>
            </w:r>
            <w:r w:rsidRPr="00560673">
              <w:rPr>
                <w:rFonts w:ascii="Arial" w:eastAsia="Times New Roman" w:hAnsi="Arial" w:cs="Arial"/>
                <w:color w:val="17365D" w:themeColor="text2" w:themeShade="BF"/>
                <w:sz w:val="18"/>
                <w:szCs w:val="18"/>
              </w:rPr>
              <w:t>%</w:t>
            </w:r>
          </w:p>
        </w:tc>
      </w:tr>
    </w:tbl>
    <w:p w14:paraId="76F803AD" w14:textId="77777777" w:rsidR="00E97D52" w:rsidRPr="00B64ECF" w:rsidRDefault="00E97D52" w:rsidP="00E97D52">
      <w:pPr>
        <w:pStyle w:val="NoSpacing"/>
        <w:rPr>
          <w:rFonts w:ascii="Arial" w:hAnsi="Arial" w:cs="Arial"/>
          <w:sz w:val="12"/>
          <w:szCs w:val="16"/>
        </w:rPr>
      </w:pPr>
    </w:p>
    <w:p w14:paraId="7B8E71ED" w14:textId="39D7F5F7" w:rsidR="0053257C" w:rsidRDefault="00E97D52" w:rsidP="002D178D">
      <w:pPr>
        <w:pStyle w:val="NoSpacing"/>
        <w:rPr>
          <w:rFonts w:ascii="Arial" w:hAnsi="Arial" w:cs="Arial"/>
          <w:sz w:val="16"/>
          <w:szCs w:val="16"/>
        </w:rPr>
      </w:pPr>
      <w:r w:rsidRPr="005C6A11">
        <w:rPr>
          <w:rFonts w:ascii="Arial" w:hAnsi="Arial" w:cs="Arial"/>
          <w:sz w:val="16"/>
          <w:szCs w:val="16"/>
        </w:rPr>
        <w:t xml:space="preserve">Source: IRI, </w:t>
      </w:r>
      <w:r>
        <w:rPr>
          <w:rFonts w:ascii="Arial" w:hAnsi="Arial" w:cs="Arial"/>
          <w:sz w:val="16"/>
          <w:szCs w:val="16"/>
        </w:rPr>
        <w:t xml:space="preserve">Integrated Fresh, Total </w:t>
      </w:r>
      <w:r w:rsidRPr="005C6A11">
        <w:rPr>
          <w:rFonts w:ascii="Arial" w:hAnsi="Arial" w:cs="Arial"/>
          <w:sz w:val="16"/>
          <w:szCs w:val="16"/>
        </w:rPr>
        <w:t>US, MULO, % change vs. year ago.</w:t>
      </w:r>
    </w:p>
    <w:p w14:paraId="6F77542A" w14:textId="77777777" w:rsidR="008E0FB8" w:rsidRPr="00C227BA" w:rsidRDefault="008E0FB8" w:rsidP="002D178D">
      <w:pPr>
        <w:pStyle w:val="NoSpacing"/>
        <w:rPr>
          <w:rFonts w:ascii="Arial" w:hAnsi="Arial" w:cs="Arial"/>
          <w:color w:val="595959" w:themeColor="text1" w:themeTint="A6"/>
          <w:sz w:val="24"/>
        </w:rPr>
      </w:pPr>
    </w:p>
    <w:tbl>
      <w:tblPr>
        <w:tblStyle w:val="LightShading-Accent5"/>
        <w:tblpPr w:leftFromText="180" w:rightFromText="180" w:vertAnchor="text" w:horzAnchor="margin" w:tblpXSpec="right" w:tblpY="320"/>
        <w:tblOverlap w:val="never"/>
        <w:tblW w:w="5701" w:type="dxa"/>
        <w:tblBorders>
          <w:top w:val="none" w:sz="0" w:space="0" w:color="auto"/>
          <w:bottom w:val="none" w:sz="0" w:space="0" w:color="auto"/>
        </w:tblBorders>
        <w:tblLook w:val="04A0" w:firstRow="1" w:lastRow="0" w:firstColumn="1" w:lastColumn="0" w:noHBand="0" w:noVBand="1"/>
      </w:tblPr>
      <w:tblGrid>
        <w:gridCol w:w="1843"/>
        <w:gridCol w:w="1276"/>
        <w:gridCol w:w="1291"/>
        <w:gridCol w:w="1291"/>
      </w:tblGrid>
      <w:tr w:rsidR="00A225AD" w:rsidRPr="00DE633B" w14:paraId="789E18F0" w14:textId="77777777" w:rsidTr="009D788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22B589CF" w14:textId="77777777" w:rsidR="00A225AD" w:rsidRPr="00DE633B" w:rsidRDefault="00A225AD" w:rsidP="00340AA9">
            <w:pPr>
              <w:rPr>
                <w:rFonts w:ascii="Arial" w:hAnsi="Arial" w:cs="Arial"/>
                <w:color w:val="FFFFFF" w:themeColor="background1"/>
                <w:sz w:val="18"/>
                <w:szCs w:val="20"/>
              </w:rPr>
            </w:pPr>
            <w:r>
              <w:rPr>
                <w:rFonts w:ascii="Arial" w:hAnsi="Arial" w:cs="Arial"/>
                <w:color w:val="FFFFFF" w:themeColor="background1"/>
                <w:sz w:val="18"/>
                <w:szCs w:val="20"/>
              </w:rPr>
              <w:t xml:space="preserve">Produce </w:t>
            </w:r>
            <w:r w:rsidRPr="00DE633B">
              <w:rPr>
                <w:rFonts w:ascii="Arial" w:hAnsi="Arial" w:cs="Arial"/>
                <w:color w:val="FFFFFF" w:themeColor="background1"/>
                <w:sz w:val="18"/>
                <w:szCs w:val="20"/>
              </w:rPr>
              <w:t>department</w:t>
            </w:r>
          </w:p>
        </w:tc>
        <w:tc>
          <w:tcPr>
            <w:tcW w:w="1276"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297495A7" w14:textId="77777777" w:rsidR="00A225AD" w:rsidRPr="00DE633B" w:rsidRDefault="00A225AD" w:rsidP="00340AA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sidRPr="00DE633B">
              <w:rPr>
                <w:rFonts w:ascii="Arial" w:hAnsi="Arial" w:cs="Arial"/>
                <w:color w:val="FFFFFF" w:themeColor="background1"/>
                <w:sz w:val="18"/>
                <w:szCs w:val="20"/>
              </w:rPr>
              <w:t xml:space="preserve">Dollar </w:t>
            </w:r>
            <w:r>
              <w:rPr>
                <w:rFonts w:ascii="Arial" w:hAnsi="Arial" w:cs="Arial"/>
                <w:color w:val="FFFFFF" w:themeColor="background1"/>
                <w:sz w:val="18"/>
                <w:szCs w:val="20"/>
              </w:rPr>
              <w:br/>
            </w:r>
            <w:r w:rsidRPr="00DE633B">
              <w:rPr>
                <w:rFonts w:ascii="Arial" w:hAnsi="Arial" w:cs="Arial"/>
                <w:color w:val="FFFFFF" w:themeColor="background1"/>
                <w:sz w:val="18"/>
                <w:szCs w:val="20"/>
              </w:rPr>
              <w:t>sales</w:t>
            </w:r>
          </w:p>
        </w:tc>
        <w:tc>
          <w:tcPr>
            <w:tcW w:w="1291"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0F6EDA89" w14:textId="77777777" w:rsidR="009D7889" w:rsidRDefault="009D7889" w:rsidP="00340AA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20"/>
              </w:rPr>
            </w:pPr>
            <w:r>
              <w:rPr>
                <w:rFonts w:ascii="Arial" w:hAnsi="Arial" w:cs="Arial"/>
                <w:color w:val="FFFFFF" w:themeColor="background1"/>
                <w:sz w:val="18"/>
                <w:szCs w:val="20"/>
              </w:rPr>
              <w:t xml:space="preserve">$ </w:t>
            </w:r>
          </w:p>
          <w:p w14:paraId="789DFE22" w14:textId="5D3683E5" w:rsidR="00A225AD" w:rsidRPr="00DE633B" w:rsidRDefault="00A225AD" w:rsidP="00340AA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 xml:space="preserve">vs. </w:t>
            </w:r>
            <w:r w:rsidR="009D7889">
              <w:rPr>
                <w:rFonts w:ascii="Arial" w:hAnsi="Arial" w:cs="Arial"/>
                <w:color w:val="FFFFFF" w:themeColor="background1"/>
                <w:sz w:val="18"/>
                <w:szCs w:val="20"/>
              </w:rPr>
              <w:t>YA</w:t>
            </w:r>
          </w:p>
        </w:tc>
        <w:tc>
          <w:tcPr>
            <w:tcW w:w="1291"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00F40F68" w14:textId="77777777" w:rsidR="009D7889" w:rsidRDefault="009D7889" w:rsidP="00340AA9">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20"/>
              </w:rPr>
            </w:pPr>
            <w:r>
              <w:rPr>
                <w:rFonts w:ascii="Arial" w:hAnsi="Arial" w:cs="Arial"/>
                <w:color w:val="FFFFFF" w:themeColor="background1"/>
                <w:sz w:val="18"/>
                <w:szCs w:val="20"/>
              </w:rPr>
              <w:t xml:space="preserve">Lbs </w:t>
            </w:r>
          </w:p>
          <w:p w14:paraId="602B4FB7" w14:textId="2AC2744A" w:rsidR="00A225AD" w:rsidRPr="00DE633B" w:rsidRDefault="009D7889" w:rsidP="00340AA9">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vs. YA</w:t>
            </w:r>
          </w:p>
        </w:tc>
      </w:tr>
      <w:tr w:rsidR="00A225AD" w:rsidRPr="00361BCC" w14:paraId="2B024870" w14:textId="77777777" w:rsidTr="00AF4F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right w:val="none" w:sz="0" w:space="0" w:color="auto"/>
            </w:tcBorders>
            <w:vAlign w:val="center"/>
          </w:tcPr>
          <w:p w14:paraId="642F99E2" w14:textId="11F15B33" w:rsidR="00A225AD" w:rsidRPr="00361BCC" w:rsidRDefault="00A96063" w:rsidP="00AF4FDD">
            <w:pPr>
              <w:pStyle w:val="NoSpacing"/>
              <w:rPr>
                <w:rFonts w:ascii="Arial" w:hAnsi="Arial" w:cs="Arial"/>
                <w:color w:val="215868" w:themeColor="accent5" w:themeShade="80"/>
                <w:sz w:val="18"/>
                <w:szCs w:val="18"/>
              </w:rPr>
            </w:pPr>
            <w:r>
              <w:rPr>
                <w:rFonts w:ascii="Arial" w:hAnsi="Arial" w:cs="Arial"/>
                <w:color w:val="215868" w:themeColor="accent5" w:themeShade="80"/>
                <w:sz w:val="18"/>
                <w:szCs w:val="18"/>
              </w:rPr>
              <w:t xml:space="preserve">April </w:t>
            </w:r>
            <w:r w:rsidR="00112E9A">
              <w:rPr>
                <w:rFonts w:ascii="Arial" w:hAnsi="Arial" w:cs="Arial"/>
                <w:color w:val="215868" w:themeColor="accent5" w:themeShade="80"/>
                <w:sz w:val="18"/>
                <w:szCs w:val="18"/>
              </w:rPr>
              <w:t>2022</w:t>
            </w:r>
          </w:p>
        </w:tc>
        <w:tc>
          <w:tcPr>
            <w:tcW w:w="1276" w:type="dxa"/>
            <w:tcBorders>
              <w:left w:val="none" w:sz="0" w:space="0" w:color="auto"/>
              <w:right w:val="none" w:sz="0" w:space="0" w:color="auto"/>
            </w:tcBorders>
            <w:vAlign w:val="center"/>
          </w:tcPr>
          <w:p w14:paraId="112F661F" w14:textId="1727FA46" w:rsidR="00A225AD" w:rsidRPr="00361BCC" w:rsidRDefault="00A225AD" w:rsidP="00340AA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20"/>
              </w:rPr>
            </w:pPr>
            <w:r w:rsidRPr="00361BCC">
              <w:rPr>
                <w:rFonts w:ascii="Arial" w:hAnsi="Arial" w:cs="Arial"/>
                <w:b/>
                <w:bCs/>
                <w:color w:val="215868" w:themeColor="accent5" w:themeShade="80"/>
                <w:sz w:val="18"/>
                <w:szCs w:val="20"/>
              </w:rPr>
              <w:t>$</w:t>
            </w:r>
            <w:r w:rsidR="00B74871">
              <w:rPr>
                <w:rFonts w:ascii="Arial" w:hAnsi="Arial" w:cs="Arial"/>
                <w:b/>
                <w:bCs/>
                <w:color w:val="215868" w:themeColor="accent5" w:themeShade="80"/>
                <w:sz w:val="18"/>
                <w:szCs w:val="20"/>
              </w:rPr>
              <w:t>5.748</w:t>
            </w:r>
            <w:r w:rsidRPr="00361BCC">
              <w:rPr>
                <w:rFonts w:ascii="Arial" w:hAnsi="Arial" w:cs="Arial"/>
                <w:b/>
                <w:bCs/>
                <w:color w:val="215868" w:themeColor="accent5" w:themeShade="80"/>
                <w:sz w:val="18"/>
                <w:szCs w:val="20"/>
              </w:rPr>
              <w:t>B</w:t>
            </w:r>
          </w:p>
        </w:tc>
        <w:tc>
          <w:tcPr>
            <w:tcW w:w="1291" w:type="dxa"/>
            <w:tcBorders>
              <w:left w:val="none" w:sz="0" w:space="0" w:color="auto"/>
              <w:right w:val="none" w:sz="0" w:space="0" w:color="auto"/>
            </w:tcBorders>
            <w:vAlign w:val="center"/>
          </w:tcPr>
          <w:p w14:paraId="626D5FC4" w14:textId="43EDE35A" w:rsidR="00A225AD" w:rsidRPr="00361BCC" w:rsidRDefault="00BA7456" w:rsidP="00340AA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20"/>
              </w:rPr>
            </w:pPr>
            <w:r>
              <w:rPr>
                <w:rFonts w:ascii="Arial" w:hAnsi="Arial" w:cs="Arial"/>
                <w:b/>
                <w:bCs/>
                <w:color w:val="215868" w:themeColor="accent5" w:themeShade="80"/>
                <w:sz w:val="18"/>
                <w:szCs w:val="20"/>
              </w:rPr>
              <w:t>+</w:t>
            </w:r>
            <w:r w:rsidR="00B74871">
              <w:rPr>
                <w:rFonts w:ascii="Arial" w:hAnsi="Arial" w:cs="Arial"/>
                <w:b/>
                <w:bCs/>
                <w:color w:val="215868" w:themeColor="accent5" w:themeShade="80"/>
                <w:sz w:val="18"/>
                <w:szCs w:val="20"/>
              </w:rPr>
              <w:t>4.3</w:t>
            </w:r>
            <w:r w:rsidR="00A225AD" w:rsidRPr="00361BCC">
              <w:rPr>
                <w:rFonts w:ascii="Arial" w:hAnsi="Arial" w:cs="Arial"/>
                <w:b/>
                <w:bCs/>
                <w:color w:val="215868" w:themeColor="accent5" w:themeShade="80"/>
                <w:sz w:val="18"/>
                <w:szCs w:val="20"/>
              </w:rPr>
              <w:t>%</w:t>
            </w:r>
          </w:p>
        </w:tc>
        <w:tc>
          <w:tcPr>
            <w:tcW w:w="1291" w:type="dxa"/>
            <w:tcBorders>
              <w:left w:val="none" w:sz="0" w:space="0" w:color="auto"/>
              <w:right w:val="none" w:sz="0" w:space="0" w:color="auto"/>
            </w:tcBorders>
            <w:vAlign w:val="center"/>
          </w:tcPr>
          <w:p w14:paraId="18FFDE5D" w14:textId="7353A832" w:rsidR="00A225AD" w:rsidRPr="00361BCC" w:rsidRDefault="009D7889" w:rsidP="00340AA9">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20"/>
              </w:rPr>
            </w:pPr>
            <w:r>
              <w:rPr>
                <w:rFonts w:ascii="Arial" w:hAnsi="Arial" w:cs="Arial"/>
                <w:b/>
                <w:bCs/>
                <w:color w:val="215868" w:themeColor="accent5" w:themeShade="80"/>
                <w:sz w:val="18"/>
                <w:szCs w:val="20"/>
              </w:rPr>
              <w:t>-</w:t>
            </w:r>
            <w:r w:rsidR="00B74871">
              <w:rPr>
                <w:rFonts w:ascii="Arial" w:hAnsi="Arial" w:cs="Arial"/>
                <w:b/>
                <w:bCs/>
                <w:color w:val="215868" w:themeColor="accent5" w:themeShade="80"/>
                <w:sz w:val="18"/>
                <w:szCs w:val="20"/>
              </w:rPr>
              <w:t>5.2</w:t>
            </w:r>
            <w:r w:rsidR="00A225AD" w:rsidRPr="00361BCC">
              <w:rPr>
                <w:rFonts w:ascii="Arial" w:hAnsi="Arial" w:cs="Arial"/>
                <w:b/>
                <w:bCs/>
                <w:color w:val="215868" w:themeColor="accent5" w:themeShade="80"/>
                <w:sz w:val="18"/>
                <w:szCs w:val="20"/>
              </w:rPr>
              <w:t>%</w:t>
            </w:r>
          </w:p>
        </w:tc>
      </w:tr>
      <w:tr w:rsidR="005B198A" w:rsidRPr="00E736B9" w14:paraId="0E6C1C11" w14:textId="77777777" w:rsidTr="00AF4FDD">
        <w:trPr>
          <w:trHeight w:val="255"/>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11A1C270" w14:textId="7E8F93AF" w:rsidR="005B198A" w:rsidRPr="00E736B9" w:rsidRDefault="005B198A" w:rsidP="005B198A">
            <w:pPr>
              <w:pStyle w:val="NoSpacing"/>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w.e. 4/3/2022</w:t>
            </w:r>
          </w:p>
        </w:tc>
        <w:tc>
          <w:tcPr>
            <w:tcW w:w="1276" w:type="dxa"/>
            <w:vAlign w:val="center"/>
          </w:tcPr>
          <w:p w14:paraId="05ACFCB0" w14:textId="1EADED8E" w:rsidR="005B198A" w:rsidRPr="005B198A" w:rsidRDefault="005B198A" w:rsidP="005B19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1.403</w:t>
            </w:r>
            <w:r w:rsidRPr="005B198A">
              <w:rPr>
                <w:rFonts w:ascii="Arial" w:hAnsi="Arial" w:cs="Arial"/>
                <w:color w:val="215868" w:themeColor="accent5" w:themeShade="80"/>
                <w:sz w:val="18"/>
                <w:szCs w:val="20"/>
              </w:rPr>
              <w:t>B</w:t>
            </w:r>
          </w:p>
        </w:tc>
        <w:tc>
          <w:tcPr>
            <w:tcW w:w="1291" w:type="dxa"/>
            <w:vAlign w:val="center"/>
          </w:tcPr>
          <w:p w14:paraId="58668FAD" w14:textId="68C00273" w:rsidR="005B198A" w:rsidRPr="005B198A" w:rsidRDefault="00B74871" w:rsidP="005B19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-3.3</w:t>
            </w:r>
            <w:r w:rsidR="005B198A" w:rsidRPr="005B198A">
              <w:rPr>
                <w:rFonts w:ascii="Arial" w:hAnsi="Arial" w:cs="Arial"/>
                <w:color w:val="215868" w:themeColor="accent5" w:themeShade="80"/>
                <w:sz w:val="18"/>
                <w:szCs w:val="20"/>
              </w:rPr>
              <w:t>%</w:t>
            </w:r>
          </w:p>
        </w:tc>
        <w:tc>
          <w:tcPr>
            <w:tcW w:w="1291" w:type="dxa"/>
            <w:vAlign w:val="center"/>
          </w:tcPr>
          <w:p w14:paraId="71A2D256" w14:textId="49C2BF4C" w:rsidR="005B198A" w:rsidRPr="005B198A" w:rsidRDefault="005B198A" w:rsidP="005B19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14.2</w:t>
            </w:r>
            <w:r w:rsidRPr="005B198A">
              <w:rPr>
                <w:rFonts w:ascii="Arial" w:hAnsi="Arial" w:cs="Arial"/>
                <w:color w:val="215868" w:themeColor="accent5" w:themeShade="80"/>
                <w:sz w:val="18"/>
                <w:szCs w:val="20"/>
              </w:rPr>
              <w:t>%</w:t>
            </w:r>
          </w:p>
        </w:tc>
      </w:tr>
      <w:tr w:rsidR="005B198A" w:rsidRPr="00E736B9" w14:paraId="6851F49E" w14:textId="77777777" w:rsidTr="00AF4F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right w:val="none" w:sz="0" w:space="0" w:color="auto"/>
            </w:tcBorders>
            <w:vAlign w:val="center"/>
          </w:tcPr>
          <w:p w14:paraId="647D5E2A" w14:textId="236BCDCE" w:rsidR="005B198A" w:rsidRPr="00E736B9" w:rsidRDefault="005B198A" w:rsidP="005B198A">
            <w:pPr>
              <w:rPr>
                <w:color w:val="215868" w:themeColor="accent5" w:themeShade="80"/>
              </w:rPr>
            </w:pPr>
            <w:r w:rsidRPr="00E736B9">
              <w:rPr>
                <w:rFonts w:ascii="Arial" w:hAnsi="Arial" w:cs="Arial"/>
                <w:b w:val="0"/>
                <w:color w:val="215868" w:themeColor="accent5" w:themeShade="80"/>
                <w:sz w:val="18"/>
                <w:szCs w:val="18"/>
              </w:rPr>
              <w:t xml:space="preserve">w.e. </w:t>
            </w:r>
            <w:r>
              <w:rPr>
                <w:rFonts w:ascii="Arial" w:hAnsi="Arial" w:cs="Arial"/>
                <w:b w:val="0"/>
                <w:color w:val="215868" w:themeColor="accent5" w:themeShade="80"/>
                <w:sz w:val="18"/>
                <w:szCs w:val="18"/>
              </w:rPr>
              <w:t>4/10/2022</w:t>
            </w:r>
          </w:p>
        </w:tc>
        <w:tc>
          <w:tcPr>
            <w:tcW w:w="1276" w:type="dxa"/>
            <w:tcBorders>
              <w:left w:val="none" w:sz="0" w:space="0" w:color="auto"/>
              <w:right w:val="none" w:sz="0" w:space="0" w:color="auto"/>
            </w:tcBorders>
            <w:vAlign w:val="center"/>
          </w:tcPr>
          <w:p w14:paraId="38924E9F" w14:textId="5592E011" w:rsidR="005B198A" w:rsidRPr="005B198A" w:rsidRDefault="005B198A" w:rsidP="005B198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1.428</w:t>
            </w:r>
            <w:r w:rsidRPr="005B198A">
              <w:rPr>
                <w:rFonts w:ascii="Arial" w:hAnsi="Arial" w:cs="Arial"/>
                <w:color w:val="215868" w:themeColor="accent5" w:themeShade="80"/>
                <w:sz w:val="18"/>
                <w:szCs w:val="20"/>
              </w:rPr>
              <w:t>B</w:t>
            </w:r>
          </w:p>
        </w:tc>
        <w:tc>
          <w:tcPr>
            <w:tcW w:w="1291" w:type="dxa"/>
            <w:tcBorders>
              <w:left w:val="none" w:sz="0" w:space="0" w:color="auto"/>
              <w:right w:val="none" w:sz="0" w:space="0" w:color="auto"/>
            </w:tcBorders>
            <w:vAlign w:val="center"/>
          </w:tcPr>
          <w:p w14:paraId="5FDEE9AD" w14:textId="49DF7009" w:rsidR="005B198A" w:rsidRPr="005B198A" w:rsidRDefault="005B198A" w:rsidP="005B198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7.9</w:t>
            </w:r>
            <w:r w:rsidRPr="005B198A">
              <w:rPr>
                <w:rFonts w:ascii="Arial" w:hAnsi="Arial" w:cs="Arial"/>
                <w:color w:val="215868" w:themeColor="accent5" w:themeShade="80"/>
                <w:sz w:val="18"/>
                <w:szCs w:val="20"/>
              </w:rPr>
              <w:t>%</w:t>
            </w:r>
          </w:p>
        </w:tc>
        <w:tc>
          <w:tcPr>
            <w:tcW w:w="1291" w:type="dxa"/>
            <w:tcBorders>
              <w:left w:val="none" w:sz="0" w:space="0" w:color="auto"/>
              <w:right w:val="none" w:sz="0" w:space="0" w:color="auto"/>
            </w:tcBorders>
            <w:vAlign w:val="center"/>
          </w:tcPr>
          <w:p w14:paraId="05B7695E" w14:textId="43C81074" w:rsidR="005B198A" w:rsidRPr="005B198A" w:rsidRDefault="005B198A" w:rsidP="005B198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2.1</w:t>
            </w:r>
            <w:r w:rsidRPr="005B198A">
              <w:rPr>
                <w:rFonts w:ascii="Arial" w:hAnsi="Arial" w:cs="Arial"/>
                <w:color w:val="215868" w:themeColor="accent5" w:themeShade="80"/>
                <w:sz w:val="18"/>
                <w:szCs w:val="20"/>
              </w:rPr>
              <w:t>%</w:t>
            </w:r>
          </w:p>
        </w:tc>
      </w:tr>
      <w:tr w:rsidR="005B198A" w:rsidRPr="00E736B9" w14:paraId="0D2847A6" w14:textId="77777777" w:rsidTr="00AF4FDD">
        <w:trPr>
          <w:trHeight w:val="255"/>
        </w:trPr>
        <w:tc>
          <w:tcPr>
            <w:cnfStyle w:val="001000000000" w:firstRow="0" w:lastRow="0" w:firstColumn="1" w:lastColumn="0" w:oddVBand="0" w:evenVBand="0" w:oddHBand="0" w:evenHBand="0" w:firstRowFirstColumn="0" w:firstRowLastColumn="0" w:lastRowFirstColumn="0" w:lastRowLastColumn="0"/>
            <w:tcW w:w="1843" w:type="dxa"/>
            <w:vAlign w:val="center"/>
          </w:tcPr>
          <w:p w14:paraId="2B223774" w14:textId="6C44A78D" w:rsidR="005B198A" w:rsidRPr="00E736B9" w:rsidRDefault="005B198A" w:rsidP="005B198A">
            <w:pPr>
              <w:rPr>
                <w:color w:val="215868" w:themeColor="accent5" w:themeShade="80"/>
              </w:rPr>
            </w:pPr>
            <w:r>
              <w:rPr>
                <w:rFonts w:ascii="Arial" w:hAnsi="Arial" w:cs="Arial"/>
                <w:b w:val="0"/>
                <w:color w:val="215868" w:themeColor="accent5" w:themeShade="80"/>
                <w:sz w:val="18"/>
                <w:szCs w:val="18"/>
              </w:rPr>
              <w:t>w.e. 4/17/2022</w:t>
            </w:r>
          </w:p>
        </w:tc>
        <w:tc>
          <w:tcPr>
            <w:tcW w:w="1276" w:type="dxa"/>
            <w:vAlign w:val="center"/>
          </w:tcPr>
          <w:p w14:paraId="5AB61FC0" w14:textId="3B0AFE6D" w:rsidR="005B198A" w:rsidRPr="005B198A" w:rsidRDefault="005B198A" w:rsidP="005B198A">
            <w:pPr>
              <w:jc w:val="right"/>
              <w:cnfStyle w:val="000000000000" w:firstRow="0" w:lastRow="0" w:firstColumn="0" w:lastColumn="0" w:oddVBand="0" w:evenVBand="0" w:oddHBand="0" w:evenHBand="0" w:firstRowFirstColumn="0" w:firstRowLastColumn="0" w:lastRowFirstColumn="0" w:lastRowLastColumn="0"/>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1.556</w:t>
            </w:r>
            <w:r w:rsidRPr="005B198A">
              <w:rPr>
                <w:rFonts w:ascii="Arial" w:hAnsi="Arial" w:cs="Arial"/>
                <w:color w:val="215868" w:themeColor="accent5" w:themeShade="80"/>
                <w:sz w:val="18"/>
                <w:szCs w:val="20"/>
              </w:rPr>
              <w:t>B</w:t>
            </w:r>
          </w:p>
        </w:tc>
        <w:tc>
          <w:tcPr>
            <w:tcW w:w="1291" w:type="dxa"/>
            <w:vAlign w:val="center"/>
          </w:tcPr>
          <w:p w14:paraId="17ECF4F3" w14:textId="4D34AEC2" w:rsidR="005B198A" w:rsidRPr="005B198A" w:rsidRDefault="005B198A" w:rsidP="005B19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13.4</w:t>
            </w:r>
            <w:r w:rsidRPr="005B198A">
              <w:rPr>
                <w:rFonts w:ascii="Arial" w:hAnsi="Arial" w:cs="Arial"/>
                <w:color w:val="215868" w:themeColor="accent5" w:themeShade="80"/>
                <w:sz w:val="18"/>
                <w:szCs w:val="20"/>
              </w:rPr>
              <w:t>%</w:t>
            </w:r>
          </w:p>
        </w:tc>
        <w:tc>
          <w:tcPr>
            <w:tcW w:w="1291" w:type="dxa"/>
            <w:vAlign w:val="center"/>
          </w:tcPr>
          <w:p w14:paraId="787DCCD7" w14:textId="4C8F1410" w:rsidR="005B198A" w:rsidRPr="005B198A" w:rsidRDefault="00B74871" w:rsidP="005B19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+5.5</w:t>
            </w:r>
            <w:r w:rsidR="005B198A" w:rsidRPr="005B198A">
              <w:rPr>
                <w:rFonts w:ascii="Arial" w:hAnsi="Arial" w:cs="Arial"/>
                <w:color w:val="215868" w:themeColor="accent5" w:themeShade="80"/>
                <w:sz w:val="18"/>
                <w:szCs w:val="20"/>
              </w:rPr>
              <w:t>%</w:t>
            </w:r>
          </w:p>
        </w:tc>
      </w:tr>
      <w:tr w:rsidR="005B198A" w:rsidRPr="00E736B9" w14:paraId="480D89B1" w14:textId="77777777" w:rsidTr="00AF4FD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43" w:type="dxa"/>
            <w:tcBorders>
              <w:left w:val="none" w:sz="0" w:space="0" w:color="auto"/>
              <w:right w:val="none" w:sz="0" w:space="0" w:color="auto"/>
            </w:tcBorders>
            <w:vAlign w:val="center"/>
          </w:tcPr>
          <w:p w14:paraId="5D516260" w14:textId="30D0F668" w:rsidR="005B198A" w:rsidRPr="00E736B9" w:rsidRDefault="005B198A" w:rsidP="005B198A">
            <w:pPr>
              <w:rPr>
                <w:color w:val="215868" w:themeColor="accent5" w:themeShade="80"/>
              </w:rPr>
            </w:pPr>
            <w:r>
              <w:rPr>
                <w:rFonts w:ascii="Arial" w:hAnsi="Arial" w:cs="Arial"/>
                <w:b w:val="0"/>
                <w:color w:val="215868" w:themeColor="accent5" w:themeShade="80"/>
                <w:sz w:val="18"/>
                <w:szCs w:val="18"/>
              </w:rPr>
              <w:t>w.e. 4/24/2022</w:t>
            </w:r>
          </w:p>
        </w:tc>
        <w:tc>
          <w:tcPr>
            <w:tcW w:w="1276" w:type="dxa"/>
            <w:tcBorders>
              <w:left w:val="none" w:sz="0" w:space="0" w:color="auto"/>
              <w:right w:val="none" w:sz="0" w:space="0" w:color="auto"/>
            </w:tcBorders>
            <w:vAlign w:val="center"/>
          </w:tcPr>
          <w:p w14:paraId="1637EA20" w14:textId="39C60114" w:rsidR="005B198A" w:rsidRPr="005B198A" w:rsidRDefault="005B198A" w:rsidP="005B198A">
            <w:pPr>
              <w:jc w:val="right"/>
              <w:cnfStyle w:val="000000100000" w:firstRow="0" w:lastRow="0" w:firstColumn="0" w:lastColumn="0" w:oddVBand="0" w:evenVBand="0" w:oddHBand="1" w:evenHBand="0" w:firstRowFirstColumn="0" w:firstRowLastColumn="0" w:lastRowFirstColumn="0" w:lastRowLastColumn="0"/>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1.361</w:t>
            </w:r>
            <w:r w:rsidRPr="005B198A">
              <w:rPr>
                <w:rFonts w:ascii="Arial" w:hAnsi="Arial" w:cs="Arial"/>
                <w:color w:val="215868" w:themeColor="accent5" w:themeShade="80"/>
                <w:sz w:val="18"/>
                <w:szCs w:val="20"/>
              </w:rPr>
              <w:t>B</w:t>
            </w:r>
          </w:p>
        </w:tc>
        <w:tc>
          <w:tcPr>
            <w:tcW w:w="1291" w:type="dxa"/>
            <w:tcBorders>
              <w:left w:val="none" w:sz="0" w:space="0" w:color="auto"/>
              <w:right w:val="none" w:sz="0" w:space="0" w:color="auto"/>
            </w:tcBorders>
            <w:vAlign w:val="center"/>
          </w:tcPr>
          <w:p w14:paraId="7A1D7AA7" w14:textId="2C2D6145" w:rsidR="005B198A" w:rsidRPr="005B198A" w:rsidRDefault="00B74871" w:rsidP="005B198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-0.2</w:t>
            </w:r>
            <w:r w:rsidR="005B198A" w:rsidRPr="005B198A">
              <w:rPr>
                <w:rFonts w:ascii="Arial" w:hAnsi="Arial" w:cs="Arial"/>
                <w:color w:val="215868" w:themeColor="accent5" w:themeShade="80"/>
                <w:sz w:val="18"/>
                <w:szCs w:val="20"/>
              </w:rPr>
              <w:t>%</w:t>
            </w:r>
          </w:p>
        </w:tc>
        <w:tc>
          <w:tcPr>
            <w:tcW w:w="1291" w:type="dxa"/>
            <w:tcBorders>
              <w:left w:val="none" w:sz="0" w:space="0" w:color="auto"/>
              <w:right w:val="none" w:sz="0" w:space="0" w:color="auto"/>
            </w:tcBorders>
            <w:vAlign w:val="center"/>
          </w:tcPr>
          <w:p w14:paraId="57F75F3D" w14:textId="6964ADD3" w:rsidR="005B198A" w:rsidRPr="005B198A" w:rsidRDefault="005B198A" w:rsidP="005B198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sidRPr="005B198A">
              <w:rPr>
                <w:rFonts w:ascii="Arial" w:hAnsi="Arial" w:cs="Arial"/>
                <w:color w:val="215868" w:themeColor="accent5" w:themeShade="80"/>
                <w:sz w:val="18"/>
                <w:szCs w:val="20"/>
              </w:rPr>
              <w:t>-</w:t>
            </w:r>
            <w:r w:rsidR="00B74871">
              <w:rPr>
                <w:rFonts w:ascii="Arial" w:hAnsi="Arial" w:cs="Arial"/>
                <w:color w:val="215868" w:themeColor="accent5" w:themeShade="80"/>
                <w:sz w:val="18"/>
                <w:szCs w:val="20"/>
              </w:rPr>
              <w:t>9.3</w:t>
            </w:r>
            <w:r w:rsidRPr="005B198A">
              <w:rPr>
                <w:rFonts w:ascii="Arial" w:hAnsi="Arial" w:cs="Arial"/>
                <w:color w:val="215868" w:themeColor="accent5" w:themeShade="80"/>
                <w:sz w:val="18"/>
                <w:szCs w:val="20"/>
              </w:rPr>
              <w:t>%</w:t>
            </w:r>
          </w:p>
        </w:tc>
      </w:tr>
    </w:tbl>
    <w:p w14:paraId="2E1C73C4" w14:textId="77777777" w:rsidR="00253765" w:rsidRDefault="00B74871" w:rsidP="00D4285A">
      <w:pPr>
        <w:spacing w:after="0" w:line="240" w:lineRule="auto"/>
        <w:rPr>
          <w:rFonts w:ascii="Arial" w:hAnsi="Arial" w:cs="Arial"/>
          <w:sz w:val="20"/>
          <w:szCs w:val="20"/>
        </w:rPr>
      </w:pPr>
      <w:r>
        <w:rPr>
          <w:rFonts w:ascii="Arial" w:hAnsi="Arial" w:cs="Arial"/>
          <w:sz w:val="20"/>
          <w:szCs w:val="20"/>
        </w:rPr>
        <w:t>The changes in the timing of Easter/Passover prompted some ups and downs in the individual April weeks. As Easter fell on April 4</w:t>
      </w:r>
      <w:r w:rsidRPr="00B74871">
        <w:rPr>
          <w:rFonts w:ascii="Arial" w:hAnsi="Arial" w:cs="Arial"/>
          <w:sz w:val="20"/>
          <w:szCs w:val="20"/>
          <w:vertAlign w:val="superscript"/>
        </w:rPr>
        <w:t>th</w:t>
      </w:r>
      <w:r>
        <w:rPr>
          <w:rFonts w:ascii="Arial" w:hAnsi="Arial" w:cs="Arial"/>
          <w:sz w:val="20"/>
          <w:szCs w:val="20"/>
        </w:rPr>
        <w:t xml:space="preserve"> last year, sales were down year-on-year the first week of April. However, sales during Easter week this year reached $1.6 billion, the biggest week of the four. That translated into a 13.4% increase over year ago and a 5.5% increase in volume. The non-holiday weeks generated about $1.4 billion, each</w:t>
      </w:r>
      <w:r w:rsidR="00253765">
        <w:rPr>
          <w:rFonts w:ascii="Arial" w:hAnsi="Arial" w:cs="Arial"/>
          <w:sz w:val="20"/>
          <w:szCs w:val="20"/>
        </w:rPr>
        <w:t xml:space="preserve">, </w:t>
      </w:r>
      <w:r w:rsidR="002F2661">
        <w:rPr>
          <w:rFonts w:ascii="Arial" w:hAnsi="Arial" w:cs="Arial"/>
          <w:sz w:val="20"/>
          <w:szCs w:val="20"/>
        </w:rPr>
        <w:t>which is</w:t>
      </w:r>
      <w:r w:rsidR="008E0FB8">
        <w:rPr>
          <w:rFonts w:ascii="Arial" w:hAnsi="Arial" w:cs="Arial"/>
          <w:sz w:val="20"/>
          <w:szCs w:val="20"/>
        </w:rPr>
        <w:t xml:space="preserve"> very similar to </w:t>
      </w:r>
      <w:r w:rsidR="00DB62F4">
        <w:rPr>
          <w:rFonts w:ascii="Arial" w:hAnsi="Arial" w:cs="Arial"/>
          <w:sz w:val="20"/>
          <w:szCs w:val="20"/>
        </w:rPr>
        <w:t>the</w:t>
      </w:r>
      <w:r w:rsidR="002F2661">
        <w:rPr>
          <w:rFonts w:ascii="Arial" w:hAnsi="Arial" w:cs="Arial"/>
          <w:sz w:val="20"/>
          <w:szCs w:val="20"/>
        </w:rPr>
        <w:t xml:space="preserve"> </w:t>
      </w:r>
      <w:r w:rsidR="00891C7E">
        <w:rPr>
          <w:rFonts w:ascii="Arial" w:hAnsi="Arial" w:cs="Arial"/>
          <w:sz w:val="20"/>
          <w:szCs w:val="20"/>
        </w:rPr>
        <w:t xml:space="preserve">weekly </w:t>
      </w:r>
      <w:r w:rsidR="002F2661">
        <w:rPr>
          <w:rFonts w:ascii="Arial" w:hAnsi="Arial" w:cs="Arial"/>
          <w:sz w:val="20"/>
          <w:szCs w:val="20"/>
        </w:rPr>
        <w:t>levels seen in the December</w:t>
      </w:r>
      <w:r w:rsidR="00866BC1">
        <w:rPr>
          <w:rFonts w:ascii="Arial" w:hAnsi="Arial" w:cs="Arial"/>
          <w:sz w:val="20"/>
          <w:szCs w:val="20"/>
        </w:rPr>
        <w:t xml:space="preserve"> through </w:t>
      </w:r>
      <w:r w:rsidR="00253765">
        <w:rPr>
          <w:rFonts w:ascii="Arial" w:hAnsi="Arial" w:cs="Arial"/>
          <w:sz w:val="20"/>
          <w:szCs w:val="20"/>
        </w:rPr>
        <w:t xml:space="preserve">March </w:t>
      </w:r>
      <w:r w:rsidR="002F2661">
        <w:rPr>
          <w:rFonts w:ascii="Arial" w:hAnsi="Arial" w:cs="Arial"/>
          <w:sz w:val="20"/>
          <w:szCs w:val="20"/>
        </w:rPr>
        <w:t xml:space="preserve">weeks. </w:t>
      </w:r>
    </w:p>
    <w:p w14:paraId="3D60D6F7" w14:textId="7608788F" w:rsidR="00253765" w:rsidRDefault="00253765" w:rsidP="00D4285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21DE452" wp14:editId="46536706">
                <wp:simplePos x="0" y="0"/>
                <wp:positionH relativeFrom="column">
                  <wp:posOffset>3100126</wp:posOffset>
                </wp:positionH>
                <wp:positionV relativeFrom="paragraph">
                  <wp:posOffset>2346</wp:posOffset>
                </wp:positionV>
                <wp:extent cx="3547745" cy="20066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200660"/>
                        </a:xfrm>
                        <a:prstGeom prst="rect">
                          <a:avLst/>
                        </a:prstGeom>
                        <a:solidFill>
                          <a:srgbClr val="FFFFFF"/>
                        </a:solidFill>
                        <a:ln>
                          <a:noFill/>
                        </a:ln>
                      </wps:spPr>
                      <wps:txbx>
                        <w:txbxContent>
                          <w:p w14:paraId="61B6AA1E" w14:textId="77777777" w:rsidR="00112E9A" w:rsidRDefault="00112E9A" w:rsidP="0053257C">
                            <w:pPr>
                              <w:pStyle w:val="NoSpacing"/>
                            </w:pPr>
                            <w:r>
                              <w:rPr>
                                <w:rFonts w:ascii="Arial" w:hAnsi="Arial" w:cs="Arial"/>
                                <w:sz w:val="16"/>
                                <w:szCs w:val="16"/>
                              </w:rPr>
                              <w:t>Source: IRI, Integrated Fresh, Total US, MULO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DE452" id="_x0000_t202" coordsize="21600,21600" o:spt="202" path="m,l,21600r21600,l21600,xe">
                <v:stroke joinstyle="miter"/>
                <v:path gradientshapeok="t" o:connecttype="rect"/>
              </v:shapetype>
              <v:shape id="Text Box 7" o:spid="_x0000_s1026" type="#_x0000_t202" style="position:absolute;margin-left:244.1pt;margin-top:.2pt;width:279.3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vF8gEAAMoDAAAOAAAAZHJzL2Uyb0RvYy54bWysU9uO0zAQfUfiHyy/07Ql3ULUdLV0VYS0&#10;XKSFD3AcJ7FwPGbsNilfz9jpdqvlDZEHy+Oxz8w5c7K5HXvDjgq9BlvyxWzOmbISam3bkv/4vn/z&#10;jjMfhK2FAatKflKe325fv9oMrlBL6MDUChmBWF8MruRdCK7IMi871Qs/A6csJRvAXgQKsc1qFAOh&#10;9yZbzuc32QBYOwSpvKfT+ynJtwm/aZQMX5vGq8BMyam3kFZMaxXXbLsRRYvCdVqe2xD/0EUvtKWi&#10;F6h7EQQ7oP4LqtcSwUMTZhL6DJpGS5U4EJvF/AWbx044lbiQON5dZPL/D1Z+OT66b8jC+AFGGmAi&#10;4d0DyJ+eWdh1wrbqDhGGTomaCi+iZNngfHF+GqX2hY8g1fAZahqyOARIQGODfVSFeDJCpwGcLqKr&#10;MTBJh29X+XqdrziTlIsjvUlTyUTx9NqhDx8V9CxuSo401IQujg8+xG5E8XQlFvNgdL3XxqQA22pn&#10;kB0FGWCfvkTgxTVj42UL8dmEGE8Szchs4hjGaqRkpFtBfSLCCJOh6AegTQf4m7OBzFRy/+sgUHFm&#10;PlkS7f0iz6P7UpCv1ksK8DpTXWeElQRV8sDZtN2FybEHh7rtqNI0Jgt3JHSjkwbPXZ37JsMkac7m&#10;jo68jtOt519w+wcAAP//AwBQSwMEFAAGAAgAAAAhALcBpNPdAAAACAEAAA8AAABkcnMvZG93bnJl&#10;di54bWxMj8FOwzAQRO9I/IO1lbgg6hBCmoY4FSCBem3pB2zibRI1Xkex26R/j3uC26xmNPO22Mym&#10;FxcaXWdZwfMyAkFcW91xo+Dw8/WUgXAeWWNvmRRcycGmvL8rMNd24h1d9r4RoYRdjgpa74dcSle3&#10;ZNAt7UAcvKMdDfpwjo3UI06h3PQyjqJUGuw4LLQ40GdL9Wl/NgqO2+nxdT1V3/6w2iXpB3aryl6V&#10;eljM728gPM3+Lww3/IAOZWCq7Jm1E72CJMviEA0CxM2OknQNolLwEkcgy0L+f6D8BQAA//8DAFBL&#10;AQItABQABgAIAAAAIQC2gziS/gAAAOEBAAATAAAAAAAAAAAAAAAAAAAAAABbQ29udGVudF9UeXBl&#10;c10ueG1sUEsBAi0AFAAGAAgAAAAhADj9If/WAAAAlAEAAAsAAAAAAAAAAAAAAAAALwEAAF9yZWxz&#10;Ly5yZWxzUEsBAi0AFAAGAAgAAAAhADR9q8XyAQAAygMAAA4AAAAAAAAAAAAAAAAALgIAAGRycy9l&#10;Mm9Eb2MueG1sUEsBAi0AFAAGAAgAAAAhALcBpNPdAAAACAEAAA8AAAAAAAAAAAAAAAAATAQAAGRy&#10;cy9kb3ducmV2LnhtbFBLBQYAAAAABAAEAPMAAABWBQAAAAA=&#10;" stroked="f">
                <v:textbox>
                  <w:txbxContent>
                    <w:p w14:paraId="61B6AA1E" w14:textId="77777777" w:rsidR="00112E9A" w:rsidRDefault="00112E9A" w:rsidP="0053257C">
                      <w:pPr>
                        <w:pStyle w:val="NoSpacing"/>
                      </w:pPr>
                      <w:r>
                        <w:rPr>
                          <w:rFonts w:ascii="Arial" w:hAnsi="Arial" w:cs="Arial"/>
                          <w:sz w:val="16"/>
                          <w:szCs w:val="16"/>
                        </w:rPr>
                        <w:t>Source: IRI, Integrated Fresh, Total US, MULO</w:t>
                      </w:r>
                    </w:p>
                  </w:txbxContent>
                </v:textbox>
                <w10:wrap type="square"/>
              </v:shape>
            </w:pict>
          </mc:Fallback>
        </mc:AlternateContent>
      </w:r>
    </w:p>
    <w:p w14:paraId="3BFD02BF" w14:textId="77777777" w:rsidR="00253765" w:rsidRDefault="00253765" w:rsidP="00D4285A">
      <w:pPr>
        <w:spacing w:after="0" w:line="240" w:lineRule="auto"/>
        <w:rPr>
          <w:rFonts w:ascii="Arial" w:hAnsi="Arial" w:cs="Arial"/>
          <w:sz w:val="20"/>
          <w:szCs w:val="20"/>
        </w:rPr>
      </w:pPr>
    </w:p>
    <w:p w14:paraId="03B014E3" w14:textId="77D90396" w:rsidR="005567F4" w:rsidRDefault="00253765" w:rsidP="00D4285A">
      <w:pPr>
        <w:spacing w:after="0" w:line="240" w:lineRule="auto"/>
        <w:rPr>
          <w:rFonts w:ascii="Arial" w:hAnsi="Arial" w:cs="Arial"/>
          <w:sz w:val="20"/>
          <w:szCs w:val="20"/>
        </w:rPr>
      </w:pPr>
      <w:r>
        <w:rPr>
          <w:rFonts w:ascii="Arial" w:hAnsi="Arial" w:cs="Arial"/>
          <w:sz w:val="20"/>
          <w:szCs w:val="20"/>
        </w:rPr>
        <w:t xml:space="preserve">April was the first time vegetable sales were decidedly above year-ago levels since the second quarter of 2021. </w:t>
      </w:r>
    </w:p>
    <w:p w14:paraId="59F75E50" w14:textId="6D425275" w:rsidR="00AF4FDD" w:rsidRDefault="00B74871" w:rsidP="00D4285A">
      <w:pPr>
        <w:spacing w:after="0" w:line="240" w:lineRule="auto"/>
        <w:rPr>
          <w:noProof/>
        </w:rPr>
      </w:pPr>
      <w:r>
        <w:rPr>
          <w:noProof/>
        </w:rPr>
        <w:drawing>
          <wp:inline distT="0" distB="0" distL="0" distR="0" wp14:anchorId="246242E6" wp14:editId="09268818">
            <wp:extent cx="6750685" cy="3107690"/>
            <wp:effectExtent l="0" t="0" r="0" b="0"/>
            <wp:docPr id="4" name="Chart 4">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B2008E" w14:textId="77777777" w:rsidR="0068309E" w:rsidRDefault="0068309E" w:rsidP="0068309E">
      <w:pPr>
        <w:pStyle w:val="NoSpacing"/>
        <w:rPr>
          <w:rFonts w:ascii="Arial" w:hAnsi="Arial" w:cs="Arial"/>
          <w:sz w:val="16"/>
          <w:szCs w:val="16"/>
        </w:rPr>
      </w:pPr>
      <w:r w:rsidRPr="00B35CE9">
        <w:rPr>
          <w:rFonts w:ascii="Arial" w:hAnsi="Arial" w:cs="Arial"/>
          <w:sz w:val="16"/>
          <w:szCs w:val="16"/>
        </w:rPr>
        <w:t>Source</w:t>
      </w:r>
      <w:r>
        <w:rPr>
          <w:rFonts w:ascii="Arial" w:hAnsi="Arial" w:cs="Arial"/>
          <w:sz w:val="16"/>
          <w:szCs w:val="16"/>
        </w:rPr>
        <w:t>: IRI Integrated Fresh, Total U.S., MULO</w:t>
      </w:r>
    </w:p>
    <w:p w14:paraId="3CCC5188" w14:textId="77777777" w:rsidR="0068309E" w:rsidRDefault="0068309E" w:rsidP="00151CCC">
      <w:pPr>
        <w:pStyle w:val="NoSpacing"/>
        <w:rPr>
          <w:rFonts w:ascii="Arial" w:hAnsi="Arial" w:cs="Arial"/>
          <w:sz w:val="20"/>
          <w:szCs w:val="20"/>
        </w:rPr>
      </w:pPr>
    </w:p>
    <w:p w14:paraId="05609152" w14:textId="77777777" w:rsidR="000A543A" w:rsidRDefault="000A543A" w:rsidP="00160D1A">
      <w:pPr>
        <w:pStyle w:val="NoSpacing"/>
        <w:rPr>
          <w:rFonts w:ascii="Arial" w:hAnsi="Arial" w:cs="Arial"/>
          <w:b/>
          <w:color w:val="595959" w:themeColor="text1" w:themeTint="A6"/>
          <w:sz w:val="24"/>
          <w:szCs w:val="24"/>
        </w:rPr>
      </w:pPr>
    </w:p>
    <w:p w14:paraId="64B3B221" w14:textId="5DC9080B" w:rsidR="00C573F6" w:rsidRPr="00507D74" w:rsidRDefault="00043B43" w:rsidP="00160D1A">
      <w:pPr>
        <w:pStyle w:val="NoSpacing"/>
        <w:rPr>
          <w:rFonts w:ascii="Arial" w:hAnsi="Arial" w:cs="Arial"/>
          <w:b/>
          <w:color w:val="595959" w:themeColor="text1" w:themeTint="A6"/>
          <w:sz w:val="24"/>
          <w:szCs w:val="24"/>
        </w:rPr>
      </w:pPr>
      <w:r w:rsidRPr="00507D74">
        <w:rPr>
          <w:rFonts w:ascii="Arial" w:hAnsi="Arial" w:cs="Arial"/>
          <w:b/>
          <w:color w:val="595959" w:themeColor="text1" w:themeTint="A6"/>
          <w:sz w:val="24"/>
          <w:szCs w:val="24"/>
        </w:rPr>
        <w:t xml:space="preserve">Fresh </w:t>
      </w:r>
      <w:r w:rsidR="00C23843">
        <w:rPr>
          <w:rFonts w:ascii="Arial" w:hAnsi="Arial" w:cs="Arial"/>
          <w:b/>
          <w:color w:val="595959" w:themeColor="text1" w:themeTint="A6"/>
          <w:sz w:val="24"/>
          <w:szCs w:val="24"/>
        </w:rPr>
        <w:t xml:space="preserve">Produce </w:t>
      </w:r>
      <w:r w:rsidRPr="00507D74">
        <w:rPr>
          <w:rFonts w:ascii="Arial" w:hAnsi="Arial" w:cs="Arial"/>
          <w:b/>
          <w:color w:val="595959" w:themeColor="text1" w:themeTint="A6"/>
          <w:sz w:val="24"/>
          <w:szCs w:val="24"/>
        </w:rPr>
        <w:t>Share</w:t>
      </w:r>
      <w:r w:rsidR="00EB33CE">
        <w:rPr>
          <w:rFonts w:ascii="Arial" w:hAnsi="Arial" w:cs="Arial"/>
          <w:b/>
          <w:color w:val="595959" w:themeColor="text1" w:themeTint="A6"/>
          <w:sz w:val="24"/>
          <w:szCs w:val="24"/>
        </w:rPr>
        <w:t xml:space="preserve"> </w:t>
      </w:r>
      <w:r w:rsidR="00C23843">
        <w:rPr>
          <w:rFonts w:ascii="Arial" w:hAnsi="Arial" w:cs="Arial"/>
          <w:b/>
          <w:color w:val="595959" w:themeColor="text1" w:themeTint="A6"/>
          <w:sz w:val="24"/>
          <w:szCs w:val="24"/>
        </w:rPr>
        <w:t>of Total Fruits and Vegetables</w:t>
      </w:r>
    </w:p>
    <w:p w14:paraId="5CC596CB" w14:textId="3A5104E2" w:rsidR="00AC0CDA" w:rsidRDefault="00770809" w:rsidP="00AC0CDA">
      <w:pPr>
        <w:pStyle w:val="NoSpacing"/>
        <w:rPr>
          <w:rFonts w:ascii="Arial" w:hAnsi="Arial" w:cs="Arial"/>
          <w:sz w:val="20"/>
          <w:szCs w:val="20"/>
        </w:rPr>
      </w:pPr>
      <w:r>
        <w:rPr>
          <w:rFonts w:ascii="Arial" w:hAnsi="Arial" w:cs="Arial"/>
          <w:sz w:val="20"/>
          <w:szCs w:val="20"/>
        </w:rPr>
        <w:t>Shelf-stable fruits</w:t>
      </w:r>
      <w:r w:rsidR="00135BE7">
        <w:rPr>
          <w:rFonts w:ascii="Arial" w:hAnsi="Arial" w:cs="Arial"/>
          <w:sz w:val="20"/>
          <w:szCs w:val="20"/>
        </w:rPr>
        <w:t xml:space="preserve"> and vegetables</w:t>
      </w:r>
      <w:r w:rsidR="00551D01">
        <w:rPr>
          <w:rFonts w:ascii="Arial" w:hAnsi="Arial" w:cs="Arial"/>
          <w:sz w:val="20"/>
          <w:szCs w:val="20"/>
        </w:rPr>
        <w:t xml:space="preserve"> </w:t>
      </w:r>
      <w:r>
        <w:rPr>
          <w:rFonts w:ascii="Arial" w:hAnsi="Arial" w:cs="Arial"/>
          <w:sz w:val="20"/>
          <w:szCs w:val="20"/>
        </w:rPr>
        <w:t xml:space="preserve">had </w:t>
      </w:r>
      <w:r w:rsidR="00E33D11">
        <w:rPr>
          <w:rFonts w:ascii="Arial" w:hAnsi="Arial" w:cs="Arial"/>
          <w:sz w:val="20"/>
          <w:szCs w:val="20"/>
        </w:rPr>
        <w:t>double-digit inflation in April 2022 compared with April 2021. This resulted in above average dollar gains.</w:t>
      </w:r>
      <w:r>
        <w:rPr>
          <w:rFonts w:ascii="Arial" w:hAnsi="Arial" w:cs="Arial"/>
          <w:sz w:val="20"/>
          <w:szCs w:val="20"/>
        </w:rPr>
        <w:t xml:space="preserve"> </w:t>
      </w:r>
      <w:r w:rsidR="00334F5C">
        <w:rPr>
          <w:rFonts w:ascii="Arial" w:hAnsi="Arial" w:cs="Arial"/>
          <w:sz w:val="20"/>
          <w:szCs w:val="20"/>
        </w:rPr>
        <w:t>Both frozen and shelf-stable are heavily impacted by supply chain disruptions</w:t>
      </w:r>
      <w:r w:rsidR="00E33D11">
        <w:rPr>
          <w:rFonts w:ascii="Arial" w:hAnsi="Arial" w:cs="Arial"/>
          <w:sz w:val="20"/>
          <w:szCs w:val="20"/>
        </w:rPr>
        <w:t>.</w:t>
      </w:r>
      <w:r w:rsidR="00334F5C">
        <w:rPr>
          <w:rFonts w:ascii="Arial" w:hAnsi="Arial" w:cs="Arial"/>
          <w:sz w:val="20"/>
          <w:szCs w:val="20"/>
        </w:rPr>
        <w:t xml:space="preserve"> </w:t>
      </w:r>
      <w:r w:rsidR="00E33D11">
        <w:rPr>
          <w:rFonts w:ascii="Arial" w:hAnsi="Arial" w:cs="Arial"/>
          <w:sz w:val="20"/>
          <w:szCs w:val="20"/>
        </w:rPr>
        <w:t xml:space="preserve">Both </w:t>
      </w:r>
      <w:r w:rsidR="00334F5C">
        <w:rPr>
          <w:rFonts w:ascii="Arial" w:hAnsi="Arial" w:cs="Arial"/>
          <w:sz w:val="20"/>
          <w:szCs w:val="20"/>
        </w:rPr>
        <w:t>assortment</w:t>
      </w:r>
      <w:r w:rsidR="00891C7E">
        <w:rPr>
          <w:rFonts w:ascii="Arial" w:hAnsi="Arial" w:cs="Arial"/>
          <w:sz w:val="20"/>
          <w:szCs w:val="20"/>
        </w:rPr>
        <w:t xml:space="preserve"> and</w:t>
      </w:r>
      <w:r w:rsidR="00334F5C">
        <w:rPr>
          <w:rFonts w:ascii="Arial" w:hAnsi="Arial" w:cs="Arial"/>
          <w:sz w:val="20"/>
          <w:szCs w:val="20"/>
        </w:rPr>
        <w:t xml:space="preserve"> inventory levels have been down significantly over recent months.</w:t>
      </w:r>
      <w:r w:rsidR="00135BE7">
        <w:rPr>
          <w:rFonts w:ascii="Arial" w:hAnsi="Arial" w:cs="Arial"/>
          <w:sz w:val="20"/>
          <w:szCs w:val="20"/>
        </w:rPr>
        <w:t xml:space="preserve"> </w:t>
      </w:r>
    </w:p>
    <w:p w14:paraId="2336DEC9" w14:textId="77777777" w:rsidR="00770809" w:rsidRPr="00B265F0" w:rsidRDefault="00770809" w:rsidP="00770809">
      <w:pPr>
        <w:pStyle w:val="NoSpacing"/>
        <w:rPr>
          <w:rFonts w:ascii="Arial" w:hAnsi="Arial" w:cs="Arial"/>
          <w:sz w:val="16"/>
          <w:szCs w:val="16"/>
        </w:rPr>
      </w:pPr>
    </w:p>
    <w:tbl>
      <w:tblPr>
        <w:tblStyle w:val="LightShading-Accent5"/>
        <w:tblW w:w="10620" w:type="dxa"/>
        <w:tblBorders>
          <w:top w:val="none" w:sz="0" w:space="0" w:color="auto"/>
          <w:bottom w:val="none" w:sz="0" w:space="0" w:color="auto"/>
        </w:tblBorders>
        <w:tblLook w:val="04A0" w:firstRow="1" w:lastRow="0" w:firstColumn="1" w:lastColumn="0" w:noHBand="0" w:noVBand="1"/>
      </w:tblPr>
      <w:tblGrid>
        <w:gridCol w:w="2700"/>
        <w:gridCol w:w="1584"/>
        <w:gridCol w:w="1584"/>
        <w:gridCol w:w="1584"/>
        <w:gridCol w:w="1584"/>
        <w:gridCol w:w="1584"/>
      </w:tblGrid>
      <w:tr w:rsidR="00770809" w:rsidRPr="00B265F0" w14:paraId="6403B5CC" w14:textId="77777777" w:rsidTr="00BC21C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00"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0B0D9439" w14:textId="2759E2FA" w:rsidR="00770809" w:rsidRPr="00B265F0" w:rsidRDefault="00253765" w:rsidP="001F29DC">
            <w:pPr>
              <w:pStyle w:val="NoSpacing"/>
              <w:rPr>
                <w:rFonts w:ascii="Arial" w:hAnsi="Arial" w:cs="Arial"/>
                <w:color w:val="FFFFFF" w:themeColor="background1"/>
                <w:sz w:val="18"/>
                <w:szCs w:val="20"/>
              </w:rPr>
            </w:pPr>
            <w:r>
              <w:rPr>
                <w:rFonts w:ascii="Arial" w:hAnsi="Arial" w:cs="Arial"/>
                <w:color w:val="FFFFFF" w:themeColor="background1"/>
                <w:sz w:val="18"/>
                <w:szCs w:val="20"/>
              </w:rPr>
              <w:t xml:space="preserve">April </w:t>
            </w:r>
            <w:r w:rsidR="00112E9A">
              <w:rPr>
                <w:rFonts w:ascii="Arial" w:hAnsi="Arial" w:cs="Arial"/>
                <w:color w:val="FFFFFF" w:themeColor="background1"/>
                <w:sz w:val="18"/>
                <w:szCs w:val="20"/>
              </w:rPr>
              <w:t>2022</w:t>
            </w:r>
          </w:p>
        </w:tc>
        <w:tc>
          <w:tcPr>
            <w:tcW w:w="1584"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22FC01F6" w14:textId="77777777" w:rsidR="00770809" w:rsidRPr="00B265F0" w:rsidRDefault="00770809"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Dollar</w:t>
            </w:r>
            <w:r>
              <w:rPr>
                <w:rFonts w:ascii="Arial" w:hAnsi="Arial" w:cs="Arial"/>
                <w:color w:val="FFFFFF" w:themeColor="background1"/>
                <w:sz w:val="18"/>
                <w:szCs w:val="20"/>
              </w:rPr>
              <w:br/>
              <w:t>sales</w:t>
            </w:r>
          </w:p>
        </w:tc>
        <w:tc>
          <w:tcPr>
            <w:tcW w:w="1584"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38E3F723" w14:textId="77777777" w:rsidR="00770809" w:rsidRPr="00B265F0" w:rsidRDefault="00770809"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sidRPr="00B265F0">
              <w:rPr>
                <w:rFonts w:ascii="Arial" w:hAnsi="Arial" w:cs="Arial"/>
                <w:color w:val="FFFFFF" w:themeColor="background1"/>
                <w:sz w:val="18"/>
                <w:szCs w:val="20"/>
              </w:rPr>
              <w:t>Dollar sales gains v</w:t>
            </w:r>
            <w:r>
              <w:rPr>
                <w:rFonts w:ascii="Arial" w:hAnsi="Arial" w:cs="Arial"/>
                <w:color w:val="FFFFFF" w:themeColor="background1"/>
                <w:sz w:val="18"/>
                <w:szCs w:val="20"/>
              </w:rPr>
              <w:t>s. 202</w:t>
            </w:r>
            <w:r w:rsidR="00112E9A">
              <w:rPr>
                <w:rFonts w:ascii="Arial" w:hAnsi="Arial" w:cs="Arial"/>
                <w:color w:val="FFFFFF" w:themeColor="background1"/>
                <w:sz w:val="18"/>
                <w:szCs w:val="20"/>
              </w:rPr>
              <w:t>1</w:t>
            </w:r>
          </w:p>
        </w:tc>
        <w:tc>
          <w:tcPr>
            <w:tcW w:w="1584" w:type="dxa"/>
            <w:tcBorders>
              <w:top w:val="none" w:sz="0" w:space="0" w:color="auto"/>
              <w:left w:val="none" w:sz="0" w:space="0" w:color="auto"/>
              <w:bottom w:val="none" w:sz="0" w:space="0" w:color="auto"/>
              <w:right w:val="none" w:sz="0" w:space="0" w:color="auto"/>
            </w:tcBorders>
            <w:shd w:val="clear" w:color="auto" w:fill="17365D" w:themeFill="text2" w:themeFillShade="BF"/>
            <w:vAlign w:val="bottom"/>
          </w:tcPr>
          <w:p w14:paraId="1C8CB91B" w14:textId="77777777" w:rsidR="00770809" w:rsidRPr="00B265F0" w:rsidRDefault="00770809"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sidRPr="00B265F0">
              <w:rPr>
                <w:rFonts w:ascii="Arial" w:hAnsi="Arial" w:cs="Arial"/>
                <w:color w:val="FFFFFF" w:themeColor="background1"/>
                <w:sz w:val="18"/>
                <w:szCs w:val="20"/>
              </w:rPr>
              <w:t>Dollar sales</w:t>
            </w:r>
            <w:r>
              <w:rPr>
                <w:rFonts w:ascii="Arial" w:hAnsi="Arial" w:cs="Arial"/>
                <w:color w:val="FFFFFF" w:themeColor="background1"/>
                <w:sz w:val="18"/>
                <w:szCs w:val="20"/>
              </w:rPr>
              <w:br/>
            </w:r>
            <w:r w:rsidRPr="00B265F0">
              <w:rPr>
                <w:rFonts w:ascii="Arial" w:hAnsi="Arial" w:cs="Arial"/>
                <w:color w:val="FFFFFF" w:themeColor="background1"/>
                <w:sz w:val="18"/>
                <w:szCs w:val="20"/>
              </w:rPr>
              <w:t xml:space="preserve"> gains v</w:t>
            </w:r>
            <w:r>
              <w:rPr>
                <w:rFonts w:ascii="Arial" w:hAnsi="Arial" w:cs="Arial"/>
                <w:color w:val="FFFFFF" w:themeColor="background1"/>
                <w:sz w:val="18"/>
                <w:szCs w:val="20"/>
              </w:rPr>
              <w:t>s. 20</w:t>
            </w:r>
            <w:r w:rsidR="00112E9A">
              <w:rPr>
                <w:rFonts w:ascii="Arial" w:hAnsi="Arial" w:cs="Arial"/>
                <w:color w:val="FFFFFF" w:themeColor="background1"/>
                <w:sz w:val="18"/>
                <w:szCs w:val="20"/>
              </w:rPr>
              <w:t>20</w:t>
            </w:r>
          </w:p>
        </w:tc>
        <w:tc>
          <w:tcPr>
            <w:tcW w:w="1584"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5DA60DE9" w14:textId="77777777" w:rsidR="00770809" w:rsidRPr="00B265F0" w:rsidRDefault="00770809"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Average price per unit</w:t>
            </w:r>
          </w:p>
        </w:tc>
        <w:tc>
          <w:tcPr>
            <w:tcW w:w="1584"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467079F6" w14:textId="77777777" w:rsidR="00770809" w:rsidRPr="00B265F0" w:rsidRDefault="00770809" w:rsidP="001F29DC">
            <w:pPr>
              <w:pStyle w:val="NoSpacing"/>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20"/>
              </w:rPr>
            </w:pPr>
            <w:r>
              <w:rPr>
                <w:rFonts w:ascii="Arial" w:hAnsi="Arial" w:cs="Arial"/>
                <w:color w:val="FFFFFF" w:themeColor="background1"/>
                <w:sz w:val="18"/>
                <w:szCs w:val="20"/>
              </w:rPr>
              <w:t>Increase price vs. YA</w:t>
            </w:r>
          </w:p>
        </w:tc>
      </w:tr>
      <w:tr w:rsidR="00770809" w:rsidRPr="00E43E81" w14:paraId="5658F647" w14:textId="77777777" w:rsidTr="00BC21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00" w:type="dxa"/>
            <w:tcBorders>
              <w:left w:val="none" w:sz="0" w:space="0" w:color="auto"/>
              <w:right w:val="none" w:sz="0" w:space="0" w:color="auto"/>
            </w:tcBorders>
          </w:tcPr>
          <w:p w14:paraId="7D622E5E" w14:textId="77777777" w:rsidR="00770809" w:rsidRPr="000D5031" w:rsidRDefault="00770809" w:rsidP="001F29DC">
            <w:pPr>
              <w:pStyle w:val="NoSpacing"/>
              <w:rPr>
                <w:rFonts w:ascii="Arial" w:hAnsi="Arial" w:cs="Arial"/>
                <w:b w:val="0"/>
                <w:color w:val="215868" w:themeColor="accent5" w:themeShade="80"/>
                <w:sz w:val="18"/>
                <w:szCs w:val="20"/>
              </w:rPr>
            </w:pPr>
            <w:r w:rsidRPr="000D5031">
              <w:rPr>
                <w:rFonts w:ascii="Arial" w:hAnsi="Arial" w:cs="Arial"/>
                <w:b w:val="0"/>
                <w:color w:val="215868" w:themeColor="accent5" w:themeShade="80"/>
                <w:sz w:val="18"/>
                <w:szCs w:val="20"/>
              </w:rPr>
              <w:t>Fresh produce department</w:t>
            </w:r>
          </w:p>
        </w:tc>
        <w:tc>
          <w:tcPr>
            <w:tcW w:w="1584" w:type="dxa"/>
            <w:tcBorders>
              <w:left w:val="none" w:sz="0" w:space="0" w:color="auto"/>
              <w:right w:val="none" w:sz="0" w:space="0" w:color="auto"/>
            </w:tcBorders>
            <w:vAlign w:val="center"/>
          </w:tcPr>
          <w:p w14:paraId="3A99D57E" w14:textId="1EE185E3" w:rsidR="00770809" w:rsidRPr="000D5031" w:rsidRDefault="006D4E7C" w:rsidP="001F29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b/>
                <w:bCs/>
                <w:color w:val="215868" w:themeColor="accent5" w:themeShade="80"/>
                <w:sz w:val="18"/>
                <w:szCs w:val="20"/>
              </w:rPr>
              <w:t>$</w:t>
            </w:r>
            <w:r w:rsidR="00253765">
              <w:rPr>
                <w:rFonts w:ascii="Arial" w:hAnsi="Arial" w:cs="Arial"/>
                <w:b/>
                <w:bCs/>
                <w:color w:val="215868" w:themeColor="accent5" w:themeShade="80"/>
                <w:sz w:val="18"/>
                <w:szCs w:val="20"/>
              </w:rPr>
              <w:t>5.7</w:t>
            </w:r>
            <w:r w:rsidR="00770809" w:rsidRPr="00361BCC">
              <w:rPr>
                <w:rFonts w:ascii="Arial" w:hAnsi="Arial" w:cs="Arial"/>
                <w:b/>
                <w:bCs/>
                <w:color w:val="215868" w:themeColor="accent5" w:themeShade="80"/>
                <w:sz w:val="18"/>
                <w:szCs w:val="20"/>
              </w:rPr>
              <w:t>B</w:t>
            </w:r>
          </w:p>
        </w:tc>
        <w:tc>
          <w:tcPr>
            <w:tcW w:w="1584" w:type="dxa"/>
            <w:tcBorders>
              <w:left w:val="none" w:sz="0" w:space="0" w:color="auto"/>
              <w:right w:val="none" w:sz="0" w:space="0" w:color="auto"/>
            </w:tcBorders>
            <w:vAlign w:val="center"/>
          </w:tcPr>
          <w:p w14:paraId="3AA01AAA" w14:textId="19EFDC2A" w:rsidR="00770809" w:rsidRPr="000D5031" w:rsidRDefault="00570D2C" w:rsidP="001F29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b/>
                <w:bCs/>
                <w:color w:val="215868" w:themeColor="accent5" w:themeShade="80"/>
                <w:sz w:val="18"/>
                <w:szCs w:val="20"/>
              </w:rPr>
              <w:t>+</w:t>
            </w:r>
            <w:r w:rsidR="00253765">
              <w:rPr>
                <w:rFonts w:ascii="Arial" w:hAnsi="Arial" w:cs="Arial"/>
                <w:b/>
                <w:bCs/>
                <w:color w:val="215868" w:themeColor="accent5" w:themeShade="80"/>
                <w:sz w:val="18"/>
                <w:szCs w:val="20"/>
              </w:rPr>
              <w:t>4.3</w:t>
            </w:r>
            <w:r w:rsidR="00770809" w:rsidRPr="00361BCC">
              <w:rPr>
                <w:rFonts w:ascii="Arial" w:hAnsi="Arial" w:cs="Arial"/>
                <w:b/>
                <w:bCs/>
                <w:color w:val="215868" w:themeColor="accent5" w:themeShade="80"/>
                <w:sz w:val="18"/>
                <w:szCs w:val="20"/>
              </w:rPr>
              <w:t>%</w:t>
            </w:r>
          </w:p>
        </w:tc>
        <w:tc>
          <w:tcPr>
            <w:tcW w:w="1584" w:type="dxa"/>
            <w:tcBorders>
              <w:left w:val="none" w:sz="0" w:space="0" w:color="auto"/>
              <w:right w:val="none" w:sz="0" w:space="0" w:color="auto"/>
            </w:tcBorders>
            <w:vAlign w:val="center"/>
          </w:tcPr>
          <w:p w14:paraId="2B2BC812" w14:textId="5434D47C" w:rsidR="00770809" w:rsidRPr="000D5031" w:rsidRDefault="00253765" w:rsidP="001F29D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rPr>
            </w:pPr>
            <w:r>
              <w:rPr>
                <w:rFonts w:ascii="Arial" w:hAnsi="Arial" w:cs="Arial"/>
                <w:b/>
                <w:bCs/>
                <w:color w:val="215868" w:themeColor="accent5" w:themeShade="80"/>
                <w:sz w:val="18"/>
                <w:szCs w:val="20"/>
              </w:rPr>
              <w:t>+1.3</w:t>
            </w:r>
            <w:r w:rsidR="00770809" w:rsidRPr="00361BCC">
              <w:rPr>
                <w:rFonts w:ascii="Arial" w:hAnsi="Arial" w:cs="Arial"/>
                <w:b/>
                <w:bCs/>
                <w:color w:val="215868" w:themeColor="accent5" w:themeShade="80"/>
                <w:sz w:val="18"/>
                <w:szCs w:val="20"/>
              </w:rPr>
              <w:t>%</w:t>
            </w:r>
          </w:p>
        </w:tc>
        <w:tc>
          <w:tcPr>
            <w:tcW w:w="1584" w:type="dxa"/>
            <w:tcBorders>
              <w:left w:val="none" w:sz="0" w:space="0" w:color="auto"/>
              <w:right w:val="none" w:sz="0" w:space="0" w:color="auto"/>
            </w:tcBorders>
          </w:tcPr>
          <w:p w14:paraId="49A72BFC" w14:textId="211E4E44" w:rsidR="00770809" w:rsidRPr="00361BCC" w:rsidRDefault="00770809" w:rsidP="001F29D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20"/>
              </w:rPr>
            </w:pPr>
            <w:r>
              <w:rPr>
                <w:rFonts w:ascii="Arial" w:hAnsi="Arial" w:cs="Arial"/>
                <w:b/>
                <w:bCs/>
                <w:color w:val="215868" w:themeColor="accent5" w:themeShade="80"/>
                <w:sz w:val="18"/>
                <w:szCs w:val="20"/>
              </w:rPr>
              <w:t>$</w:t>
            </w:r>
            <w:r w:rsidR="00253765">
              <w:rPr>
                <w:rFonts w:ascii="Arial" w:hAnsi="Arial" w:cs="Arial"/>
                <w:b/>
                <w:bCs/>
                <w:color w:val="215868" w:themeColor="accent5" w:themeShade="80"/>
                <w:sz w:val="18"/>
                <w:szCs w:val="20"/>
              </w:rPr>
              <w:t>2.59</w:t>
            </w:r>
          </w:p>
        </w:tc>
        <w:tc>
          <w:tcPr>
            <w:tcW w:w="1584" w:type="dxa"/>
            <w:tcBorders>
              <w:left w:val="none" w:sz="0" w:space="0" w:color="auto"/>
              <w:right w:val="none" w:sz="0" w:space="0" w:color="auto"/>
            </w:tcBorders>
          </w:tcPr>
          <w:p w14:paraId="2D4F4D65" w14:textId="0D0E1A7B" w:rsidR="00770809" w:rsidRPr="00361BCC" w:rsidRDefault="00570D2C" w:rsidP="001F29D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215868" w:themeColor="accent5" w:themeShade="80"/>
                <w:sz w:val="18"/>
                <w:szCs w:val="20"/>
              </w:rPr>
            </w:pPr>
            <w:r>
              <w:rPr>
                <w:rFonts w:ascii="Arial" w:hAnsi="Arial" w:cs="Arial"/>
                <w:b/>
                <w:bCs/>
                <w:color w:val="215868" w:themeColor="accent5" w:themeShade="80"/>
                <w:sz w:val="18"/>
                <w:szCs w:val="20"/>
              </w:rPr>
              <w:t>+</w:t>
            </w:r>
            <w:r w:rsidR="00E33D11">
              <w:rPr>
                <w:rFonts w:ascii="Arial" w:hAnsi="Arial" w:cs="Arial"/>
                <w:b/>
                <w:bCs/>
                <w:color w:val="215868" w:themeColor="accent5" w:themeShade="80"/>
                <w:sz w:val="18"/>
                <w:szCs w:val="20"/>
              </w:rPr>
              <w:t>9.1</w:t>
            </w:r>
            <w:r w:rsidR="00770809">
              <w:rPr>
                <w:rFonts w:ascii="Arial" w:hAnsi="Arial" w:cs="Arial"/>
                <w:b/>
                <w:bCs/>
                <w:color w:val="215868" w:themeColor="accent5" w:themeShade="80"/>
                <w:sz w:val="18"/>
                <w:szCs w:val="20"/>
              </w:rPr>
              <w:t>%</w:t>
            </w:r>
          </w:p>
        </w:tc>
      </w:tr>
      <w:tr w:rsidR="00770809" w:rsidRPr="00E43E81" w14:paraId="6436AB32" w14:textId="77777777" w:rsidTr="00BC21CA">
        <w:trPr>
          <w:trHeight w:val="227"/>
        </w:trPr>
        <w:tc>
          <w:tcPr>
            <w:cnfStyle w:val="001000000000" w:firstRow="0" w:lastRow="0" w:firstColumn="1" w:lastColumn="0" w:oddVBand="0" w:evenVBand="0" w:oddHBand="0" w:evenHBand="0" w:firstRowFirstColumn="0" w:firstRowLastColumn="0" w:lastRowFirstColumn="0" w:lastRowLastColumn="0"/>
            <w:tcW w:w="2700" w:type="dxa"/>
          </w:tcPr>
          <w:p w14:paraId="2DECF2C9" w14:textId="77777777" w:rsidR="00770809" w:rsidRPr="000D5031" w:rsidRDefault="00770809" w:rsidP="001F29DC">
            <w:pPr>
              <w:rPr>
                <w:rFonts w:ascii="Arial" w:hAnsi="Arial" w:cs="Arial"/>
                <w:b w:val="0"/>
                <w:color w:val="215868" w:themeColor="accent5" w:themeShade="80"/>
                <w:sz w:val="18"/>
                <w:szCs w:val="20"/>
              </w:rPr>
            </w:pPr>
            <w:r w:rsidRPr="000D5031">
              <w:rPr>
                <w:rFonts w:ascii="Arial" w:hAnsi="Arial" w:cs="Arial"/>
                <w:b w:val="0"/>
                <w:color w:val="215868" w:themeColor="accent5" w:themeShade="80"/>
                <w:sz w:val="18"/>
                <w:szCs w:val="20"/>
              </w:rPr>
              <w:t xml:space="preserve">Shelf stable fruits </w:t>
            </w:r>
          </w:p>
        </w:tc>
        <w:tc>
          <w:tcPr>
            <w:tcW w:w="1584" w:type="dxa"/>
          </w:tcPr>
          <w:p w14:paraId="762ADF8F" w14:textId="258E59EE" w:rsidR="00770809" w:rsidRPr="000D5031" w:rsidRDefault="00570D2C" w:rsidP="001F29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362</w:t>
            </w:r>
            <w:r w:rsidR="006D4E7C">
              <w:rPr>
                <w:rFonts w:ascii="Arial" w:hAnsi="Arial" w:cs="Arial"/>
                <w:color w:val="215868" w:themeColor="accent5" w:themeShade="80"/>
                <w:sz w:val="18"/>
                <w:szCs w:val="20"/>
              </w:rPr>
              <w:t>M</w:t>
            </w:r>
          </w:p>
        </w:tc>
        <w:tc>
          <w:tcPr>
            <w:tcW w:w="1584" w:type="dxa"/>
          </w:tcPr>
          <w:p w14:paraId="65CF6948" w14:textId="1BAB3E68" w:rsidR="00770809" w:rsidRPr="000D5031" w:rsidRDefault="00570D2C" w:rsidP="001F29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12.9</w:t>
            </w:r>
            <w:r w:rsidR="00770809" w:rsidRPr="000D5031">
              <w:rPr>
                <w:rFonts w:ascii="Arial" w:hAnsi="Arial" w:cs="Arial"/>
                <w:color w:val="215868" w:themeColor="accent5" w:themeShade="80"/>
                <w:sz w:val="18"/>
                <w:szCs w:val="20"/>
              </w:rPr>
              <w:t>%</w:t>
            </w:r>
          </w:p>
        </w:tc>
        <w:tc>
          <w:tcPr>
            <w:tcW w:w="1584" w:type="dxa"/>
          </w:tcPr>
          <w:p w14:paraId="6106E491" w14:textId="6B12576E" w:rsidR="00770809" w:rsidRPr="000D5031" w:rsidRDefault="00E33D11" w:rsidP="001F29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highlight w:val="red"/>
              </w:rPr>
            </w:pPr>
            <w:r>
              <w:rPr>
                <w:rFonts w:ascii="Arial" w:hAnsi="Arial" w:cs="Arial"/>
                <w:color w:val="215868" w:themeColor="accent5" w:themeShade="80"/>
                <w:sz w:val="18"/>
                <w:szCs w:val="20"/>
              </w:rPr>
              <w:t>+5.4</w:t>
            </w:r>
            <w:r w:rsidR="00770809" w:rsidRPr="000D5031">
              <w:rPr>
                <w:rFonts w:ascii="Arial" w:hAnsi="Arial" w:cs="Arial"/>
                <w:color w:val="215868" w:themeColor="accent5" w:themeShade="80"/>
                <w:sz w:val="18"/>
                <w:szCs w:val="20"/>
              </w:rPr>
              <w:t>%</w:t>
            </w:r>
          </w:p>
        </w:tc>
        <w:tc>
          <w:tcPr>
            <w:tcW w:w="1584" w:type="dxa"/>
          </w:tcPr>
          <w:p w14:paraId="607B80B7" w14:textId="35453A7B" w:rsidR="00770809" w:rsidRDefault="00570D2C" w:rsidP="001F29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2.91</w:t>
            </w:r>
          </w:p>
        </w:tc>
        <w:tc>
          <w:tcPr>
            <w:tcW w:w="1584" w:type="dxa"/>
          </w:tcPr>
          <w:p w14:paraId="7D05D7D9" w14:textId="20897BAA" w:rsidR="00770809" w:rsidRDefault="00570D2C" w:rsidP="001F29D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12.1%</w:t>
            </w:r>
          </w:p>
        </w:tc>
      </w:tr>
      <w:tr w:rsidR="00253765" w:rsidRPr="00E43E81" w14:paraId="136DBAD7" w14:textId="77777777" w:rsidTr="00BC21CA">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00" w:type="dxa"/>
            <w:tcBorders>
              <w:left w:val="none" w:sz="0" w:space="0" w:color="auto"/>
              <w:right w:val="none" w:sz="0" w:space="0" w:color="auto"/>
            </w:tcBorders>
          </w:tcPr>
          <w:p w14:paraId="205297AD" w14:textId="77777777" w:rsidR="00253765" w:rsidRPr="000D5031" w:rsidRDefault="00253765" w:rsidP="00253765">
            <w:pPr>
              <w:rPr>
                <w:rFonts w:ascii="Arial" w:hAnsi="Arial" w:cs="Arial"/>
                <w:b w:val="0"/>
                <w:color w:val="215868" w:themeColor="accent5" w:themeShade="80"/>
                <w:sz w:val="18"/>
                <w:szCs w:val="20"/>
              </w:rPr>
            </w:pPr>
            <w:r w:rsidRPr="000D5031">
              <w:rPr>
                <w:rFonts w:ascii="Arial" w:hAnsi="Arial" w:cs="Arial"/>
                <w:b w:val="0"/>
                <w:color w:val="215868" w:themeColor="accent5" w:themeShade="80"/>
                <w:sz w:val="18"/>
                <w:szCs w:val="20"/>
              </w:rPr>
              <w:t>Shelf stable vegetables</w:t>
            </w:r>
          </w:p>
        </w:tc>
        <w:tc>
          <w:tcPr>
            <w:tcW w:w="1584" w:type="dxa"/>
            <w:tcBorders>
              <w:left w:val="none" w:sz="0" w:space="0" w:color="auto"/>
              <w:right w:val="none" w:sz="0" w:space="0" w:color="auto"/>
            </w:tcBorders>
          </w:tcPr>
          <w:p w14:paraId="1B917AA7" w14:textId="5E5F4A5E" w:rsidR="00253765" w:rsidRPr="000D5031" w:rsidRDefault="00253765" w:rsidP="002537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443</w:t>
            </w:r>
            <w:r>
              <w:rPr>
                <w:rFonts w:ascii="Arial" w:hAnsi="Arial" w:cs="Arial"/>
                <w:color w:val="215868" w:themeColor="accent5" w:themeShade="80"/>
                <w:sz w:val="18"/>
                <w:szCs w:val="20"/>
              </w:rPr>
              <w:t>M</w:t>
            </w:r>
          </w:p>
        </w:tc>
        <w:tc>
          <w:tcPr>
            <w:tcW w:w="1584" w:type="dxa"/>
            <w:tcBorders>
              <w:left w:val="none" w:sz="0" w:space="0" w:color="auto"/>
              <w:right w:val="none" w:sz="0" w:space="0" w:color="auto"/>
            </w:tcBorders>
          </w:tcPr>
          <w:p w14:paraId="371B11FD" w14:textId="41FAF042" w:rsidR="00253765" w:rsidRPr="000D5031" w:rsidRDefault="00253765" w:rsidP="002537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15.1</w:t>
            </w:r>
            <w:r w:rsidRPr="000D5031">
              <w:rPr>
                <w:rFonts w:ascii="Arial" w:hAnsi="Arial" w:cs="Arial"/>
                <w:color w:val="215868" w:themeColor="accent5" w:themeShade="80"/>
                <w:sz w:val="18"/>
                <w:szCs w:val="20"/>
              </w:rPr>
              <w:t>%</w:t>
            </w:r>
          </w:p>
        </w:tc>
        <w:tc>
          <w:tcPr>
            <w:tcW w:w="1584" w:type="dxa"/>
            <w:tcBorders>
              <w:left w:val="none" w:sz="0" w:space="0" w:color="auto"/>
              <w:right w:val="none" w:sz="0" w:space="0" w:color="auto"/>
            </w:tcBorders>
          </w:tcPr>
          <w:p w14:paraId="248DEF07" w14:textId="60874E31" w:rsidR="00253765" w:rsidRPr="000D5031" w:rsidRDefault="00253765" w:rsidP="002537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highlight w:val="red"/>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22.9</w:t>
            </w:r>
            <w:r w:rsidRPr="000D5031">
              <w:rPr>
                <w:rFonts w:ascii="Arial" w:hAnsi="Arial" w:cs="Arial"/>
                <w:color w:val="215868" w:themeColor="accent5" w:themeShade="80"/>
                <w:sz w:val="18"/>
                <w:szCs w:val="20"/>
              </w:rPr>
              <w:t>%</w:t>
            </w:r>
          </w:p>
        </w:tc>
        <w:tc>
          <w:tcPr>
            <w:tcW w:w="1584" w:type="dxa"/>
            <w:tcBorders>
              <w:left w:val="none" w:sz="0" w:space="0" w:color="auto"/>
              <w:right w:val="none" w:sz="0" w:space="0" w:color="auto"/>
            </w:tcBorders>
          </w:tcPr>
          <w:p w14:paraId="7417AA65" w14:textId="6EF18061" w:rsidR="00253765" w:rsidRDefault="00253765" w:rsidP="002537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1.38</w:t>
            </w:r>
          </w:p>
        </w:tc>
        <w:tc>
          <w:tcPr>
            <w:tcW w:w="1584" w:type="dxa"/>
            <w:tcBorders>
              <w:left w:val="none" w:sz="0" w:space="0" w:color="auto"/>
              <w:right w:val="none" w:sz="0" w:space="0" w:color="auto"/>
            </w:tcBorders>
          </w:tcPr>
          <w:p w14:paraId="4AF0D023" w14:textId="5559E320" w:rsidR="00253765" w:rsidRDefault="00253765" w:rsidP="0025376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11.1%</w:t>
            </w:r>
          </w:p>
        </w:tc>
      </w:tr>
      <w:tr w:rsidR="00253765" w:rsidRPr="00E43E81" w14:paraId="5F847BCF" w14:textId="77777777" w:rsidTr="00BC21CA">
        <w:trPr>
          <w:trHeight w:val="227"/>
        </w:trPr>
        <w:tc>
          <w:tcPr>
            <w:cnfStyle w:val="001000000000" w:firstRow="0" w:lastRow="0" w:firstColumn="1" w:lastColumn="0" w:oddVBand="0" w:evenVBand="0" w:oddHBand="0" w:evenHBand="0" w:firstRowFirstColumn="0" w:firstRowLastColumn="0" w:lastRowFirstColumn="0" w:lastRowLastColumn="0"/>
            <w:tcW w:w="2700" w:type="dxa"/>
          </w:tcPr>
          <w:p w14:paraId="73A581B3" w14:textId="77777777" w:rsidR="00253765" w:rsidRPr="000D5031" w:rsidRDefault="00253765" w:rsidP="00253765">
            <w:pPr>
              <w:rPr>
                <w:rFonts w:ascii="Arial" w:hAnsi="Arial" w:cs="Arial"/>
                <w:b w:val="0"/>
                <w:color w:val="215868" w:themeColor="accent5" w:themeShade="80"/>
                <w:sz w:val="18"/>
                <w:szCs w:val="20"/>
              </w:rPr>
            </w:pPr>
            <w:r w:rsidRPr="000D5031">
              <w:rPr>
                <w:rFonts w:ascii="Arial" w:hAnsi="Arial" w:cs="Arial"/>
                <w:b w:val="0"/>
                <w:color w:val="215868" w:themeColor="accent5" w:themeShade="80"/>
                <w:sz w:val="18"/>
                <w:szCs w:val="20"/>
              </w:rPr>
              <w:t>Frozen fruits and vegetables</w:t>
            </w:r>
          </w:p>
        </w:tc>
        <w:tc>
          <w:tcPr>
            <w:tcW w:w="1584" w:type="dxa"/>
          </w:tcPr>
          <w:p w14:paraId="2F6DA7B0" w14:textId="7081D3B6" w:rsidR="00253765" w:rsidRPr="000D5031" w:rsidRDefault="00253765" w:rsidP="002537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582</w:t>
            </w:r>
            <w:r>
              <w:rPr>
                <w:rFonts w:ascii="Arial" w:hAnsi="Arial" w:cs="Arial"/>
                <w:color w:val="215868" w:themeColor="accent5" w:themeShade="80"/>
                <w:sz w:val="18"/>
                <w:szCs w:val="20"/>
              </w:rPr>
              <w:t>M</w:t>
            </w:r>
          </w:p>
        </w:tc>
        <w:tc>
          <w:tcPr>
            <w:tcW w:w="1584" w:type="dxa"/>
          </w:tcPr>
          <w:p w14:paraId="1CC6E7ED" w14:textId="3A1C90A1" w:rsidR="00253765" w:rsidRPr="000D5031" w:rsidRDefault="00253765" w:rsidP="002537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4.6</w:t>
            </w:r>
            <w:r w:rsidRPr="000D5031">
              <w:rPr>
                <w:rFonts w:ascii="Arial" w:hAnsi="Arial" w:cs="Arial"/>
                <w:color w:val="215868" w:themeColor="accent5" w:themeShade="80"/>
                <w:sz w:val="18"/>
                <w:szCs w:val="20"/>
              </w:rPr>
              <w:t>%</w:t>
            </w:r>
          </w:p>
        </w:tc>
        <w:tc>
          <w:tcPr>
            <w:tcW w:w="1584" w:type="dxa"/>
          </w:tcPr>
          <w:p w14:paraId="15BC3289" w14:textId="261D97B9" w:rsidR="00253765" w:rsidRPr="000D5031" w:rsidRDefault="00253765" w:rsidP="0025376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20"/>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15.1</w:t>
            </w:r>
            <w:r w:rsidRPr="000D5031">
              <w:rPr>
                <w:rFonts w:ascii="Arial" w:hAnsi="Arial" w:cs="Arial"/>
                <w:color w:val="215868" w:themeColor="accent5" w:themeShade="80"/>
                <w:sz w:val="18"/>
                <w:szCs w:val="20"/>
              </w:rPr>
              <w:t>%</w:t>
            </w:r>
          </w:p>
        </w:tc>
        <w:tc>
          <w:tcPr>
            <w:tcW w:w="1584" w:type="dxa"/>
          </w:tcPr>
          <w:p w14:paraId="6FEB7786" w14:textId="5B4BBB67" w:rsidR="00253765" w:rsidRPr="000D5031" w:rsidRDefault="00253765" w:rsidP="002537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2.75</w:t>
            </w:r>
          </w:p>
        </w:tc>
        <w:tc>
          <w:tcPr>
            <w:tcW w:w="1584" w:type="dxa"/>
          </w:tcPr>
          <w:p w14:paraId="37555401" w14:textId="746B2F91" w:rsidR="00253765" w:rsidRPr="000D5031" w:rsidRDefault="00253765" w:rsidP="00253765">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20"/>
              </w:rPr>
              <w:t>+</w:t>
            </w:r>
            <w:r w:rsidR="00E33D11">
              <w:rPr>
                <w:rFonts w:ascii="Arial" w:hAnsi="Arial" w:cs="Arial"/>
                <w:color w:val="215868" w:themeColor="accent5" w:themeShade="80"/>
                <w:sz w:val="18"/>
                <w:szCs w:val="20"/>
              </w:rPr>
              <w:t>7.5%</w:t>
            </w:r>
          </w:p>
        </w:tc>
      </w:tr>
    </w:tbl>
    <w:p w14:paraId="788E9F0B" w14:textId="77777777" w:rsidR="00770809" w:rsidRPr="00B265F0" w:rsidRDefault="00770809" w:rsidP="00770809">
      <w:pPr>
        <w:pStyle w:val="NoSpacing"/>
        <w:rPr>
          <w:rFonts w:ascii="Arial" w:hAnsi="Arial" w:cs="Arial"/>
          <w:sz w:val="10"/>
          <w:szCs w:val="10"/>
        </w:rPr>
      </w:pPr>
    </w:p>
    <w:p w14:paraId="127869F3" w14:textId="77777777" w:rsidR="00770809" w:rsidRPr="00B35CE9" w:rsidRDefault="00770809" w:rsidP="00770809">
      <w:pPr>
        <w:pStyle w:val="NoSpacing"/>
        <w:rPr>
          <w:rFonts w:ascii="Arial" w:hAnsi="Arial" w:cs="Arial"/>
          <w:sz w:val="16"/>
          <w:szCs w:val="16"/>
        </w:rPr>
      </w:pPr>
      <w:r w:rsidRPr="00B265F0">
        <w:rPr>
          <w:rFonts w:ascii="Arial" w:hAnsi="Arial" w:cs="Arial"/>
          <w:sz w:val="16"/>
          <w:szCs w:val="16"/>
        </w:rPr>
        <w:t>Source: IRI</w:t>
      </w:r>
      <w:r>
        <w:rPr>
          <w:rFonts w:ascii="Arial" w:hAnsi="Arial" w:cs="Arial"/>
          <w:sz w:val="16"/>
          <w:szCs w:val="16"/>
        </w:rPr>
        <w:t xml:space="preserve"> Integrated Fresh, </w:t>
      </w:r>
      <w:r w:rsidRPr="00B265F0">
        <w:rPr>
          <w:rFonts w:ascii="Arial" w:hAnsi="Arial" w:cs="Arial"/>
          <w:sz w:val="16"/>
          <w:szCs w:val="16"/>
        </w:rPr>
        <w:t>Total US, MULO</w:t>
      </w:r>
    </w:p>
    <w:p w14:paraId="308559FB" w14:textId="5B6B997C" w:rsidR="00770809" w:rsidRDefault="00770809" w:rsidP="00770809">
      <w:pPr>
        <w:pStyle w:val="NoSpacing"/>
        <w:rPr>
          <w:rFonts w:ascii="Arial" w:hAnsi="Arial" w:cs="Arial"/>
          <w:sz w:val="20"/>
          <w:szCs w:val="20"/>
        </w:rPr>
      </w:pPr>
    </w:p>
    <w:p w14:paraId="51699900" w14:textId="51353049" w:rsidR="00632D4B" w:rsidRDefault="00632D4B" w:rsidP="00770809">
      <w:pPr>
        <w:pStyle w:val="NoSpacing"/>
        <w:rPr>
          <w:rFonts w:ascii="Arial" w:hAnsi="Arial" w:cs="Arial"/>
          <w:sz w:val="20"/>
          <w:szCs w:val="20"/>
        </w:rPr>
      </w:pPr>
    </w:p>
    <w:p w14:paraId="6D01AD83" w14:textId="1DAA372A" w:rsidR="00C05AA1" w:rsidRDefault="00E46A69" w:rsidP="00770809">
      <w:pPr>
        <w:pStyle w:val="NoSpacing"/>
        <w:rPr>
          <w:rFonts w:ascii="Arial" w:hAnsi="Arial" w:cs="Arial"/>
          <w:sz w:val="20"/>
          <w:szCs w:val="20"/>
        </w:rPr>
      </w:pPr>
      <w:r>
        <w:rPr>
          <w:rFonts w:ascii="Arial" w:hAnsi="Arial" w:cs="Arial"/>
          <w:sz w:val="20"/>
          <w:szCs w:val="20"/>
        </w:rPr>
        <w:t>In the first quarter of 2022, just under 80% of total fruit and vegetable dollars were generated by the fresh produce department.</w:t>
      </w:r>
      <w:r w:rsidR="00A81DD5">
        <w:rPr>
          <w:rFonts w:ascii="Arial" w:hAnsi="Arial" w:cs="Arial"/>
          <w:sz w:val="20"/>
          <w:szCs w:val="20"/>
        </w:rPr>
        <w:t xml:space="preserve"> </w:t>
      </w:r>
      <w:r w:rsidR="00215410">
        <w:rPr>
          <w:rFonts w:ascii="Arial" w:hAnsi="Arial" w:cs="Arial"/>
          <w:sz w:val="20"/>
          <w:szCs w:val="20"/>
        </w:rPr>
        <w:t>March and April 2022 brought some recovery to the fresh share. In April, fresh produce represented 80.6% of total fruit and vegetable dollars.</w:t>
      </w:r>
      <w:r w:rsidR="00A81DD5">
        <w:rPr>
          <w:rFonts w:ascii="Arial" w:hAnsi="Arial" w:cs="Arial"/>
          <w:sz w:val="20"/>
          <w:szCs w:val="20"/>
        </w:rPr>
        <w:t xml:space="preserve"> Frozen remained at 8.2% despite below-average inflation.</w:t>
      </w:r>
      <w:r w:rsidR="00215410">
        <w:rPr>
          <w:rFonts w:ascii="Arial" w:hAnsi="Arial" w:cs="Arial"/>
          <w:sz w:val="20"/>
          <w:szCs w:val="20"/>
        </w:rPr>
        <w:t xml:space="preserve"> </w:t>
      </w:r>
      <w:r w:rsidR="007A36E0">
        <w:rPr>
          <w:rFonts w:ascii="Arial" w:hAnsi="Arial" w:cs="Arial"/>
          <w:sz w:val="20"/>
          <w:szCs w:val="20"/>
        </w:rPr>
        <w:t xml:space="preserve">As a share of total </w:t>
      </w:r>
      <w:r w:rsidR="00EA277C">
        <w:rPr>
          <w:rFonts w:ascii="Arial" w:hAnsi="Arial" w:cs="Arial"/>
          <w:sz w:val="20"/>
          <w:szCs w:val="20"/>
        </w:rPr>
        <w:t xml:space="preserve">pounds </w:t>
      </w:r>
      <w:r w:rsidR="007A36E0">
        <w:rPr>
          <w:rFonts w:ascii="Arial" w:hAnsi="Arial" w:cs="Arial"/>
          <w:sz w:val="20"/>
          <w:szCs w:val="20"/>
        </w:rPr>
        <w:lastRenderedPageBreak/>
        <w:t xml:space="preserve">sold across </w:t>
      </w:r>
      <w:r w:rsidR="00A81DD5">
        <w:rPr>
          <w:rFonts w:ascii="Arial" w:hAnsi="Arial" w:cs="Arial"/>
          <w:sz w:val="20"/>
          <w:szCs w:val="20"/>
        </w:rPr>
        <w:t>the three areas</w:t>
      </w:r>
      <w:r w:rsidR="007A36E0">
        <w:rPr>
          <w:rFonts w:ascii="Arial" w:hAnsi="Arial" w:cs="Arial"/>
          <w:sz w:val="20"/>
          <w:szCs w:val="20"/>
        </w:rPr>
        <w:t xml:space="preserve">, fresh produce made up </w:t>
      </w:r>
      <w:r w:rsidR="00215410">
        <w:rPr>
          <w:rFonts w:ascii="Arial" w:hAnsi="Arial" w:cs="Arial"/>
          <w:sz w:val="20"/>
          <w:szCs w:val="20"/>
        </w:rPr>
        <w:t xml:space="preserve">78.9%, which was up from </w:t>
      </w:r>
      <w:r w:rsidR="00EA277C">
        <w:rPr>
          <w:rFonts w:ascii="Arial" w:hAnsi="Arial" w:cs="Arial"/>
          <w:sz w:val="20"/>
          <w:szCs w:val="20"/>
        </w:rPr>
        <w:t>78.3</w:t>
      </w:r>
      <w:r w:rsidR="007A36E0">
        <w:rPr>
          <w:rFonts w:ascii="Arial" w:hAnsi="Arial" w:cs="Arial"/>
          <w:sz w:val="20"/>
          <w:szCs w:val="20"/>
        </w:rPr>
        <w:t>%</w:t>
      </w:r>
      <w:r w:rsidR="00EA277C">
        <w:rPr>
          <w:rFonts w:ascii="Arial" w:hAnsi="Arial" w:cs="Arial"/>
          <w:sz w:val="20"/>
          <w:szCs w:val="20"/>
        </w:rPr>
        <w:t xml:space="preserve"> in March and 77.2% in the first quarter</w:t>
      </w:r>
      <w:r w:rsidR="007A36E0">
        <w:rPr>
          <w:rFonts w:ascii="Arial" w:hAnsi="Arial" w:cs="Arial"/>
          <w:sz w:val="20"/>
          <w:szCs w:val="20"/>
        </w:rPr>
        <w:t>. Shelf-stable fruits and vegetables represented 1</w:t>
      </w:r>
      <w:r w:rsidR="00215410">
        <w:rPr>
          <w:rFonts w:ascii="Arial" w:hAnsi="Arial" w:cs="Arial"/>
          <w:sz w:val="20"/>
          <w:szCs w:val="20"/>
        </w:rPr>
        <w:t>3.0</w:t>
      </w:r>
      <w:r w:rsidR="007A36E0">
        <w:rPr>
          <w:rFonts w:ascii="Arial" w:hAnsi="Arial" w:cs="Arial"/>
          <w:sz w:val="20"/>
          <w:szCs w:val="20"/>
        </w:rPr>
        <w:t>% of pounds</w:t>
      </w:r>
      <w:r w:rsidR="00EA277C">
        <w:rPr>
          <w:rFonts w:ascii="Arial" w:hAnsi="Arial" w:cs="Arial"/>
          <w:sz w:val="20"/>
          <w:szCs w:val="20"/>
        </w:rPr>
        <w:t xml:space="preserve"> in the first quarter</w:t>
      </w:r>
      <w:r w:rsidR="00C05AA1">
        <w:rPr>
          <w:rFonts w:ascii="Arial" w:hAnsi="Arial" w:cs="Arial"/>
          <w:sz w:val="20"/>
          <w:szCs w:val="20"/>
        </w:rPr>
        <w:t xml:space="preserve">. </w:t>
      </w:r>
    </w:p>
    <w:p w14:paraId="53C7F7C1" w14:textId="39788B12" w:rsidR="00E33D11" w:rsidRDefault="00E33D11" w:rsidP="00770809">
      <w:pPr>
        <w:pStyle w:val="NoSpacing"/>
        <w:rPr>
          <w:rFonts w:ascii="Arial" w:hAnsi="Arial" w:cs="Arial"/>
          <w:sz w:val="20"/>
          <w:szCs w:val="20"/>
        </w:rPr>
      </w:pPr>
    </w:p>
    <w:p w14:paraId="607BFC51" w14:textId="625D7EA2" w:rsidR="00E33D11" w:rsidRDefault="00E33D11" w:rsidP="00770809">
      <w:pPr>
        <w:pStyle w:val="NoSpacing"/>
        <w:rPr>
          <w:rFonts w:ascii="Arial" w:hAnsi="Arial" w:cs="Arial"/>
          <w:sz w:val="20"/>
          <w:szCs w:val="20"/>
        </w:rPr>
      </w:pPr>
      <w:r>
        <w:rPr>
          <w:noProof/>
        </w:rPr>
        <w:drawing>
          <wp:inline distT="0" distB="0" distL="0" distR="0" wp14:anchorId="37D009C2" wp14:editId="263FB0CA">
            <wp:extent cx="6386620" cy="2627419"/>
            <wp:effectExtent l="0" t="0" r="0" b="1905"/>
            <wp:docPr id="8" name="Chart 8">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311572" w14:textId="411D5E8D" w:rsidR="003508FD" w:rsidRPr="00983F3F" w:rsidRDefault="003508FD" w:rsidP="00983F3F">
      <w:pPr>
        <w:spacing w:after="0" w:line="240" w:lineRule="auto"/>
        <w:rPr>
          <w:rFonts w:ascii="Arial" w:hAnsi="Arial" w:cs="Arial"/>
          <w:color w:val="000000" w:themeColor="text1"/>
          <w:sz w:val="10"/>
          <w:szCs w:val="10"/>
          <w:shd w:val="clear" w:color="auto" w:fill="FFFFFF"/>
        </w:rPr>
      </w:pPr>
    </w:p>
    <w:p w14:paraId="0751DC13" w14:textId="77777777" w:rsidR="008111C0" w:rsidRDefault="008111C0" w:rsidP="00983F3F">
      <w:pPr>
        <w:spacing w:after="0" w:line="240" w:lineRule="auto"/>
        <w:rPr>
          <w:rFonts w:ascii="Arial" w:hAnsi="Arial" w:cs="Arial"/>
          <w:sz w:val="16"/>
          <w:szCs w:val="16"/>
        </w:rPr>
      </w:pPr>
      <w:r w:rsidRPr="00507D74">
        <w:rPr>
          <w:rFonts w:ascii="Arial" w:hAnsi="Arial" w:cs="Arial"/>
          <w:sz w:val="16"/>
          <w:szCs w:val="16"/>
        </w:rPr>
        <w:t>Source: Source: IRI Integrated Fresh, Total U.S., MULO</w:t>
      </w:r>
    </w:p>
    <w:p w14:paraId="6A747D79" w14:textId="32DB7BC7" w:rsidR="008111C0" w:rsidRDefault="008111C0" w:rsidP="0053257C">
      <w:pPr>
        <w:spacing w:after="0" w:line="240" w:lineRule="auto"/>
        <w:rPr>
          <w:rFonts w:ascii="Arial" w:hAnsi="Arial" w:cs="Arial"/>
          <w:sz w:val="20"/>
          <w:shd w:val="clear" w:color="auto" w:fill="FFFFFF"/>
        </w:rPr>
      </w:pPr>
    </w:p>
    <w:p w14:paraId="29284688" w14:textId="77777777" w:rsidR="00215410" w:rsidRDefault="00215410" w:rsidP="0053257C">
      <w:pPr>
        <w:spacing w:after="0" w:line="240" w:lineRule="auto"/>
        <w:rPr>
          <w:rFonts w:ascii="Arial" w:hAnsi="Arial" w:cs="Arial"/>
          <w:sz w:val="20"/>
          <w:shd w:val="clear" w:color="auto" w:fill="FFFFFF"/>
        </w:rPr>
      </w:pPr>
    </w:p>
    <w:p w14:paraId="6839CE99" w14:textId="77777777" w:rsidR="002137F5" w:rsidRPr="00CF309B" w:rsidRDefault="006C3FCE" w:rsidP="006069A6">
      <w:pPr>
        <w:pStyle w:val="NoSpacing"/>
        <w:rPr>
          <w:rFonts w:ascii="Arial" w:hAnsi="Arial" w:cs="Arial"/>
          <w:b/>
          <w:color w:val="595959" w:themeColor="text1" w:themeTint="A6"/>
          <w:sz w:val="24"/>
          <w:szCs w:val="24"/>
        </w:rPr>
      </w:pPr>
      <w:r w:rsidRPr="00CF309B">
        <w:rPr>
          <w:rFonts w:ascii="Arial" w:hAnsi="Arial" w:cs="Arial"/>
          <w:b/>
          <w:color w:val="595959" w:themeColor="text1" w:themeTint="A6"/>
          <w:sz w:val="24"/>
          <w:szCs w:val="24"/>
        </w:rPr>
        <w:t xml:space="preserve">Fresh Produce </w:t>
      </w:r>
      <w:r w:rsidR="002137F5" w:rsidRPr="00CF309B">
        <w:rPr>
          <w:rFonts w:ascii="Arial" w:hAnsi="Arial" w:cs="Arial"/>
          <w:b/>
          <w:color w:val="595959" w:themeColor="text1" w:themeTint="A6"/>
          <w:sz w:val="24"/>
          <w:szCs w:val="24"/>
        </w:rPr>
        <w:t>Dollars versus Volume</w:t>
      </w:r>
    </w:p>
    <w:p w14:paraId="0CB7AB49" w14:textId="6DE9908E" w:rsidR="0005157F" w:rsidRDefault="00223410" w:rsidP="006069A6">
      <w:pPr>
        <w:pStyle w:val="NoSpacing"/>
        <w:rPr>
          <w:rFonts w:ascii="Arial" w:hAnsi="Arial" w:cs="Arial"/>
          <w:sz w:val="20"/>
          <w:szCs w:val="20"/>
        </w:rPr>
      </w:pPr>
      <w:r>
        <w:rPr>
          <w:rFonts w:ascii="Arial" w:hAnsi="Arial" w:cs="Arial"/>
          <w:sz w:val="20"/>
          <w:szCs w:val="20"/>
        </w:rPr>
        <w:t>Fresh produce pound sales trailed behind year ago levels all throughout 2021</w:t>
      </w:r>
      <w:r w:rsidR="001A0E90">
        <w:rPr>
          <w:rFonts w:ascii="Arial" w:hAnsi="Arial" w:cs="Arial"/>
          <w:sz w:val="20"/>
          <w:szCs w:val="20"/>
        </w:rPr>
        <w:t xml:space="preserve"> and the first quarter of 2022</w:t>
      </w:r>
      <w:r>
        <w:rPr>
          <w:rFonts w:ascii="Arial" w:hAnsi="Arial" w:cs="Arial"/>
          <w:sz w:val="20"/>
          <w:szCs w:val="20"/>
        </w:rPr>
        <w:t xml:space="preserve">. In </w:t>
      </w:r>
      <w:r w:rsidR="00E6448D">
        <w:rPr>
          <w:rFonts w:ascii="Arial" w:hAnsi="Arial" w:cs="Arial"/>
          <w:sz w:val="20"/>
          <w:szCs w:val="20"/>
        </w:rPr>
        <w:t xml:space="preserve">April </w:t>
      </w:r>
      <w:r>
        <w:rPr>
          <w:rFonts w:ascii="Arial" w:hAnsi="Arial" w:cs="Arial"/>
          <w:sz w:val="20"/>
          <w:szCs w:val="20"/>
        </w:rPr>
        <w:t xml:space="preserve">2022, pound </w:t>
      </w:r>
      <w:r w:rsidR="001A0E90">
        <w:rPr>
          <w:rFonts w:ascii="Arial" w:hAnsi="Arial" w:cs="Arial"/>
          <w:sz w:val="20"/>
          <w:szCs w:val="20"/>
        </w:rPr>
        <w:t xml:space="preserve">sales were down </w:t>
      </w:r>
      <w:r w:rsidR="00E6448D">
        <w:rPr>
          <w:rFonts w:ascii="Arial" w:hAnsi="Arial" w:cs="Arial"/>
          <w:sz w:val="20"/>
          <w:szCs w:val="20"/>
        </w:rPr>
        <w:t>5.2</w:t>
      </w:r>
      <w:r w:rsidR="001A0E90">
        <w:rPr>
          <w:rFonts w:ascii="Arial" w:hAnsi="Arial" w:cs="Arial"/>
          <w:sz w:val="20"/>
          <w:szCs w:val="20"/>
        </w:rPr>
        <w:t>%</w:t>
      </w:r>
      <w:r w:rsidR="00135BE7">
        <w:rPr>
          <w:rFonts w:ascii="Arial" w:hAnsi="Arial" w:cs="Arial"/>
          <w:sz w:val="20"/>
          <w:szCs w:val="20"/>
        </w:rPr>
        <w:t xml:space="preserve"> year-on-year</w:t>
      </w:r>
      <w:r w:rsidR="00E6448D">
        <w:rPr>
          <w:rFonts w:ascii="Arial" w:hAnsi="Arial" w:cs="Arial"/>
          <w:sz w:val="20"/>
          <w:szCs w:val="20"/>
        </w:rPr>
        <w:t xml:space="preserve"> — its lowest level since the second quarter of 2021</w:t>
      </w:r>
      <w:r>
        <w:rPr>
          <w:rFonts w:ascii="Arial" w:hAnsi="Arial" w:cs="Arial"/>
          <w:sz w:val="20"/>
          <w:szCs w:val="20"/>
        </w:rPr>
        <w:t xml:space="preserve">. </w:t>
      </w:r>
      <w:r w:rsidR="001A0E90">
        <w:rPr>
          <w:rFonts w:ascii="Arial" w:hAnsi="Arial" w:cs="Arial"/>
          <w:sz w:val="20"/>
          <w:szCs w:val="20"/>
        </w:rPr>
        <w:t>Importantly, compared with 2019, the pre-pandemic normal, dollars remain 1</w:t>
      </w:r>
      <w:r w:rsidR="00E6448D">
        <w:rPr>
          <w:rFonts w:ascii="Arial" w:hAnsi="Arial" w:cs="Arial"/>
          <w:sz w:val="20"/>
          <w:szCs w:val="20"/>
        </w:rPr>
        <w:t>6.3</w:t>
      </w:r>
      <w:r w:rsidR="001A0E90">
        <w:rPr>
          <w:rFonts w:ascii="Arial" w:hAnsi="Arial" w:cs="Arial"/>
          <w:sz w:val="20"/>
          <w:szCs w:val="20"/>
        </w:rPr>
        <w:t xml:space="preserve">% ahead </w:t>
      </w:r>
      <w:r w:rsidR="00E648E4">
        <w:rPr>
          <w:rFonts w:ascii="Arial" w:hAnsi="Arial" w:cs="Arial"/>
          <w:sz w:val="20"/>
          <w:szCs w:val="20"/>
        </w:rPr>
        <w:t xml:space="preserve">(green triangles) </w:t>
      </w:r>
      <w:r w:rsidR="00E6448D">
        <w:rPr>
          <w:rFonts w:ascii="Arial" w:hAnsi="Arial" w:cs="Arial"/>
          <w:sz w:val="20"/>
          <w:szCs w:val="20"/>
        </w:rPr>
        <w:t xml:space="preserve">but </w:t>
      </w:r>
      <w:r w:rsidR="00E648E4">
        <w:rPr>
          <w:rFonts w:ascii="Arial" w:hAnsi="Arial" w:cs="Arial"/>
          <w:sz w:val="20"/>
          <w:szCs w:val="20"/>
        </w:rPr>
        <w:t xml:space="preserve">pound sales </w:t>
      </w:r>
      <w:r w:rsidR="00E6448D">
        <w:rPr>
          <w:rFonts w:ascii="Arial" w:hAnsi="Arial" w:cs="Arial"/>
          <w:sz w:val="20"/>
          <w:szCs w:val="20"/>
        </w:rPr>
        <w:t>were a mere 0.7</w:t>
      </w:r>
      <w:r w:rsidR="00E648E4">
        <w:rPr>
          <w:rFonts w:ascii="Arial" w:hAnsi="Arial" w:cs="Arial"/>
          <w:sz w:val="20"/>
          <w:szCs w:val="20"/>
        </w:rPr>
        <w:t>% higher</w:t>
      </w:r>
      <w:r w:rsidR="00F122CD">
        <w:rPr>
          <w:rFonts w:ascii="Arial" w:hAnsi="Arial" w:cs="Arial"/>
          <w:sz w:val="20"/>
          <w:szCs w:val="20"/>
        </w:rPr>
        <w:t xml:space="preserve"> (purple squares)</w:t>
      </w:r>
      <w:r w:rsidR="00E648E4">
        <w:rPr>
          <w:rFonts w:ascii="Arial" w:hAnsi="Arial" w:cs="Arial"/>
          <w:sz w:val="20"/>
          <w:szCs w:val="20"/>
        </w:rPr>
        <w:t>.</w:t>
      </w:r>
      <w:r w:rsidR="00F122CD">
        <w:rPr>
          <w:rFonts w:ascii="Arial" w:hAnsi="Arial" w:cs="Arial"/>
          <w:sz w:val="20"/>
          <w:szCs w:val="20"/>
        </w:rPr>
        <w:t xml:space="preserve"> </w:t>
      </w:r>
      <w:r w:rsidR="00E6448D">
        <w:rPr>
          <w:rFonts w:ascii="Arial" w:hAnsi="Arial" w:cs="Arial"/>
          <w:sz w:val="20"/>
          <w:szCs w:val="20"/>
        </w:rPr>
        <w:t>W</w:t>
      </w:r>
      <w:r w:rsidR="00F122CD">
        <w:rPr>
          <w:rFonts w:ascii="Arial" w:hAnsi="Arial" w:cs="Arial"/>
          <w:sz w:val="20"/>
          <w:szCs w:val="20"/>
        </w:rPr>
        <w:t>hen following the purple square trendline (pounds versus 2019), there is a continued month-to-month decrease from +10% in the first quarter of 2021 to +</w:t>
      </w:r>
      <w:r w:rsidR="00E6448D">
        <w:rPr>
          <w:rFonts w:ascii="Arial" w:hAnsi="Arial" w:cs="Arial"/>
          <w:sz w:val="20"/>
          <w:szCs w:val="20"/>
        </w:rPr>
        <w:t>0.7</w:t>
      </w:r>
      <w:r w:rsidR="00F122CD">
        <w:rPr>
          <w:rFonts w:ascii="Arial" w:hAnsi="Arial" w:cs="Arial"/>
          <w:sz w:val="20"/>
          <w:szCs w:val="20"/>
        </w:rPr>
        <w:t xml:space="preserve">% in </w:t>
      </w:r>
      <w:r w:rsidR="00E6448D">
        <w:rPr>
          <w:rFonts w:ascii="Arial" w:hAnsi="Arial" w:cs="Arial"/>
          <w:sz w:val="20"/>
          <w:szCs w:val="20"/>
        </w:rPr>
        <w:t xml:space="preserve">April </w:t>
      </w:r>
      <w:r w:rsidR="00F122CD">
        <w:rPr>
          <w:rFonts w:ascii="Arial" w:hAnsi="Arial" w:cs="Arial"/>
          <w:sz w:val="20"/>
          <w:szCs w:val="20"/>
        </w:rPr>
        <w:t>2022.</w:t>
      </w:r>
      <w:r w:rsidR="00E648E4">
        <w:rPr>
          <w:rFonts w:ascii="Arial" w:hAnsi="Arial" w:cs="Arial"/>
          <w:sz w:val="20"/>
          <w:szCs w:val="20"/>
        </w:rPr>
        <w:t xml:space="preserve"> </w:t>
      </w:r>
      <w:r w:rsidR="001A0E90">
        <w:rPr>
          <w:rFonts w:ascii="Arial" w:hAnsi="Arial" w:cs="Arial"/>
          <w:sz w:val="20"/>
          <w:szCs w:val="20"/>
        </w:rPr>
        <w:t xml:space="preserve"> </w:t>
      </w:r>
      <w:r w:rsidR="00D44AC8">
        <w:rPr>
          <w:rFonts w:ascii="Arial" w:hAnsi="Arial" w:cs="Arial"/>
          <w:sz w:val="20"/>
          <w:szCs w:val="20"/>
        </w:rPr>
        <w:t xml:space="preserve"> </w:t>
      </w:r>
      <w:r>
        <w:rPr>
          <w:rFonts w:ascii="Arial" w:hAnsi="Arial" w:cs="Arial"/>
          <w:sz w:val="20"/>
          <w:szCs w:val="20"/>
        </w:rPr>
        <w:t xml:space="preserve"> </w:t>
      </w:r>
    </w:p>
    <w:p w14:paraId="21AE6872" w14:textId="2B1C597D" w:rsidR="00AC478B" w:rsidRPr="009D1A60" w:rsidRDefault="00E6448D" w:rsidP="009D1A60">
      <w:pPr>
        <w:pStyle w:val="NoSpacing"/>
      </w:pPr>
      <w:r>
        <w:rPr>
          <w:noProof/>
        </w:rPr>
        <w:drawing>
          <wp:inline distT="0" distB="0" distL="0" distR="0" wp14:anchorId="79A1D172" wp14:editId="11164CB4">
            <wp:extent cx="6750685" cy="2931795"/>
            <wp:effectExtent l="0" t="0" r="0" b="1905"/>
            <wp:docPr id="13" name="Chart 13">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E9A45F" w14:textId="77777777" w:rsidR="00441E8F" w:rsidRPr="00CF309B" w:rsidRDefault="00441E8F" w:rsidP="00441E8F">
      <w:pPr>
        <w:pStyle w:val="NoSpacing"/>
        <w:rPr>
          <w:rFonts w:ascii="Arial" w:hAnsi="Arial" w:cs="Arial"/>
          <w:sz w:val="16"/>
          <w:szCs w:val="16"/>
        </w:rPr>
      </w:pPr>
      <w:r w:rsidRPr="00CF309B">
        <w:rPr>
          <w:rFonts w:ascii="Arial" w:hAnsi="Arial" w:cs="Arial"/>
          <w:sz w:val="16"/>
          <w:szCs w:val="16"/>
        </w:rPr>
        <w:t>Source: Source: IRI</w:t>
      </w:r>
      <w:r w:rsidR="00906C46">
        <w:rPr>
          <w:rFonts w:ascii="Arial" w:hAnsi="Arial" w:cs="Arial"/>
          <w:sz w:val="16"/>
          <w:szCs w:val="16"/>
        </w:rPr>
        <w:t xml:space="preserve"> Integrated Fresh</w:t>
      </w:r>
      <w:r w:rsidRPr="00CF309B">
        <w:rPr>
          <w:rFonts w:ascii="Arial" w:hAnsi="Arial" w:cs="Arial"/>
          <w:sz w:val="16"/>
          <w:szCs w:val="16"/>
        </w:rPr>
        <w:t>, Total U.S., MULO</w:t>
      </w:r>
      <w:r w:rsidR="00AA6AEB">
        <w:rPr>
          <w:rFonts w:ascii="Arial" w:hAnsi="Arial" w:cs="Arial"/>
          <w:sz w:val="16"/>
          <w:szCs w:val="16"/>
        </w:rPr>
        <w:t xml:space="preserve"> </w:t>
      </w:r>
    </w:p>
    <w:p w14:paraId="3053AAE0" w14:textId="77777777" w:rsidR="00043B43" w:rsidRPr="00CF309B" w:rsidRDefault="00043B43" w:rsidP="006069A6">
      <w:pPr>
        <w:pStyle w:val="NoSpacing"/>
        <w:rPr>
          <w:rFonts w:ascii="Arial" w:hAnsi="Arial" w:cs="Arial"/>
          <w:sz w:val="20"/>
          <w:szCs w:val="20"/>
        </w:rPr>
      </w:pPr>
    </w:p>
    <w:p w14:paraId="14CF2F77" w14:textId="428F2B05" w:rsidR="00EF524A" w:rsidRDefault="00E6448D" w:rsidP="007C430F">
      <w:pPr>
        <w:pStyle w:val="NoSpacing"/>
        <w:rPr>
          <w:rFonts w:ascii="Arial" w:hAnsi="Arial" w:cs="Arial"/>
          <w:color w:val="000000" w:themeColor="text1"/>
          <w:sz w:val="20"/>
          <w:szCs w:val="18"/>
          <w:shd w:val="clear" w:color="auto" w:fill="FFFFFF"/>
        </w:rPr>
      </w:pPr>
      <w:r>
        <w:rPr>
          <w:rFonts w:ascii="Arial" w:hAnsi="Arial" w:cs="Arial"/>
          <w:color w:val="000000" w:themeColor="text1"/>
          <w:sz w:val="20"/>
          <w:szCs w:val="18"/>
          <w:shd w:val="clear" w:color="auto" w:fill="FFFFFF"/>
        </w:rPr>
        <w:t>“The volume pressure came from the fruit side,” explained Parker. “Fruit pound sales were down 1.6% versus the pre-pandemic normal of 2019</w:t>
      </w:r>
      <w:r w:rsidR="00991296">
        <w:rPr>
          <w:rFonts w:ascii="Arial" w:hAnsi="Arial" w:cs="Arial"/>
          <w:color w:val="000000" w:themeColor="text1"/>
          <w:sz w:val="20"/>
          <w:szCs w:val="18"/>
          <w:shd w:val="clear" w:color="auto" w:fill="FFFFFF"/>
        </w:rPr>
        <w:t>.</w:t>
      </w:r>
      <w:r>
        <w:rPr>
          <w:rFonts w:ascii="Arial" w:hAnsi="Arial" w:cs="Arial"/>
          <w:color w:val="000000" w:themeColor="text1"/>
          <w:sz w:val="20"/>
          <w:szCs w:val="18"/>
          <w:shd w:val="clear" w:color="auto" w:fill="FFFFFF"/>
        </w:rPr>
        <w:t xml:space="preserve"> Vegetables, on the other hand, did still sell 3.2% more in pounds than they did in April 2019.”</w:t>
      </w:r>
      <w:r w:rsidR="00991296">
        <w:rPr>
          <w:rFonts w:ascii="Arial" w:hAnsi="Arial" w:cs="Arial"/>
          <w:color w:val="000000" w:themeColor="text1"/>
          <w:sz w:val="20"/>
          <w:szCs w:val="18"/>
          <w:shd w:val="clear" w:color="auto" w:fill="FFFFFF"/>
        </w:rPr>
        <w:t xml:space="preserve"> </w:t>
      </w:r>
    </w:p>
    <w:p w14:paraId="6B5CA4C5" w14:textId="44B397E7" w:rsidR="00731950" w:rsidRDefault="00731950">
      <w:pPr>
        <w:rPr>
          <w:rFonts w:ascii="Arial" w:hAnsi="Arial" w:cs="Arial"/>
          <w:sz w:val="16"/>
          <w:szCs w:val="16"/>
        </w:rPr>
      </w:pPr>
      <w:r>
        <w:rPr>
          <w:rFonts w:ascii="Arial" w:hAnsi="Arial" w:cs="Arial"/>
          <w:sz w:val="16"/>
          <w:szCs w:val="16"/>
        </w:rPr>
        <w:br w:type="page"/>
      </w:r>
    </w:p>
    <w:tbl>
      <w:tblPr>
        <w:tblStyle w:val="LightShading-Accent5"/>
        <w:tblW w:w="10631" w:type="dxa"/>
        <w:tblBorders>
          <w:top w:val="none" w:sz="0" w:space="0" w:color="auto"/>
          <w:bottom w:val="none" w:sz="0" w:space="0" w:color="auto"/>
        </w:tblBorders>
        <w:tblLook w:val="04A0" w:firstRow="1" w:lastRow="0" w:firstColumn="1" w:lastColumn="0" w:noHBand="0" w:noVBand="1"/>
      </w:tblPr>
      <w:tblGrid>
        <w:gridCol w:w="993"/>
        <w:gridCol w:w="355"/>
        <w:gridCol w:w="912"/>
        <w:gridCol w:w="943"/>
        <w:gridCol w:w="944"/>
        <w:gridCol w:w="913"/>
        <w:gridCol w:w="914"/>
        <w:gridCol w:w="944"/>
        <w:gridCol w:w="944"/>
        <w:gridCol w:w="868"/>
        <w:gridCol w:w="832"/>
        <w:gridCol w:w="1069"/>
      </w:tblGrid>
      <w:tr w:rsidR="00D44AC8" w:rsidRPr="00CF309B" w14:paraId="54D27BD5" w14:textId="77777777" w:rsidTr="004E6B52">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41D9731B" w14:textId="77777777" w:rsidR="00D44AC8" w:rsidRPr="00CF309B" w:rsidRDefault="00D44AC8" w:rsidP="00EC62BA">
            <w:pPr>
              <w:pStyle w:val="NoSpacing"/>
              <w:jc w:val="center"/>
              <w:rPr>
                <w:rFonts w:ascii="Arial" w:hAnsi="Arial" w:cs="Arial"/>
                <w:color w:val="FFFFFF" w:themeColor="background1"/>
                <w:sz w:val="18"/>
                <w:szCs w:val="18"/>
              </w:rPr>
            </w:pPr>
          </w:p>
        </w:tc>
        <w:tc>
          <w:tcPr>
            <w:tcW w:w="9638" w:type="dxa"/>
            <w:gridSpan w:val="11"/>
            <w:tcBorders>
              <w:top w:val="none" w:sz="0" w:space="0" w:color="auto"/>
              <w:left w:val="none" w:sz="0" w:space="0" w:color="auto"/>
              <w:bottom w:val="none" w:sz="0" w:space="0" w:color="auto"/>
              <w:right w:val="none" w:sz="0" w:space="0" w:color="auto"/>
            </w:tcBorders>
            <w:shd w:val="clear" w:color="auto" w:fill="17365D" w:themeFill="text2" w:themeFillShade="BF"/>
          </w:tcPr>
          <w:p w14:paraId="5C2A10C7" w14:textId="3F2D2461" w:rsidR="00D44AC8" w:rsidRPr="00CF309B" w:rsidRDefault="00D44AC8" w:rsidP="00EC62BA">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CF309B">
              <w:rPr>
                <w:rFonts w:ascii="Arial" w:hAnsi="Arial" w:cs="Arial"/>
                <w:color w:val="FFFFFF" w:themeColor="background1"/>
                <w:sz w:val="18"/>
                <w:szCs w:val="18"/>
              </w:rPr>
              <w:t>Growth over comparable period</w:t>
            </w:r>
          </w:p>
        </w:tc>
      </w:tr>
      <w:tr w:rsidR="00D44AC8" w:rsidRPr="00CF309B" w14:paraId="2188E4FF" w14:textId="77777777" w:rsidTr="004E6B52">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48" w:type="dxa"/>
            <w:gridSpan w:val="2"/>
            <w:tcBorders>
              <w:left w:val="none" w:sz="0" w:space="0" w:color="auto"/>
              <w:right w:val="none" w:sz="0" w:space="0" w:color="auto"/>
            </w:tcBorders>
            <w:shd w:val="clear" w:color="auto" w:fill="17365D" w:themeFill="text2" w:themeFillShade="BF"/>
            <w:vAlign w:val="center"/>
          </w:tcPr>
          <w:p w14:paraId="29E5768B" w14:textId="77777777" w:rsidR="00D44AC8" w:rsidRPr="00CF309B" w:rsidRDefault="00D44AC8" w:rsidP="00D44AC8">
            <w:pPr>
              <w:pStyle w:val="NoSpacing"/>
              <w:jc w:val="right"/>
              <w:rPr>
                <w:rFonts w:ascii="Arial" w:hAnsi="Arial" w:cs="Arial"/>
                <w:color w:val="FFFFFF" w:themeColor="background1"/>
                <w:sz w:val="18"/>
                <w:szCs w:val="18"/>
              </w:rPr>
            </w:pPr>
          </w:p>
        </w:tc>
        <w:tc>
          <w:tcPr>
            <w:tcW w:w="912" w:type="dxa"/>
            <w:tcBorders>
              <w:left w:val="none" w:sz="0" w:space="0" w:color="auto"/>
              <w:right w:val="none" w:sz="0" w:space="0" w:color="auto"/>
            </w:tcBorders>
            <w:shd w:val="clear" w:color="auto" w:fill="17365D" w:themeFill="text2" w:themeFillShade="BF"/>
            <w:vAlign w:val="center"/>
          </w:tcPr>
          <w:p w14:paraId="63017601" w14:textId="77777777" w:rsidR="00D44AC8" w:rsidRPr="003C245B"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943" w:type="dxa"/>
            <w:tcBorders>
              <w:left w:val="none" w:sz="0" w:space="0" w:color="auto"/>
              <w:right w:val="none" w:sz="0" w:space="0" w:color="auto"/>
            </w:tcBorders>
            <w:shd w:val="clear" w:color="auto" w:fill="17365D" w:themeFill="text2" w:themeFillShade="BF"/>
            <w:vAlign w:val="center"/>
          </w:tcPr>
          <w:p w14:paraId="4A18F774" w14:textId="77777777" w:rsidR="00D44AC8" w:rsidRPr="003C245B"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2020</w:t>
            </w:r>
          </w:p>
        </w:tc>
        <w:tc>
          <w:tcPr>
            <w:tcW w:w="944" w:type="dxa"/>
            <w:tcBorders>
              <w:left w:val="none" w:sz="0" w:space="0" w:color="auto"/>
              <w:right w:val="none" w:sz="0" w:space="0" w:color="auto"/>
            </w:tcBorders>
            <w:shd w:val="clear" w:color="auto" w:fill="17365D" w:themeFill="text2" w:themeFillShade="BF"/>
            <w:vAlign w:val="center"/>
          </w:tcPr>
          <w:p w14:paraId="3AD9F6FB"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‘21</w:t>
            </w:r>
          </w:p>
        </w:tc>
        <w:tc>
          <w:tcPr>
            <w:tcW w:w="913" w:type="dxa"/>
            <w:tcBorders>
              <w:left w:val="none" w:sz="0" w:space="0" w:color="auto"/>
              <w:right w:val="none" w:sz="0" w:space="0" w:color="auto"/>
            </w:tcBorders>
            <w:shd w:val="clear" w:color="auto" w:fill="17365D" w:themeFill="text2" w:themeFillShade="BF"/>
            <w:vAlign w:val="center"/>
          </w:tcPr>
          <w:p w14:paraId="56E4CCDB"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 ‘21</w:t>
            </w:r>
          </w:p>
        </w:tc>
        <w:tc>
          <w:tcPr>
            <w:tcW w:w="914" w:type="dxa"/>
            <w:tcBorders>
              <w:left w:val="none" w:sz="0" w:space="0" w:color="auto"/>
              <w:right w:val="none" w:sz="0" w:space="0" w:color="auto"/>
            </w:tcBorders>
            <w:shd w:val="clear" w:color="auto" w:fill="17365D" w:themeFill="text2" w:themeFillShade="BF"/>
            <w:vAlign w:val="center"/>
          </w:tcPr>
          <w:p w14:paraId="2293C6F3"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‘21</w:t>
            </w:r>
          </w:p>
        </w:tc>
        <w:tc>
          <w:tcPr>
            <w:tcW w:w="944" w:type="dxa"/>
            <w:tcBorders>
              <w:left w:val="none" w:sz="0" w:space="0" w:color="auto"/>
              <w:right w:val="none" w:sz="0" w:space="0" w:color="auto"/>
            </w:tcBorders>
            <w:shd w:val="clear" w:color="auto" w:fill="17365D" w:themeFill="text2" w:themeFillShade="BF"/>
            <w:vAlign w:val="center"/>
          </w:tcPr>
          <w:p w14:paraId="1A442681"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‘21</w:t>
            </w:r>
          </w:p>
        </w:tc>
        <w:tc>
          <w:tcPr>
            <w:tcW w:w="944" w:type="dxa"/>
            <w:tcBorders>
              <w:left w:val="none" w:sz="0" w:space="0" w:color="auto"/>
              <w:right w:val="none" w:sz="0" w:space="0" w:color="auto"/>
            </w:tcBorders>
            <w:shd w:val="clear" w:color="auto" w:fill="17365D" w:themeFill="text2" w:themeFillShade="BF"/>
            <w:vAlign w:val="center"/>
          </w:tcPr>
          <w:p w14:paraId="4385EE9E" w14:textId="240A4332" w:rsidR="00D44AC8" w:rsidRDefault="008F2E15"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‘22</w:t>
            </w:r>
          </w:p>
        </w:tc>
        <w:tc>
          <w:tcPr>
            <w:tcW w:w="868" w:type="dxa"/>
            <w:tcBorders>
              <w:left w:val="none" w:sz="0" w:space="0" w:color="auto"/>
              <w:right w:val="none" w:sz="0" w:space="0" w:color="auto"/>
            </w:tcBorders>
            <w:shd w:val="clear" w:color="auto" w:fill="17365D" w:themeFill="text2" w:themeFillShade="BF"/>
            <w:vAlign w:val="center"/>
          </w:tcPr>
          <w:p w14:paraId="7DD4E35E" w14:textId="3A62E2C5" w:rsidR="00D44AC8" w:rsidRDefault="00E6448D"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Apr</w:t>
            </w:r>
            <w:r w:rsidR="00D44AC8">
              <w:rPr>
                <w:rFonts w:ascii="Arial" w:hAnsi="Arial" w:cs="Arial"/>
                <w:b/>
                <w:color w:val="FFFFFF" w:themeColor="background1"/>
                <w:sz w:val="18"/>
                <w:szCs w:val="18"/>
              </w:rPr>
              <w:t xml:space="preserve"> ‘22</w:t>
            </w:r>
          </w:p>
        </w:tc>
        <w:tc>
          <w:tcPr>
            <w:tcW w:w="832" w:type="dxa"/>
            <w:tcBorders>
              <w:left w:val="none" w:sz="0" w:space="0" w:color="auto"/>
              <w:right w:val="none" w:sz="0" w:space="0" w:color="auto"/>
            </w:tcBorders>
            <w:shd w:val="clear" w:color="auto" w:fill="17365D" w:themeFill="text2" w:themeFillShade="BF"/>
            <w:vAlign w:val="center"/>
          </w:tcPr>
          <w:p w14:paraId="041FEF61" w14:textId="4E21B2CB"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vs YA</w:t>
            </w:r>
          </w:p>
        </w:tc>
        <w:tc>
          <w:tcPr>
            <w:tcW w:w="1069" w:type="dxa"/>
            <w:tcBorders>
              <w:left w:val="none" w:sz="0" w:space="0" w:color="auto"/>
              <w:right w:val="none" w:sz="0" w:space="0" w:color="auto"/>
            </w:tcBorders>
            <w:shd w:val="clear" w:color="auto" w:fill="17365D" w:themeFill="text2" w:themeFillShade="BF"/>
            <w:vAlign w:val="center"/>
          </w:tcPr>
          <w:p w14:paraId="582F16C2" w14:textId="6B977E41"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 xml:space="preserve">Vs </w:t>
            </w:r>
            <w:r w:rsidR="008F2E15">
              <w:rPr>
                <w:rFonts w:ascii="Arial" w:hAnsi="Arial" w:cs="Arial"/>
                <w:b/>
                <w:color w:val="FFFFFF" w:themeColor="background1"/>
                <w:sz w:val="18"/>
                <w:szCs w:val="18"/>
              </w:rPr>
              <w:t>2019</w:t>
            </w:r>
          </w:p>
        </w:tc>
      </w:tr>
      <w:tr w:rsidR="00D44AC8" w:rsidRPr="00E43E81" w14:paraId="63E25688" w14:textId="77777777" w:rsidTr="00D44AC8">
        <w:trPr>
          <w:trHeight w:val="140"/>
        </w:trPr>
        <w:tc>
          <w:tcPr>
            <w:cnfStyle w:val="001000000000" w:firstRow="0" w:lastRow="0" w:firstColumn="1" w:lastColumn="0" w:oddVBand="0" w:evenVBand="0" w:oddHBand="0" w:evenHBand="0" w:firstRowFirstColumn="0" w:firstRowLastColumn="0" w:lastRowFirstColumn="0" w:lastRowLastColumn="0"/>
            <w:tcW w:w="1348" w:type="dxa"/>
            <w:gridSpan w:val="2"/>
            <w:vAlign w:val="center"/>
          </w:tcPr>
          <w:p w14:paraId="1BC5E048" w14:textId="77777777" w:rsidR="00D44AC8" w:rsidRPr="00E43E81" w:rsidRDefault="00D44AC8" w:rsidP="003A7E92">
            <w:pPr>
              <w:rPr>
                <w:rFonts w:ascii="Arial" w:hAnsi="Arial" w:cs="Arial"/>
                <w:color w:val="215868" w:themeColor="accent5" w:themeShade="80"/>
                <w:sz w:val="18"/>
                <w:szCs w:val="18"/>
              </w:rPr>
            </w:pPr>
            <w:r w:rsidRPr="00E43E81">
              <w:rPr>
                <w:rFonts w:ascii="Arial" w:hAnsi="Arial" w:cs="Arial"/>
                <w:color w:val="215868" w:themeColor="accent5" w:themeShade="80"/>
                <w:sz w:val="18"/>
                <w:szCs w:val="18"/>
              </w:rPr>
              <w:t>Fruit</w:t>
            </w:r>
          </w:p>
        </w:tc>
        <w:tc>
          <w:tcPr>
            <w:tcW w:w="912" w:type="dxa"/>
            <w:vAlign w:val="center"/>
          </w:tcPr>
          <w:p w14:paraId="1139F53D" w14:textId="77777777"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43" w:type="dxa"/>
            <w:vAlign w:val="center"/>
          </w:tcPr>
          <w:p w14:paraId="7781D8C8" w14:textId="77777777"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44" w:type="dxa"/>
            <w:vAlign w:val="center"/>
          </w:tcPr>
          <w:p w14:paraId="4B6676A1" w14:textId="77777777" w:rsidR="00D44AC8" w:rsidRPr="00E43E81" w:rsidRDefault="00D44AC8" w:rsidP="00317B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13" w:type="dxa"/>
          </w:tcPr>
          <w:p w14:paraId="34E1CFA3" w14:textId="77777777" w:rsidR="00D44AC8" w:rsidRPr="00E43E81" w:rsidRDefault="00D44AC8" w:rsidP="00317B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14" w:type="dxa"/>
          </w:tcPr>
          <w:p w14:paraId="55E76F30" w14:textId="77777777" w:rsidR="00D44AC8" w:rsidRPr="00E43E81" w:rsidRDefault="00D44AC8" w:rsidP="00317B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44" w:type="dxa"/>
          </w:tcPr>
          <w:p w14:paraId="2AA16F83" w14:textId="77777777" w:rsidR="00D44AC8" w:rsidRPr="00E43E81" w:rsidRDefault="00D44AC8" w:rsidP="00317B8E">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944" w:type="dxa"/>
          </w:tcPr>
          <w:p w14:paraId="0E3FBDB9" w14:textId="77777777"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868" w:type="dxa"/>
          </w:tcPr>
          <w:p w14:paraId="4EFAFB8B" w14:textId="77777777"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832" w:type="dxa"/>
          </w:tcPr>
          <w:p w14:paraId="3E5E2079" w14:textId="6B23943E"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c>
          <w:tcPr>
            <w:tcW w:w="1069" w:type="dxa"/>
          </w:tcPr>
          <w:p w14:paraId="3C1099A0" w14:textId="77777777" w:rsidR="00D44AC8" w:rsidRPr="00E43E81" w:rsidRDefault="00D44AC8" w:rsidP="00A12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p>
        </w:tc>
      </w:tr>
      <w:tr w:rsidR="00D44AC8" w:rsidRPr="00EF524A" w14:paraId="5AEC7600" w14:textId="77777777" w:rsidTr="004E6B52">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1348" w:type="dxa"/>
            <w:gridSpan w:val="2"/>
            <w:tcBorders>
              <w:left w:val="none" w:sz="0" w:space="0" w:color="auto"/>
              <w:right w:val="none" w:sz="0" w:space="0" w:color="auto"/>
            </w:tcBorders>
            <w:vAlign w:val="center"/>
          </w:tcPr>
          <w:p w14:paraId="7D1E7D37" w14:textId="77777777" w:rsidR="00D44AC8" w:rsidRPr="00EF524A" w:rsidRDefault="00D44AC8" w:rsidP="00D44AC8">
            <w:pPr>
              <w:pStyle w:val="NoSpacing"/>
              <w:jc w:val="right"/>
              <w:rPr>
                <w:rFonts w:ascii="Arial" w:hAnsi="Arial" w:cs="Arial"/>
                <w:b w:val="0"/>
                <w:color w:val="215868" w:themeColor="accent5" w:themeShade="80"/>
                <w:sz w:val="18"/>
                <w:szCs w:val="18"/>
              </w:rPr>
            </w:pPr>
            <w:r w:rsidRPr="00EF524A">
              <w:rPr>
                <w:rFonts w:ascii="Arial" w:hAnsi="Arial" w:cs="Arial"/>
                <w:b w:val="0"/>
                <w:color w:val="215868" w:themeColor="accent5" w:themeShade="80"/>
                <w:sz w:val="18"/>
                <w:szCs w:val="18"/>
              </w:rPr>
              <w:t xml:space="preserve">   Dollars</w:t>
            </w:r>
          </w:p>
        </w:tc>
        <w:tc>
          <w:tcPr>
            <w:tcW w:w="912" w:type="dxa"/>
            <w:tcBorders>
              <w:left w:val="none" w:sz="0" w:space="0" w:color="auto"/>
              <w:right w:val="none" w:sz="0" w:space="0" w:color="auto"/>
            </w:tcBorders>
            <w:vAlign w:val="bottom"/>
          </w:tcPr>
          <w:p w14:paraId="15B690B5" w14:textId="2D5E8518"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sz w:val="18"/>
                <w:szCs w:val="18"/>
              </w:rPr>
            </w:pPr>
            <w:r>
              <w:rPr>
                <w:rFonts w:ascii="Arial" w:hAnsi="Arial" w:cs="Arial"/>
                <w:bCs/>
                <w:color w:val="215868"/>
                <w:sz w:val="18"/>
                <w:szCs w:val="18"/>
              </w:rPr>
              <w:t>-0.2</w:t>
            </w:r>
            <w:r w:rsidRPr="00EF524A">
              <w:rPr>
                <w:rFonts w:ascii="Arial" w:hAnsi="Arial" w:cs="Arial"/>
                <w:bCs/>
                <w:color w:val="215868"/>
                <w:sz w:val="18"/>
                <w:szCs w:val="18"/>
              </w:rPr>
              <w:t>%</w:t>
            </w:r>
          </w:p>
        </w:tc>
        <w:tc>
          <w:tcPr>
            <w:tcW w:w="943" w:type="dxa"/>
            <w:tcBorders>
              <w:left w:val="none" w:sz="0" w:space="0" w:color="auto"/>
              <w:right w:val="none" w:sz="0" w:space="0" w:color="auto"/>
            </w:tcBorders>
            <w:vAlign w:val="bottom"/>
          </w:tcPr>
          <w:p w14:paraId="17DA2E9F" w14:textId="31E8E4EC"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sz w:val="18"/>
                <w:szCs w:val="18"/>
              </w:rPr>
            </w:pPr>
            <w:r w:rsidRPr="00EF524A">
              <w:rPr>
                <w:rFonts w:ascii="Arial" w:hAnsi="Arial" w:cs="Arial"/>
                <w:bCs/>
                <w:color w:val="215868"/>
                <w:sz w:val="18"/>
                <w:szCs w:val="18"/>
              </w:rPr>
              <w:t>+</w:t>
            </w:r>
            <w:r>
              <w:rPr>
                <w:rFonts w:ascii="Arial" w:hAnsi="Arial" w:cs="Arial"/>
                <w:bCs/>
                <w:color w:val="215868"/>
                <w:sz w:val="18"/>
                <w:szCs w:val="18"/>
              </w:rPr>
              <w:t>8.7</w:t>
            </w:r>
            <w:r w:rsidRPr="00EF524A">
              <w:rPr>
                <w:rFonts w:ascii="Arial" w:hAnsi="Arial" w:cs="Arial"/>
                <w:bCs/>
                <w:color w:val="215868"/>
                <w:sz w:val="18"/>
                <w:szCs w:val="18"/>
              </w:rPr>
              <w:t>%</w:t>
            </w:r>
          </w:p>
        </w:tc>
        <w:tc>
          <w:tcPr>
            <w:tcW w:w="944" w:type="dxa"/>
            <w:tcBorders>
              <w:left w:val="none" w:sz="0" w:space="0" w:color="auto"/>
              <w:right w:val="none" w:sz="0" w:space="0" w:color="auto"/>
            </w:tcBorders>
            <w:vAlign w:val="bottom"/>
          </w:tcPr>
          <w:p w14:paraId="283B4C73" w14:textId="4E5BDF02"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sz w:val="18"/>
                <w:szCs w:val="18"/>
              </w:rPr>
            </w:pPr>
            <w:r>
              <w:rPr>
                <w:rFonts w:ascii="Arial" w:hAnsi="Arial" w:cs="Arial"/>
                <w:bCs/>
                <w:color w:val="215868"/>
                <w:sz w:val="18"/>
                <w:szCs w:val="18"/>
              </w:rPr>
              <w:t>+5.1</w:t>
            </w:r>
            <w:r w:rsidRPr="00EF524A">
              <w:rPr>
                <w:rFonts w:ascii="Arial" w:hAnsi="Arial" w:cs="Arial"/>
                <w:bCs/>
                <w:color w:val="215868"/>
                <w:sz w:val="18"/>
                <w:szCs w:val="18"/>
              </w:rPr>
              <w:t>%</w:t>
            </w:r>
          </w:p>
        </w:tc>
        <w:tc>
          <w:tcPr>
            <w:tcW w:w="913" w:type="dxa"/>
            <w:tcBorders>
              <w:left w:val="none" w:sz="0" w:space="0" w:color="auto"/>
              <w:right w:val="none" w:sz="0" w:space="0" w:color="auto"/>
            </w:tcBorders>
          </w:tcPr>
          <w:p w14:paraId="05F0A495" w14:textId="76FC154B"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sz w:val="18"/>
                <w:szCs w:val="18"/>
              </w:rPr>
            </w:pPr>
            <w:r>
              <w:rPr>
                <w:rFonts w:ascii="Arial" w:hAnsi="Arial" w:cs="Arial"/>
                <w:bCs/>
                <w:color w:val="215868"/>
                <w:sz w:val="18"/>
                <w:szCs w:val="18"/>
              </w:rPr>
              <w:t>+4.5</w:t>
            </w:r>
            <w:r w:rsidRPr="00EF524A">
              <w:rPr>
                <w:rFonts w:ascii="Arial" w:hAnsi="Arial" w:cs="Arial"/>
                <w:bCs/>
                <w:color w:val="215868"/>
                <w:sz w:val="18"/>
                <w:szCs w:val="18"/>
              </w:rPr>
              <w:t>%</w:t>
            </w:r>
          </w:p>
        </w:tc>
        <w:tc>
          <w:tcPr>
            <w:tcW w:w="914" w:type="dxa"/>
            <w:tcBorders>
              <w:left w:val="none" w:sz="0" w:space="0" w:color="auto"/>
              <w:right w:val="none" w:sz="0" w:space="0" w:color="auto"/>
            </w:tcBorders>
          </w:tcPr>
          <w:p w14:paraId="7BE6A292" w14:textId="269A829D"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sz w:val="18"/>
                <w:szCs w:val="18"/>
              </w:rPr>
            </w:pPr>
            <w:r>
              <w:rPr>
                <w:rFonts w:ascii="Arial" w:hAnsi="Arial" w:cs="Arial"/>
                <w:bCs/>
                <w:color w:val="215868"/>
                <w:sz w:val="18"/>
                <w:szCs w:val="18"/>
              </w:rPr>
              <w:t>+6.2</w:t>
            </w:r>
            <w:r w:rsidRPr="00EF524A">
              <w:rPr>
                <w:rFonts w:ascii="Arial" w:hAnsi="Arial" w:cs="Arial"/>
                <w:bCs/>
                <w:color w:val="215868"/>
                <w:sz w:val="18"/>
                <w:szCs w:val="18"/>
              </w:rPr>
              <w:t>%</w:t>
            </w:r>
          </w:p>
        </w:tc>
        <w:tc>
          <w:tcPr>
            <w:tcW w:w="944" w:type="dxa"/>
            <w:tcBorders>
              <w:left w:val="none" w:sz="0" w:space="0" w:color="auto"/>
              <w:right w:val="none" w:sz="0" w:space="0" w:color="auto"/>
            </w:tcBorders>
          </w:tcPr>
          <w:p w14:paraId="59F7AEF4" w14:textId="14B767C5"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EF524A">
              <w:rPr>
                <w:rFonts w:ascii="Arial" w:hAnsi="Arial" w:cs="Arial"/>
                <w:bCs/>
                <w:color w:val="215868" w:themeColor="accent5" w:themeShade="80"/>
                <w:sz w:val="18"/>
                <w:szCs w:val="18"/>
              </w:rPr>
              <w:t>+</w:t>
            </w:r>
            <w:r>
              <w:rPr>
                <w:rFonts w:ascii="Arial" w:hAnsi="Arial" w:cs="Arial"/>
                <w:bCs/>
                <w:color w:val="215868" w:themeColor="accent5" w:themeShade="80"/>
                <w:sz w:val="18"/>
                <w:szCs w:val="18"/>
              </w:rPr>
              <w:t>10.9</w:t>
            </w:r>
            <w:r w:rsidRPr="00EF524A">
              <w:rPr>
                <w:rFonts w:ascii="Arial" w:hAnsi="Arial" w:cs="Arial"/>
                <w:bCs/>
                <w:color w:val="215868" w:themeColor="accent5" w:themeShade="80"/>
                <w:sz w:val="18"/>
                <w:szCs w:val="18"/>
              </w:rPr>
              <w:t>%</w:t>
            </w:r>
          </w:p>
        </w:tc>
        <w:tc>
          <w:tcPr>
            <w:tcW w:w="944" w:type="dxa"/>
            <w:tcBorders>
              <w:left w:val="none" w:sz="0" w:space="0" w:color="auto"/>
              <w:right w:val="none" w:sz="0" w:space="0" w:color="auto"/>
            </w:tcBorders>
          </w:tcPr>
          <w:p w14:paraId="0DFFA07C" w14:textId="30F90A73"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EF524A">
              <w:rPr>
                <w:rFonts w:ascii="Arial" w:hAnsi="Arial" w:cs="Arial"/>
                <w:bCs/>
                <w:color w:val="215868" w:themeColor="accent5" w:themeShade="80"/>
                <w:sz w:val="18"/>
                <w:szCs w:val="18"/>
              </w:rPr>
              <w:t>+</w:t>
            </w:r>
            <w:r w:rsidR="004E6B52">
              <w:rPr>
                <w:rFonts w:ascii="Arial" w:hAnsi="Arial" w:cs="Arial"/>
                <w:bCs/>
                <w:color w:val="215868" w:themeColor="accent5" w:themeShade="80"/>
                <w:sz w:val="18"/>
                <w:szCs w:val="18"/>
              </w:rPr>
              <w:t>10.2</w:t>
            </w:r>
            <w:r w:rsidRPr="00EF524A">
              <w:rPr>
                <w:rFonts w:ascii="Arial" w:hAnsi="Arial" w:cs="Arial"/>
                <w:bCs/>
                <w:color w:val="215868" w:themeColor="accent5" w:themeShade="80"/>
                <w:sz w:val="18"/>
                <w:szCs w:val="18"/>
              </w:rPr>
              <w:t>%</w:t>
            </w:r>
          </w:p>
        </w:tc>
        <w:tc>
          <w:tcPr>
            <w:tcW w:w="868" w:type="dxa"/>
            <w:tcBorders>
              <w:left w:val="none" w:sz="0" w:space="0" w:color="auto"/>
              <w:right w:val="none" w:sz="0" w:space="0" w:color="auto"/>
            </w:tcBorders>
          </w:tcPr>
          <w:p w14:paraId="0B316AC7" w14:textId="04A6A42D"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E6448D">
              <w:rPr>
                <w:rFonts w:ascii="Arial" w:hAnsi="Arial" w:cs="Arial"/>
                <w:bCs/>
                <w:color w:val="215868" w:themeColor="accent5" w:themeShade="80"/>
                <w:sz w:val="18"/>
                <w:szCs w:val="18"/>
              </w:rPr>
              <w:t>2.8</w:t>
            </w:r>
            <w:r w:rsidR="00AF0D02">
              <w:rPr>
                <w:rFonts w:ascii="Arial" w:hAnsi="Arial" w:cs="Arial"/>
                <w:bCs/>
                <w:color w:val="215868" w:themeColor="accent5" w:themeShade="80"/>
                <w:sz w:val="18"/>
                <w:szCs w:val="18"/>
              </w:rPr>
              <w:t>B</w:t>
            </w:r>
          </w:p>
        </w:tc>
        <w:tc>
          <w:tcPr>
            <w:tcW w:w="832" w:type="dxa"/>
            <w:tcBorders>
              <w:left w:val="none" w:sz="0" w:space="0" w:color="auto"/>
              <w:right w:val="none" w:sz="0" w:space="0" w:color="auto"/>
            </w:tcBorders>
          </w:tcPr>
          <w:p w14:paraId="22BC605C" w14:textId="130165C7"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EF524A">
              <w:rPr>
                <w:rFonts w:ascii="Arial" w:hAnsi="Arial" w:cs="Arial"/>
                <w:bCs/>
                <w:color w:val="215868" w:themeColor="accent5" w:themeShade="80"/>
                <w:sz w:val="18"/>
                <w:szCs w:val="18"/>
              </w:rPr>
              <w:t>+</w:t>
            </w:r>
            <w:r w:rsidR="00E6448D">
              <w:rPr>
                <w:rFonts w:ascii="Arial" w:hAnsi="Arial" w:cs="Arial"/>
                <w:bCs/>
                <w:color w:val="215868" w:themeColor="accent5" w:themeShade="80"/>
                <w:sz w:val="18"/>
                <w:szCs w:val="18"/>
              </w:rPr>
              <w:t>6.1</w:t>
            </w:r>
            <w:r w:rsidRPr="00EF524A">
              <w:rPr>
                <w:rFonts w:ascii="Arial" w:hAnsi="Arial" w:cs="Arial"/>
                <w:bCs/>
                <w:color w:val="215868" w:themeColor="accent5" w:themeShade="80"/>
                <w:sz w:val="18"/>
                <w:szCs w:val="18"/>
              </w:rPr>
              <w:t>%</w:t>
            </w:r>
          </w:p>
        </w:tc>
        <w:tc>
          <w:tcPr>
            <w:tcW w:w="1069" w:type="dxa"/>
            <w:tcBorders>
              <w:left w:val="none" w:sz="0" w:space="0" w:color="auto"/>
              <w:right w:val="none" w:sz="0" w:space="0" w:color="auto"/>
            </w:tcBorders>
          </w:tcPr>
          <w:p w14:paraId="2FC95C73" w14:textId="097440D8"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Pr>
                <w:rFonts w:ascii="Arial" w:hAnsi="Arial" w:cs="Arial"/>
                <w:bCs/>
                <w:color w:val="215868" w:themeColor="accent5" w:themeShade="80"/>
                <w:sz w:val="18"/>
                <w:szCs w:val="18"/>
              </w:rPr>
              <w:t>+</w:t>
            </w:r>
            <w:r w:rsidR="00E6448D">
              <w:rPr>
                <w:rFonts w:ascii="Arial" w:hAnsi="Arial" w:cs="Arial"/>
                <w:bCs/>
                <w:color w:val="215868" w:themeColor="accent5" w:themeShade="80"/>
                <w:sz w:val="18"/>
                <w:szCs w:val="18"/>
              </w:rPr>
              <w:t>18.6</w:t>
            </w:r>
            <w:r w:rsidRPr="00EF524A">
              <w:rPr>
                <w:rFonts w:ascii="Arial" w:hAnsi="Arial" w:cs="Arial"/>
                <w:bCs/>
                <w:color w:val="215868" w:themeColor="accent5" w:themeShade="80"/>
                <w:sz w:val="18"/>
                <w:szCs w:val="18"/>
              </w:rPr>
              <w:t>%</w:t>
            </w:r>
          </w:p>
        </w:tc>
      </w:tr>
      <w:tr w:rsidR="00D44AC8" w:rsidRPr="00E43E81" w14:paraId="3476271B" w14:textId="77777777" w:rsidTr="00D44AC8">
        <w:trPr>
          <w:trHeight w:val="140"/>
        </w:trPr>
        <w:tc>
          <w:tcPr>
            <w:cnfStyle w:val="001000000000" w:firstRow="0" w:lastRow="0" w:firstColumn="1" w:lastColumn="0" w:oddVBand="0" w:evenVBand="0" w:oddHBand="0" w:evenHBand="0" w:firstRowFirstColumn="0" w:firstRowLastColumn="0" w:lastRowFirstColumn="0" w:lastRowLastColumn="0"/>
            <w:tcW w:w="1348" w:type="dxa"/>
            <w:gridSpan w:val="2"/>
            <w:vAlign w:val="center"/>
          </w:tcPr>
          <w:p w14:paraId="3C77D01E" w14:textId="77777777" w:rsidR="00D44AC8" w:rsidRPr="00E43E81" w:rsidRDefault="00D44AC8" w:rsidP="00D44AC8">
            <w:pPr>
              <w:pStyle w:val="NoSpacing"/>
              <w:jc w:val="right"/>
              <w:rPr>
                <w:rFonts w:ascii="Arial" w:hAnsi="Arial" w:cs="Arial"/>
                <w:b w:val="0"/>
                <w:color w:val="215868" w:themeColor="accent5" w:themeShade="80"/>
                <w:sz w:val="18"/>
                <w:szCs w:val="18"/>
              </w:rPr>
            </w:pPr>
            <w:r w:rsidRPr="00E43E81">
              <w:rPr>
                <w:rFonts w:ascii="Arial" w:hAnsi="Arial" w:cs="Arial"/>
                <w:b w:val="0"/>
                <w:color w:val="215868" w:themeColor="accent5" w:themeShade="80"/>
                <w:sz w:val="18"/>
                <w:szCs w:val="18"/>
              </w:rPr>
              <w:t xml:space="preserve">   Volume</w:t>
            </w:r>
          </w:p>
        </w:tc>
        <w:tc>
          <w:tcPr>
            <w:tcW w:w="912" w:type="dxa"/>
            <w:vAlign w:val="bottom"/>
          </w:tcPr>
          <w:p w14:paraId="5B77DAE0" w14:textId="4B2A03E1" w:rsidR="00D44AC8" w:rsidRPr="00EF524A"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-0.6</w:t>
            </w:r>
            <w:r w:rsidRPr="00EF524A">
              <w:rPr>
                <w:rFonts w:ascii="Arial" w:hAnsi="Arial" w:cs="Arial"/>
                <w:color w:val="215868"/>
                <w:sz w:val="18"/>
                <w:szCs w:val="18"/>
              </w:rPr>
              <w:t>%</w:t>
            </w:r>
          </w:p>
        </w:tc>
        <w:tc>
          <w:tcPr>
            <w:tcW w:w="943" w:type="dxa"/>
            <w:vAlign w:val="bottom"/>
          </w:tcPr>
          <w:p w14:paraId="2014A442" w14:textId="08B1A478"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+8.8%</w:t>
            </w:r>
          </w:p>
        </w:tc>
        <w:tc>
          <w:tcPr>
            <w:tcW w:w="944" w:type="dxa"/>
            <w:vAlign w:val="bottom"/>
          </w:tcPr>
          <w:p w14:paraId="52EE4C7F" w14:textId="31CCBE58"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-0.5%</w:t>
            </w:r>
          </w:p>
        </w:tc>
        <w:tc>
          <w:tcPr>
            <w:tcW w:w="913" w:type="dxa"/>
          </w:tcPr>
          <w:p w14:paraId="1AF979C8" w14:textId="3295E934"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-5.1%</w:t>
            </w:r>
          </w:p>
        </w:tc>
        <w:tc>
          <w:tcPr>
            <w:tcW w:w="914" w:type="dxa"/>
          </w:tcPr>
          <w:p w14:paraId="6FC1B8BB" w14:textId="0D832A70"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-0.6%</w:t>
            </w:r>
          </w:p>
        </w:tc>
        <w:tc>
          <w:tcPr>
            <w:tcW w:w="944" w:type="dxa"/>
          </w:tcPr>
          <w:p w14:paraId="75D8DE48" w14:textId="3904B9C4"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-1.1%</w:t>
            </w:r>
          </w:p>
        </w:tc>
        <w:tc>
          <w:tcPr>
            <w:tcW w:w="944" w:type="dxa"/>
          </w:tcPr>
          <w:p w14:paraId="1BD47635" w14:textId="083E156A" w:rsidR="00D44AC8" w:rsidRDefault="00D44AC8"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4E6B52">
              <w:rPr>
                <w:rFonts w:ascii="Arial" w:hAnsi="Arial" w:cs="Arial"/>
                <w:color w:val="215868" w:themeColor="accent5" w:themeShade="80"/>
                <w:sz w:val="18"/>
                <w:szCs w:val="18"/>
              </w:rPr>
              <w:t>3.7</w:t>
            </w:r>
            <w:r w:rsidRPr="00E43E81">
              <w:rPr>
                <w:rFonts w:ascii="Arial" w:hAnsi="Arial" w:cs="Arial"/>
                <w:color w:val="215868" w:themeColor="accent5" w:themeShade="80"/>
                <w:sz w:val="18"/>
                <w:szCs w:val="18"/>
              </w:rPr>
              <w:t>%</w:t>
            </w:r>
          </w:p>
        </w:tc>
        <w:tc>
          <w:tcPr>
            <w:tcW w:w="868" w:type="dxa"/>
          </w:tcPr>
          <w:p w14:paraId="24ED1C4B" w14:textId="3BA4128A" w:rsidR="00D44AC8" w:rsidRDefault="00E6448D"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1.6</w:t>
            </w:r>
            <w:r w:rsidR="00AF0D02">
              <w:rPr>
                <w:rFonts w:ascii="Arial" w:hAnsi="Arial" w:cs="Arial"/>
                <w:color w:val="215868" w:themeColor="accent5" w:themeShade="80"/>
                <w:sz w:val="18"/>
                <w:szCs w:val="18"/>
              </w:rPr>
              <w:t>B</w:t>
            </w:r>
          </w:p>
        </w:tc>
        <w:tc>
          <w:tcPr>
            <w:tcW w:w="832" w:type="dxa"/>
          </w:tcPr>
          <w:p w14:paraId="40C78115" w14:textId="31B3F89B" w:rsidR="00D44AC8" w:rsidRPr="00E43E81" w:rsidRDefault="00AF0D02"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w:t>
            </w:r>
            <w:r w:rsidR="00E6448D">
              <w:rPr>
                <w:rFonts w:ascii="Arial" w:hAnsi="Arial" w:cs="Arial"/>
                <w:bCs/>
                <w:color w:val="215868" w:themeColor="accent5" w:themeShade="80"/>
                <w:sz w:val="18"/>
                <w:szCs w:val="18"/>
              </w:rPr>
              <w:t>6.2</w:t>
            </w:r>
            <w:r w:rsidR="00D44AC8" w:rsidRPr="00EF524A">
              <w:rPr>
                <w:rFonts w:ascii="Arial" w:hAnsi="Arial" w:cs="Arial"/>
                <w:bCs/>
                <w:color w:val="215868" w:themeColor="accent5" w:themeShade="80"/>
                <w:sz w:val="18"/>
                <w:szCs w:val="18"/>
              </w:rPr>
              <w:t>%</w:t>
            </w:r>
          </w:p>
        </w:tc>
        <w:tc>
          <w:tcPr>
            <w:tcW w:w="1069" w:type="dxa"/>
          </w:tcPr>
          <w:p w14:paraId="40AFD473" w14:textId="3F31870F" w:rsidR="00D44AC8" w:rsidRPr="00E43E81" w:rsidRDefault="00E6448D" w:rsidP="00D44AC8">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bCs/>
                <w:color w:val="215868" w:themeColor="accent5" w:themeShade="80"/>
                <w:sz w:val="18"/>
                <w:szCs w:val="18"/>
              </w:rPr>
              <w:t>-1.6</w:t>
            </w:r>
            <w:r w:rsidR="00D44AC8" w:rsidRPr="00EF524A">
              <w:rPr>
                <w:rFonts w:ascii="Arial" w:hAnsi="Arial" w:cs="Arial"/>
                <w:bCs/>
                <w:color w:val="215868" w:themeColor="accent5" w:themeShade="80"/>
                <w:sz w:val="18"/>
                <w:szCs w:val="18"/>
              </w:rPr>
              <w:t>%</w:t>
            </w:r>
          </w:p>
        </w:tc>
      </w:tr>
      <w:tr w:rsidR="00D44AC8" w:rsidRPr="00E43E81" w14:paraId="086B8DCB" w14:textId="77777777" w:rsidTr="009912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48" w:type="dxa"/>
            <w:gridSpan w:val="2"/>
            <w:tcBorders>
              <w:left w:val="none" w:sz="0" w:space="0" w:color="auto"/>
              <w:right w:val="none" w:sz="0" w:space="0" w:color="auto"/>
            </w:tcBorders>
            <w:vAlign w:val="center"/>
          </w:tcPr>
          <w:p w14:paraId="33C6FCCB" w14:textId="77777777" w:rsidR="00D44AC8" w:rsidRPr="00E43E81" w:rsidRDefault="00D44AC8" w:rsidP="00D44AC8">
            <w:pPr>
              <w:pStyle w:val="NoSpacing"/>
              <w:rPr>
                <w:rFonts w:ascii="Arial" w:hAnsi="Arial" w:cs="Arial"/>
                <w:color w:val="215868" w:themeColor="accent5" w:themeShade="80"/>
                <w:sz w:val="18"/>
                <w:szCs w:val="18"/>
              </w:rPr>
            </w:pPr>
            <w:r w:rsidRPr="00E43E81">
              <w:rPr>
                <w:rFonts w:ascii="Arial" w:hAnsi="Arial" w:cs="Arial"/>
                <w:color w:val="215868" w:themeColor="accent5" w:themeShade="80"/>
                <w:sz w:val="18"/>
                <w:szCs w:val="18"/>
              </w:rPr>
              <w:t>Vegetables</w:t>
            </w:r>
          </w:p>
        </w:tc>
        <w:tc>
          <w:tcPr>
            <w:tcW w:w="912" w:type="dxa"/>
            <w:tcBorders>
              <w:left w:val="none" w:sz="0" w:space="0" w:color="auto"/>
              <w:right w:val="none" w:sz="0" w:space="0" w:color="auto"/>
            </w:tcBorders>
            <w:vAlign w:val="bottom"/>
          </w:tcPr>
          <w:p w14:paraId="73DCC43F" w14:textId="77777777" w:rsidR="00D44AC8" w:rsidRPr="00EF524A"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p>
        </w:tc>
        <w:tc>
          <w:tcPr>
            <w:tcW w:w="943" w:type="dxa"/>
            <w:tcBorders>
              <w:left w:val="none" w:sz="0" w:space="0" w:color="auto"/>
              <w:right w:val="none" w:sz="0" w:space="0" w:color="auto"/>
            </w:tcBorders>
            <w:vAlign w:val="bottom"/>
          </w:tcPr>
          <w:p w14:paraId="7761902E"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p>
        </w:tc>
        <w:tc>
          <w:tcPr>
            <w:tcW w:w="944" w:type="dxa"/>
            <w:tcBorders>
              <w:left w:val="none" w:sz="0" w:space="0" w:color="auto"/>
              <w:right w:val="none" w:sz="0" w:space="0" w:color="auto"/>
            </w:tcBorders>
            <w:vAlign w:val="bottom"/>
          </w:tcPr>
          <w:p w14:paraId="74E5391B" w14:textId="77777777" w:rsidR="00D44AC8" w:rsidRDefault="00D44AC8" w:rsidP="00D44AC8">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p>
        </w:tc>
        <w:tc>
          <w:tcPr>
            <w:tcW w:w="913" w:type="dxa"/>
            <w:tcBorders>
              <w:left w:val="none" w:sz="0" w:space="0" w:color="auto"/>
              <w:right w:val="none" w:sz="0" w:space="0" w:color="auto"/>
            </w:tcBorders>
          </w:tcPr>
          <w:p w14:paraId="18CCBF84" w14:textId="77777777" w:rsidR="00D44AC8" w:rsidRDefault="00D44AC8" w:rsidP="00D44A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p>
        </w:tc>
        <w:tc>
          <w:tcPr>
            <w:tcW w:w="914" w:type="dxa"/>
            <w:tcBorders>
              <w:left w:val="none" w:sz="0" w:space="0" w:color="auto"/>
              <w:right w:val="none" w:sz="0" w:space="0" w:color="auto"/>
            </w:tcBorders>
          </w:tcPr>
          <w:p w14:paraId="01DBE46D" w14:textId="77777777" w:rsidR="00D44AC8"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p>
        </w:tc>
        <w:tc>
          <w:tcPr>
            <w:tcW w:w="944" w:type="dxa"/>
            <w:tcBorders>
              <w:left w:val="none" w:sz="0" w:space="0" w:color="auto"/>
              <w:right w:val="none" w:sz="0" w:space="0" w:color="auto"/>
            </w:tcBorders>
          </w:tcPr>
          <w:p w14:paraId="6BD6E949" w14:textId="77777777" w:rsidR="00D44AC8" w:rsidRPr="00E43E81"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944" w:type="dxa"/>
            <w:tcBorders>
              <w:left w:val="none" w:sz="0" w:space="0" w:color="auto"/>
              <w:right w:val="none" w:sz="0" w:space="0" w:color="auto"/>
            </w:tcBorders>
          </w:tcPr>
          <w:p w14:paraId="2EC07E7F" w14:textId="77777777" w:rsidR="00D44AC8" w:rsidRPr="00E43E81"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868" w:type="dxa"/>
            <w:tcBorders>
              <w:left w:val="none" w:sz="0" w:space="0" w:color="auto"/>
              <w:right w:val="none" w:sz="0" w:space="0" w:color="auto"/>
            </w:tcBorders>
          </w:tcPr>
          <w:p w14:paraId="7096CAC7" w14:textId="77777777" w:rsidR="00D44AC8" w:rsidRPr="00E43E81"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832" w:type="dxa"/>
            <w:tcBorders>
              <w:left w:val="none" w:sz="0" w:space="0" w:color="auto"/>
              <w:right w:val="none" w:sz="0" w:space="0" w:color="auto"/>
            </w:tcBorders>
          </w:tcPr>
          <w:p w14:paraId="29C1AAF9" w14:textId="37631E86" w:rsidR="00D44AC8" w:rsidRPr="00E43E81"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c>
          <w:tcPr>
            <w:tcW w:w="1069" w:type="dxa"/>
            <w:tcBorders>
              <w:left w:val="none" w:sz="0" w:space="0" w:color="auto"/>
              <w:right w:val="none" w:sz="0" w:space="0" w:color="auto"/>
            </w:tcBorders>
          </w:tcPr>
          <w:p w14:paraId="05C8EE53" w14:textId="77777777" w:rsidR="00D44AC8" w:rsidRPr="00E43E81" w:rsidRDefault="00D44AC8" w:rsidP="00D44AC8">
            <w:pPr>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p>
        </w:tc>
      </w:tr>
      <w:tr w:rsidR="00E6448D" w:rsidRPr="00E43E81" w14:paraId="21073A7E" w14:textId="77777777" w:rsidTr="00D44AC8">
        <w:trPr>
          <w:trHeight w:val="140"/>
        </w:trPr>
        <w:tc>
          <w:tcPr>
            <w:cnfStyle w:val="001000000000" w:firstRow="0" w:lastRow="0" w:firstColumn="1" w:lastColumn="0" w:oddVBand="0" w:evenVBand="0" w:oddHBand="0" w:evenHBand="0" w:firstRowFirstColumn="0" w:firstRowLastColumn="0" w:lastRowFirstColumn="0" w:lastRowLastColumn="0"/>
            <w:tcW w:w="1348" w:type="dxa"/>
            <w:gridSpan w:val="2"/>
            <w:vAlign w:val="center"/>
          </w:tcPr>
          <w:p w14:paraId="212B5B99" w14:textId="77777777" w:rsidR="00E6448D" w:rsidRPr="00E43E81" w:rsidRDefault="00E6448D" w:rsidP="00E6448D">
            <w:pPr>
              <w:pStyle w:val="NoSpacing"/>
              <w:jc w:val="right"/>
              <w:rPr>
                <w:rFonts w:ascii="Arial" w:hAnsi="Arial" w:cs="Arial"/>
                <w:b w:val="0"/>
                <w:color w:val="215868" w:themeColor="accent5" w:themeShade="80"/>
                <w:sz w:val="18"/>
                <w:szCs w:val="18"/>
              </w:rPr>
            </w:pPr>
            <w:r w:rsidRPr="00E43E81">
              <w:rPr>
                <w:rFonts w:ascii="Arial" w:hAnsi="Arial" w:cs="Arial"/>
                <w:b w:val="0"/>
                <w:color w:val="215868" w:themeColor="accent5" w:themeShade="80"/>
                <w:sz w:val="18"/>
                <w:szCs w:val="18"/>
              </w:rPr>
              <w:t xml:space="preserve">   Dollars</w:t>
            </w:r>
          </w:p>
        </w:tc>
        <w:tc>
          <w:tcPr>
            <w:tcW w:w="912" w:type="dxa"/>
            <w:vAlign w:val="bottom"/>
          </w:tcPr>
          <w:p w14:paraId="1765AE90" w14:textId="72591C81" w:rsidR="00E6448D" w:rsidRPr="00EF524A"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sidRPr="00EF524A">
              <w:rPr>
                <w:rFonts w:ascii="Arial" w:hAnsi="Arial" w:cs="Arial"/>
                <w:color w:val="215868"/>
                <w:sz w:val="18"/>
                <w:szCs w:val="18"/>
              </w:rPr>
              <w:t>+</w:t>
            </w:r>
            <w:r>
              <w:rPr>
                <w:rFonts w:ascii="Arial" w:hAnsi="Arial" w:cs="Arial"/>
                <w:color w:val="215868"/>
                <w:sz w:val="18"/>
                <w:szCs w:val="18"/>
              </w:rPr>
              <w:t>3.9</w:t>
            </w:r>
            <w:r w:rsidRPr="00EF524A">
              <w:rPr>
                <w:rFonts w:ascii="Arial" w:hAnsi="Arial" w:cs="Arial"/>
                <w:color w:val="215868"/>
                <w:sz w:val="18"/>
                <w:szCs w:val="18"/>
              </w:rPr>
              <w:t>%</w:t>
            </w:r>
          </w:p>
        </w:tc>
        <w:tc>
          <w:tcPr>
            <w:tcW w:w="943" w:type="dxa"/>
            <w:vAlign w:val="bottom"/>
          </w:tcPr>
          <w:p w14:paraId="32E683B5" w14:textId="21A20A32"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+14.8%</w:t>
            </w:r>
          </w:p>
        </w:tc>
        <w:tc>
          <w:tcPr>
            <w:tcW w:w="944" w:type="dxa"/>
            <w:vAlign w:val="bottom"/>
          </w:tcPr>
          <w:p w14:paraId="505795D6" w14:textId="430CA0F4"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+4.7%</w:t>
            </w:r>
          </w:p>
        </w:tc>
        <w:tc>
          <w:tcPr>
            <w:tcW w:w="913" w:type="dxa"/>
          </w:tcPr>
          <w:p w14:paraId="4B1C1FD6" w14:textId="16BEDA07"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-7.1%</w:t>
            </w:r>
          </w:p>
        </w:tc>
        <w:tc>
          <w:tcPr>
            <w:tcW w:w="914" w:type="dxa"/>
          </w:tcPr>
          <w:p w14:paraId="10FE4091" w14:textId="07896E09"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-2.3%</w:t>
            </w:r>
          </w:p>
        </w:tc>
        <w:tc>
          <w:tcPr>
            <w:tcW w:w="944" w:type="dxa"/>
          </w:tcPr>
          <w:p w14:paraId="04FFBCC4" w14:textId="7AC5FC90"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+0.1%</w:t>
            </w:r>
          </w:p>
        </w:tc>
        <w:tc>
          <w:tcPr>
            <w:tcW w:w="944" w:type="dxa"/>
          </w:tcPr>
          <w:p w14:paraId="61F9669F" w14:textId="289A7C87"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-0.4</w:t>
            </w:r>
            <w:r w:rsidRPr="00E43E81">
              <w:rPr>
                <w:rFonts w:ascii="Arial" w:hAnsi="Arial" w:cs="Arial"/>
                <w:color w:val="215868" w:themeColor="accent5" w:themeShade="80"/>
                <w:sz w:val="18"/>
              </w:rPr>
              <w:t>%</w:t>
            </w:r>
          </w:p>
        </w:tc>
        <w:tc>
          <w:tcPr>
            <w:tcW w:w="868" w:type="dxa"/>
          </w:tcPr>
          <w:p w14:paraId="3FA0D484" w14:textId="471EB2D4" w:rsidR="00E6448D"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Pr>
                <w:rFonts w:ascii="Arial" w:hAnsi="Arial" w:cs="Arial"/>
                <w:bCs/>
                <w:color w:val="215868" w:themeColor="accent5" w:themeShade="80"/>
                <w:sz w:val="18"/>
                <w:szCs w:val="18"/>
              </w:rPr>
              <w:t>$2.8B</w:t>
            </w:r>
          </w:p>
        </w:tc>
        <w:tc>
          <w:tcPr>
            <w:tcW w:w="832" w:type="dxa"/>
          </w:tcPr>
          <w:p w14:paraId="37E2BD2D" w14:textId="05CF003B" w:rsidR="00E6448D" w:rsidRPr="00E43E81"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sidRPr="00EF524A">
              <w:rPr>
                <w:rFonts w:ascii="Arial" w:hAnsi="Arial" w:cs="Arial"/>
                <w:bCs/>
                <w:color w:val="215868" w:themeColor="accent5" w:themeShade="80"/>
                <w:sz w:val="18"/>
                <w:szCs w:val="18"/>
              </w:rPr>
              <w:t>+</w:t>
            </w:r>
            <w:r>
              <w:rPr>
                <w:rFonts w:ascii="Arial" w:hAnsi="Arial" w:cs="Arial"/>
                <w:bCs/>
                <w:color w:val="215868" w:themeColor="accent5" w:themeShade="80"/>
                <w:sz w:val="18"/>
                <w:szCs w:val="18"/>
              </w:rPr>
              <w:t>2.4</w:t>
            </w:r>
            <w:r w:rsidRPr="00EF524A">
              <w:rPr>
                <w:rFonts w:ascii="Arial" w:hAnsi="Arial" w:cs="Arial"/>
                <w:bCs/>
                <w:color w:val="215868" w:themeColor="accent5" w:themeShade="80"/>
                <w:sz w:val="18"/>
                <w:szCs w:val="18"/>
              </w:rPr>
              <w:t>%</w:t>
            </w:r>
          </w:p>
        </w:tc>
        <w:tc>
          <w:tcPr>
            <w:tcW w:w="1069" w:type="dxa"/>
          </w:tcPr>
          <w:p w14:paraId="108031E8" w14:textId="376ABA7C" w:rsidR="00E6448D" w:rsidRPr="00E43E81" w:rsidRDefault="00E6448D" w:rsidP="00E6448D">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rPr>
            </w:pPr>
            <w:r>
              <w:rPr>
                <w:rFonts w:ascii="Arial" w:hAnsi="Arial" w:cs="Arial"/>
                <w:bCs/>
                <w:color w:val="215868" w:themeColor="accent5" w:themeShade="80"/>
                <w:sz w:val="18"/>
                <w:szCs w:val="18"/>
              </w:rPr>
              <w:t>+14.2</w:t>
            </w:r>
            <w:r w:rsidRPr="00EF524A">
              <w:rPr>
                <w:rFonts w:ascii="Arial" w:hAnsi="Arial" w:cs="Arial"/>
                <w:bCs/>
                <w:color w:val="215868" w:themeColor="accent5" w:themeShade="80"/>
                <w:sz w:val="18"/>
                <w:szCs w:val="18"/>
              </w:rPr>
              <w:t>%</w:t>
            </w:r>
          </w:p>
        </w:tc>
      </w:tr>
      <w:tr w:rsidR="00E6448D" w:rsidRPr="00E43E81" w14:paraId="43A744ED" w14:textId="77777777" w:rsidTr="004E6B52">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1348" w:type="dxa"/>
            <w:gridSpan w:val="2"/>
            <w:tcBorders>
              <w:left w:val="none" w:sz="0" w:space="0" w:color="auto"/>
              <w:right w:val="none" w:sz="0" w:space="0" w:color="auto"/>
            </w:tcBorders>
            <w:vAlign w:val="center"/>
          </w:tcPr>
          <w:p w14:paraId="2D5BC9DE" w14:textId="77777777" w:rsidR="00E6448D" w:rsidRPr="00E43E81" w:rsidRDefault="00E6448D" w:rsidP="00E6448D">
            <w:pPr>
              <w:pStyle w:val="NoSpacing"/>
              <w:jc w:val="right"/>
              <w:rPr>
                <w:rFonts w:ascii="Arial" w:hAnsi="Arial" w:cs="Arial"/>
                <w:b w:val="0"/>
                <w:color w:val="215868" w:themeColor="accent5" w:themeShade="80"/>
                <w:sz w:val="18"/>
                <w:szCs w:val="18"/>
              </w:rPr>
            </w:pPr>
            <w:r w:rsidRPr="00E43E81">
              <w:rPr>
                <w:rFonts w:ascii="Arial" w:hAnsi="Arial" w:cs="Arial"/>
                <w:b w:val="0"/>
                <w:color w:val="215868" w:themeColor="accent5" w:themeShade="80"/>
                <w:sz w:val="18"/>
                <w:szCs w:val="18"/>
              </w:rPr>
              <w:t xml:space="preserve">   Volume</w:t>
            </w:r>
          </w:p>
        </w:tc>
        <w:tc>
          <w:tcPr>
            <w:tcW w:w="912" w:type="dxa"/>
            <w:tcBorders>
              <w:left w:val="none" w:sz="0" w:space="0" w:color="auto"/>
              <w:right w:val="none" w:sz="0" w:space="0" w:color="auto"/>
            </w:tcBorders>
            <w:vAlign w:val="bottom"/>
          </w:tcPr>
          <w:p w14:paraId="355C182D" w14:textId="3C9BCCA6" w:rsidR="00E6448D" w:rsidRPr="00EF524A"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+1.7</w:t>
            </w:r>
            <w:r w:rsidRPr="00EF524A">
              <w:rPr>
                <w:rFonts w:ascii="Arial" w:hAnsi="Arial" w:cs="Arial"/>
                <w:color w:val="215868"/>
                <w:sz w:val="18"/>
                <w:szCs w:val="18"/>
              </w:rPr>
              <w:t>%</w:t>
            </w:r>
          </w:p>
        </w:tc>
        <w:tc>
          <w:tcPr>
            <w:tcW w:w="943" w:type="dxa"/>
            <w:tcBorders>
              <w:left w:val="none" w:sz="0" w:space="0" w:color="auto"/>
              <w:right w:val="none" w:sz="0" w:space="0" w:color="auto"/>
            </w:tcBorders>
            <w:vAlign w:val="bottom"/>
          </w:tcPr>
          <w:p w14:paraId="2918379D" w14:textId="51CBC7BE"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+14.2%</w:t>
            </w:r>
          </w:p>
        </w:tc>
        <w:tc>
          <w:tcPr>
            <w:tcW w:w="944" w:type="dxa"/>
            <w:tcBorders>
              <w:left w:val="none" w:sz="0" w:space="0" w:color="auto"/>
              <w:right w:val="none" w:sz="0" w:space="0" w:color="auto"/>
            </w:tcBorders>
            <w:vAlign w:val="bottom"/>
          </w:tcPr>
          <w:p w14:paraId="211A3D88" w14:textId="2EC2143F"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+13.5%</w:t>
            </w:r>
          </w:p>
        </w:tc>
        <w:tc>
          <w:tcPr>
            <w:tcW w:w="913" w:type="dxa"/>
            <w:tcBorders>
              <w:left w:val="none" w:sz="0" w:space="0" w:color="auto"/>
              <w:right w:val="none" w:sz="0" w:space="0" w:color="auto"/>
            </w:tcBorders>
          </w:tcPr>
          <w:p w14:paraId="06B7466D" w14:textId="6D80E197"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-11.7%</w:t>
            </w:r>
          </w:p>
        </w:tc>
        <w:tc>
          <w:tcPr>
            <w:tcW w:w="914" w:type="dxa"/>
            <w:tcBorders>
              <w:left w:val="none" w:sz="0" w:space="0" w:color="auto"/>
              <w:right w:val="none" w:sz="0" w:space="0" w:color="auto"/>
            </w:tcBorders>
          </w:tcPr>
          <w:p w14:paraId="40158A08" w14:textId="77463885"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sz w:val="18"/>
                <w:szCs w:val="18"/>
              </w:rPr>
            </w:pPr>
            <w:r>
              <w:rPr>
                <w:rFonts w:ascii="Arial" w:hAnsi="Arial" w:cs="Arial"/>
                <w:color w:val="215868"/>
                <w:sz w:val="18"/>
                <w:szCs w:val="18"/>
              </w:rPr>
              <w:t>-5.1%</w:t>
            </w:r>
          </w:p>
        </w:tc>
        <w:tc>
          <w:tcPr>
            <w:tcW w:w="944" w:type="dxa"/>
            <w:tcBorders>
              <w:left w:val="none" w:sz="0" w:space="0" w:color="auto"/>
              <w:right w:val="none" w:sz="0" w:space="0" w:color="auto"/>
            </w:tcBorders>
          </w:tcPr>
          <w:p w14:paraId="155D24DC" w14:textId="6F0E25FC"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-5.7%</w:t>
            </w:r>
          </w:p>
        </w:tc>
        <w:tc>
          <w:tcPr>
            <w:tcW w:w="944" w:type="dxa"/>
            <w:tcBorders>
              <w:left w:val="none" w:sz="0" w:space="0" w:color="auto"/>
              <w:right w:val="none" w:sz="0" w:space="0" w:color="auto"/>
            </w:tcBorders>
          </w:tcPr>
          <w:p w14:paraId="315BB821" w14:textId="016F5A2B"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rPr>
              <w:t>-6.0</w:t>
            </w:r>
            <w:r w:rsidRPr="00E43E81">
              <w:rPr>
                <w:rFonts w:ascii="Arial" w:hAnsi="Arial" w:cs="Arial"/>
                <w:color w:val="215868" w:themeColor="accent5" w:themeShade="80"/>
                <w:sz w:val="18"/>
              </w:rPr>
              <w:t>%</w:t>
            </w:r>
          </w:p>
        </w:tc>
        <w:tc>
          <w:tcPr>
            <w:tcW w:w="868" w:type="dxa"/>
            <w:tcBorders>
              <w:left w:val="none" w:sz="0" w:space="0" w:color="auto"/>
              <w:right w:val="none" w:sz="0" w:space="0" w:color="auto"/>
            </w:tcBorders>
          </w:tcPr>
          <w:p w14:paraId="286BF450" w14:textId="72D32548" w:rsidR="00E6448D"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color w:val="215868" w:themeColor="accent5" w:themeShade="80"/>
                <w:sz w:val="18"/>
                <w:szCs w:val="18"/>
              </w:rPr>
              <w:t>1.4B</w:t>
            </w:r>
          </w:p>
        </w:tc>
        <w:tc>
          <w:tcPr>
            <w:tcW w:w="832" w:type="dxa"/>
            <w:tcBorders>
              <w:left w:val="none" w:sz="0" w:space="0" w:color="auto"/>
              <w:right w:val="none" w:sz="0" w:space="0" w:color="auto"/>
            </w:tcBorders>
          </w:tcPr>
          <w:p w14:paraId="26B3AA46" w14:textId="5E0B12FD" w:rsidR="00E6448D" w:rsidRPr="00E43E81"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bCs/>
                <w:color w:val="215868" w:themeColor="accent5" w:themeShade="80"/>
                <w:sz w:val="18"/>
                <w:szCs w:val="18"/>
              </w:rPr>
              <w:t>-4.2</w:t>
            </w:r>
            <w:r w:rsidRPr="00EF524A">
              <w:rPr>
                <w:rFonts w:ascii="Arial" w:hAnsi="Arial" w:cs="Arial"/>
                <w:bCs/>
                <w:color w:val="215868" w:themeColor="accent5" w:themeShade="80"/>
                <w:sz w:val="18"/>
                <w:szCs w:val="18"/>
              </w:rPr>
              <w:t>%</w:t>
            </w:r>
          </w:p>
        </w:tc>
        <w:tc>
          <w:tcPr>
            <w:tcW w:w="1069" w:type="dxa"/>
            <w:tcBorders>
              <w:left w:val="none" w:sz="0" w:space="0" w:color="auto"/>
              <w:right w:val="none" w:sz="0" w:space="0" w:color="auto"/>
            </w:tcBorders>
          </w:tcPr>
          <w:p w14:paraId="55980290" w14:textId="4AE88E0C" w:rsidR="00E6448D" w:rsidRPr="00E43E81" w:rsidRDefault="00E6448D" w:rsidP="00E6448D">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rPr>
            </w:pPr>
            <w:r>
              <w:rPr>
                <w:rFonts w:ascii="Arial" w:hAnsi="Arial" w:cs="Arial"/>
                <w:bCs/>
                <w:color w:val="215868" w:themeColor="accent5" w:themeShade="80"/>
                <w:sz w:val="18"/>
                <w:szCs w:val="18"/>
              </w:rPr>
              <w:t>+3.2</w:t>
            </w:r>
            <w:r w:rsidRPr="00EF524A">
              <w:rPr>
                <w:rFonts w:ascii="Arial" w:hAnsi="Arial" w:cs="Arial"/>
                <w:bCs/>
                <w:color w:val="215868" w:themeColor="accent5" w:themeShade="80"/>
                <w:sz w:val="18"/>
                <w:szCs w:val="18"/>
              </w:rPr>
              <w:t>%</w:t>
            </w:r>
          </w:p>
        </w:tc>
      </w:tr>
    </w:tbl>
    <w:p w14:paraId="030C002F" w14:textId="77777777" w:rsidR="00315642" w:rsidRPr="002E09F5" w:rsidRDefault="00FE5D0F" w:rsidP="006069A6">
      <w:pPr>
        <w:pStyle w:val="NoSpacing"/>
        <w:rPr>
          <w:rFonts w:ascii="Arial" w:hAnsi="Arial" w:cs="Arial"/>
          <w:sz w:val="6"/>
          <w:szCs w:val="10"/>
        </w:rPr>
      </w:pPr>
      <w:r w:rsidRPr="002E09F5">
        <w:rPr>
          <w:rFonts w:ascii="Arial" w:hAnsi="Arial" w:cs="Arial"/>
          <w:sz w:val="6"/>
          <w:szCs w:val="10"/>
        </w:rPr>
        <w:t xml:space="preserve"> </w:t>
      </w:r>
    </w:p>
    <w:p w14:paraId="7E6FB482" w14:textId="77777777" w:rsidR="00441E8F" w:rsidRDefault="00441E8F" w:rsidP="00441E8F">
      <w:pPr>
        <w:pStyle w:val="NoSpacing"/>
        <w:rPr>
          <w:rFonts w:ascii="Arial" w:hAnsi="Arial" w:cs="Arial"/>
          <w:sz w:val="16"/>
          <w:szCs w:val="16"/>
        </w:rPr>
      </w:pPr>
      <w:r w:rsidRPr="00CF309B">
        <w:rPr>
          <w:rFonts w:ascii="Arial" w:hAnsi="Arial" w:cs="Arial"/>
          <w:sz w:val="16"/>
          <w:szCs w:val="16"/>
        </w:rPr>
        <w:t>Source:</w:t>
      </w:r>
      <w:r w:rsidR="00BA516E" w:rsidRPr="00CF309B">
        <w:rPr>
          <w:rFonts w:ascii="Arial" w:hAnsi="Arial" w:cs="Arial"/>
          <w:sz w:val="16"/>
          <w:szCs w:val="16"/>
        </w:rPr>
        <w:t xml:space="preserve"> IRI</w:t>
      </w:r>
      <w:r w:rsidR="00906C46">
        <w:rPr>
          <w:rFonts w:ascii="Arial" w:hAnsi="Arial" w:cs="Arial"/>
          <w:sz w:val="16"/>
          <w:szCs w:val="16"/>
        </w:rPr>
        <w:t xml:space="preserve"> Integrated Fresh,</w:t>
      </w:r>
      <w:r w:rsidR="00BA516E" w:rsidRPr="00CF309B">
        <w:rPr>
          <w:rFonts w:ascii="Arial" w:hAnsi="Arial" w:cs="Arial"/>
          <w:sz w:val="16"/>
          <w:szCs w:val="16"/>
        </w:rPr>
        <w:t xml:space="preserve"> Total U.S., MULO</w:t>
      </w:r>
    </w:p>
    <w:p w14:paraId="1E6CCA3B" w14:textId="3D862E78" w:rsidR="00517D7F" w:rsidRDefault="00517D7F" w:rsidP="00CB6454">
      <w:pPr>
        <w:pStyle w:val="NoSpacing"/>
        <w:rPr>
          <w:rFonts w:ascii="Arial" w:hAnsi="Arial" w:cs="Arial"/>
          <w:b/>
          <w:color w:val="595959" w:themeColor="text1" w:themeTint="A6"/>
          <w:sz w:val="24"/>
          <w:szCs w:val="24"/>
        </w:rPr>
      </w:pPr>
    </w:p>
    <w:p w14:paraId="5FB188E2" w14:textId="77777777" w:rsidR="009F5C6A" w:rsidRDefault="009F5C6A" w:rsidP="00CB6454">
      <w:pPr>
        <w:pStyle w:val="NoSpacing"/>
        <w:rPr>
          <w:rFonts w:ascii="Arial" w:hAnsi="Arial" w:cs="Arial"/>
          <w:b/>
          <w:color w:val="595959" w:themeColor="text1" w:themeTint="A6"/>
          <w:sz w:val="24"/>
          <w:szCs w:val="24"/>
        </w:rPr>
      </w:pPr>
    </w:p>
    <w:p w14:paraId="7EA9214F" w14:textId="376E2710" w:rsidR="00CB6454" w:rsidRPr="00B34F5D" w:rsidRDefault="00CB6454" w:rsidP="009F5C6A">
      <w:pPr>
        <w:spacing w:after="0"/>
        <w:rPr>
          <w:rFonts w:ascii="Arial" w:hAnsi="Arial" w:cs="Arial"/>
          <w:b/>
          <w:color w:val="595959" w:themeColor="text1" w:themeTint="A6"/>
          <w:sz w:val="24"/>
          <w:szCs w:val="24"/>
        </w:rPr>
      </w:pPr>
      <w:r w:rsidRPr="00B34F5D">
        <w:rPr>
          <w:rFonts w:ascii="Arial" w:hAnsi="Arial" w:cs="Arial"/>
          <w:b/>
          <w:color w:val="595959" w:themeColor="text1" w:themeTint="A6"/>
          <w:sz w:val="24"/>
          <w:szCs w:val="24"/>
        </w:rPr>
        <w:t>Fresh Fruit</w:t>
      </w:r>
      <w:r w:rsidR="00EB33CE">
        <w:rPr>
          <w:rFonts w:ascii="Arial" w:hAnsi="Arial" w:cs="Arial"/>
          <w:b/>
          <w:color w:val="595959" w:themeColor="text1" w:themeTint="A6"/>
          <w:sz w:val="24"/>
          <w:szCs w:val="24"/>
        </w:rPr>
        <w:t xml:space="preserve"> Sales in </w:t>
      </w:r>
      <w:r w:rsidR="00CF01CC">
        <w:rPr>
          <w:rFonts w:ascii="Arial" w:hAnsi="Arial" w:cs="Arial"/>
          <w:b/>
          <w:color w:val="595959" w:themeColor="text1" w:themeTint="A6"/>
          <w:sz w:val="24"/>
          <w:szCs w:val="24"/>
        </w:rPr>
        <w:t>April</w:t>
      </w:r>
    </w:p>
    <w:p w14:paraId="0A2BF398" w14:textId="58BE4B66" w:rsidR="00BB3051" w:rsidRDefault="00CB6454" w:rsidP="00CB6454">
      <w:pPr>
        <w:pStyle w:val="NoSpacing"/>
        <w:rPr>
          <w:rFonts w:ascii="Arial" w:hAnsi="Arial" w:cs="Arial"/>
          <w:sz w:val="20"/>
          <w:szCs w:val="20"/>
        </w:rPr>
      </w:pPr>
      <w:r>
        <w:rPr>
          <w:rFonts w:ascii="Arial" w:hAnsi="Arial" w:cs="Arial"/>
          <w:sz w:val="20"/>
          <w:szCs w:val="20"/>
        </w:rPr>
        <w:t>“</w:t>
      </w:r>
      <w:r w:rsidR="00731950">
        <w:rPr>
          <w:rFonts w:ascii="Arial" w:hAnsi="Arial" w:cs="Arial"/>
          <w:sz w:val="20"/>
          <w:szCs w:val="20"/>
        </w:rPr>
        <w:t>April, unsurprisingly, saw continued dominance in berries with sales more than double that of the second-largest seller, apples</w:t>
      </w:r>
      <w:r w:rsidRPr="00B35CE9">
        <w:rPr>
          <w:rFonts w:ascii="Arial" w:hAnsi="Arial" w:cs="Arial"/>
          <w:sz w:val="20"/>
          <w:szCs w:val="20"/>
        </w:rPr>
        <w:t>,” said</w:t>
      </w:r>
      <w:r w:rsidR="00EB33CE">
        <w:rPr>
          <w:rFonts w:ascii="Arial" w:hAnsi="Arial" w:cs="Arial"/>
          <w:sz w:val="20"/>
          <w:szCs w:val="20"/>
        </w:rPr>
        <w:t xml:space="preserve"> Parker</w:t>
      </w:r>
      <w:r w:rsidRPr="00B35CE9">
        <w:rPr>
          <w:rFonts w:ascii="Arial" w:hAnsi="Arial" w:cs="Arial"/>
          <w:sz w:val="20"/>
          <w:szCs w:val="20"/>
        </w:rPr>
        <w:t>. “</w:t>
      </w:r>
      <w:r w:rsidR="00731950">
        <w:rPr>
          <w:rFonts w:ascii="Arial" w:hAnsi="Arial" w:cs="Arial"/>
          <w:sz w:val="20"/>
          <w:szCs w:val="20"/>
        </w:rPr>
        <w:t>Pineapples were of course the Easter seasonal highlight, but grapes were an interesting story as the only other category besides berries to achieve volume gains</w:t>
      </w:r>
      <w:r w:rsidR="00365D81">
        <w:rPr>
          <w:rFonts w:ascii="Arial" w:hAnsi="Arial" w:cs="Arial"/>
          <w:sz w:val="20"/>
          <w:szCs w:val="20"/>
        </w:rPr>
        <w:t>.”</w:t>
      </w:r>
      <w:r w:rsidR="00BB3051">
        <w:rPr>
          <w:rFonts w:ascii="Arial" w:hAnsi="Arial" w:cs="Arial"/>
          <w:sz w:val="20"/>
          <w:szCs w:val="20"/>
        </w:rPr>
        <w:t xml:space="preserve"> </w:t>
      </w:r>
    </w:p>
    <w:p w14:paraId="114F402F" w14:textId="77777777" w:rsidR="005E2F61" w:rsidRDefault="005E2F61" w:rsidP="00CB6454">
      <w:pPr>
        <w:pStyle w:val="NoSpacing"/>
        <w:rPr>
          <w:rFonts w:ascii="Arial" w:hAnsi="Arial" w:cs="Arial"/>
          <w:sz w:val="20"/>
          <w:szCs w:val="20"/>
        </w:rPr>
      </w:pPr>
    </w:p>
    <w:tbl>
      <w:tblPr>
        <w:tblStyle w:val="LightShading-Accent5"/>
        <w:tblW w:w="10631" w:type="dxa"/>
        <w:tblBorders>
          <w:top w:val="none" w:sz="0" w:space="0" w:color="auto"/>
          <w:bottom w:val="none" w:sz="0" w:space="0" w:color="auto"/>
        </w:tblBorders>
        <w:tblLayout w:type="fixed"/>
        <w:tblLook w:val="04A0" w:firstRow="1" w:lastRow="0" w:firstColumn="1" w:lastColumn="0" w:noHBand="0" w:noVBand="1"/>
      </w:tblPr>
      <w:tblGrid>
        <w:gridCol w:w="1472"/>
        <w:gridCol w:w="786"/>
        <w:gridCol w:w="129"/>
        <w:gridCol w:w="792"/>
        <w:gridCol w:w="124"/>
        <w:gridCol w:w="916"/>
        <w:gridCol w:w="916"/>
        <w:gridCol w:w="916"/>
        <w:gridCol w:w="916"/>
        <w:gridCol w:w="916"/>
        <w:gridCol w:w="916"/>
        <w:gridCol w:w="916"/>
        <w:gridCol w:w="916"/>
      </w:tblGrid>
      <w:tr w:rsidR="00AF0D02" w:rsidRPr="0003007F" w14:paraId="3DFD75C2" w14:textId="77777777" w:rsidTr="0000248F">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258" w:type="dxa"/>
            <w:gridSpan w:val="2"/>
            <w:tcBorders>
              <w:top w:val="none" w:sz="0" w:space="0" w:color="auto"/>
              <w:left w:val="none" w:sz="0" w:space="0" w:color="auto"/>
              <w:bottom w:val="none" w:sz="0" w:space="0" w:color="auto"/>
              <w:right w:val="none" w:sz="0" w:space="0" w:color="auto"/>
            </w:tcBorders>
            <w:shd w:val="clear" w:color="auto" w:fill="17365D" w:themeFill="text2" w:themeFillShade="BF"/>
          </w:tcPr>
          <w:p w14:paraId="285E05F8" w14:textId="77777777" w:rsidR="00AF0D02" w:rsidRPr="00AB1306" w:rsidRDefault="00AF0D02" w:rsidP="00422C9B">
            <w:pPr>
              <w:pStyle w:val="NoSpacing"/>
              <w:rPr>
                <w:rFonts w:ascii="Arial" w:hAnsi="Arial" w:cs="Arial"/>
                <w:color w:val="FFFFFF" w:themeColor="background1"/>
                <w:sz w:val="18"/>
                <w:szCs w:val="18"/>
              </w:rPr>
            </w:pPr>
            <w:r w:rsidRPr="00AB1306">
              <w:rPr>
                <w:rFonts w:ascii="Arial" w:hAnsi="Arial" w:cs="Arial"/>
                <w:color w:val="FFFFFF" w:themeColor="background1"/>
                <w:sz w:val="18"/>
                <w:szCs w:val="18"/>
              </w:rPr>
              <w:t>Top 10 in sales</w:t>
            </w:r>
          </w:p>
        </w:tc>
        <w:tc>
          <w:tcPr>
            <w:tcW w:w="921" w:type="dxa"/>
            <w:gridSpan w:val="2"/>
            <w:tcBorders>
              <w:top w:val="none" w:sz="0" w:space="0" w:color="auto"/>
              <w:left w:val="none" w:sz="0" w:space="0" w:color="auto"/>
              <w:bottom w:val="none" w:sz="0" w:space="0" w:color="auto"/>
              <w:right w:val="none" w:sz="0" w:space="0" w:color="auto"/>
            </w:tcBorders>
            <w:shd w:val="clear" w:color="auto" w:fill="17365D" w:themeFill="text2" w:themeFillShade="BF"/>
          </w:tcPr>
          <w:p w14:paraId="668BD2C0" w14:textId="77777777" w:rsidR="00AF0D02" w:rsidRPr="00AB1306" w:rsidRDefault="00AF0D02" w:rsidP="00F103B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7452" w:type="dxa"/>
            <w:gridSpan w:val="9"/>
            <w:tcBorders>
              <w:top w:val="none" w:sz="0" w:space="0" w:color="auto"/>
              <w:left w:val="none" w:sz="0" w:space="0" w:color="auto"/>
              <w:bottom w:val="none" w:sz="0" w:space="0" w:color="auto"/>
              <w:right w:val="none" w:sz="0" w:space="0" w:color="auto"/>
            </w:tcBorders>
            <w:shd w:val="clear" w:color="auto" w:fill="17365D" w:themeFill="text2" w:themeFillShade="BF"/>
          </w:tcPr>
          <w:p w14:paraId="3A17CC18" w14:textId="2040871B" w:rsidR="00AF0D02" w:rsidRPr="0003007F" w:rsidRDefault="00AF0D02" w:rsidP="00F103B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1306">
              <w:rPr>
                <w:rFonts w:ascii="Arial" w:hAnsi="Arial" w:cs="Arial"/>
                <w:color w:val="FFFFFF" w:themeColor="background1"/>
                <w:sz w:val="18"/>
                <w:szCs w:val="18"/>
              </w:rPr>
              <w:t>Dollar sal</w:t>
            </w:r>
            <w:r>
              <w:rPr>
                <w:rFonts w:ascii="Arial" w:hAnsi="Arial" w:cs="Arial"/>
                <w:color w:val="FFFFFF" w:themeColor="background1"/>
                <w:sz w:val="18"/>
                <w:szCs w:val="18"/>
              </w:rPr>
              <w:t>es increase over comparable period YA</w:t>
            </w:r>
          </w:p>
        </w:tc>
      </w:tr>
      <w:tr w:rsidR="00AF0D02" w:rsidRPr="0003007F" w14:paraId="74BF3700" w14:textId="77777777" w:rsidTr="0000248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472" w:type="dxa"/>
            <w:tcBorders>
              <w:left w:val="none" w:sz="0" w:space="0" w:color="auto"/>
              <w:right w:val="none" w:sz="0" w:space="0" w:color="auto"/>
            </w:tcBorders>
            <w:shd w:val="clear" w:color="auto" w:fill="17365D" w:themeFill="text2" w:themeFillShade="BF"/>
          </w:tcPr>
          <w:p w14:paraId="3F9B606E" w14:textId="77777777" w:rsidR="00AF0D02" w:rsidRPr="000F7932" w:rsidRDefault="00AF0D02" w:rsidP="00F103B9">
            <w:pPr>
              <w:pStyle w:val="NoSpacing"/>
              <w:rPr>
                <w:rFonts w:ascii="Arial" w:hAnsi="Arial" w:cs="Arial"/>
                <w:color w:val="FFFFFF" w:themeColor="background1"/>
                <w:sz w:val="18"/>
                <w:szCs w:val="18"/>
              </w:rPr>
            </w:pPr>
          </w:p>
        </w:tc>
        <w:tc>
          <w:tcPr>
            <w:tcW w:w="915" w:type="dxa"/>
            <w:gridSpan w:val="2"/>
            <w:tcBorders>
              <w:left w:val="none" w:sz="0" w:space="0" w:color="auto"/>
              <w:right w:val="none" w:sz="0" w:space="0" w:color="auto"/>
            </w:tcBorders>
            <w:shd w:val="clear" w:color="auto" w:fill="17365D" w:themeFill="text2" w:themeFillShade="BF"/>
            <w:vAlign w:val="bottom"/>
          </w:tcPr>
          <w:p w14:paraId="46CF2457" w14:textId="77777777" w:rsidR="00AF0D02" w:rsidRPr="000F7932" w:rsidRDefault="00AF0D02" w:rsidP="00470A5F">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916" w:type="dxa"/>
            <w:gridSpan w:val="2"/>
            <w:tcBorders>
              <w:left w:val="none" w:sz="0" w:space="0" w:color="auto"/>
              <w:right w:val="none" w:sz="0" w:space="0" w:color="auto"/>
            </w:tcBorders>
            <w:shd w:val="clear" w:color="auto" w:fill="17365D" w:themeFill="text2" w:themeFillShade="BF"/>
            <w:vAlign w:val="bottom"/>
          </w:tcPr>
          <w:p w14:paraId="13B20948" w14:textId="77777777" w:rsidR="00AF0D02" w:rsidRPr="000F7932" w:rsidRDefault="00AF0D02" w:rsidP="00470A5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w:t>
            </w:r>
            <w:r w:rsidRPr="000F7932">
              <w:rPr>
                <w:rFonts w:ascii="Arial" w:hAnsi="Arial" w:cs="Arial"/>
                <w:b/>
                <w:color w:val="FFFFFF" w:themeColor="background1"/>
                <w:sz w:val="18"/>
                <w:szCs w:val="18"/>
              </w:rPr>
              <w:t>20</w:t>
            </w:r>
          </w:p>
        </w:tc>
        <w:tc>
          <w:tcPr>
            <w:tcW w:w="916" w:type="dxa"/>
            <w:tcBorders>
              <w:left w:val="none" w:sz="0" w:space="0" w:color="auto"/>
              <w:right w:val="none" w:sz="0" w:space="0" w:color="auto"/>
            </w:tcBorders>
            <w:shd w:val="clear" w:color="auto" w:fill="17365D" w:themeFill="text2" w:themeFillShade="BF"/>
            <w:vAlign w:val="bottom"/>
          </w:tcPr>
          <w:p w14:paraId="301AC34F" w14:textId="77777777" w:rsidR="00AF0D02" w:rsidRPr="000F7932" w:rsidRDefault="00AF0D02" w:rsidP="00317B8E">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0F7932">
              <w:rPr>
                <w:rFonts w:ascii="Arial" w:hAnsi="Arial" w:cs="Arial"/>
                <w:b/>
                <w:color w:val="FFFFFF" w:themeColor="background1"/>
                <w:sz w:val="18"/>
                <w:szCs w:val="18"/>
              </w:rPr>
              <w:t>Q1 ‘21</w:t>
            </w:r>
          </w:p>
        </w:tc>
        <w:tc>
          <w:tcPr>
            <w:tcW w:w="916" w:type="dxa"/>
            <w:tcBorders>
              <w:left w:val="none" w:sz="0" w:space="0" w:color="auto"/>
              <w:right w:val="none" w:sz="0" w:space="0" w:color="auto"/>
            </w:tcBorders>
            <w:shd w:val="clear" w:color="auto" w:fill="17365D" w:themeFill="text2" w:themeFillShade="BF"/>
            <w:vAlign w:val="bottom"/>
          </w:tcPr>
          <w:p w14:paraId="0DC3715D" w14:textId="77777777" w:rsidR="00AF0D02" w:rsidRPr="000F7932" w:rsidRDefault="00AF0D02" w:rsidP="00317B8E">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w:t>
            </w:r>
            <w:r w:rsidRPr="000F7932">
              <w:rPr>
                <w:rFonts w:ascii="Arial" w:hAnsi="Arial" w:cs="Arial"/>
                <w:b/>
                <w:color w:val="FFFFFF" w:themeColor="background1"/>
                <w:sz w:val="18"/>
                <w:szCs w:val="18"/>
              </w:rPr>
              <w:t xml:space="preserve"> ‘21</w:t>
            </w:r>
          </w:p>
        </w:tc>
        <w:tc>
          <w:tcPr>
            <w:tcW w:w="916" w:type="dxa"/>
            <w:tcBorders>
              <w:left w:val="none" w:sz="0" w:space="0" w:color="auto"/>
              <w:right w:val="none" w:sz="0" w:space="0" w:color="auto"/>
            </w:tcBorders>
            <w:shd w:val="clear" w:color="auto" w:fill="17365D" w:themeFill="text2" w:themeFillShade="BF"/>
            <w:vAlign w:val="bottom"/>
          </w:tcPr>
          <w:p w14:paraId="1DE0B116" w14:textId="77777777" w:rsidR="00AF0D02" w:rsidRDefault="00AF0D02" w:rsidP="00317B8E">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‘21</w:t>
            </w:r>
          </w:p>
        </w:tc>
        <w:tc>
          <w:tcPr>
            <w:tcW w:w="916" w:type="dxa"/>
            <w:tcBorders>
              <w:left w:val="none" w:sz="0" w:space="0" w:color="auto"/>
              <w:right w:val="none" w:sz="0" w:space="0" w:color="auto"/>
            </w:tcBorders>
            <w:shd w:val="clear" w:color="auto" w:fill="17365D" w:themeFill="text2" w:themeFillShade="BF"/>
            <w:vAlign w:val="bottom"/>
          </w:tcPr>
          <w:p w14:paraId="4FF66A97" w14:textId="77777777" w:rsidR="00AF0D02" w:rsidRDefault="00AF0D02" w:rsidP="00317B8E">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21</w:t>
            </w:r>
          </w:p>
        </w:tc>
        <w:tc>
          <w:tcPr>
            <w:tcW w:w="916" w:type="dxa"/>
            <w:tcBorders>
              <w:left w:val="none" w:sz="0" w:space="0" w:color="auto"/>
              <w:right w:val="none" w:sz="0" w:space="0" w:color="auto"/>
            </w:tcBorders>
            <w:shd w:val="clear" w:color="auto" w:fill="17365D" w:themeFill="text2" w:themeFillShade="BF"/>
          </w:tcPr>
          <w:p w14:paraId="049C0CDE" w14:textId="77777777" w:rsidR="00AF0D02" w:rsidRDefault="00AF0D02" w:rsidP="00470A5F">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p>
          <w:p w14:paraId="147A02D7" w14:textId="14698031" w:rsidR="00AF0D02" w:rsidRDefault="00991296" w:rsidP="00470A5F">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w:t>
            </w:r>
            <w:r w:rsidR="00AF0D02">
              <w:rPr>
                <w:rFonts w:ascii="Arial" w:hAnsi="Arial" w:cs="Arial"/>
                <w:b/>
                <w:color w:val="FFFFFF" w:themeColor="background1"/>
                <w:sz w:val="18"/>
                <w:szCs w:val="18"/>
              </w:rPr>
              <w:t xml:space="preserve"> ‘22</w:t>
            </w:r>
          </w:p>
        </w:tc>
        <w:tc>
          <w:tcPr>
            <w:tcW w:w="916" w:type="dxa"/>
            <w:tcBorders>
              <w:left w:val="none" w:sz="0" w:space="0" w:color="auto"/>
              <w:right w:val="none" w:sz="0" w:space="0" w:color="auto"/>
            </w:tcBorders>
            <w:shd w:val="clear" w:color="auto" w:fill="17365D" w:themeFill="text2" w:themeFillShade="BF"/>
            <w:vAlign w:val="bottom"/>
          </w:tcPr>
          <w:p w14:paraId="3B63F547" w14:textId="12F41B27" w:rsidR="00AF0D02" w:rsidRPr="000F7932" w:rsidRDefault="00CF01CC" w:rsidP="00470A5F">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Apr</w:t>
            </w:r>
            <w:r w:rsidR="00AF0D02">
              <w:rPr>
                <w:rFonts w:ascii="Arial" w:hAnsi="Arial" w:cs="Arial"/>
                <w:b/>
                <w:color w:val="FFFFFF" w:themeColor="background1"/>
                <w:sz w:val="18"/>
                <w:szCs w:val="18"/>
              </w:rPr>
              <w:t xml:space="preserve"> ‘22</w:t>
            </w:r>
          </w:p>
        </w:tc>
        <w:tc>
          <w:tcPr>
            <w:tcW w:w="916" w:type="dxa"/>
            <w:tcBorders>
              <w:left w:val="none" w:sz="0" w:space="0" w:color="auto"/>
              <w:right w:val="none" w:sz="0" w:space="0" w:color="auto"/>
            </w:tcBorders>
            <w:shd w:val="clear" w:color="auto" w:fill="17365D" w:themeFill="text2" w:themeFillShade="BF"/>
            <w:vAlign w:val="bottom"/>
          </w:tcPr>
          <w:p w14:paraId="04C57725" w14:textId="5C847B3A" w:rsidR="00AF0D02" w:rsidRPr="000F7932" w:rsidRDefault="00AF0D02" w:rsidP="00470A5F">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w:t>
            </w:r>
            <w:r w:rsidRPr="000F7932">
              <w:rPr>
                <w:rFonts w:ascii="Arial" w:hAnsi="Arial" w:cs="Arial"/>
                <w:b/>
                <w:color w:val="FFFFFF" w:themeColor="background1"/>
                <w:sz w:val="18"/>
                <w:szCs w:val="18"/>
              </w:rPr>
              <w:t xml:space="preserve"> </w:t>
            </w:r>
            <w:r>
              <w:rPr>
                <w:rFonts w:ascii="Arial" w:hAnsi="Arial" w:cs="Arial"/>
                <w:b/>
                <w:color w:val="FFFFFF" w:themeColor="background1"/>
                <w:sz w:val="18"/>
                <w:szCs w:val="18"/>
              </w:rPr>
              <w:br/>
            </w:r>
            <w:r w:rsidRPr="000F7932">
              <w:rPr>
                <w:rFonts w:ascii="Arial" w:hAnsi="Arial" w:cs="Arial"/>
                <w:b/>
                <w:color w:val="FFFFFF" w:themeColor="background1"/>
                <w:sz w:val="18"/>
                <w:szCs w:val="18"/>
              </w:rPr>
              <w:t xml:space="preserve">vs </w:t>
            </w:r>
            <w:r>
              <w:rPr>
                <w:rFonts w:ascii="Arial" w:hAnsi="Arial" w:cs="Arial"/>
                <w:b/>
                <w:color w:val="FFFFFF" w:themeColor="background1"/>
                <w:sz w:val="18"/>
                <w:szCs w:val="18"/>
              </w:rPr>
              <w:t>YA</w:t>
            </w:r>
          </w:p>
        </w:tc>
        <w:tc>
          <w:tcPr>
            <w:tcW w:w="916" w:type="dxa"/>
            <w:tcBorders>
              <w:left w:val="none" w:sz="0" w:space="0" w:color="auto"/>
              <w:right w:val="none" w:sz="0" w:space="0" w:color="auto"/>
            </w:tcBorders>
            <w:shd w:val="clear" w:color="auto" w:fill="17365D" w:themeFill="text2" w:themeFillShade="BF"/>
            <w:vAlign w:val="bottom"/>
          </w:tcPr>
          <w:p w14:paraId="26786B75" w14:textId="46025FBA" w:rsidR="00AF0D02" w:rsidRPr="000F7932" w:rsidRDefault="00AF0D02" w:rsidP="00470A5F">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lbs vs YA</w:t>
            </w:r>
          </w:p>
        </w:tc>
      </w:tr>
      <w:tr w:rsidR="00A052A1" w:rsidRPr="00091E61" w14:paraId="0CA2F74A" w14:textId="77777777" w:rsidTr="0000248F">
        <w:trPr>
          <w:trHeight w:val="298"/>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66ADF07C" w14:textId="77777777" w:rsidR="00A052A1" w:rsidRPr="00091E61" w:rsidRDefault="00A052A1" w:rsidP="00A052A1">
            <w:pPr>
              <w:pStyle w:val="NoSpacing"/>
              <w:jc w:val="right"/>
              <w:rPr>
                <w:rFonts w:ascii="Arial" w:hAnsi="Arial" w:cs="Arial"/>
                <w:color w:val="17365D" w:themeColor="text2" w:themeShade="BF"/>
                <w:sz w:val="18"/>
                <w:szCs w:val="18"/>
              </w:rPr>
            </w:pPr>
            <w:r w:rsidRPr="00091E61">
              <w:rPr>
                <w:rFonts w:ascii="Arial" w:hAnsi="Arial" w:cs="Arial"/>
                <w:color w:val="17365D" w:themeColor="text2" w:themeShade="BF"/>
                <w:sz w:val="18"/>
                <w:szCs w:val="18"/>
              </w:rPr>
              <w:t>Fresh fruit</w:t>
            </w:r>
          </w:p>
        </w:tc>
        <w:tc>
          <w:tcPr>
            <w:tcW w:w="915" w:type="dxa"/>
            <w:gridSpan w:val="2"/>
            <w:vAlign w:val="center"/>
          </w:tcPr>
          <w:p w14:paraId="39EFBE0F" w14:textId="79A27A34"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-0.2</w:t>
            </w:r>
            <w:r w:rsidRPr="00091E61">
              <w:rPr>
                <w:rFonts w:ascii="Arial" w:hAnsi="Arial" w:cs="Arial"/>
                <w:b/>
                <w:bCs/>
                <w:color w:val="17365D" w:themeColor="text2" w:themeShade="BF"/>
                <w:sz w:val="18"/>
                <w:szCs w:val="18"/>
              </w:rPr>
              <w:t>%</w:t>
            </w:r>
          </w:p>
        </w:tc>
        <w:tc>
          <w:tcPr>
            <w:tcW w:w="916" w:type="dxa"/>
            <w:gridSpan w:val="2"/>
            <w:vAlign w:val="center"/>
          </w:tcPr>
          <w:p w14:paraId="3D5B0656" w14:textId="639FCB0F"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+8.7</w:t>
            </w:r>
            <w:r w:rsidRPr="00091E61">
              <w:rPr>
                <w:rFonts w:ascii="Arial" w:hAnsi="Arial" w:cs="Arial"/>
                <w:b/>
                <w:bCs/>
                <w:color w:val="17365D" w:themeColor="text2" w:themeShade="BF"/>
                <w:sz w:val="18"/>
                <w:szCs w:val="18"/>
              </w:rPr>
              <w:t>%</w:t>
            </w:r>
          </w:p>
        </w:tc>
        <w:tc>
          <w:tcPr>
            <w:tcW w:w="916" w:type="dxa"/>
            <w:vAlign w:val="center"/>
          </w:tcPr>
          <w:p w14:paraId="680EF69E" w14:textId="6178A30E"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+5.1</w:t>
            </w:r>
            <w:r w:rsidRPr="00091E61">
              <w:rPr>
                <w:rFonts w:ascii="Arial" w:hAnsi="Arial" w:cs="Arial"/>
                <w:b/>
                <w:bCs/>
                <w:color w:val="17365D" w:themeColor="text2" w:themeShade="BF"/>
                <w:sz w:val="18"/>
                <w:szCs w:val="18"/>
              </w:rPr>
              <w:t>%</w:t>
            </w:r>
          </w:p>
        </w:tc>
        <w:tc>
          <w:tcPr>
            <w:tcW w:w="916" w:type="dxa"/>
            <w:vAlign w:val="center"/>
          </w:tcPr>
          <w:p w14:paraId="21180263" w14:textId="2CD779D7"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+4.5</w:t>
            </w:r>
            <w:r w:rsidRPr="00091E61">
              <w:rPr>
                <w:rFonts w:ascii="Arial" w:hAnsi="Arial" w:cs="Arial"/>
                <w:b/>
                <w:bCs/>
                <w:color w:val="17365D" w:themeColor="text2" w:themeShade="BF"/>
                <w:sz w:val="18"/>
                <w:szCs w:val="18"/>
              </w:rPr>
              <w:t>%</w:t>
            </w:r>
          </w:p>
        </w:tc>
        <w:tc>
          <w:tcPr>
            <w:tcW w:w="916" w:type="dxa"/>
            <w:vAlign w:val="center"/>
          </w:tcPr>
          <w:p w14:paraId="31205487" w14:textId="3715B793"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w:t>
            </w:r>
            <w:r w:rsidRPr="00091E61">
              <w:rPr>
                <w:rFonts w:ascii="Arial" w:hAnsi="Arial" w:cs="Arial"/>
                <w:b/>
                <w:bCs/>
                <w:color w:val="17365D" w:themeColor="text2" w:themeShade="BF"/>
                <w:sz w:val="18"/>
                <w:szCs w:val="18"/>
              </w:rPr>
              <w:t>6</w:t>
            </w:r>
            <w:r>
              <w:rPr>
                <w:rFonts w:ascii="Arial" w:hAnsi="Arial" w:cs="Arial"/>
                <w:b/>
                <w:bCs/>
                <w:color w:val="17365D" w:themeColor="text2" w:themeShade="BF"/>
                <w:sz w:val="18"/>
                <w:szCs w:val="18"/>
              </w:rPr>
              <w:t>.2</w:t>
            </w:r>
            <w:r w:rsidRPr="00091E61">
              <w:rPr>
                <w:rFonts w:ascii="Arial" w:hAnsi="Arial" w:cs="Arial"/>
                <w:b/>
                <w:bCs/>
                <w:color w:val="17365D" w:themeColor="text2" w:themeShade="BF"/>
                <w:sz w:val="18"/>
                <w:szCs w:val="18"/>
              </w:rPr>
              <w:t>%</w:t>
            </w:r>
          </w:p>
        </w:tc>
        <w:tc>
          <w:tcPr>
            <w:tcW w:w="916" w:type="dxa"/>
            <w:vAlign w:val="center"/>
          </w:tcPr>
          <w:p w14:paraId="40577A3D" w14:textId="764C7CD0"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sidRPr="00091E61">
              <w:rPr>
                <w:rFonts w:ascii="Arial" w:hAnsi="Arial" w:cs="Arial"/>
                <w:b/>
                <w:bCs/>
                <w:color w:val="17365D" w:themeColor="text2" w:themeShade="BF"/>
                <w:sz w:val="18"/>
                <w:szCs w:val="18"/>
              </w:rPr>
              <w:t>+10.</w:t>
            </w:r>
            <w:r>
              <w:rPr>
                <w:rFonts w:ascii="Arial" w:hAnsi="Arial" w:cs="Arial"/>
                <w:b/>
                <w:bCs/>
                <w:color w:val="17365D" w:themeColor="text2" w:themeShade="BF"/>
                <w:sz w:val="18"/>
                <w:szCs w:val="18"/>
              </w:rPr>
              <w:t>9</w:t>
            </w:r>
            <w:r w:rsidRPr="00091E61">
              <w:rPr>
                <w:rFonts w:ascii="Arial" w:hAnsi="Arial" w:cs="Arial"/>
                <w:b/>
                <w:bCs/>
                <w:color w:val="17365D" w:themeColor="text2" w:themeShade="BF"/>
                <w:sz w:val="18"/>
                <w:szCs w:val="18"/>
              </w:rPr>
              <w:t>%</w:t>
            </w:r>
          </w:p>
        </w:tc>
        <w:tc>
          <w:tcPr>
            <w:tcW w:w="916" w:type="dxa"/>
            <w:vAlign w:val="center"/>
          </w:tcPr>
          <w:p w14:paraId="4976E3FE" w14:textId="590242C0"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sidRPr="00091E61">
              <w:rPr>
                <w:rFonts w:ascii="Arial" w:hAnsi="Arial" w:cs="Arial"/>
                <w:b/>
                <w:bCs/>
                <w:color w:val="17365D" w:themeColor="text2" w:themeShade="BF"/>
                <w:sz w:val="18"/>
                <w:szCs w:val="18"/>
              </w:rPr>
              <w:t>+</w:t>
            </w:r>
            <w:r>
              <w:rPr>
                <w:rFonts w:ascii="Arial" w:hAnsi="Arial" w:cs="Arial"/>
                <w:b/>
                <w:bCs/>
                <w:color w:val="17365D" w:themeColor="text2" w:themeShade="BF"/>
                <w:sz w:val="18"/>
                <w:szCs w:val="18"/>
              </w:rPr>
              <w:t>10.2</w:t>
            </w:r>
            <w:r w:rsidRPr="00091E61">
              <w:rPr>
                <w:rFonts w:ascii="Arial" w:hAnsi="Arial" w:cs="Arial"/>
                <w:b/>
                <w:bCs/>
                <w:color w:val="17365D" w:themeColor="text2" w:themeShade="BF"/>
                <w:sz w:val="18"/>
                <w:szCs w:val="18"/>
              </w:rPr>
              <w:t>%</w:t>
            </w:r>
          </w:p>
        </w:tc>
        <w:tc>
          <w:tcPr>
            <w:tcW w:w="916" w:type="dxa"/>
            <w:vAlign w:val="center"/>
          </w:tcPr>
          <w:p w14:paraId="76F93CAA" w14:textId="41DF4BB1" w:rsidR="00A052A1" w:rsidRPr="00091E6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sidRPr="00091E61">
              <w:rPr>
                <w:rFonts w:ascii="Arial" w:hAnsi="Arial" w:cs="Arial"/>
                <w:b/>
                <w:bCs/>
                <w:color w:val="17365D" w:themeColor="text2" w:themeShade="BF"/>
                <w:sz w:val="18"/>
                <w:szCs w:val="18"/>
              </w:rPr>
              <w:t>$</w:t>
            </w:r>
            <w:r w:rsidR="00CF01CC">
              <w:rPr>
                <w:rFonts w:ascii="Arial" w:hAnsi="Arial" w:cs="Arial"/>
                <w:b/>
                <w:bCs/>
                <w:color w:val="17365D" w:themeColor="text2" w:themeShade="BF"/>
                <w:sz w:val="18"/>
                <w:szCs w:val="18"/>
              </w:rPr>
              <w:t>2.8</w:t>
            </w:r>
            <w:r w:rsidRPr="00091E61">
              <w:rPr>
                <w:rFonts w:ascii="Arial" w:hAnsi="Arial" w:cs="Arial"/>
                <w:b/>
                <w:bCs/>
                <w:color w:val="17365D" w:themeColor="text2" w:themeShade="BF"/>
                <w:sz w:val="18"/>
                <w:szCs w:val="18"/>
              </w:rPr>
              <w:t>B</w:t>
            </w:r>
          </w:p>
        </w:tc>
        <w:tc>
          <w:tcPr>
            <w:tcW w:w="916" w:type="dxa"/>
            <w:vAlign w:val="center"/>
          </w:tcPr>
          <w:p w14:paraId="52994309" w14:textId="2E85EBC8" w:rsidR="00A052A1" w:rsidRPr="00A052A1" w:rsidRDefault="00A052A1"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17365D" w:themeColor="text2" w:themeShade="BF"/>
                <w:sz w:val="18"/>
                <w:szCs w:val="18"/>
              </w:rPr>
            </w:pPr>
            <w:r w:rsidRPr="00A052A1">
              <w:rPr>
                <w:rFonts w:ascii="Arial" w:hAnsi="Arial" w:cs="Arial"/>
                <w:b/>
                <w:color w:val="17365D" w:themeColor="text2" w:themeShade="BF"/>
                <w:sz w:val="18"/>
                <w:szCs w:val="18"/>
              </w:rPr>
              <w:t>+</w:t>
            </w:r>
            <w:r w:rsidR="00CF01CC">
              <w:rPr>
                <w:rFonts w:ascii="Arial" w:hAnsi="Arial" w:cs="Arial"/>
                <w:b/>
                <w:color w:val="17365D" w:themeColor="text2" w:themeShade="BF"/>
                <w:sz w:val="18"/>
                <w:szCs w:val="18"/>
              </w:rPr>
              <w:t>6.1</w:t>
            </w:r>
            <w:r w:rsidRPr="00A052A1">
              <w:rPr>
                <w:rFonts w:ascii="Arial" w:hAnsi="Arial" w:cs="Arial"/>
                <w:b/>
                <w:color w:val="17365D" w:themeColor="text2" w:themeShade="BF"/>
                <w:sz w:val="18"/>
                <w:szCs w:val="18"/>
              </w:rPr>
              <w:t>%</w:t>
            </w:r>
          </w:p>
        </w:tc>
        <w:tc>
          <w:tcPr>
            <w:tcW w:w="916" w:type="dxa"/>
            <w:vAlign w:val="center"/>
          </w:tcPr>
          <w:p w14:paraId="5CADA515" w14:textId="3A85B32F" w:rsidR="00A052A1" w:rsidRPr="00091E61" w:rsidRDefault="00CF01CC" w:rsidP="00A052A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17365D" w:themeColor="text2" w:themeShade="BF"/>
                <w:sz w:val="18"/>
                <w:szCs w:val="18"/>
              </w:rPr>
            </w:pPr>
            <w:r>
              <w:rPr>
                <w:rFonts w:ascii="Arial" w:hAnsi="Arial" w:cs="Arial"/>
                <w:b/>
                <w:bCs/>
                <w:color w:val="17365D" w:themeColor="text2" w:themeShade="BF"/>
                <w:sz w:val="18"/>
                <w:szCs w:val="18"/>
              </w:rPr>
              <w:t>-6.2</w:t>
            </w:r>
            <w:r w:rsidR="00A052A1" w:rsidRPr="00091E61">
              <w:rPr>
                <w:rFonts w:ascii="Arial" w:hAnsi="Arial" w:cs="Arial"/>
                <w:b/>
                <w:bCs/>
                <w:color w:val="17365D" w:themeColor="text2" w:themeShade="BF"/>
                <w:sz w:val="18"/>
                <w:szCs w:val="18"/>
              </w:rPr>
              <w:t>%</w:t>
            </w:r>
          </w:p>
        </w:tc>
      </w:tr>
      <w:tr w:rsidR="00A052A1" w:rsidRPr="00E407FC" w14:paraId="5BEE13FC" w14:textId="77777777" w:rsidTr="0000248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2" w:type="dxa"/>
            <w:tcBorders>
              <w:left w:val="none" w:sz="0" w:space="0" w:color="auto"/>
              <w:right w:val="none" w:sz="0" w:space="0" w:color="auto"/>
            </w:tcBorders>
            <w:vAlign w:val="center"/>
          </w:tcPr>
          <w:p w14:paraId="62F5917F" w14:textId="77777777" w:rsidR="00A052A1" w:rsidRPr="00E407FC" w:rsidRDefault="00A052A1" w:rsidP="00A052A1">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Berries</w:t>
            </w:r>
          </w:p>
        </w:tc>
        <w:tc>
          <w:tcPr>
            <w:tcW w:w="915" w:type="dxa"/>
            <w:gridSpan w:val="2"/>
            <w:tcBorders>
              <w:left w:val="none" w:sz="0" w:space="0" w:color="auto"/>
              <w:right w:val="none" w:sz="0" w:space="0" w:color="auto"/>
            </w:tcBorders>
            <w:vAlign w:val="center"/>
          </w:tcPr>
          <w:p w14:paraId="01DB9726" w14:textId="56BD2298" w:rsidR="00A052A1" w:rsidRPr="00091E61"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+4.4</w:t>
            </w:r>
            <w:r w:rsidRPr="00091E61">
              <w:rPr>
                <w:rFonts w:ascii="Arial" w:hAnsi="Arial" w:cs="Arial"/>
                <w:color w:val="17365D" w:themeColor="text2" w:themeShade="BF"/>
                <w:sz w:val="18"/>
                <w:szCs w:val="18"/>
              </w:rPr>
              <w:t>%</w:t>
            </w:r>
          </w:p>
        </w:tc>
        <w:tc>
          <w:tcPr>
            <w:tcW w:w="916" w:type="dxa"/>
            <w:gridSpan w:val="2"/>
            <w:tcBorders>
              <w:left w:val="none" w:sz="0" w:space="0" w:color="auto"/>
              <w:right w:val="none" w:sz="0" w:space="0" w:color="auto"/>
            </w:tcBorders>
            <w:vAlign w:val="center"/>
          </w:tcPr>
          <w:p w14:paraId="60423065" w14:textId="60466D34"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+14.2</w:t>
            </w:r>
            <w:r w:rsidRPr="00E407FC">
              <w:rPr>
                <w:rFonts w:ascii="Arial" w:hAnsi="Arial" w:cs="Arial"/>
                <w:color w:val="17365D" w:themeColor="text2" w:themeShade="BF"/>
                <w:sz w:val="18"/>
                <w:szCs w:val="18"/>
              </w:rPr>
              <w:t>%</w:t>
            </w:r>
          </w:p>
        </w:tc>
        <w:tc>
          <w:tcPr>
            <w:tcW w:w="916" w:type="dxa"/>
            <w:tcBorders>
              <w:left w:val="none" w:sz="0" w:space="0" w:color="auto"/>
              <w:right w:val="none" w:sz="0" w:space="0" w:color="auto"/>
            </w:tcBorders>
            <w:vAlign w:val="center"/>
          </w:tcPr>
          <w:p w14:paraId="6647773F" w14:textId="5F9ECFE7"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+10.9</w:t>
            </w:r>
            <w:r w:rsidRPr="00E407FC">
              <w:rPr>
                <w:rFonts w:ascii="Arial" w:hAnsi="Arial" w:cs="Arial"/>
                <w:color w:val="17365D" w:themeColor="text2" w:themeShade="BF"/>
                <w:sz w:val="18"/>
                <w:szCs w:val="18"/>
              </w:rPr>
              <w:t>%</w:t>
            </w:r>
          </w:p>
        </w:tc>
        <w:tc>
          <w:tcPr>
            <w:tcW w:w="916" w:type="dxa"/>
            <w:tcBorders>
              <w:left w:val="none" w:sz="0" w:space="0" w:color="auto"/>
              <w:right w:val="none" w:sz="0" w:space="0" w:color="auto"/>
            </w:tcBorders>
            <w:vAlign w:val="center"/>
          </w:tcPr>
          <w:p w14:paraId="5EB69396" w14:textId="308C31B0"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+9.2</w:t>
            </w:r>
            <w:r w:rsidRPr="00E407FC">
              <w:rPr>
                <w:rFonts w:ascii="Arial" w:hAnsi="Arial" w:cs="Arial"/>
                <w:color w:val="17365D" w:themeColor="text2" w:themeShade="BF"/>
                <w:sz w:val="18"/>
                <w:szCs w:val="18"/>
              </w:rPr>
              <w:t>%</w:t>
            </w:r>
          </w:p>
        </w:tc>
        <w:tc>
          <w:tcPr>
            <w:tcW w:w="916" w:type="dxa"/>
            <w:tcBorders>
              <w:left w:val="none" w:sz="0" w:space="0" w:color="auto"/>
              <w:right w:val="none" w:sz="0" w:space="0" w:color="auto"/>
            </w:tcBorders>
            <w:vAlign w:val="center"/>
          </w:tcPr>
          <w:p w14:paraId="1D48CA52" w14:textId="11267B6E"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+11.2</w:t>
            </w:r>
            <w:r w:rsidRPr="00E407FC">
              <w:rPr>
                <w:rFonts w:ascii="Arial" w:hAnsi="Arial" w:cs="Arial"/>
                <w:color w:val="17365D" w:themeColor="text2" w:themeShade="BF"/>
                <w:sz w:val="18"/>
                <w:szCs w:val="18"/>
              </w:rPr>
              <w:t>%</w:t>
            </w:r>
          </w:p>
        </w:tc>
        <w:tc>
          <w:tcPr>
            <w:tcW w:w="916" w:type="dxa"/>
            <w:tcBorders>
              <w:left w:val="none" w:sz="0" w:space="0" w:color="auto"/>
              <w:right w:val="none" w:sz="0" w:space="0" w:color="auto"/>
            </w:tcBorders>
            <w:vAlign w:val="center"/>
          </w:tcPr>
          <w:p w14:paraId="0C8663B0" w14:textId="6F63B899"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+16.</w:t>
            </w:r>
            <w:r>
              <w:rPr>
                <w:rFonts w:ascii="Arial" w:hAnsi="Arial" w:cs="Arial"/>
                <w:bCs/>
                <w:color w:val="17365D" w:themeColor="text2" w:themeShade="BF"/>
                <w:sz w:val="18"/>
                <w:szCs w:val="18"/>
              </w:rPr>
              <w:t>5</w:t>
            </w:r>
            <w:r w:rsidRPr="00E407FC">
              <w:rPr>
                <w:rFonts w:ascii="Arial" w:hAnsi="Arial" w:cs="Arial"/>
                <w:bCs/>
                <w:color w:val="17365D" w:themeColor="text2" w:themeShade="BF"/>
                <w:sz w:val="18"/>
                <w:szCs w:val="18"/>
              </w:rPr>
              <w:t>%</w:t>
            </w:r>
          </w:p>
        </w:tc>
        <w:tc>
          <w:tcPr>
            <w:tcW w:w="916" w:type="dxa"/>
            <w:tcBorders>
              <w:left w:val="none" w:sz="0" w:space="0" w:color="auto"/>
              <w:right w:val="none" w:sz="0" w:space="0" w:color="auto"/>
            </w:tcBorders>
            <w:vAlign w:val="center"/>
          </w:tcPr>
          <w:p w14:paraId="5BEAEAD4" w14:textId="01B29678"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14.7</w:t>
            </w:r>
            <w:r w:rsidRPr="00E407FC">
              <w:rPr>
                <w:rFonts w:ascii="Arial" w:hAnsi="Arial" w:cs="Arial"/>
                <w:bCs/>
                <w:color w:val="17365D" w:themeColor="text2" w:themeShade="BF"/>
                <w:sz w:val="18"/>
                <w:szCs w:val="18"/>
              </w:rPr>
              <w:t>%</w:t>
            </w:r>
          </w:p>
        </w:tc>
        <w:tc>
          <w:tcPr>
            <w:tcW w:w="916" w:type="dxa"/>
            <w:tcBorders>
              <w:left w:val="none" w:sz="0" w:space="0" w:color="auto"/>
              <w:right w:val="none" w:sz="0" w:space="0" w:color="auto"/>
            </w:tcBorders>
            <w:vAlign w:val="center"/>
          </w:tcPr>
          <w:p w14:paraId="1AAB1DBF" w14:textId="3751DB19"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w:t>
            </w:r>
            <w:r w:rsidR="00CF01CC">
              <w:rPr>
                <w:rFonts w:ascii="Arial" w:hAnsi="Arial" w:cs="Arial"/>
                <w:bCs/>
                <w:color w:val="17365D" w:themeColor="text2" w:themeShade="BF"/>
                <w:sz w:val="18"/>
                <w:szCs w:val="18"/>
              </w:rPr>
              <w:t>736</w:t>
            </w:r>
            <w:r w:rsidRPr="00E407FC">
              <w:rPr>
                <w:rFonts w:ascii="Arial" w:hAnsi="Arial" w:cs="Arial"/>
                <w:bCs/>
                <w:color w:val="17365D" w:themeColor="text2" w:themeShade="BF"/>
                <w:sz w:val="18"/>
                <w:szCs w:val="18"/>
              </w:rPr>
              <w:t>M</w:t>
            </w:r>
          </w:p>
        </w:tc>
        <w:tc>
          <w:tcPr>
            <w:tcW w:w="916" w:type="dxa"/>
            <w:tcBorders>
              <w:left w:val="none" w:sz="0" w:space="0" w:color="auto"/>
              <w:right w:val="none" w:sz="0" w:space="0" w:color="auto"/>
            </w:tcBorders>
            <w:vAlign w:val="center"/>
          </w:tcPr>
          <w:p w14:paraId="31A0F4D1" w14:textId="20AAE624" w:rsidR="00A052A1" w:rsidRPr="00E407FC" w:rsidRDefault="00A052A1" w:rsidP="00A052A1">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sidR="00CF01CC">
              <w:rPr>
                <w:rFonts w:ascii="Arial" w:hAnsi="Arial" w:cs="Arial"/>
                <w:bCs/>
                <w:color w:val="17365D" w:themeColor="text2" w:themeShade="BF"/>
                <w:sz w:val="18"/>
                <w:szCs w:val="18"/>
              </w:rPr>
              <w:t>10.5</w:t>
            </w:r>
            <w:r w:rsidRPr="00E407FC">
              <w:rPr>
                <w:rFonts w:ascii="Arial" w:hAnsi="Arial" w:cs="Arial"/>
                <w:bCs/>
                <w:color w:val="17365D" w:themeColor="text2" w:themeShade="BF"/>
                <w:sz w:val="18"/>
                <w:szCs w:val="18"/>
              </w:rPr>
              <w:t>%</w:t>
            </w:r>
          </w:p>
        </w:tc>
        <w:tc>
          <w:tcPr>
            <w:tcW w:w="916" w:type="dxa"/>
            <w:tcBorders>
              <w:left w:val="none" w:sz="0" w:space="0" w:color="auto"/>
              <w:right w:val="none" w:sz="0" w:space="0" w:color="auto"/>
            </w:tcBorders>
            <w:vAlign w:val="center"/>
          </w:tcPr>
          <w:p w14:paraId="06DCB3E5" w14:textId="1F535654" w:rsidR="00A052A1" w:rsidRDefault="00A052A1" w:rsidP="00A052A1">
            <w:pPr>
              <w:jc w:val="right"/>
              <w:cnfStyle w:val="000000100000" w:firstRow="0" w:lastRow="0" w:firstColumn="0" w:lastColumn="0" w:oddVBand="0" w:evenVBand="0" w:oddHBand="1" w:evenHBand="0" w:firstRowFirstColumn="0" w:firstRowLastColumn="0" w:lastRowFirstColumn="0" w:lastRowLastColumn="0"/>
            </w:pPr>
            <w:r w:rsidRPr="003708BA">
              <w:rPr>
                <w:rFonts w:ascii="Arial" w:hAnsi="Arial" w:cs="Arial"/>
                <w:bCs/>
                <w:color w:val="17365D" w:themeColor="text2" w:themeShade="BF"/>
                <w:sz w:val="18"/>
                <w:szCs w:val="18"/>
              </w:rPr>
              <w:t>+</w:t>
            </w:r>
            <w:r w:rsidR="00CF01CC">
              <w:rPr>
                <w:rFonts w:ascii="Arial" w:hAnsi="Arial" w:cs="Arial"/>
                <w:bCs/>
                <w:color w:val="17365D" w:themeColor="text2" w:themeShade="BF"/>
                <w:sz w:val="18"/>
                <w:szCs w:val="18"/>
              </w:rPr>
              <w:t>8</w:t>
            </w:r>
            <w:r w:rsidR="00731950">
              <w:rPr>
                <w:rFonts w:ascii="Arial" w:hAnsi="Arial" w:cs="Arial"/>
                <w:bCs/>
                <w:color w:val="17365D" w:themeColor="text2" w:themeShade="BF"/>
                <w:sz w:val="18"/>
                <w:szCs w:val="18"/>
              </w:rPr>
              <w:t>.</w:t>
            </w:r>
            <w:r w:rsidR="00CF01CC">
              <w:rPr>
                <w:rFonts w:ascii="Arial" w:hAnsi="Arial" w:cs="Arial"/>
                <w:bCs/>
                <w:color w:val="17365D" w:themeColor="text2" w:themeShade="BF"/>
                <w:sz w:val="18"/>
                <w:szCs w:val="18"/>
              </w:rPr>
              <w:t>3</w:t>
            </w:r>
            <w:r w:rsidRPr="003708BA">
              <w:rPr>
                <w:rFonts w:ascii="Arial" w:hAnsi="Arial" w:cs="Arial"/>
                <w:bCs/>
                <w:color w:val="17365D" w:themeColor="text2" w:themeShade="BF"/>
                <w:sz w:val="18"/>
                <w:szCs w:val="18"/>
              </w:rPr>
              <w:t>%</w:t>
            </w:r>
          </w:p>
        </w:tc>
      </w:tr>
      <w:tr w:rsidR="00CF01CC" w:rsidRPr="00E407FC" w14:paraId="16006628" w14:textId="77777777" w:rsidTr="0000248F">
        <w:trPr>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57818270"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Apples</w:t>
            </w:r>
          </w:p>
        </w:tc>
        <w:tc>
          <w:tcPr>
            <w:tcW w:w="915" w:type="dxa"/>
            <w:gridSpan w:val="2"/>
            <w:vAlign w:val="center"/>
          </w:tcPr>
          <w:p w14:paraId="1E75DF00" w14:textId="5FDD376F" w:rsidR="00CF01CC" w:rsidRPr="00091E61"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+0.0</w:t>
            </w:r>
            <w:r w:rsidRPr="00091E61">
              <w:rPr>
                <w:rFonts w:ascii="Arial" w:hAnsi="Arial" w:cs="Arial"/>
                <w:color w:val="17365D" w:themeColor="text2" w:themeShade="BF"/>
                <w:sz w:val="18"/>
                <w:szCs w:val="18"/>
              </w:rPr>
              <w:t>%</w:t>
            </w:r>
          </w:p>
        </w:tc>
        <w:tc>
          <w:tcPr>
            <w:tcW w:w="916" w:type="dxa"/>
            <w:gridSpan w:val="2"/>
            <w:vAlign w:val="center"/>
          </w:tcPr>
          <w:p w14:paraId="2AF8D473" w14:textId="0867F618"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+1.8</w:t>
            </w:r>
            <w:r w:rsidRPr="00E407FC">
              <w:rPr>
                <w:rFonts w:ascii="Arial" w:hAnsi="Arial" w:cs="Arial"/>
                <w:color w:val="17365D" w:themeColor="text2" w:themeShade="BF"/>
                <w:sz w:val="18"/>
                <w:szCs w:val="18"/>
              </w:rPr>
              <w:t>%</w:t>
            </w:r>
          </w:p>
        </w:tc>
        <w:tc>
          <w:tcPr>
            <w:tcW w:w="916" w:type="dxa"/>
            <w:vAlign w:val="center"/>
          </w:tcPr>
          <w:p w14:paraId="26FB0443" w14:textId="49782033"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0.7</w:t>
            </w:r>
            <w:r w:rsidRPr="00E407FC">
              <w:rPr>
                <w:rFonts w:ascii="Arial" w:hAnsi="Arial" w:cs="Arial"/>
                <w:color w:val="17365D" w:themeColor="text2" w:themeShade="BF"/>
                <w:sz w:val="18"/>
                <w:szCs w:val="18"/>
              </w:rPr>
              <w:t>%</w:t>
            </w:r>
          </w:p>
        </w:tc>
        <w:tc>
          <w:tcPr>
            <w:tcW w:w="916" w:type="dxa"/>
            <w:vAlign w:val="center"/>
          </w:tcPr>
          <w:p w14:paraId="06DF58EF" w14:textId="1438F8E5"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+3.4</w:t>
            </w:r>
            <w:r w:rsidRPr="00E407FC">
              <w:rPr>
                <w:rFonts w:ascii="Arial" w:hAnsi="Arial" w:cs="Arial"/>
                <w:color w:val="17365D" w:themeColor="text2" w:themeShade="BF"/>
                <w:sz w:val="18"/>
                <w:szCs w:val="18"/>
              </w:rPr>
              <w:t>%</w:t>
            </w:r>
          </w:p>
        </w:tc>
        <w:tc>
          <w:tcPr>
            <w:tcW w:w="916" w:type="dxa"/>
            <w:vAlign w:val="center"/>
          </w:tcPr>
          <w:p w14:paraId="41636D17" w14:textId="12FA8D32"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+8.9</w:t>
            </w:r>
            <w:r w:rsidRPr="00E407FC">
              <w:rPr>
                <w:rFonts w:ascii="Arial" w:hAnsi="Arial" w:cs="Arial"/>
                <w:color w:val="17365D" w:themeColor="text2" w:themeShade="BF"/>
                <w:sz w:val="18"/>
                <w:szCs w:val="18"/>
              </w:rPr>
              <w:t>%</w:t>
            </w:r>
          </w:p>
        </w:tc>
        <w:tc>
          <w:tcPr>
            <w:tcW w:w="916" w:type="dxa"/>
            <w:vAlign w:val="center"/>
          </w:tcPr>
          <w:p w14:paraId="1E5CE1E6" w14:textId="02F7D9BF"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+7.</w:t>
            </w:r>
            <w:r>
              <w:rPr>
                <w:rFonts w:ascii="Arial" w:hAnsi="Arial" w:cs="Arial"/>
                <w:bCs/>
                <w:color w:val="17365D" w:themeColor="text2" w:themeShade="BF"/>
                <w:sz w:val="18"/>
                <w:szCs w:val="18"/>
              </w:rPr>
              <w:t>5</w:t>
            </w:r>
            <w:r w:rsidRPr="00E407FC">
              <w:rPr>
                <w:rFonts w:ascii="Arial" w:hAnsi="Arial" w:cs="Arial"/>
                <w:bCs/>
                <w:color w:val="17365D" w:themeColor="text2" w:themeShade="BF"/>
                <w:sz w:val="18"/>
                <w:szCs w:val="18"/>
              </w:rPr>
              <w:t>%</w:t>
            </w:r>
          </w:p>
        </w:tc>
        <w:tc>
          <w:tcPr>
            <w:tcW w:w="916" w:type="dxa"/>
          </w:tcPr>
          <w:p w14:paraId="4A0AC33B" w14:textId="1FFDA15D"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7.8</w:t>
            </w:r>
            <w:r w:rsidRPr="00C7349C">
              <w:rPr>
                <w:rFonts w:ascii="Arial" w:hAnsi="Arial" w:cs="Arial"/>
                <w:bCs/>
                <w:color w:val="17365D" w:themeColor="text2" w:themeShade="BF"/>
                <w:sz w:val="18"/>
                <w:szCs w:val="18"/>
              </w:rPr>
              <w:t>%</w:t>
            </w:r>
          </w:p>
        </w:tc>
        <w:tc>
          <w:tcPr>
            <w:tcW w:w="916" w:type="dxa"/>
            <w:vAlign w:val="center"/>
          </w:tcPr>
          <w:p w14:paraId="6C530686" w14:textId="4AF91EE2"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346</w:t>
            </w:r>
            <w:r w:rsidRPr="00E407FC">
              <w:rPr>
                <w:rFonts w:ascii="Arial" w:hAnsi="Arial" w:cs="Arial"/>
                <w:bCs/>
                <w:color w:val="17365D" w:themeColor="text2" w:themeShade="BF"/>
                <w:sz w:val="18"/>
                <w:szCs w:val="18"/>
              </w:rPr>
              <w:t>M</w:t>
            </w:r>
          </w:p>
        </w:tc>
        <w:tc>
          <w:tcPr>
            <w:tcW w:w="916" w:type="dxa"/>
            <w:vAlign w:val="center"/>
          </w:tcPr>
          <w:p w14:paraId="482E37F1" w14:textId="5AF5D922"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7.4</w:t>
            </w:r>
            <w:r w:rsidRPr="00E407FC">
              <w:rPr>
                <w:rFonts w:ascii="Arial" w:hAnsi="Arial" w:cs="Arial"/>
                <w:bCs/>
                <w:color w:val="17365D" w:themeColor="text2" w:themeShade="BF"/>
                <w:sz w:val="18"/>
                <w:szCs w:val="18"/>
              </w:rPr>
              <w:t>%</w:t>
            </w:r>
          </w:p>
        </w:tc>
        <w:tc>
          <w:tcPr>
            <w:tcW w:w="916" w:type="dxa"/>
            <w:vAlign w:val="center"/>
          </w:tcPr>
          <w:p w14:paraId="3024FCBB" w14:textId="736149C8"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bCs/>
                <w:color w:val="17365D" w:themeColor="text2" w:themeShade="BF"/>
                <w:sz w:val="18"/>
                <w:szCs w:val="18"/>
              </w:rPr>
              <w:t>-3.2</w:t>
            </w:r>
            <w:r w:rsidRPr="003708BA">
              <w:rPr>
                <w:rFonts w:ascii="Arial" w:hAnsi="Arial" w:cs="Arial"/>
                <w:bCs/>
                <w:color w:val="17365D" w:themeColor="text2" w:themeShade="BF"/>
                <w:sz w:val="18"/>
                <w:szCs w:val="18"/>
              </w:rPr>
              <w:t>%</w:t>
            </w:r>
          </w:p>
        </w:tc>
      </w:tr>
      <w:tr w:rsidR="00CF01CC" w:rsidRPr="00E407FC" w14:paraId="70C57CCA" w14:textId="77777777" w:rsidTr="0000248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38BB67DB"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Grapes</w:t>
            </w:r>
          </w:p>
        </w:tc>
        <w:tc>
          <w:tcPr>
            <w:tcW w:w="915" w:type="dxa"/>
            <w:gridSpan w:val="2"/>
            <w:vAlign w:val="center"/>
          </w:tcPr>
          <w:p w14:paraId="088C0AB6" w14:textId="77777777" w:rsidR="00CF01CC" w:rsidRPr="00091E61"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-3.1</w:t>
            </w:r>
            <w:r w:rsidRPr="00091E61">
              <w:rPr>
                <w:rFonts w:ascii="Arial" w:hAnsi="Arial" w:cs="Arial"/>
                <w:color w:val="17365D" w:themeColor="text2" w:themeShade="BF"/>
                <w:sz w:val="18"/>
                <w:szCs w:val="18"/>
              </w:rPr>
              <w:t>%</w:t>
            </w:r>
          </w:p>
        </w:tc>
        <w:tc>
          <w:tcPr>
            <w:tcW w:w="916" w:type="dxa"/>
            <w:gridSpan w:val="2"/>
            <w:vAlign w:val="center"/>
          </w:tcPr>
          <w:p w14:paraId="7F83ACE6"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+0.1</w:t>
            </w:r>
            <w:r w:rsidRPr="00E407FC">
              <w:rPr>
                <w:rFonts w:ascii="Arial" w:hAnsi="Arial" w:cs="Arial"/>
                <w:color w:val="17365D" w:themeColor="text2" w:themeShade="BF"/>
                <w:sz w:val="18"/>
                <w:szCs w:val="18"/>
              </w:rPr>
              <w:t>%</w:t>
            </w:r>
          </w:p>
        </w:tc>
        <w:tc>
          <w:tcPr>
            <w:tcW w:w="916" w:type="dxa"/>
            <w:vAlign w:val="center"/>
          </w:tcPr>
          <w:p w14:paraId="798CEA03"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+2.9</w:t>
            </w:r>
            <w:r w:rsidRPr="00E407FC">
              <w:rPr>
                <w:rFonts w:ascii="Arial" w:hAnsi="Arial" w:cs="Arial"/>
                <w:color w:val="17365D" w:themeColor="text2" w:themeShade="BF"/>
                <w:sz w:val="18"/>
                <w:szCs w:val="18"/>
              </w:rPr>
              <w:t>%</w:t>
            </w:r>
          </w:p>
        </w:tc>
        <w:tc>
          <w:tcPr>
            <w:tcW w:w="916" w:type="dxa"/>
            <w:vAlign w:val="center"/>
          </w:tcPr>
          <w:p w14:paraId="2DFA7C0A"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+3.5</w:t>
            </w:r>
            <w:r w:rsidRPr="00E407FC">
              <w:rPr>
                <w:rFonts w:ascii="Arial" w:hAnsi="Arial" w:cs="Arial"/>
                <w:color w:val="17365D" w:themeColor="text2" w:themeShade="BF"/>
                <w:sz w:val="18"/>
                <w:szCs w:val="18"/>
              </w:rPr>
              <w:t>%</w:t>
            </w:r>
          </w:p>
        </w:tc>
        <w:tc>
          <w:tcPr>
            <w:tcW w:w="916" w:type="dxa"/>
            <w:vAlign w:val="center"/>
          </w:tcPr>
          <w:p w14:paraId="7D75445A"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+6.9</w:t>
            </w:r>
            <w:r w:rsidRPr="00E407FC">
              <w:rPr>
                <w:rFonts w:ascii="Arial" w:hAnsi="Arial" w:cs="Arial"/>
                <w:color w:val="17365D" w:themeColor="text2" w:themeShade="BF"/>
                <w:sz w:val="18"/>
                <w:szCs w:val="18"/>
              </w:rPr>
              <w:t>%</w:t>
            </w:r>
          </w:p>
        </w:tc>
        <w:tc>
          <w:tcPr>
            <w:tcW w:w="916" w:type="dxa"/>
            <w:vAlign w:val="center"/>
          </w:tcPr>
          <w:p w14:paraId="16CC1DCB"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+11.</w:t>
            </w:r>
            <w:r>
              <w:rPr>
                <w:rFonts w:ascii="Arial" w:hAnsi="Arial" w:cs="Arial"/>
                <w:bCs/>
                <w:color w:val="17365D" w:themeColor="text2" w:themeShade="BF"/>
                <w:sz w:val="18"/>
                <w:szCs w:val="18"/>
              </w:rPr>
              <w:t>8</w:t>
            </w:r>
            <w:r w:rsidRPr="00E407FC">
              <w:rPr>
                <w:rFonts w:ascii="Arial" w:hAnsi="Arial" w:cs="Arial"/>
                <w:bCs/>
                <w:color w:val="17365D" w:themeColor="text2" w:themeShade="BF"/>
                <w:sz w:val="18"/>
                <w:szCs w:val="18"/>
              </w:rPr>
              <w:t>%</w:t>
            </w:r>
          </w:p>
        </w:tc>
        <w:tc>
          <w:tcPr>
            <w:tcW w:w="916" w:type="dxa"/>
          </w:tcPr>
          <w:p w14:paraId="2F9FBA35" w14:textId="10211878"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4.8</w:t>
            </w:r>
            <w:r w:rsidRPr="00C7349C">
              <w:rPr>
                <w:rFonts w:ascii="Arial" w:hAnsi="Arial" w:cs="Arial"/>
                <w:bCs/>
                <w:color w:val="17365D" w:themeColor="text2" w:themeShade="BF"/>
                <w:sz w:val="18"/>
                <w:szCs w:val="18"/>
              </w:rPr>
              <w:t>%</w:t>
            </w:r>
          </w:p>
        </w:tc>
        <w:tc>
          <w:tcPr>
            <w:tcW w:w="916" w:type="dxa"/>
            <w:vAlign w:val="center"/>
          </w:tcPr>
          <w:p w14:paraId="1DB74558" w14:textId="57A6E3A5"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263</w:t>
            </w:r>
            <w:r w:rsidRPr="00E407FC">
              <w:rPr>
                <w:rFonts w:ascii="Arial" w:hAnsi="Arial" w:cs="Arial"/>
                <w:bCs/>
                <w:color w:val="17365D" w:themeColor="text2" w:themeShade="BF"/>
                <w:sz w:val="18"/>
                <w:szCs w:val="18"/>
              </w:rPr>
              <w:t>M</w:t>
            </w:r>
          </w:p>
        </w:tc>
        <w:tc>
          <w:tcPr>
            <w:tcW w:w="916" w:type="dxa"/>
            <w:vAlign w:val="center"/>
          </w:tcPr>
          <w:p w14:paraId="1AEBFC64" w14:textId="2BCA560D"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0.2</w:t>
            </w:r>
            <w:r w:rsidRPr="00E407FC">
              <w:rPr>
                <w:rFonts w:ascii="Arial" w:hAnsi="Arial" w:cs="Arial"/>
                <w:bCs/>
                <w:color w:val="17365D" w:themeColor="text2" w:themeShade="BF"/>
                <w:sz w:val="18"/>
                <w:szCs w:val="18"/>
              </w:rPr>
              <w:t>%</w:t>
            </w:r>
          </w:p>
        </w:tc>
        <w:tc>
          <w:tcPr>
            <w:tcW w:w="916" w:type="dxa"/>
            <w:vAlign w:val="center"/>
          </w:tcPr>
          <w:p w14:paraId="6A3E3D60" w14:textId="78F8DDCB"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3708BA">
              <w:rPr>
                <w:rFonts w:ascii="Arial" w:hAnsi="Arial" w:cs="Arial"/>
                <w:bCs/>
                <w:color w:val="17365D" w:themeColor="text2" w:themeShade="BF"/>
                <w:sz w:val="18"/>
                <w:szCs w:val="18"/>
              </w:rPr>
              <w:t>+</w:t>
            </w:r>
            <w:r>
              <w:rPr>
                <w:rFonts w:ascii="Arial" w:hAnsi="Arial" w:cs="Arial"/>
                <w:bCs/>
                <w:color w:val="17365D" w:themeColor="text2" w:themeShade="BF"/>
                <w:sz w:val="18"/>
                <w:szCs w:val="18"/>
              </w:rPr>
              <w:t>3.3</w:t>
            </w:r>
            <w:r w:rsidRPr="003708BA">
              <w:rPr>
                <w:rFonts w:ascii="Arial" w:hAnsi="Arial" w:cs="Arial"/>
                <w:bCs/>
                <w:color w:val="17365D" w:themeColor="text2" w:themeShade="BF"/>
                <w:sz w:val="18"/>
                <w:szCs w:val="18"/>
              </w:rPr>
              <w:t>%</w:t>
            </w:r>
          </w:p>
        </w:tc>
      </w:tr>
      <w:tr w:rsidR="00CF01CC" w:rsidRPr="00E407FC" w14:paraId="70213893" w14:textId="77777777" w:rsidTr="005F56DC">
        <w:trPr>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3D166D20"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Bananas</w:t>
            </w:r>
          </w:p>
        </w:tc>
        <w:tc>
          <w:tcPr>
            <w:tcW w:w="915" w:type="dxa"/>
            <w:gridSpan w:val="2"/>
            <w:vAlign w:val="center"/>
          </w:tcPr>
          <w:p w14:paraId="20653F37" w14:textId="77777777" w:rsidR="00CF01CC" w:rsidRPr="00091E61"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-0.9</w:t>
            </w:r>
            <w:r w:rsidRPr="00091E61">
              <w:rPr>
                <w:rFonts w:ascii="Arial" w:hAnsi="Arial" w:cs="Arial"/>
                <w:color w:val="17365D" w:themeColor="text2" w:themeShade="BF"/>
                <w:sz w:val="18"/>
                <w:szCs w:val="18"/>
              </w:rPr>
              <w:t>%</w:t>
            </w:r>
          </w:p>
        </w:tc>
        <w:tc>
          <w:tcPr>
            <w:tcW w:w="916" w:type="dxa"/>
            <w:gridSpan w:val="2"/>
            <w:vAlign w:val="center"/>
          </w:tcPr>
          <w:p w14:paraId="6736EB9B"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+3.6</w:t>
            </w:r>
            <w:r w:rsidRPr="00E407FC">
              <w:rPr>
                <w:rFonts w:ascii="Arial" w:hAnsi="Arial" w:cs="Arial"/>
                <w:color w:val="17365D" w:themeColor="text2" w:themeShade="BF"/>
                <w:sz w:val="18"/>
                <w:szCs w:val="18"/>
              </w:rPr>
              <w:t>%</w:t>
            </w:r>
          </w:p>
        </w:tc>
        <w:tc>
          <w:tcPr>
            <w:tcW w:w="916" w:type="dxa"/>
            <w:vAlign w:val="center"/>
          </w:tcPr>
          <w:p w14:paraId="40F99637"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0.6</w:t>
            </w:r>
            <w:r w:rsidRPr="00E407FC">
              <w:rPr>
                <w:rFonts w:ascii="Arial" w:hAnsi="Arial" w:cs="Arial"/>
                <w:color w:val="17365D" w:themeColor="text2" w:themeShade="BF"/>
                <w:sz w:val="18"/>
                <w:szCs w:val="18"/>
              </w:rPr>
              <w:t>%</w:t>
            </w:r>
          </w:p>
        </w:tc>
        <w:tc>
          <w:tcPr>
            <w:tcW w:w="916" w:type="dxa"/>
            <w:vAlign w:val="center"/>
          </w:tcPr>
          <w:p w14:paraId="42048DF4"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1.8</w:t>
            </w:r>
            <w:r w:rsidRPr="00E407FC">
              <w:rPr>
                <w:rFonts w:ascii="Arial" w:hAnsi="Arial" w:cs="Arial"/>
                <w:color w:val="17365D" w:themeColor="text2" w:themeShade="BF"/>
                <w:sz w:val="18"/>
                <w:szCs w:val="18"/>
              </w:rPr>
              <w:t>%</w:t>
            </w:r>
          </w:p>
        </w:tc>
        <w:tc>
          <w:tcPr>
            <w:tcW w:w="916" w:type="dxa"/>
            <w:vAlign w:val="center"/>
          </w:tcPr>
          <w:p w14:paraId="43C6988A"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w:t>
            </w:r>
            <w:r w:rsidRPr="00E407FC">
              <w:rPr>
                <w:rFonts w:ascii="Arial" w:hAnsi="Arial" w:cs="Arial"/>
                <w:color w:val="17365D" w:themeColor="text2" w:themeShade="BF"/>
                <w:sz w:val="18"/>
                <w:szCs w:val="18"/>
              </w:rPr>
              <w:t>4</w:t>
            </w:r>
            <w:r>
              <w:rPr>
                <w:rFonts w:ascii="Arial" w:hAnsi="Arial" w:cs="Arial"/>
                <w:color w:val="17365D" w:themeColor="text2" w:themeShade="BF"/>
                <w:sz w:val="18"/>
                <w:szCs w:val="18"/>
              </w:rPr>
              <w:t>.2</w:t>
            </w:r>
            <w:r w:rsidRPr="00E407FC">
              <w:rPr>
                <w:rFonts w:ascii="Arial" w:hAnsi="Arial" w:cs="Arial"/>
                <w:color w:val="17365D" w:themeColor="text2" w:themeShade="BF"/>
                <w:sz w:val="18"/>
                <w:szCs w:val="18"/>
              </w:rPr>
              <w:t>%</w:t>
            </w:r>
          </w:p>
        </w:tc>
        <w:tc>
          <w:tcPr>
            <w:tcW w:w="916" w:type="dxa"/>
            <w:vAlign w:val="center"/>
          </w:tcPr>
          <w:p w14:paraId="34D6CA3D"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+3.0%</w:t>
            </w:r>
          </w:p>
        </w:tc>
        <w:tc>
          <w:tcPr>
            <w:tcW w:w="916" w:type="dxa"/>
          </w:tcPr>
          <w:p w14:paraId="2F19536A"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Pr>
                <w:rFonts w:ascii="Arial" w:hAnsi="Arial" w:cs="Arial"/>
                <w:bCs/>
                <w:color w:val="17365D" w:themeColor="text2" w:themeShade="BF"/>
                <w:sz w:val="18"/>
                <w:szCs w:val="18"/>
              </w:rPr>
              <w:t>-0.8</w:t>
            </w:r>
            <w:r w:rsidRPr="00C7349C">
              <w:rPr>
                <w:rFonts w:ascii="Arial" w:hAnsi="Arial" w:cs="Arial"/>
                <w:bCs/>
                <w:color w:val="17365D" w:themeColor="text2" w:themeShade="BF"/>
                <w:sz w:val="18"/>
                <w:szCs w:val="18"/>
              </w:rPr>
              <w:t>%</w:t>
            </w:r>
          </w:p>
        </w:tc>
        <w:tc>
          <w:tcPr>
            <w:tcW w:w="916" w:type="dxa"/>
            <w:vAlign w:val="center"/>
          </w:tcPr>
          <w:p w14:paraId="79A1C765" w14:textId="0DC4949A"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261</w:t>
            </w:r>
            <w:r w:rsidRPr="00E407FC">
              <w:rPr>
                <w:rFonts w:ascii="Arial" w:hAnsi="Arial" w:cs="Arial"/>
                <w:bCs/>
                <w:color w:val="17365D" w:themeColor="text2" w:themeShade="BF"/>
                <w:sz w:val="18"/>
                <w:szCs w:val="18"/>
              </w:rPr>
              <w:t>M</w:t>
            </w:r>
          </w:p>
        </w:tc>
        <w:tc>
          <w:tcPr>
            <w:tcW w:w="916" w:type="dxa"/>
            <w:vAlign w:val="center"/>
          </w:tcPr>
          <w:p w14:paraId="4E6B6F3E" w14:textId="3BD4F02C"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0.7</w:t>
            </w:r>
            <w:r w:rsidRPr="00E407FC">
              <w:rPr>
                <w:rFonts w:ascii="Arial" w:hAnsi="Arial" w:cs="Arial"/>
                <w:bCs/>
                <w:color w:val="17365D" w:themeColor="text2" w:themeShade="BF"/>
                <w:sz w:val="18"/>
                <w:szCs w:val="18"/>
              </w:rPr>
              <w:t>%</w:t>
            </w:r>
          </w:p>
        </w:tc>
        <w:tc>
          <w:tcPr>
            <w:tcW w:w="916" w:type="dxa"/>
            <w:vAlign w:val="center"/>
          </w:tcPr>
          <w:p w14:paraId="0A97799D" w14:textId="0E7C7BDF"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4.8</w:t>
            </w:r>
            <w:r w:rsidRPr="003708BA">
              <w:rPr>
                <w:rFonts w:ascii="Arial" w:hAnsi="Arial" w:cs="Arial"/>
                <w:bCs/>
                <w:color w:val="17365D" w:themeColor="text2" w:themeShade="BF"/>
                <w:sz w:val="18"/>
                <w:szCs w:val="18"/>
              </w:rPr>
              <w:t>%</w:t>
            </w:r>
          </w:p>
        </w:tc>
      </w:tr>
      <w:tr w:rsidR="00CF01CC" w:rsidRPr="00E407FC" w14:paraId="1B4B40CE" w14:textId="77777777" w:rsidTr="002A760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764E69AF"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Avocados</w:t>
            </w:r>
          </w:p>
        </w:tc>
        <w:tc>
          <w:tcPr>
            <w:tcW w:w="915" w:type="dxa"/>
            <w:gridSpan w:val="2"/>
            <w:vAlign w:val="center"/>
          </w:tcPr>
          <w:p w14:paraId="39394D3E" w14:textId="77777777" w:rsidR="00CF01CC" w:rsidRPr="00091E61"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+6.8</w:t>
            </w:r>
            <w:r w:rsidRPr="00091E61">
              <w:rPr>
                <w:rFonts w:ascii="Arial" w:hAnsi="Arial" w:cs="Arial"/>
                <w:color w:val="17365D" w:themeColor="text2" w:themeShade="BF"/>
                <w:sz w:val="18"/>
                <w:szCs w:val="18"/>
              </w:rPr>
              <w:t>%</w:t>
            </w:r>
          </w:p>
        </w:tc>
        <w:tc>
          <w:tcPr>
            <w:tcW w:w="916" w:type="dxa"/>
            <w:gridSpan w:val="2"/>
            <w:vAlign w:val="center"/>
          </w:tcPr>
          <w:p w14:paraId="6655284D"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+7.6</w:t>
            </w:r>
            <w:r w:rsidRPr="00E407FC">
              <w:rPr>
                <w:rFonts w:ascii="Arial" w:hAnsi="Arial" w:cs="Arial"/>
                <w:color w:val="17365D" w:themeColor="text2" w:themeShade="BF"/>
                <w:sz w:val="18"/>
                <w:szCs w:val="18"/>
              </w:rPr>
              <w:t>%</w:t>
            </w:r>
          </w:p>
        </w:tc>
        <w:tc>
          <w:tcPr>
            <w:tcW w:w="916" w:type="dxa"/>
            <w:vAlign w:val="center"/>
          </w:tcPr>
          <w:p w14:paraId="6BF7F793"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0.7</w:t>
            </w:r>
            <w:r w:rsidRPr="00E407FC">
              <w:rPr>
                <w:rFonts w:ascii="Arial" w:hAnsi="Arial" w:cs="Arial"/>
                <w:color w:val="17365D" w:themeColor="text2" w:themeShade="BF"/>
                <w:sz w:val="18"/>
                <w:szCs w:val="18"/>
              </w:rPr>
              <w:t>%</w:t>
            </w:r>
          </w:p>
        </w:tc>
        <w:tc>
          <w:tcPr>
            <w:tcW w:w="916" w:type="dxa"/>
            <w:vAlign w:val="center"/>
          </w:tcPr>
          <w:p w14:paraId="22E1A7EF"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9.4</w:t>
            </w:r>
            <w:r w:rsidRPr="00E407FC">
              <w:rPr>
                <w:rFonts w:ascii="Arial" w:hAnsi="Arial" w:cs="Arial"/>
                <w:color w:val="17365D" w:themeColor="text2" w:themeShade="BF"/>
                <w:sz w:val="18"/>
                <w:szCs w:val="18"/>
              </w:rPr>
              <w:t>%</w:t>
            </w:r>
          </w:p>
        </w:tc>
        <w:tc>
          <w:tcPr>
            <w:tcW w:w="916" w:type="dxa"/>
            <w:vAlign w:val="center"/>
          </w:tcPr>
          <w:p w14:paraId="45F43418"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2.8</w:t>
            </w:r>
            <w:r w:rsidRPr="00E407FC">
              <w:rPr>
                <w:rFonts w:ascii="Arial" w:hAnsi="Arial" w:cs="Arial"/>
                <w:color w:val="17365D" w:themeColor="text2" w:themeShade="BF"/>
                <w:sz w:val="18"/>
                <w:szCs w:val="18"/>
              </w:rPr>
              <w:t>%</w:t>
            </w:r>
          </w:p>
        </w:tc>
        <w:tc>
          <w:tcPr>
            <w:tcW w:w="916" w:type="dxa"/>
            <w:vAlign w:val="center"/>
          </w:tcPr>
          <w:p w14:paraId="447F665E"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+9.</w:t>
            </w:r>
            <w:r>
              <w:rPr>
                <w:rFonts w:ascii="Arial" w:hAnsi="Arial" w:cs="Arial"/>
                <w:bCs/>
                <w:color w:val="17365D" w:themeColor="text2" w:themeShade="BF"/>
                <w:sz w:val="18"/>
                <w:szCs w:val="18"/>
              </w:rPr>
              <w:t>5</w:t>
            </w:r>
            <w:r w:rsidRPr="00E407FC">
              <w:rPr>
                <w:rFonts w:ascii="Arial" w:hAnsi="Arial" w:cs="Arial"/>
                <w:bCs/>
                <w:color w:val="17365D" w:themeColor="text2" w:themeShade="BF"/>
                <w:sz w:val="18"/>
                <w:szCs w:val="18"/>
              </w:rPr>
              <w:t>%</w:t>
            </w:r>
          </w:p>
        </w:tc>
        <w:tc>
          <w:tcPr>
            <w:tcW w:w="916" w:type="dxa"/>
          </w:tcPr>
          <w:p w14:paraId="66870255"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16.6</w:t>
            </w:r>
            <w:r w:rsidRPr="00C7349C">
              <w:rPr>
                <w:rFonts w:ascii="Arial" w:hAnsi="Arial" w:cs="Arial"/>
                <w:bCs/>
                <w:color w:val="17365D" w:themeColor="text2" w:themeShade="BF"/>
                <w:sz w:val="18"/>
                <w:szCs w:val="18"/>
              </w:rPr>
              <w:t>%</w:t>
            </w:r>
          </w:p>
        </w:tc>
        <w:tc>
          <w:tcPr>
            <w:tcW w:w="916" w:type="dxa"/>
            <w:vAlign w:val="center"/>
          </w:tcPr>
          <w:p w14:paraId="64715D14" w14:textId="6E8BD0F3"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225</w:t>
            </w:r>
            <w:r w:rsidRPr="00E407FC">
              <w:rPr>
                <w:rFonts w:ascii="Arial" w:hAnsi="Arial" w:cs="Arial"/>
                <w:bCs/>
                <w:color w:val="17365D" w:themeColor="text2" w:themeShade="BF"/>
                <w:sz w:val="18"/>
                <w:szCs w:val="18"/>
              </w:rPr>
              <w:t>M</w:t>
            </w:r>
          </w:p>
        </w:tc>
        <w:tc>
          <w:tcPr>
            <w:tcW w:w="916" w:type="dxa"/>
            <w:vAlign w:val="center"/>
          </w:tcPr>
          <w:p w14:paraId="6C0CBF2D" w14:textId="29CB4ED3"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8.0</w:t>
            </w:r>
            <w:r w:rsidRPr="00E407FC">
              <w:rPr>
                <w:rFonts w:ascii="Arial" w:hAnsi="Arial" w:cs="Arial"/>
                <w:bCs/>
                <w:color w:val="17365D" w:themeColor="text2" w:themeShade="BF"/>
                <w:sz w:val="18"/>
                <w:szCs w:val="18"/>
              </w:rPr>
              <w:t>%</w:t>
            </w:r>
          </w:p>
        </w:tc>
        <w:tc>
          <w:tcPr>
            <w:tcW w:w="916" w:type="dxa"/>
          </w:tcPr>
          <w:p w14:paraId="400F054D" w14:textId="50F1912E"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10.4</w:t>
            </w:r>
            <w:r w:rsidRPr="00331F3F">
              <w:rPr>
                <w:rFonts w:ascii="Arial" w:hAnsi="Arial" w:cs="Arial"/>
                <w:bCs/>
                <w:color w:val="17365D" w:themeColor="text2" w:themeShade="BF"/>
                <w:sz w:val="18"/>
                <w:szCs w:val="18"/>
              </w:rPr>
              <w:t>%</w:t>
            </w:r>
          </w:p>
        </w:tc>
      </w:tr>
      <w:tr w:rsidR="00CF01CC" w:rsidRPr="00E407FC" w14:paraId="29470378" w14:textId="77777777" w:rsidTr="002A7604">
        <w:trPr>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4F632C7F"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Melons</w:t>
            </w:r>
          </w:p>
        </w:tc>
        <w:tc>
          <w:tcPr>
            <w:tcW w:w="915" w:type="dxa"/>
            <w:gridSpan w:val="2"/>
            <w:vAlign w:val="center"/>
          </w:tcPr>
          <w:p w14:paraId="2AAEDB48" w14:textId="77777777" w:rsidR="00CF01CC" w:rsidRPr="00091E61"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+1.0</w:t>
            </w:r>
            <w:r w:rsidRPr="00091E61">
              <w:rPr>
                <w:rFonts w:ascii="Arial" w:hAnsi="Arial" w:cs="Arial"/>
                <w:color w:val="17365D" w:themeColor="text2" w:themeShade="BF"/>
                <w:sz w:val="18"/>
                <w:szCs w:val="18"/>
              </w:rPr>
              <w:t>%</w:t>
            </w:r>
          </w:p>
        </w:tc>
        <w:tc>
          <w:tcPr>
            <w:tcW w:w="916" w:type="dxa"/>
            <w:gridSpan w:val="2"/>
            <w:vAlign w:val="center"/>
          </w:tcPr>
          <w:p w14:paraId="111F1627"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+9.5</w:t>
            </w:r>
            <w:r w:rsidRPr="00E407FC">
              <w:rPr>
                <w:rFonts w:ascii="Arial" w:hAnsi="Arial" w:cs="Arial"/>
                <w:color w:val="17365D" w:themeColor="text2" w:themeShade="BF"/>
                <w:sz w:val="18"/>
                <w:szCs w:val="18"/>
              </w:rPr>
              <w:t>%</w:t>
            </w:r>
          </w:p>
        </w:tc>
        <w:tc>
          <w:tcPr>
            <w:tcW w:w="916" w:type="dxa"/>
            <w:vAlign w:val="center"/>
          </w:tcPr>
          <w:p w14:paraId="70A18419"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w:t>
            </w:r>
            <w:r w:rsidRPr="00E407FC">
              <w:rPr>
                <w:rFonts w:ascii="Arial" w:hAnsi="Arial" w:cs="Arial"/>
                <w:color w:val="17365D" w:themeColor="text2" w:themeShade="BF"/>
                <w:sz w:val="18"/>
                <w:szCs w:val="18"/>
              </w:rPr>
              <w:t>10</w:t>
            </w:r>
            <w:r>
              <w:rPr>
                <w:rFonts w:ascii="Arial" w:hAnsi="Arial" w:cs="Arial"/>
                <w:color w:val="17365D" w:themeColor="text2" w:themeShade="BF"/>
                <w:sz w:val="18"/>
                <w:szCs w:val="18"/>
              </w:rPr>
              <w:t>.0</w:t>
            </w:r>
            <w:r w:rsidRPr="00E407FC">
              <w:rPr>
                <w:rFonts w:ascii="Arial" w:hAnsi="Arial" w:cs="Arial"/>
                <w:color w:val="17365D" w:themeColor="text2" w:themeShade="BF"/>
                <w:sz w:val="18"/>
                <w:szCs w:val="18"/>
              </w:rPr>
              <w:t>%</w:t>
            </w:r>
          </w:p>
        </w:tc>
        <w:tc>
          <w:tcPr>
            <w:tcW w:w="916" w:type="dxa"/>
            <w:vAlign w:val="center"/>
          </w:tcPr>
          <w:p w14:paraId="7F559A2E"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+14.1</w:t>
            </w:r>
            <w:r w:rsidRPr="00E407FC">
              <w:rPr>
                <w:rFonts w:ascii="Arial" w:hAnsi="Arial" w:cs="Arial"/>
                <w:color w:val="17365D" w:themeColor="text2" w:themeShade="BF"/>
                <w:sz w:val="18"/>
                <w:szCs w:val="18"/>
              </w:rPr>
              <w:t>%</w:t>
            </w:r>
          </w:p>
        </w:tc>
        <w:tc>
          <w:tcPr>
            <w:tcW w:w="916" w:type="dxa"/>
            <w:vAlign w:val="center"/>
          </w:tcPr>
          <w:p w14:paraId="1208D485"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+5.8</w:t>
            </w:r>
            <w:r w:rsidRPr="00E407FC">
              <w:rPr>
                <w:rFonts w:ascii="Arial" w:hAnsi="Arial" w:cs="Arial"/>
                <w:color w:val="17365D" w:themeColor="text2" w:themeShade="BF"/>
                <w:sz w:val="18"/>
                <w:szCs w:val="18"/>
              </w:rPr>
              <w:t>%</w:t>
            </w:r>
          </w:p>
        </w:tc>
        <w:tc>
          <w:tcPr>
            <w:tcW w:w="916" w:type="dxa"/>
            <w:vAlign w:val="center"/>
          </w:tcPr>
          <w:p w14:paraId="77CDA4E4"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+23.</w:t>
            </w:r>
            <w:r>
              <w:rPr>
                <w:rFonts w:ascii="Arial" w:hAnsi="Arial" w:cs="Arial"/>
                <w:bCs/>
                <w:color w:val="17365D" w:themeColor="text2" w:themeShade="BF"/>
                <w:sz w:val="18"/>
                <w:szCs w:val="18"/>
              </w:rPr>
              <w:t>2</w:t>
            </w:r>
            <w:r w:rsidRPr="00E407FC">
              <w:rPr>
                <w:rFonts w:ascii="Arial" w:hAnsi="Arial" w:cs="Arial"/>
                <w:bCs/>
                <w:color w:val="17365D" w:themeColor="text2" w:themeShade="BF"/>
                <w:sz w:val="18"/>
                <w:szCs w:val="18"/>
              </w:rPr>
              <w:t>%</w:t>
            </w:r>
          </w:p>
        </w:tc>
        <w:tc>
          <w:tcPr>
            <w:tcW w:w="916" w:type="dxa"/>
          </w:tcPr>
          <w:p w14:paraId="273BAFF9"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27.7</w:t>
            </w:r>
            <w:r w:rsidRPr="00C7349C">
              <w:rPr>
                <w:rFonts w:ascii="Arial" w:hAnsi="Arial" w:cs="Arial"/>
                <w:bCs/>
                <w:color w:val="17365D" w:themeColor="text2" w:themeShade="BF"/>
                <w:sz w:val="18"/>
                <w:szCs w:val="18"/>
              </w:rPr>
              <w:t>%</w:t>
            </w:r>
          </w:p>
        </w:tc>
        <w:tc>
          <w:tcPr>
            <w:tcW w:w="916" w:type="dxa"/>
            <w:vAlign w:val="center"/>
          </w:tcPr>
          <w:p w14:paraId="37DAA1B9" w14:textId="4D63FA8D"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208</w:t>
            </w:r>
            <w:r w:rsidRPr="00E407FC">
              <w:rPr>
                <w:rFonts w:ascii="Arial" w:hAnsi="Arial" w:cs="Arial"/>
                <w:bCs/>
                <w:color w:val="17365D" w:themeColor="text2" w:themeShade="BF"/>
                <w:sz w:val="18"/>
                <w:szCs w:val="18"/>
              </w:rPr>
              <w:t>M</w:t>
            </w:r>
          </w:p>
        </w:tc>
        <w:tc>
          <w:tcPr>
            <w:tcW w:w="916" w:type="dxa"/>
            <w:vAlign w:val="center"/>
          </w:tcPr>
          <w:p w14:paraId="597B0DDF" w14:textId="31A0E3AA"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6.7</w:t>
            </w:r>
            <w:r w:rsidRPr="00E407FC">
              <w:rPr>
                <w:rFonts w:ascii="Arial" w:hAnsi="Arial" w:cs="Arial"/>
                <w:bCs/>
                <w:color w:val="17365D" w:themeColor="text2" w:themeShade="BF"/>
                <w:sz w:val="18"/>
                <w:szCs w:val="18"/>
              </w:rPr>
              <w:t>%</w:t>
            </w:r>
          </w:p>
        </w:tc>
        <w:tc>
          <w:tcPr>
            <w:tcW w:w="916" w:type="dxa"/>
          </w:tcPr>
          <w:p w14:paraId="60D011C8" w14:textId="23C261E4"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14.7</w:t>
            </w:r>
            <w:r w:rsidRPr="00331F3F">
              <w:rPr>
                <w:rFonts w:ascii="Arial" w:hAnsi="Arial" w:cs="Arial"/>
                <w:bCs/>
                <w:color w:val="17365D" w:themeColor="text2" w:themeShade="BF"/>
                <w:sz w:val="18"/>
                <w:szCs w:val="18"/>
              </w:rPr>
              <w:t>%</w:t>
            </w:r>
          </w:p>
        </w:tc>
      </w:tr>
      <w:tr w:rsidR="00CF01CC" w:rsidRPr="00E407FC" w14:paraId="1D1E2427" w14:textId="77777777" w:rsidTr="002A760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60360F3B"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 xml:space="preserve"> Mandarins</w:t>
            </w:r>
          </w:p>
        </w:tc>
        <w:tc>
          <w:tcPr>
            <w:tcW w:w="915" w:type="dxa"/>
            <w:gridSpan w:val="2"/>
            <w:vAlign w:val="center"/>
          </w:tcPr>
          <w:p w14:paraId="14F3392E" w14:textId="77777777" w:rsidR="00CF01CC" w:rsidRPr="00091E61"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-4.6</w:t>
            </w:r>
            <w:r w:rsidRPr="00091E61">
              <w:rPr>
                <w:rFonts w:ascii="Arial" w:hAnsi="Arial" w:cs="Arial"/>
                <w:color w:val="17365D" w:themeColor="text2" w:themeShade="BF"/>
                <w:sz w:val="18"/>
                <w:szCs w:val="18"/>
              </w:rPr>
              <w:t>%</w:t>
            </w:r>
          </w:p>
        </w:tc>
        <w:tc>
          <w:tcPr>
            <w:tcW w:w="916" w:type="dxa"/>
            <w:gridSpan w:val="2"/>
            <w:vAlign w:val="center"/>
          </w:tcPr>
          <w:p w14:paraId="51E55F05"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+9.9</w:t>
            </w:r>
            <w:r w:rsidRPr="00E407FC">
              <w:rPr>
                <w:rFonts w:ascii="Arial" w:hAnsi="Arial" w:cs="Arial"/>
                <w:color w:val="17365D" w:themeColor="text2" w:themeShade="BF"/>
                <w:sz w:val="18"/>
                <w:szCs w:val="18"/>
              </w:rPr>
              <w:t>%</w:t>
            </w:r>
          </w:p>
        </w:tc>
        <w:tc>
          <w:tcPr>
            <w:tcW w:w="916" w:type="dxa"/>
            <w:vAlign w:val="center"/>
          </w:tcPr>
          <w:p w14:paraId="677B1D54"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-1</w:t>
            </w:r>
            <w:r>
              <w:rPr>
                <w:rFonts w:ascii="Arial" w:hAnsi="Arial" w:cs="Arial"/>
                <w:color w:val="17365D" w:themeColor="text2" w:themeShade="BF"/>
                <w:sz w:val="18"/>
                <w:szCs w:val="18"/>
              </w:rPr>
              <w:t>.1</w:t>
            </w:r>
            <w:r w:rsidRPr="00E407FC">
              <w:rPr>
                <w:rFonts w:ascii="Arial" w:hAnsi="Arial" w:cs="Arial"/>
                <w:color w:val="17365D" w:themeColor="text2" w:themeShade="BF"/>
                <w:sz w:val="18"/>
                <w:szCs w:val="18"/>
              </w:rPr>
              <w:t>%</w:t>
            </w:r>
          </w:p>
        </w:tc>
        <w:tc>
          <w:tcPr>
            <w:tcW w:w="916" w:type="dxa"/>
            <w:vAlign w:val="center"/>
          </w:tcPr>
          <w:p w14:paraId="79210989"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w:t>
            </w:r>
            <w:r w:rsidRPr="00E407FC">
              <w:rPr>
                <w:rFonts w:ascii="Arial" w:hAnsi="Arial" w:cs="Arial"/>
                <w:color w:val="17365D" w:themeColor="text2" w:themeShade="BF"/>
                <w:sz w:val="18"/>
                <w:szCs w:val="18"/>
              </w:rPr>
              <w:t>14</w:t>
            </w:r>
            <w:r>
              <w:rPr>
                <w:rFonts w:ascii="Arial" w:hAnsi="Arial" w:cs="Arial"/>
                <w:color w:val="17365D" w:themeColor="text2" w:themeShade="BF"/>
                <w:sz w:val="18"/>
                <w:szCs w:val="18"/>
              </w:rPr>
              <w:t>.3</w:t>
            </w:r>
            <w:r w:rsidRPr="00E407FC">
              <w:rPr>
                <w:rFonts w:ascii="Arial" w:hAnsi="Arial" w:cs="Arial"/>
                <w:color w:val="17365D" w:themeColor="text2" w:themeShade="BF"/>
                <w:sz w:val="18"/>
                <w:szCs w:val="18"/>
              </w:rPr>
              <w:t>%</w:t>
            </w:r>
          </w:p>
        </w:tc>
        <w:tc>
          <w:tcPr>
            <w:tcW w:w="916" w:type="dxa"/>
            <w:vAlign w:val="center"/>
          </w:tcPr>
          <w:p w14:paraId="0377CDCD"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w:t>
            </w:r>
            <w:r w:rsidRPr="00E407FC">
              <w:rPr>
                <w:rFonts w:ascii="Arial" w:hAnsi="Arial" w:cs="Arial"/>
                <w:color w:val="17365D" w:themeColor="text2" w:themeShade="BF"/>
                <w:sz w:val="18"/>
                <w:szCs w:val="18"/>
              </w:rPr>
              <w:t>12</w:t>
            </w:r>
            <w:r>
              <w:rPr>
                <w:rFonts w:ascii="Arial" w:hAnsi="Arial" w:cs="Arial"/>
                <w:color w:val="17365D" w:themeColor="text2" w:themeShade="BF"/>
                <w:sz w:val="18"/>
                <w:szCs w:val="18"/>
              </w:rPr>
              <w:t>.0</w:t>
            </w:r>
            <w:r w:rsidRPr="00E407FC">
              <w:rPr>
                <w:rFonts w:ascii="Arial" w:hAnsi="Arial" w:cs="Arial"/>
                <w:color w:val="17365D" w:themeColor="text2" w:themeShade="BF"/>
                <w:sz w:val="18"/>
                <w:szCs w:val="18"/>
              </w:rPr>
              <w:t>%</w:t>
            </w:r>
          </w:p>
        </w:tc>
        <w:tc>
          <w:tcPr>
            <w:tcW w:w="916" w:type="dxa"/>
            <w:vAlign w:val="center"/>
          </w:tcPr>
          <w:p w14:paraId="261EDCDC"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+4.9%</w:t>
            </w:r>
          </w:p>
        </w:tc>
        <w:tc>
          <w:tcPr>
            <w:tcW w:w="916" w:type="dxa"/>
          </w:tcPr>
          <w:p w14:paraId="090B9DEC" w14:textId="0AF254D0" w:rsidR="00CF01C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Pr>
                <w:rFonts w:ascii="Arial" w:hAnsi="Arial" w:cs="Arial"/>
                <w:bCs/>
                <w:color w:val="17365D" w:themeColor="text2" w:themeShade="BF"/>
                <w:sz w:val="18"/>
                <w:szCs w:val="18"/>
              </w:rPr>
              <w:t>-0.1</w:t>
            </w:r>
            <w:r w:rsidRPr="00C7349C">
              <w:rPr>
                <w:rFonts w:ascii="Arial" w:hAnsi="Arial" w:cs="Arial"/>
                <w:bCs/>
                <w:color w:val="17365D" w:themeColor="text2" w:themeShade="BF"/>
                <w:sz w:val="18"/>
                <w:szCs w:val="18"/>
              </w:rPr>
              <w:t>%</w:t>
            </w:r>
          </w:p>
        </w:tc>
        <w:tc>
          <w:tcPr>
            <w:tcW w:w="916" w:type="dxa"/>
            <w:vAlign w:val="center"/>
          </w:tcPr>
          <w:p w14:paraId="1DB60A7A" w14:textId="2ECEC736"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176</w:t>
            </w:r>
            <w:r w:rsidRPr="00E407FC">
              <w:rPr>
                <w:rFonts w:ascii="Arial" w:hAnsi="Arial" w:cs="Arial"/>
                <w:bCs/>
                <w:color w:val="17365D" w:themeColor="text2" w:themeShade="BF"/>
                <w:sz w:val="18"/>
                <w:szCs w:val="18"/>
              </w:rPr>
              <w:t>M</w:t>
            </w:r>
          </w:p>
        </w:tc>
        <w:tc>
          <w:tcPr>
            <w:tcW w:w="916" w:type="dxa"/>
            <w:vAlign w:val="center"/>
          </w:tcPr>
          <w:p w14:paraId="6BBCB672" w14:textId="59EB897C"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bCs/>
                <w:color w:val="17365D" w:themeColor="text2" w:themeShade="BF"/>
                <w:sz w:val="18"/>
                <w:szCs w:val="18"/>
              </w:rPr>
              <w:t>-3.1</w:t>
            </w:r>
            <w:r w:rsidRPr="00E407FC">
              <w:rPr>
                <w:rFonts w:ascii="Arial" w:hAnsi="Arial" w:cs="Arial"/>
                <w:bCs/>
                <w:color w:val="17365D" w:themeColor="text2" w:themeShade="BF"/>
                <w:sz w:val="18"/>
                <w:szCs w:val="18"/>
              </w:rPr>
              <w:t>%</w:t>
            </w:r>
          </w:p>
        </w:tc>
        <w:tc>
          <w:tcPr>
            <w:tcW w:w="916" w:type="dxa"/>
          </w:tcPr>
          <w:p w14:paraId="41B0223C" w14:textId="231D1686"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24.6</w:t>
            </w:r>
            <w:r w:rsidRPr="00331F3F">
              <w:rPr>
                <w:rFonts w:ascii="Arial" w:hAnsi="Arial" w:cs="Arial"/>
                <w:bCs/>
                <w:color w:val="17365D" w:themeColor="text2" w:themeShade="BF"/>
                <w:sz w:val="18"/>
                <w:szCs w:val="18"/>
              </w:rPr>
              <w:t>%</w:t>
            </w:r>
          </w:p>
        </w:tc>
      </w:tr>
      <w:tr w:rsidR="00CF01CC" w:rsidRPr="00E407FC" w14:paraId="2AECE88C" w14:textId="77777777" w:rsidTr="002A7604">
        <w:trPr>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4CC7E81D" w14:textId="77777777" w:rsidR="00CF01CC" w:rsidRPr="00E407FC" w:rsidRDefault="00CF01CC" w:rsidP="00CF01CC">
            <w:pPr>
              <w:pStyle w:val="NoSpacing"/>
              <w:jc w:val="right"/>
              <w:rPr>
                <w:rFonts w:ascii="Arial" w:hAnsi="Arial" w:cs="Arial"/>
                <w:b w:val="0"/>
                <w:color w:val="17365D" w:themeColor="text2" w:themeShade="BF"/>
                <w:sz w:val="18"/>
                <w:szCs w:val="18"/>
              </w:rPr>
            </w:pPr>
            <w:r w:rsidRPr="00E407FC">
              <w:rPr>
                <w:rFonts w:ascii="Arial" w:hAnsi="Arial" w:cs="Arial"/>
                <w:b w:val="0"/>
                <w:color w:val="17365D" w:themeColor="text2" w:themeShade="BF"/>
                <w:sz w:val="18"/>
                <w:szCs w:val="18"/>
              </w:rPr>
              <w:t>Oranges</w:t>
            </w:r>
          </w:p>
        </w:tc>
        <w:tc>
          <w:tcPr>
            <w:tcW w:w="915" w:type="dxa"/>
            <w:gridSpan w:val="2"/>
            <w:vAlign w:val="center"/>
          </w:tcPr>
          <w:p w14:paraId="2C20732F" w14:textId="77777777" w:rsidR="00CF01CC" w:rsidRPr="00091E61"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-9.6</w:t>
            </w:r>
            <w:r w:rsidRPr="00091E61">
              <w:rPr>
                <w:rFonts w:ascii="Arial" w:hAnsi="Arial" w:cs="Arial"/>
                <w:color w:val="17365D" w:themeColor="text2" w:themeShade="BF"/>
                <w:sz w:val="18"/>
                <w:szCs w:val="18"/>
              </w:rPr>
              <w:t>%</w:t>
            </w:r>
          </w:p>
        </w:tc>
        <w:tc>
          <w:tcPr>
            <w:tcW w:w="916" w:type="dxa"/>
            <w:gridSpan w:val="2"/>
            <w:vAlign w:val="center"/>
          </w:tcPr>
          <w:p w14:paraId="73EF92F6"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+32.1</w:t>
            </w:r>
            <w:r w:rsidRPr="00E407FC">
              <w:rPr>
                <w:rFonts w:ascii="Arial" w:hAnsi="Arial" w:cs="Arial"/>
                <w:color w:val="17365D" w:themeColor="text2" w:themeShade="BF"/>
                <w:sz w:val="18"/>
                <w:szCs w:val="18"/>
              </w:rPr>
              <w:t>%</w:t>
            </w:r>
          </w:p>
        </w:tc>
        <w:tc>
          <w:tcPr>
            <w:tcW w:w="916" w:type="dxa"/>
            <w:vAlign w:val="center"/>
          </w:tcPr>
          <w:p w14:paraId="48E5CCBF"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+2.5</w:t>
            </w:r>
            <w:r w:rsidRPr="00E407FC">
              <w:rPr>
                <w:rFonts w:ascii="Arial" w:hAnsi="Arial" w:cs="Arial"/>
                <w:color w:val="17365D" w:themeColor="text2" w:themeShade="BF"/>
                <w:sz w:val="18"/>
                <w:szCs w:val="18"/>
              </w:rPr>
              <w:t>%</w:t>
            </w:r>
          </w:p>
        </w:tc>
        <w:tc>
          <w:tcPr>
            <w:tcW w:w="916" w:type="dxa"/>
            <w:vAlign w:val="center"/>
          </w:tcPr>
          <w:p w14:paraId="32EC8C16"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24.5</w:t>
            </w:r>
            <w:r w:rsidRPr="00E407FC">
              <w:rPr>
                <w:rFonts w:ascii="Arial" w:hAnsi="Arial" w:cs="Arial"/>
                <w:color w:val="17365D" w:themeColor="text2" w:themeShade="BF"/>
                <w:sz w:val="18"/>
                <w:szCs w:val="18"/>
              </w:rPr>
              <w:t>%</w:t>
            </w:r>
          </w:p>
        </w:tc>
        <w:tc>
          <w:tcPr>
            <w:tcW w:w="916" w:type="dxa"/>
            <w:vAlign w:val="center"/>
          </w:tcPr>
          <w:p w14:paraId="37C6F385"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color w:val="17365D" w:themeColor="text2" w:themeShade="BF"/>
                <w:sz w:val="18"/>
                <w:szCs w:val="18"/>
              </w:rPr>
              <w:t>-</w:t>
            </w:r>
            <w:r>
              <w:rPr>
                <w:rFonts w:ascii="Arial" w:hAnsi="Arial" w:cs="Arial"/>
                <w:color w:val="17365D" w:themeColor="text2" w:themeShade="BF"/>
                <w:sz w:val="18"/>
                <w:szCs w:val="18"/>
              </w:rPr>
              <w:t>10.4</w:t>
            </w:r>
            <w:r w:rsidRPr="00E407FC">
              <w:rPr>
                <w:rFonts w:ascii="Arial" w:hAnsi="Arial" w:cs="Arial"/>
                <w:color w:val="17365D" w:themeColor="text2" w:themeShade="BF"/>
                <w:sz w:val="18"/>
                <w:szCs w:val="18"/>
              </w:rPr>
              <w:t>%</w:t>
            </w:r>
          </w:p>
        </w:tc>
        <w:tc>
          <w:tcPr>
            <w:tcW w:w="916" w:type="dxa"/>
            <w:vAlign w:val="center"/>
          </w:tcPr>
          <w:p w14:paraId="667912C0"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3.7</w:t>
            </w:r>
            <w:r w:rsidRPr="00E407FC">
              <w:rPr>
                <w:rFonts w:ascii="Arial" w:hAnsi="Arial" w:cs="Arial"/>
                <w:bCs/>
                <w:color w:val="17365D" w:themeColor="text2" w:themeShade="BF"/>
                <w:sz w:val="18"/>
                <w:szCs w:val="18"/>
              </w:rPr>
              <w:t>%</w:t>
            </w:r>
          </w:p>
        </w:tc>
        <w:tc>
          <w:tcPr>
            <w:tcW w:w="916" w:type="dxa"/>
          </w:tcPr>
          <w:p w14:paraId="4DD13CFF" w14:textId="67DACD41"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15.0</w:t>
            </w:r>
            <w:r w:rsidRPr="00C7349C">
              <w:rPr>
                <w:rFonts w:ascii="Arial" w:hAnsi="Arial" w:cs="Arial"/>
                <w:bCs/>
                <w:color w:val="17365D" w:themeColor="text2" w:themeShade="BF"/>
                <w:sz w:val="18"/>
                <w:szCs w:val="18"/>
              </w:rPr>
              <w:t>%</w:t>
            </w:r>
          </w:p>
        </w:tc>
        <w:tc>
          <w:tcPr>
            <w:tcW w:w="916" w:type="dxa"/>
            <w:vAlign w:val="center"/>
          </w:tcPr>
          <w:p w14:paraId="6F1DD608" w14:textId="11A98238"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120</w:t>
            </w:r>
            <w:r w:rsidRPr="00E407FC">
              <w:rPr>
                <w:rFonts w:ascii="Arial" w:hAnsi="Arial" w:cs="Arial"/>
                <w:bCs/>
                <w:color w:val="17365D" w:themeColor="text2" w:themeShade="BF"/>
                <w:sz w:val="18"/>
                <w:szCs w:val="18"/>
              </w:rPr>
              <w:t>M</w:t>
            </w:r>
          </w:p>
        </w:tc>
        <w:tc>
          <w:tcPr>
            <w:tcW w:w="916" w:type="dxa"/>
            <w:vAlign w:val="center"/>
          </w:tcPr>
          <w:p w14:paraId="66A8D11D" w14:textId="7713625E"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14.7</w:t>
            </w:r>
            <w:r w:rsidRPr="00E407FC">
              <w:rPr>
                <w:rFonts w:ascii="Arial" w:hAnsi="Arial" w:cs="Arial"/>
                <w:bCs/>
                <w:color w:val="17365D" w:themeColor="text2" w:themeShade="BF"/>
                <w:sz w:val="18"/>
                <w:szCs w:val="18"/>
              </w:rPr>
              <w:t>%</w:t>
            </w:r>
          </w:p>
        </w:tc>
        <w:tc>
          <w:tcPr>
            <w:tcW w:w="916" w:type="dxa"/>
          </w:tcPr>
          <w:p w14:paraId="756B2810" w14:textId="2E0B6919"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3.6</w:t>
            </w:r>
            <w:r w:rsidRPr="00331F3F">
              <w:rPr>
                <w:rFonts w:ascii="Arial" w:hAnsi="Arial" w:cs="Arial"/>
                <w:bCs/>
                <w:color w:val="17365D" w:themeColor="text2" w:themeShade="BF"/>
                <w:sz w:val="18"/>
                <w:szCs w:val="18"/>
              </w:rPr>
              <w:t>%</w:t>
            </w:r>
          </w:p>
        </w:tc>
      </w:tr>
      <w:tr w:rsidR="00CF01CC" w:rsidRPr="00E407FC" w14:paraId="15929E01" w14:textId="77777777" w:rsidTr="002A7604">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69D96409" w14:textId="77777777" w:rsidR="00CF01CC" w:rsidRPr="00E407FC" w:rsidRDefault="00CF01CC" w:rsidP="00CF01CC">
            <w:pPr>
              <w:pStyle w:val="NoSpacing"/>
              <w:jc w:val="right"/>
              <w:rPr>
                <w:rFonts w:ascii="Arial" w:hAnsi="Arial" w:cs="Arial"/>
                <w:b w:val="0"/>
                <w:color w:val="17365D" w:themeColor="text2" w:themeShade="BF"/>
                <w:sz w:val="18"/>
                <w:szCs w:val="18"/>
              </w:rPr>
            </w:pPr>
            <w:r>
              <w:rPr>
                <w:rFonts w:ascii="Arial" w:hAnsi="Arial" w:cs="Arial"/>
                <w:b w:val="0"/>
                <w:color w:val="17365D" w:themeColor="text2" w:themeShade="BF"/>
                <w:sz w:val="18"/>
                <w:szCs w:val="18"/>
              </w:rPr>
              <w:t>Pineapples</w:t>
            </w:r>
          </w:p>
        </w:tc>
        <w:tc>
          <w:tcPr>
            <w:tcW w:w="915" w:type="dxa"/>
            <w:gridSpan w:val="2"/>
            <w:vAlign w:val="center"/>
          </w:tcPr>
          <w:p w14:paraId="53DF8AEE" w14:textId="77777777" w:rsidR="00CF01CC" w:rsidRPr="00091E61"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+0.1%</w:t>
            </w:r>
          </w:p>
        </w:tc>
        <w:tc>
          <w:tcPr>
            <w:tcW w:w="916" w:type="dxa"/>
            <w:gridSpan w:val="2"/>
            <w:vAlign w:val="center"/>
          </w:tcPr>
          <w:p w14:paraId="41E1A840"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+7.6%</w:t>
            </w:r>
          </w:p>
        </w:tc>
        <w:tc>
          <w:tcPr>
            <w:tcW w:w="916" w:type="dxa"/>
            <w:vAlign w:val="center"/>
          </w:tcPr>
          <w:p w14:paraId="09006649"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+12.0%</w:t>
            </w:r>
          </w:p>
        </w:tc>
        <w:tc>
          <w:tcPr>
            <w:tcW w:w="916" w:type="dxa"/>
            <w:vAlign w:val="center"/>
          </w:tcPr>
          <w:p w14:paraId="6F60B97C"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+10.8%</w:t>
            </w:r>
          </w:p>
        </w:tc>
        <w:tc>
          <w:tcPr>
            <w:tcW w:w="916" w:type="dxa"/>
            <w:vAlign w:val="center"/>
          </w:tcPr>
          <w:p w14:paraId="6CB8C860"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+8.4%</w:t>
            </w:r>
          </w:p>
        </w:tc>
        <w:tc>
          <w:tcPr>
            <w:tcW w:w="916" w:type="dxa"/>
            <w:vAlign w:val="center"/>
          </w:tcPr>
          <w:p w14:paraId="07EBEE4F"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Pr>
                <w:rFonts w:ascii="Arial" w:hAnsi="Arial" w:cs="Arial"/>
                <w:bCs/>
                <w:color w:val="17365D" w:themeColor="text2" w:themeShade="BF"/>
                <w:sz w:val="18"/>
                <w:szCs w:val="18"/>
              </w:rPr>
              <w:t>+11.5%</w:t>
            </w:r>
          </w:p>
        </w:tc>
        <w:tc>
          <w:tcPr>
            <w:tcW w:w="916" w:type="dxa"/>
          </w:tcPr>
          <w:p w14:paraId="012201AD" w14:textId="77777777"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11.9</w:t>
            </w:r>
            <w:r w:rsidRPr="00C7349C">
              <w:rPr>
                <w:rFonts w:ascii="Arial" w:hAnsi="Arial" w:cs="Arial"/>
                <w:bCs/>
                <w:color w:val="17365D" w:themeColor="text2" w:themeShade="BF"/>
                <w:sz w:val="18"/>
                <w:szCs w:val="18"/>
              </w:rPr>
              <w:t>%</w:t>
            </w:r>
          </w:p>
        </w:tc>
        <w:tc>
          <w:tcPr>
            <w:tcW w:w="916" w:type="dxa"/>
            <w:vAlign w:val="center"/>
          </w:tcPr>
          <w:p w14:paraId="10A70D70" w14:textId="14C0D1EC" w:rsidR="00CF01CC" w:rsidRPr="00E407FC"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86</w:t>
            </w:r>
            <w:r w:rsidRPr="00E407FC">
              <w:rPr>
                <w:rFonts w:ascii="Arial" w:hAnsi="Arial" w:cs="Arial"/>
                <w:bCs/>
                <w:color w:val="17365D" w:themeColor="text2" w:themeShade="BF"/>
                <w:sz w:val="18"/>
                <w:szCs w:val="18"/>
              </w:rPr>
              <w:t>M</w:t>
            </w:r>
          </w:p>
        </w:tc>
        <w:tc>
          <w:tcPr>
            <w:tcW w:w="916" w:type="dxa"/>
            <w:vAlign w:val="center"/>
          </w:tcPr>
          <w:p w14:paraId="73BB2F04" w14:textId="5CA845DC"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9.9</w:t>
            </w:r>
            <w:r w:rsidRPr="00E407FC">
              <w:rPr>
                <w:rFonts w:ascii="Arial" w:hAnsi="Arial" w:cs="Arial"/>
                <w:bCs/>
                <w:color w:val="17365D" w:themeColor="text2" w:themeShade="BF"/>
                <w:sz w:val="18"/>
                <w:szCs w:val="18"/>
              </w:rPr>
              <w:t>%</w:t>
            </w:r>
          </w:p>
        </w:tc>
        <w:tc>
          <w:tcPr>
            <w:tcW w:w="916" w:type="dxa"/>
          </w:tcPr>
          <w:p w14:paraId="6F07B409" w14:textId="0027BC2E" w:rsidR="00CF01CC" w:rsidRDefault="00CF01CC" w:rsidP="00CF01CC">
            <w:pPr>
              <w:jc w:val="right"/>
              <w:cnfStyle w:val="000000100000" w:firstRow="0" w:lastRow="0" w:firstColumn="0" w:lastColumn="0" w:oddVBand="0" w:evenVBand="0" w:oddHBand="1"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4.9</w:t>
            </w:r>
            <w:r w:rsidRPr="00331F3F">
              <w:rPr>
                <w:rFonts w:ascii="Arial" w:hAnsi="Arial" w:cs="Arial"/>
                <w:bCs/>
                <w:color w:val="17365D" w:themeColor="text2" w:themeShade="BF"/>
                <w:sz w:val="18"/>
                <w:szCs w:val="18"/>
              </w:rPr>
              <w:t>%</w:t>
            </w:r>
          </w:p>
        </w:tc>
      </w:tr>
      <w:tr w:rsidR="00CF01CC" w:rsidRPr="00E407FC" w14:paraId="4B058FB2" w14:textId="77777777" w:rsidTr="002A7604">
        <w:trPr>
          <w:trHeight w:val="253"/>
        </w:trPr>
        <w:tc>
          <w:tcPr>
            <w:cnfStyle w:val="001000000000" w:firstRow="0" w:lastRow="0" w:firstColumn="1" w:lastColumn="0" w:oddVBand="0" w:evenVBand="0" w:oddHBand="0" w:evenHBand="0" w:firstRowFirstColumn="0" w:firstRowLastColumn="0" w:lastRowFirstColumn="0" w:lastRowLastColumn="0"/>
            <w:tcW w:w="1472" w:type="dxa"/>
            <w:vAlign w:val="center"/>
          </w:tcPr>
          <w:p w14:paraId="12AD8F9D" w14:textId="77777777" w:rsidR="00CF01CC" w:rsidRPr="00E407FC" w:rsidRDefault="00CF01CC" w:rsidP="00CF01CC">
            <w:pPr>
              <w:pStyle w:val="NoSpacing"/>
              <w:jc w:val="right"/>
              <w:rPr>
                <w:rFonts w:ascii="Arial" w:hAnsi="Arial" w:cs="Arial"/>
                <w:b w:val="0"/>
                <w:color w:val="17365D" w:themeColor="text2" w:themeShade="BF"/>
                <w:sz w:val="18"/>
                <w:szCs w:val="18"/>
              </w:rPr>
            </w:pPr>
            <w:r>
              <w:rPr>
                <w:rFonts w:ascii="Arial" w:hAnsi="Arial" w:cs="Arial"/>
                <w:b w:val="0"/>
                <w:color w:val="17365D" w:themeColor="text2" w:themeShade="BF"/>
                <w:sz w:val="18"/>
                <w:szCs w:val="18"/>
              </w:rPr>
              <w:t>Mixed fruit</w:t>
            </w:r>
          </w:p>
        </w:tc>
        <w:tc>
          <w:tcPr>
            <w:tcW w:w="915" w:type="dxa"/>
            <w:gridSpan w:val="2"/>
            <w:vAlign w:val="center"/>
          </w:tcPr>
          <w:p w14:paraId="276B456A" w14:textId="77777777" w:rsidR="00CF01CC" w:rsidRPr="00091E61"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-1.0</w:t>
            </w:r>
            <w:r w:rsidRPr="00091E61">
              <w:rPr>
                <w:rFonts w:ascii="Arial" w:hAnsi="Arial" w:cs="Arial"/>
                <w:color w:val="17365D" w:themeColor="text2" w:themeShade="BF"/>
                <w:sz w:val="18"/>
                <w:szCs w:val="18"/>
              </w:rPr>
              <w:t>%</w:t>
            </w:r>
          </w:p>
        </w:tc>
        <w:tc>
          <w:tcPr>
            <w:tcW w:w="916" w:type="dxa"/>
            <w:gridSpan w:val="2"/>
            <w:vAlign w:val="center"/>
          </w:tcPr>
          <w:p w14:paraId="5952C301"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-10.4</w:t>
            </w:r>
            <w:r w:rsidRPr="00E407FC">
              <w:rPr>
                <w:rFonts w:ascii="Arial" w:hAnsi="Arial" w:cs="Arial"/>
                <w:color w:val="17365D" w:themeColor="text2" w:themeShade="BF"/>
                <w:sz w:val="18"/>
                <w:szCs w:val="18"/>
              </w:rPr>
              <w:t>%</w:t>
            </w:r>
          </w:p>
        </w:tc>
        <w:tc>
          <w:tcPr>
            <w:tcW w:w="916" w:type="dxa"/>
            <w:vAlign w:val="center"/>
          </w:tcPr>
          <w:p w14:paraId="570FF2DA"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+8.4</w:t>
            </w:r>
            <w:r w:rsidRPr="00E407FC">
              <w:rPr>
                <w:rFonts w:ascii="Arial" w:hAnsi="Arial" w:cs="Arial"/>
                <w:color w:val="17365D" w:themeColor="text2" w:themeShade="BF"/>
                <w:sz w:val="18"/>
                <w:szCs w:val="18"/>
              </w:rPr>
              <w:t>%</w:t>
            </w:r>
          </w:p>
        </w:tc>
        <w:tc>
          <w:tcPr>
            <w:tcW w:w="916" w:type="dxa"/>
            <w:vAlign w:val="center"/>
          </w:tcPr>
          <w:p w14:paraId="19E467D8"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+59.2</w:t>
            </w:r>
            <w:r w:rsidRPr="00E407FC">
              <w:rPr>
                <w:rFonts w:ascii="Arial" w:hAnsi="Arial" w:cs="Arial"/>
                <w:color w:val="17365D" w:themeColor="text2" w:themeShade="BF"/>
                <w:sz w:val="18"/>
                <w:szCs w:val="18"/>
              </w:rPr>
              <w:t>%</w:t>
            </w:r>
          </w:p>
        </w:tc>
        <w:tc>
          <w:tcPr>
            <w:tcW w:w="916" w:type="dxa"/>
            <w:vAlign w:val="center"/>
          </w:tcPr>
          <w:p w14:paraId="6A708A5B"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Pr>
                <w:rFonts w:ascii="Arial" w:hAnsi="Arial" w:cs="Arial"/>
                <w:color w:val="17365D" w:themeColor="text2" w:themeShade="BF"/>
                <w:sz w:val="18"/>
                <w:szCs w:val="18"/>
              </w:rPr>
              <w:t>+28.6</w:t>
            </w:r>
            <w:r w:rsidRPr="00E407FC">
              <w:rPr>
                <w:rFonts w:ascii="Arial" w:hAnsi="Arial" w:cs="Arial"/>
                <w:color w:val="17365D" w:themeColor="text2" w:themeShade="BF"/>
                <w:sz w:val="18"/>
                <w:szCs w:val="18"/>
              </w:rPr>
              <w:t>%</w:t>
            </w:r>
          </w:p>
        </w:tc>
        <w:tc>
          <w:tcPr>
            <w:tcW w:w="916" w:type="dxa"/>
            <w:vAlign w:val="center"/>
          </w:tcPr>
          <w:p w14:paraId="7A78AA6F" w14:textId="77777777"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29.3</w:t>
            </w:r>
            <w:r w:rsidRPr="00E407FC">
              <w:rPr>
                <w:rFonts w:ascii="Arial" w:hAnsi="Arial" w:cs="Arial"/>
                <w:bCs/>
                <w:color w:val="17365D" w:themeColor="text2" w:themeShade="BF"/>
                <w:sz w:val="18"/>
                <w:szCs w:val="18"/>
              </w:rPr>
              <w:t>%</w:t>
            </w:r>
          </w:p>
        </w:tc>
        <w:tc>
          <w:tcPr>
            <w:tcW w:w="916" w:type="dxa"/>
          </w:tcPr>
          <w:p w14:paraId="022F5B50" w14:textId="46E3C571"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17365D" w:themeColor="text2" w:themeShade="BF"/>
                <w:sz w:val="18"/>
                <w:szCs w:val="18"/>
              </w:rPr>
            </w:pPr>
            <w:r w:rsidRPr="00C7349C">
              <w:rPr>
                <w:rFonts w:ascii="Arial" w:hAnsi="Arial" w:cs="Arial"/>
                <w:bCs/>
                <w:color w:val="17365D" w:themeColor="text2" w:themeShade="BF"/>
                <w:sz w:val="18"/>
                <w:szCs w:val="18"/>
              </w:rPr>
              <w:t>+</w:t>
            </w:r>
            <w:r>
              <w:rPr>
                <w:rFonts w:ascii="Arial" w:hAnsi="Arial" w:cs="Arial"/>
                <w:bCs/>
                <w:color w:val="17365D" w:themeColor="text2" w:themeShade="BF"/>
                <w:sz w:val="18"/>
                <w:szCs w:val="18"/>
              </w:rPr>
              <w:t>17.3</w:t>
            </w:r>
            <w:r w:rsidRPr="00C7349C">
              <w:rPr>
                <w:rFonts w:ascii="Arial" w:hAnsi="Arial" w:cs="Arial"/>
                <w:bCs/>
                <w:color w:val="17365D" w:themeColor="text2" w:themeShade="BF"/>
                <w:sz w:val="18"/>
                <w:szCs w:val="18"/>
              </w:rPr>
              <w:t>%</w:t>
            </w:r>
          </w:p>
        </w:tc>
        <w:tc>
          <w:tcPr>
            <w:tcW w:w="916" w:type="dxa"/>
            <w:vAlign w:val="center"/>
          </w:tcPr>
          <w:p w14:paraId="6DCED09F" w14:textId="319A1C9C" w:rsidR="00CF01CC" w:rsidRPr="00E407FC"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17365D" w:themeColor="text2" w:themeShade="BF"/>
                <w:sz w:val="18"/>
                <w:szCs w:val="18"/>
              </w:rPr>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82</w:t>
            </w:r>
            <w:r w:rsidRPr="00E407FC">
              <w:rPr>
                <w:rFonts w:ascii="Arial" w:hAnsi="Arial" w:cs="Arial"/>
                <w:bCs/>
                <w:color w:val="17365D" w:themeColor="text2" w:themeShade="BF"/>
                <w:sz w:val="18"/>
                <w:szCs w:val="18"/>
              </w:rPr>
              <w:t>M</w:t>
            </w:r>
          </w:p>
        </w:tc>
        <w:tc>
          <w:tcPr>
            <w:tcW w:w="916" w:type="dxa"/>
            <w:vAlign w:val="center"/>
          </w:tcPr>
          <w:p w14:paraId="32264552" w14:textId="23361395"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E407FC">
              <w:rPr>
                <w:rFonts w:ascii="Arial" w:hAnsi="Arial" w:cs="Arial"/>
                <w:bCs/>
                <w:color w:val="17365D" w:themeColor="text2" w:themeShade="BF"/>
                <w:sz w:val="18"/>
                <w:szCs w:val="18"/>
              </w:rPr>
              <w:t>+</w:t>
            </w:r>
            <w:r>
              <w:rPr>
                <w:rFonts w:ascii="Arial" w:hAnsi="Arial" w:cs="Arial"/>
                <w:bCs/>
                <w:color w:val="17365D" w:themeColor="text2" w:themeShade="BF"/>
                <w:sz w:val="18"/>
                <w:szCs w:val="18"/>
              </w:rPr>
              <w:t>3.6</w:t>
            </w:r>
            <w:r w:rsidRPr="00E407FC">
              <w:rPr>
                <w:rFonts w:ascii="Arial" w:hAnsi="Arial" w:cs="Arial"/>
                <w:bCs/>
                <w:color w:val="17365D" w:themeColor="text2" w:themeShade="BF"/>
                <w:sz w:val="18"/>
                <w:szCs w:val="18"/>
              </w:rPr>
              <w:t>%</w:t>
            </w:r>
          </w:p>
        </w:tc>
        <w:tc>
          <w:tcPr>
            <w:tcW w:w="916" w:type="dxa"/>
          </w:tcPr>
          <w:p w14:paraId="013E3861" w14:textId="6F3198F7" w:rsidR="00CF01CC" w:rsidRDefault="00CF01CC" w:rsidP="00CF01CC">
            <w:pPr>
              <w:jc w:val="right"/>
              <w:cnfStyle w:val="000000000000" w:firstRow="0" w:lastRow="0" w:firstColumn="0" w:lastColumn="0" w:oddVBand="0" w:evenVBand="0" w:oddHBand="0" w:evenHBand="0" w:firstRowFirstColumn="0" w:firstRowLastColumn="0" w:lastRowFirstColumn="0" w:lastRowLastColumn="0"/>
            </w:pPr>
            <w:r w:rsidRPr="00331F3F">
              <w:rPr>
                <w:rFonts w:ascii="Arial" w:hAnsi="Arial" w:cs="Arial"/>
                <w:bCs/>
                <w:color w:val="17365D" w:themeColor="text2" w:themeShade="BF"/>
                <w:sz w:val="18"/>
                <w:szCs w:val="18"/>
              </w:rPr>
              <w:t>-</w:t>
            </w:r>
            <w:r w:rsidR="00731950">
              <w:rPr>
                <w:rFonts w:ascii="Arial" w:hAnsi="Arial" w:cs="Arial"/>
                <w:bCs/>
                <w:color w:val="17365D" w:themeColor="text2" w:themeShade="BF"/>
                <w:sz w:val="18"/>
                <w:szCs w:val="18"/>
              </w:rPr>
              <w:t>5.1</w:t>
            </w:r>
            <w:r w:rsidRPr="00331F3F">
              <w:rPr>
                <w:rFonts w:ascii="Arial" w:hAnsi="Arial" w:cs="Arial"/>
                <w:bCs/>
                <w:color w:val="17365D" w:themeColor="text2" w:themeShade="BF"/>
                <w:sz w:val="18"/>
                <w:szCs w:val="18"/>
              </w:rPr>
              <w:t>%</w:t>
            </w:r>
          </w:p>
        </w:tc>
      </w:tr>
    </w:tbl>
    <w:p w14:paraId="09DFFB42" w14:textId="5C66E768" w:rsidR="00CB6454" w:rsidRPr="00EA1FE4" w:rsidRDefault="00CB6454" w:rsidP="00CB6454">
      <w:pPr>
        <w:pStyle w:val="NoSpacing"/>
        <w:rPr>
          <w:rFonts w:ascii="Arial" w:hAnsi="Arial" w:cs="Arial"/>
          <w:sz w:val="10"/>
          <w:szCs w:val="10"/>
        </w:rPr>
      </w:pPr>
    </w:p>
    <w:p w14:paraId="70B6D0A4" w14:textId="77777777" w:rsidR="00CB6454" w:rsidRPr="00B35CE9" w:rsidRDefault="00CB6454" w:rsidP="00CB6454">
      <w:pPr>
        <w:pStyle w:val="NoSpacing"/>
        <w:rPr>
          <w:rFonts w:ascii="Arial" w:hAnsi="Arial" w:cs="Arial"/>
          <w:sz w:val="16"/>
          <w:szCs w:val="16"/>
        </w:rPr>
      </w:pPr>
      <w:r>
        <w:rPr>
          <w:rFonts w:ascii="Arial" w:hAnsi="Arial" w:cs="Arial"/>
          <w:sz w:val="16"/>
          <w:szCs w:val="16"/>
        </w:rPr>
        <w:t xml:space="preserve">    </w:t>
      </w:r>
      <w:r w:rsidRPr="00B35CE9">
        <w:rPr>
          <w:rFonts w:ascii="Arial" w:hAnsi="Arial" w:cs="Arial"/>
          <w:sz w:val="16"/>
          <w:szCs w:val="16"/>
        </w:rPr>
        <w:t>Source: Source</w:t>
      </w:r>
      <w:r>
        <w:rPr>
          <w:rFonts w:ascii="Arial" w:hAnsi="Arial" w:cs="Arial"/>
          <w:sz w:val="16"/>
          <w:szCs w:val="16"/>
        </w:rPr>
        <w:t>: IRI Integrated Fresh, Total U.S., MULO</w:t>
      </w:r>
    </w:p>
    <w:p w14:paraId="3EF2F674" w14:textId="77777777" w:rsidR="009C4990" w:rsidRDefault="009C4990" w:rsidP="00B10C22">
      <w:pPr>
        <w:pStyle w:val="NoSpacing"/>
        <w:rPr>
          <w:rFonts w:ascii="Arial" w:hAnsi="Arial" w:cs="Arial"/>
          <w:b/>
          <w:color w:val="595959" w:themeColor="text1" w:themeTint="A6"/>
          <w:sz w:val="24"/>
          <w:szCs w:val="24"/>
        </w:rPr>
      </w:pPr>
    </w:p>
    <w:p w14:paraId="16F61730" w14:textId="43CE6C27" w:rsidR="00B10C22" w:rsidRPr="00BF7B2A" w:rsidRDefault="00B10C22" w:rsidP="00B10C22">
      <w:pPr>
        <w:pStyle w:val="NoSpacing"/>
        <w:rPr>
          <w:rFonts w:ascii="Arial" w:hAnsi="Arial" w:cs="Arial"/>
          <w:b/>
          <w:color w:val="595959" w:themeColor="text1" w:themeTint="A6"/>
          <w:sz w:val="24"/>
          <w:szCs w:val="24"/>
        </w:rPr>
      </w:pPr>
      <w:r w:rsidRPr="00BF7B2A">
        <w:rPr>
          <w:rFonts w:ascii="Arial" w:hAnsi="Arial" w:cs="Arial"/>
          <w:b/>
          <w:color w:val="595959" w:themeColor="text1" w:themeTint="A6"/>
          <w:sz w:val="24"/>
          <w:szCs w:val="24"/>
        </w:rPr>
        <w:t xml:space="preserve">Fresh </w:t>
      </w:r>
      <w:r w:rsidR="00BF7B2A">
        <w:rPr>
          <w:rFonts w:ascii="Arial" w:hAnsi="Arial" w:cs="Arial"/>
          <w:b/>
          <w:color w:val="595959" w:themeColor="text1" w:themeTint="A6"/>
          <w:sz w:val="24"/>
          <w:szCs w:val="24"/>
        </w:rPr>
        <w:t>V</w:t>
      </w:r>
      <w:r w:rsidRPr="00BF7B2A">
        <w:rPr>
          <w:rFonts w:ascii="Arial" w:hAnsi="Arial" w:cs="Arial"/>
          <w:b/>
          <w:color w:val="595959" w:themeColor="text1" w:themeTint="A6"/>
          <w:sz w:val="24"/>
          <w:szCs w:val="24"/>
        </w:rPr>
        <w:t>egetables</w:t>
      </w:r>
      <w:r w:rsidR="00EB33CE">
        <w:rPr>
          <w:rFonts w:ascii="Arial" w:hAnsi="Arial" w:cs="Arial"/>
          <w:b/>
          <w:color w:val="595959" w:themeColor="text1" w:themeTint="A6"/>
          <w:sz w:val="24"/>
          <w:szCs w:val="24"/>
        </w:rPr>
        <w:t xml:space="preserve"> Sales in </w:t>
      </w:r>
      <w:r w:rsidR="004F27DA">
        <w:rPr>
          <w:rFonts w:ascii="Arial" w:hAnsi="Arial" w:cs="Arial"/>
          <w:b/>
          <w:color w:val="595959" w:themeColor="text1" w:themeTint="A6"/>
          <w:sz w:val="24"/>
          <w:szCs w:val="24"/>
        </w:rPr>
        <w:t>March</w:t>
      </w:r>
    </w:p>
    <w:p w14:paraId="79E43D5D" w14:textId="2F61E480" w:rsidR="00836D73" w:rsidRDefault="007273B2" w:rsidP="00B10C22">
      <w:pPr>
        <w:pStyle w:val="NoSpacing"/>
        <w:rPr>
          <w:rFonts w:ascii="Arial" w:hAnsi="Arial" w:cs="Arial"/>
          <w:sz w:val="20"/>
          <w:szCs w:val="20"/>
        </w:rPr>
      </w:pPr>
      <w:r>
        <w:rPr>
          <w:rFonts w:ascii="Arial" w:hAnsi="Arial" w:cs="Arial"/>
          <w:sz w:val="20"/>
          <w:szCs w:val="20"/>
        </w:rPr>
        <w:t>“</w:t>
      </w:r>
      <w:r w:rsidR="00461C35">
        <w:rPr>
          <w:rFonts w:ascii="Arial" w:hAnsi="Arial" w:cs="Arial"/>
          <w:sz w:val="20"/>
          <w:szCs w:val="20"/>
        </w:rPr>
        <w:t>Seven out of the top 10 vegetable sellers grew sales versus year ago</w:t>
      </w:r>
      <w:r w:rsidR="00546508">
        <w:rPr>
          <w:rFonts w:ascii="Arial" w:hAnsi="Arial" w:cs="Arial"/>
          <w:sz w:val="20"/>
          <w:szCs w:val="20"/>
        </w:rPr>
        <w:t xml:space="preserve">,” said Watson. </w:t>
      </w:r>
      <w:r w:rsidR="00084469">
        <w:rPr>
          <w:rFonts w:ascii="Arial" w:hAnsi="Arial" w:cs="Arial"/>
          <w:sz w:val="20"/>
          <w:szCs w:val="20"/>
        </w:rPr>
        <w:t>“</w:t>
      </w:r>
      <w:r w:rsidR="000C4A54">
        <w:rPr>
          <w:rFonts w:ascii="Arial" w:hAnsi="Arial" w:cs="Arial"/>
          <w:sz w:val="20"/>
          <w:szCs w:val="20"/>
        </w:rPr>
        <w:t>Pound sales were down for most fresh vegetables, with a few exceptions, being potatoes, onions and cucumbers</w:t>
      </w:r>
      <w:r w:rsidR="00AA16AD">
        <w:rPr>
          <w:rFonts w:ascii="Arial" w:hAnsi="Arial" w:cs="Arial"/>
          <w:sz w:val="20"/>
          <w:szCs w:val="20"/>
        </w:rPr>
        <w:t>.</w:t>
      </w:r>
      <w:r w:rsidR="00891C7E">
        <w:rPr>
          <w:rFonts w:ascii="Arial" w:hAnsi="Arial" w:cs="Arial"/>
          <w:sz w:val="20"/>
          <w:szCs w:val="20"/>
        </w:rPr>
        <w:t>”</w:t>
      </w:r>
      <w:r w:rsidR="00AA16AD">
        <w:rPr>
          <w:rFonts w:ascii="Arial" w:hAnsi="Arial" w:cs="Arial"/>
          <w:sz w:val="20"/>
          <w:szCs w:val="20"/>
        </w:rPr>
        <w:t xml:space="preserve"> </w:t>
      </w:r>
    </w:p>
    <w:p w14:paraId="44130A14" w14:textId="77777777" w:rsidR="001F53D3" w:rsidRPr="002E6833" w:rsidRDefault="001F53D3" w:rsidP="00B10C22">
      <w:pPr>
        <w:pStyle w:val="NoSpacing"/>
        <w:rPr>
          <w:rFonts w:ascii="Arial" w:hAnsi="Arial" w:cs="Arial"/>
          <w:sz w:val="18"/>
          <w:szCs w:val="20"/>
        </w:rPr>
      </w:pPr>
    </w:p>
    <w:tbl>
      <w:tblPr>
        <w:tblStyle w:val="LightShading-Accent5"/>
        <w:tblW w:w="10631" w:type="dxa"/>
        <w:tblBorders>
          <w:top w:val="none" w:sz="0" w:space="0" w:color="auto"/>
          <w:bottom w:val="none" w:sz="0" w:space="0" w:color="auto"/>
        </w:tblBorders>
        <w:tblLayout w:type="fixed"/>
        <w:tblLook w:val="04A0" w:firstRow="1" w:lastRow="0" w:firstColumn="1" w:lastColumn="0" w:noHBand="0" w:noVBand="1"/>
      </w:tblPr>
      <w:tblGrid>
        <w:gridCol w:w="1453"/>
        <w:gridCol w:w="747"/>
        <w:gridCol w:w="171"/>
        <w:gridCol w:w="754"/>
        <w:gridCol w:w="164"/>
        <w:gridCol w:w="918"/>
        <w:gridCol w:w="917"/>
        <w:gridCol w:w="918"/>
        <w:gridCol w:w="918"/>
        <w:gridCol w:w="917"/>
        <w:gridCol w:w="918"/>
        <w:gridCol w:w="918"/>
        <w:gridCol w:w="918"/>
      </w:tblGrid>
      <w:tr w:rsidR="00650E52" w:rsidRPr="0003007F" w14:paraId="7A470830" w14:textId="77777777" w:rsidTr="00110FF9">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00" w:type="dxa"/>
            <w:gridSpan w:val="2"/>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29766D52" w14:textId="77777777" w:rsidR="00650E52" w:rsidRPr="00AB1306" w:rsidRDefault="00650E52" w:rsidP="00CF30D8">
            <w:pPr>
              <w:pStyle w:val="NoSpacing"/>
              <w:rPr>
                <w:rFonts w:ascii="Arial" w:hAnsi="Arial" w:cs="Arial"/>
                <w:color w:val="FFFFFF" w:themeColor="background1"/>
                <w:sz w:val="18"/>
                <w:szCs w:val="18"/>
              </w:rPr>
            </w:pPr>
            <w:r w:rsidRPr="00AB1306">
              <w:rPr>
                <w:rFonts w:ascii="Arial" w:hAnsi="Arial" w:cs="Arial"/>
                <w:color w:val="FFFFFF" w:themeColor="background1"/>
                <w:sz w:val="18"/>
                <w:szCs w:val="18"/>
              </w:rPr>
              <w:t>Top 10 in sales</w:t>
            </w:r>
          </w:p>
        </w:tc>
        <w:tc>
          <w:tcPr>
            <w:tcW w:w="925" w:type="dxa"/>
            <w:gridSpan w:val="2"/>
            <w:tcBorders>
              <w:top w:val="none" w:sz="0" w:space="0" w:color="auto"/>
              <w:left w:val="none" w:sz="0" w:space="0" w:color="auto"/>
              <w:bottom w:val="none" w:sz="0" w:space="0" w:color="auto"/>
              <w:right w:val="none" w:sz="0" w:space="0" w:color="auto"/>
            </w:tcBorders>
            <w:shd w:val="clear" w:color="auto" w:fill="17365D" w:themeFill="text2" w:themeFillShade="BF"/>
          </w:tcPr>
          <w:p w14:paraId="29174915" w14:textId="77777777" w:rsidR="00650E52" w:rsidRPr="00AB1306" w:rsidRDefault="00650E52" w:rsidP="00CF30D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c>
          <w:tcPr>
            <w:tcW w:w="7506" w:type="dxa"/>
            <w:gridSpan w:val="9"/>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3F4CA447" w14:textId="2A30B187" w:rsidR="00650E52" w:rsidRPr="0003007F" w:rsidRDefault="00650E52" w:rsidP="00CF30D8">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AB1306">
              <w:rPr>
                <w:rFonts w:ascii="Arial" w:hAnsi="Arial" w:cs="Arial"/>
                <w:color w:val="FFFFFF" w:themeColor="background1"/>
                <w:sz w:val="18"/>
                <w:szCs w:val="18"/>
              </w:rPr>
              <w:t>Dollar sal</w:t>
            </w:r>
            <w:r>
              <w:rPr>
                <w:rFonts w:ascii="Arial" w:hAnsi="Arial" w:cs="Arial"/>
                <w:color w:val="FFFFFF" w:themeColor="background1"/>
                <w:sz w:val="18"/>
                <w:szCs w:val="18"/>
              </w:rPr>
              <w:t>es increase over comparable period</w:t>
            </w:r>
            <w:r w:rsidRPr="00AB1306">
              <w:rPr>
                <w:rFonts w:ascii="Arial" w:hAnsi="Arial" w:cs="Arial"/>
                <w:color w:val="FFFFFF" w:themeColor="background1"/>
                <w:sz w:val="18"/>
                <w:szCs w:val="18"/>
              </w:rPr>
              <w:t xml:space="preserve"> </w:t>
            </w:r>
            <w:r>
              <w:rPr>
                <w:rFonts w:ascii="Arial" w:hAnsi="Arial" w:cs="Arial"/>
                <w:color w:val="FFFFFF" w:themeColor="background1"/>
                <w:sz w:val="18"/>
                <w:szCs w:val="18"/>
              </w:rPr>
              <w:t>YA</w:t>
            </w:r>
          </w:p>
        </w:tc>
      </w:tr>
      <w:tr w:rsidR="00A052A1" w:rsidRPr="0003007F" w14:paraId="1A8BBFDE" w14:textId="77777777" w:rsidTr="000D028E">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453" w:type="dxa"/>
            <w:tcBorders>
              <w:left w:val="none" w:sz="0" w:space="0" w:color="auto"/>
              <w:right w:val="none" w:sz="0" w:space="0" w:color="auto"/>
            </w:tcBorders>
            <w:shd w:val="clear" w:color="auto" w:fill="17365D" w:themeFill="text2" w:themeFillShade="BF"/>
            <w:vAlign w:val="center"/>
          </w:tcPr>
          <w:p w14:paraId="121215D2" w14:textId="77777777" w:rsidR="00A052A1" w:rsidRPr="0003007F" w:rsidRDefault="00A052A1" w:rsidP="00A052A1">
            <w:pPr>
              <w:pStyle w:val="NoSpacing"/>
              <w:jc w:val="right"/>
              <w:rPr>
                <w:rFonts w:ascii="Arial" w:hAnsi="Arial" w:cs="Arial"/>
                <w:color w:val="FFFFFF" w:themeColor="background1"/>
                <w:sz w:val="18"/>
                <w:szCs w:val="18"/>
              </w:rPr>
            </w:pPr>
          </w:p>
        </w:tc>
        <w:tc>
          <w:tcPr>
            <w:tcW w:w="918" w:type="dxa"/>
            <w:gridSpan w:val="2"/>
            <w:tcBorders>
              <w:left w:val="none" w:sz="0" w:space="0" w:color="auto"/>
              <w:right w:val="none" w:sz="0" w:space="0" w:color="auto"/>
            </w:tcBorders>
            <w:shd w:val="clear" w:color="auto" w:fill="17365D" w:themeFill="text2" w:themeFillShade="BF"/>
            <w:vAlign w:val="bottom"/>
          </w:tcPr>
          <w:p w14:paraId="5ADBE0D8" w14:textId="77777777" w:rsidR="00A052A1" w:rsidRPr="000F7932" w:rsidRDefault="00A052A1" w:rsidP="00A052A1">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Pr>
                <w:rFonts w:ascii="Arial" w:hAnsi="Arial" w:cs="Arial"/>
                <w:b/>
                <w:color w:val="FFFFFF" w:themeColor="background1"/>
                <w:sz w:val="18"/>
                <w:szCs w:val="18"/>
              </w:rPr>
              <w:t>2019</w:t>
            </w:r>
          </w:p>
        </w:tc>
        <w:tc>
          <w:tcPr>
            <w:tcW w:w="918" w:type="dxa"/>
            <w:gridSpan w:val="2"/>
            <w:tcBorders>
              <w:left w:val="none" w:sz="0" w:space="0" w:color="auto"/>
              <w:right w:val="none" w:sz="0" w:space="0" w:color="auto"/>
            </w:tcBorders>
            <w:shd w:val="clear" w:color="auto" w:fill="17365D" w:themeFill="text2" w:themeFillShade="BF"/>
            <w:vAlign w:val="bottom"/>
          </w:tcPr>
          <w:p w14:paraId="404DAA37" w14:textId="77777777" w:rsidR="00A052A1" w:rsidRPr="000F7932" w:rsidRDefault="00A052A1" w:rsidP="00A052A1">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20</w:t>
            </w:r>
            <w:r w:rsidRPr="000F7932">
              <w:rPr>
                <w:rFonts w:ascii="Arial" w:hAnsi="Arial" w:cs="Arial"/>
                <w:b/>
                <w:color w:val="FFFFFF" w:themeColor="background1"/>
                <w:sz w:val="18"/>
                <w:szCs w:val="18"/>
              </w:rPr>
              <w:t>20</w:t>
            </w:r>
          </w:p>
        </w:tc>
        <w:tc>
          <w:tcPr>
            <w:tcW w:w="918" w:type="dxa"/>
            <w:tcBorders>
              <w:left w:val="none" w:sz="0" w:space="0" w:color="auto"/>
              <w:right w:val="none" w:sz="0" w:space="0" w:color="auto"/>
            </w:tcBorders>
            <w:shd w:val="clear" w:color="auto" w:fill="17365D" w:themeFill="text2" w:themeFillShade="BF"/>
            <w:vAlign w:val="bottom"/>
          </w:tcPr>
          <w:p w14:paraId="7E87E175" w14:textId="77777777" w:rsidR="00A052A1" w:rsidRPr="000F7932"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0F7932">
              <w:rPr>
                <w:rFonts w:ascii="Arial" w:hAnsi="Arial" w:cs="Arial"/>
                <w:b/>
                <w:color w:val="FFFFFF" w:themeColor="background1"/>
                <w:sz w:val="18"/>
                <w:szCs w:val="18"/>
              </w:rPr>
              <w:t>Q1 ‘21</w:t>
            </w:r>
          </w:p>
        </w:tc>
        <w:tc>
          <w:tcPr>
            <w:tcW w:w="917" w:type="dxa"/>
            <w:tcBorders>
              <w:left w:val="none" w:sz="0" w:space="0" w:color="auto"/>
              <w:right w:val="none" w:sz="0" w:space="0" w:color="auto"/>
            </w:tcBorders>
            <w:shd w:val="clear" w:color="auto" w:fill="17365D" w:themeFill="text2" w:themeFillShade="BF"/>
            <w:vAlign w:val="bottom"/>
          </w:tcPr>
          <w:p w14:paraId="3DE151C5" w14:textId="77777777" w:rsidR="00A052A1" w:rsidRPr="000F7932"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Q2</w:t>
            </w:r>
            <w:r w:rsidRPr="000F7932">
              <w:rPr>
                <w:rFonts w:ascii="Arial" w:hAnsi="Arial" w:cs="Arial"/>
                <w:b/>
                <w:color w:val="FFFFFF" w:themeColor="background1"/>
                <w:sz w:val="18"/>
                <w:szCs w:val="18"/>
              </w:rPr>
              <w:t xml:space="preserve"> ‘21</w:t>
            </w:r>
          </w:p>
        </w:tc>
        <w:tc>
          <w:tcPr>
            <w:tcW w:w="918" w:type="dxa"/>
            <w:tcBorders>
              <w:left w:val="none" w:sz="0" w:space="0" w:color="auto"/>
              <w:right w:val="none" w:sz="0" w:space="0" w:color="auto"/>
            </w:tcBorders>
            <w:shd w:val="clear" w:color="auto" w:fill="17365D" w:themeFill="text2" w:themeFillShade="BF"/>
            <w:vAlign w:val="bottom"/>
          </w:tcPr>
          <w:p w14:paraId="080ACD9C" w14:textId="77777777" w:rsidR="00A052A1"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Q3 ‘21</w:t>
            </w:r>
          </w:p>
        </w:tc>
        <w:tc>
          <w:tcPr>
            <w:tcW w:w="918" w:type="dxa"/>
            <w:tcBorders>
              <w:left w:val="none" w:sz="0" w:space="0" w:color="auto"/>
              <w:right w:val="none" w:sz="0" w:space="0" w:color="auto"/>
            </w:tcBorders>
            <w:shd w:val="clear" w:color="auto" w:fill="17365D" w:themeFill="text2" w:themeFillShade="BF"/>
            <w:vAlign w:val="bottom"/>
          </w:tcPr>
          <w:p w14:paraId="217E8163" w14:textId="77777777" w:rsidR="00A052A1"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Q4’ 21</w:t>
            </w:r>
          </w:p>
        </w:tc>
        <w:tc>
          <w:tcPr>
            <w:tcW w:w="917" w:type="dxa"/>
            <w:tcBorders>
              <w:left w:val="none" w:sz="0" w:space="0" w:color="auto"/>
              <w:right w:val="none" w:sz="0" w:space="0" w:color="auto"/>
            </w:tcBorders>
            <w:shd w:val="clear" w:color="auto" w:fill="17365D" w:themeFill="text2" w:themeFillShade="BF"/>
          </w:tcPr>
          <w:p w14:paraId="0482655D" w14:textId="77777777" w:rsidR="00A052A1"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p>
          <w:p w14:paraId="0D3670C9" w14:textId="19775610" w:rsidR="00A052A1" w:rsidRPr="000F7932"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Q1 ‘22</w:t>
            </w:r>
          </w:p>
        </w:tc>
        <w:tc>
          <w:tcPr>
            <w:tcW w:w="918" w:type="dxa"/>
            <w:tcBorders>
              <w:left w:val="none" w:sz="0" w:space="0" w:color="auto"/>
              <w:right w:val="none" w:sz="0" w:space="0" w:color="auto"/>
            </w:tcBorders>
            <w:shd w:val="clear" w:color="auto" w:fill="17365D" w:themeFill="text2" w:themeFillShade="BF"/>
            <w:vAlign w:val="bottom"/>
          </w:tcPr>
          <w:p w14:paraId="39075783" w14:textId="631F3DBC" w:rsidR="00A052A1" w:rsidRDefault="00E70C86"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Apr</w:t>
            </w:r>
            <w:r w:rsidR="00A052A1">
              <w:rPr>
                <w:rFonts w:ascii="Arial" w:hAnsi="Arial" w:cs="Arial"/>
                <w:b/>
                <w:color w:val="FFFFFF" w:themeColor="background1"/>
                <w:sz w:val="18"/>
                <w:szCs w:val="18"/>
              </w:rPr>
              <w:t xml:space="preserve"> ‘22</w:t>
            </w:r>
          </w:p>
        </w:tc>
        <w:tc>
          <w:tcPr>
            <w:tcW w:w="918" w:type="dxa"/>
            <w:tcBorders>
              <w:left w:val="none" w:sz="0" w:space="0" w:color="auto"/>
              <w:right w:val="none" w:sz="0" w:space="0" w:color="auto"/>
            </w:tcBorders>
            <w:shd w:val="clear" w:color="auto" w:fill="17365D" w:themeFill="text2" w:themeFillShade="BF"/>
            <w:vAlign w:val="bottom"/>
          </w:tcPr>
          <w:p w14:paraId="7C917CDF" w14:textId="7E9B3F40" w:rsidR="00A052A1" w:rsidRPr="000F7932"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w:t>
            </w:r>
            <w:r w:rsidRPr="000F7932">
              <w:rPr>
                <w:rFonts w:ascii="Arial" w:hAnsi="Arial" w:cs="Arial"/>
                <w:b/>
                <w:color w:val="FFFFFF" w:themeColor="background1"/>
                <w:sz w:val="18"/>
                <w:szCs w:val="18"/>
              </w:rPr>
              <w:t xml:space="preserve"> </w:t>
            </w:r>
            <w:r>
              <w:rPr>
                <w:rFonts w:ascii="Arial" w:hAnsi="Arial" w:cs="Arial"/>
                <w:b/>
                <w:color w:val="FFFFFF" w:themeColor="background1"/>
                <w:sz w:val="18"/>
                <w:szCs w:val="18"/>
              </w:rPr>
              <w:br/>
            </w:r>
            <w:r w:rsidRPr="000F7932">
              <w:rPr>
                <w:rFonts w:ascii="Arial" w:hAnsi="Arial" w:cs="Arial"/>
                <w:b/>
                <w:color w:val="FFFFFF" w:themeColor="background1"/>
                <w:sz w:val="18"/>
                <w:szCs w:val="18"/>
              </w:rPr>
              <w:t xml:space="preserve">vs </w:t>
            </w:r>
            <w:r>
              <w:rPr>
                <w:rFonts w:ascii="Arial" w:hAnsi="Arial" w:cs="Arial"/>
                <w:b/>
                <w:color w:val="FFFFFF" w:themeColor="background1"/>
                <w:sz w:val="18"/>
                <w:szCs w:val="18"/>
              </w:rPr>
              <w:t>YA</w:t>
            </w:r>
          </w:p>
        </w:tc>
        <w:tc>
          <w:tcPr>
            <w:tcW w:w="918" w:type="dxa"/>
            <w:tcBorders>
              <w:left w:val="none" w:sz="0" w:space="0" w:color="auto"/>
              <w:right w:val="none" w:sz="0" w:space="0" w:color="auto"/>
            </w:tcBorders>
            <w:shd w:val="clear" w:color="auto" w:fill="17365D" w:themeFill="text2" w:themeFillShade="BF"/>
            <w:vAlign w:val="bottom"/>
          </w:tcPr>
          <w:p w14:paraId="74707D81" w14:textId="51B49671" w:rsidR="00A052A1" w:rsidRPr="000F7932" w:rsidRDefault="00A052A1" w:rsidP="00A052A1">
            <w:pPr>
              <w:pStyle w:val="NoSpacing"/>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lbs vs YA</w:t>
            </w:r>
          </w:p>
        </w:tc>
      </w:tr>
      <w:tr w:rsidR="000C4A54" w:rsidRPr="000C4A54" w14:paraId="64FEFD1E" w14:textId="77777777" w:rsidTr="00AA16AD">
        <w:trPr>
          <w:trHeight w:val="298"/>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7E4C60D1" w14:textId="77777777" w:rsidR="00CF01CC" w:rsidRPr="000C4A54" w:rsidRDefault="00CF01CC" w:rsidP="00CF01CC">
            <w:pPr>
              <w:pStyle w:val="NoSpacing"/>
              <w:jc w:val="right"/>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Fresh vegetables</w:t>
            </w:r>
          </w:p>
        </w:tc>
        <w:tc>
          <w:tcPr>
            <w:tcW w:w="918" w:type="dxa"/>
            <w:gridSpan w:val="2"/>
            <w:vAlign w:val="center"/>
          </w:tcPr>
          <w:p w14:paraId="532B2278" w14:textId="1BCCC50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+3.9%</w:t>
            </w:r>
          </w:p>
        </w:tc>
        <w:tc>
          <w:tcPr>
            <w:tcW w:w="918" w:type="dxa"/>
            <w:gridSpan w:val="2"/>
            <w:vAlign w:val="center"/>
          </w:tcPr>
          <w:p w14:paraId="38D628D7" w14:textId="2AB16628"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+14.8%</w:t>
            </w:r>
          </w:p>
        </w:tc>
        <w:tc>
          <w:tcPr>
            <w:tcW w:w="918" w:type="dxa"/>
            <w:vAlign w:val="center"/>
          </w:tcPr>
          <w:p w14:paraId="0AE99261" w14:textId="3F80A9FB"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+4.7%</w:t>
            </w:r>
          </w:p>
        </w:tc>
        <w:tc>
          <w:tcPr>
            <w:tcW w:w="917" w:type="dxa"/>
            <w:vAlign w:val="center"/>
          </w:tcPr>
          <w:p w14:paraId="3DA157A6" w14:textId="692137B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-7.1%</w:t>
            </w:r>
          </w:p>
        </w:tc>
        <w:tc>
          <w:tcPr>
            <w:tcW w:w="918" w:type="dxa"/>
            <w:vAlign w:val="center"/>
          </w:tcPr>
          <w:p w14:paraId="71AC4EEC" w14:textId="605113E5"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-2.3%</w:t>
            </w:r>
          </w:p>
        </w:tc>
        <w:tc>
          <w:tcPr>
            <w:tcW w:w="918" w:type="dxa"/>
            <w:vAlign w:val="center"/>
          </w:tcPr>
          <w:p w14:paraId="7A5CA8D8"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rPr>
            </w:pPr>
            <w:r w:rsidRPr="000C4A54">
              <w:rPr>
                <w:rFonts w:ascii="Arial" w:hAnsi="Arial" w:cs="Arial"/>
                <w:b/>
                <w:bCs/>
                <w:color w:val="215868" w:themeColor="accent5" w:themeShade="80"/>
                <w:sz w:val="18"/>
              </w:rPr>
              <w:t>+0.1%</w:t>
            </w:r>
          </w:p>
        </w:tc>
        <w:tc>
          <w:tcPr>
            <w:tcW w:w="917" w:type="dxa"/>
            <w:vAlign w:val="center"/>
          </w:tcPr>
          <w:p w14:paraId="4FC66313" w14:textId="11C5FAAD"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-0.4%</w:t>
            </w:r>
          </w:p>
        </w:tc>
        <w:tc>
          <w:tcPr>
            <w:tcW w:w="918" w:type="dxa"/>
            <w:vAlign w:val="center"/>
          </w:tcPr>
          <w:p w14:paraId="601C6ECF" w14:textId="36AF900E"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w:t>
            </w:r>
            <w:r w:rsidR="000C4A54" w:rsidRPr="000C4A54">
              <w:rPr>
                <w:rFonts w:ascii="Arial" w:hAnsi="Arial" w:cs="Arial"/>
                <w:b/>
                <w:bCs/>
                <w:color w:val="215868" w:themeColor="accent5" w:themeShade="80"/>
                <w:sz w:val="18"/>
                <w:szCs w:val="18"/>
              </w:rPr>
              <w:t>2.8</w:t>
            </w:r>
            <w:r w:rsidRPr="000C4A54">
              <w:rPr>
                <w:rFonts w:ascii="Arial" w:hAnsi="Arial" w:cs="Arial"/>
                <w:b/>
                <w:bCs/>
                <w:color w:val="215868" w:themeColor="accent5" w:themeShade="80"/>
                <w:sz w:val="18"/>
                <w:szCs w:val="18"/>
              </w:rPr>
              <w:t>B</w:t>
            </w:r>
          </w:p>
        </w:tc>
        <w:tc>
          <w:tcPr>
            <w:tcW w:w="918" w:type="dxa"/>
            <w:vAlign w:val="center"/>
          </w:tcPr>
          <w:p w14:paraId="08D3AC71" w14:textId="17021639"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color w:val="215868" w:themeColor="accent5" w:themeShade="80"/>
                <w:sz w:val="18"/>
                <w:szCs w:val="18"/>
              </w:rPr>
              <w:t>+</w:t>
            </w:r>
            <w:r w:rsidR="000C4A54" w:rsidRPr="000C4A54">
              <w:rPr>
                <w:rFonts w:ascii="Arial" w:hAnsi="Arial" w:cs="Arial"/>
                <w:b/>
                <w:color w:val="215868" w:themeColor="accent5" w:themeShade="80"/>
                <w:sz w:val="18"/>
                <w:szCs w:val="18"/>
              </w:rPr>
              <w:t>2.4</w:t>
            </w:r>
            <w:r w:rsidRPr="000C4A54">
              <w:rPr>
                <w:rFonts w:ascii="Arial" w:hAnsi="Arial" w:cs="Arial"/>
                <w:b/>
                <w:color w:val="215868" w:themeColor="accent5" w:themeShade="80"/>
                <w:sz w:val="18"/>
                <w:szCs w:val="18"/>
              </w:rPr>
              <w:t>%</w:t>
            </w:r>
          </w:p>
        </w:tc>
        <w:tc>
          <w:tcPr>
            <w:tcW w:w="918" w:type="dxa"/>
            <w:vAlign w:val="center"/>
          </w:tcPr>
          <w:p w14:paraId="3B8B2B0A" w14:textId="00965EA8"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215868" w:themeColor="accent5" w:themeShade="80"/>
                <w:sz w:val="18"/>
                <w:szCs w:val="18"/>
              </w:rPr>
            </w:pPr>
            <w:r w:rsidRPr="000C4A54">
              <w:rPr>
                <w:rFonts w:ascii="Arial" w:hAnsi="Arial" w:cs="Arial"/>
                <w:b/>
                <w:bCs/>
                <w:color w:val="215868" w:themeColor="accent5" w:themeShade="80"/>
                <w:sz w:val="18"/>
                <w:szCs w:val="18"/>
              </w:rPr>
              <w:t>-</w:t>
            </w:r>
            <w:r w:rsidR="000C4A54" w:rsidRPr="000C4A54">
              <w:rPr>
                <w:rFonts w:ascii="Arial" w:hAnsi="Arial" w:cs="Arial"/>
                <w:b/>
                <w:bCs/>
                <w:color w:val="215868" w:themeColor="accent5" w:themeShade="80"/>
                <w:sz w:val="18"/>
                <w:szCs w:val="18"/>
              </w:rPr>
              <w:t>4.2</w:t>
            </w:r>
            <w:r w:rsidRPr="000C4A54">
              <w:rPr>
                <w:rFonts w:ascii="Arial" w:hAnsi="Arial" w:cs="Arial"/>
                <w:b/>
                <w:bCs/>
                <w:color w:val="215868" w:themeColor="accent5" w:themeShade="80"/>
                <w:sz w:val="18"/>
                <w:szCs w:val="18"/>
              </w:rPr>
              <w:t>%</w:t>
            </w:r>
          </w:p>
        </w:tc>
      </w:tr>
      <w:tr w:rsidR="000C4A54" w:rsidRPr="000C4A54" w14:paraId="0D095983" w14:textId="77777777" w:rsidTr="00110FF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2541439D"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Tomatoes</w:t>
            </w:r>
          </w:p>
        </w:tc>
        <w:tc>
          <w:tcPr>
            <w:tcW w:w="918" w:type="dxa"/>
            <w:gridSpan w:val="2"/>
            <w:vAlign w:val="center"/>
          </w:tcPr>
          <w:p w14:paraId="53CB9E19" w14:textId="6C909AFF"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+0.4%</w:t>
            </w:r>
          </w:p>
        </w:tc>
        <w:tc>
          <w:tcPr>
            <w:tcW w:w="918" w:type="dxa"/>
            <w:gridSpan w:val="2"/>
            <w:vAlign w:val="center"/>
          </w:tcPr>
          <w:p w14:paraId="457D0A89" w14:textId="21872C3A"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+18.4%</w:t>
            </w:r>
          </w:p>
        </w:tc>
        <w:tc>
          <w:tcPr>
            <w:tcW w:w="918" w:type="dxa"/>
            <w:vAlign w:val="center"/>
          </w:tcPr>
          <w:p w14:paraId="690A015C" w14:textId="5E641ED0"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+3.7%</w:t>
            </w:r>
          </w:p>
        </w:tc>
        <w:tc>
          <w:tcPr>
            <w:tcW w:w="917" w:type="dxa"/>
            <w:vAlign w:val="center"/>
          </w:tcPr>
          <w:p w14:paraId="3FE30D39" w14:textId="0B541A84"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-8.5%</w:t>
            </w:r>
          </w:p>
        </w:tc>
        <w:tc>
          <w:tcPr>
            <w:tcW w:w="918" w:type="dxa"/>
            <w:vAlign w:val="center"/>
          </w:tcPr>
          <w:p w14:paraId="047F25A4" w14:textId="6B75C5D8"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-4.3%</w:t>
            </w:r>
          </w:p>
        </w:tc>
        <w:tc>
          <w:tcPr>
            <w:tcW w:w="918" w:type="dxa"/>
            <w:vAlign w:val="center"/>
          </w:tcPr>
          <w:p w14:paraId="1CD3C791"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-1.2%</w:t>
            </w:r>
          </w:p>
        </w:tc>
        <w:tc>
          <w:tcPr>
            <w:tcW w:w="917" w:type="dxa"/>
            <w:vAlign w:val="center"/>
          </w:tcPr>
          <w:p w14:paraId="039BC7FE" w14:textId="238A3564"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-4.8%</w:t>
            </w:r>
          </w:p>
        </w:tc>
        <w:tc>
          <w:tcPr>
            <w:tcW w:w="918" w:type="dxa"/>
            <w:vAlign w:val="center"/>
          </w:tcPr>
          <w:p w14:paraId="03D1649A" w14:textId="3C5E1B45"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313</w:t>
            </w:r>
            <w:r w:rsidRPr="000C4A54">
              <w:rPr>
                <w:rFonts w:ascii="Arial" w:hAnsi="Arial" w:cs="Arial"/>
                <w:bCs/>
                <w:color w:val="215868" w:themeColor="accent5" w:themeShade="80"/>
                <w:sz w:val="18"/>
                <w:szCs w:val="18"/>
              </w:rPr>
              <w:t>M</w:t>
            </w:r>
          </w:p>
        </w:tc>
        <w:tc>
          <w:tcPr>
            <w:tcW w:w="918" w:type="dxa"/>
            <w:vAlign w:val="center"/>
          </w:tcPr>
          <w:p w14:paraId="0A54053D" w14:textId="22209F1E" w:rsidR="00CF01CC" w:rsidRPr="000C4A54" w:rsidRDefault="000C4A54"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-2.0</w:t>
            </w:r>
            <w:r w:rsidR="00CF01CC" w:rsidRPr="000C4A54">
              <w:rPr>
                <w:rFonts w:ascii="Arial" w:hAnsi="Arial" w:cs="Arial"/>
                <w:bCs/>
                <w:color w:val="215868" w:themeColor="accent5" w:themeShade="80"/>
                <w:sz w:val="18"/>
                <w:szCs w:val="18"/>
              </w:rPr>
              <w:t>%</w:t>
            </w:r>
          </w:p>
        </w:tc>
        <w:tc>
          <w:tcPr>
            <w:tcW w:w="918" w:type="dxa"/>
            <w:vAlign w:val="center"/>
          </w:tcPr>
          <w:p w14:paraId="54599DD8" w14:textId="1B1E8BF3" w:rsidR="00CF01CC" w:rsidRPr="000C4A54" w:rsidRDefault="000C4A54"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-5.6</w:t>
            </w:r>
            <w:r w:rsidR="00CF01CC" w:rsidRPr="000C4A54">
              <w:rPr>
                <w:rFonts w:ascii="Arial" w:hAnsi="Arial" w:cs="Arial"/>
                <w:bCs/>
                <w:color w:val="215868" w:themeColor="accent5" w:themeShade="80"/>
                <w:sz w:val="18"/>
                <w:szCs w:val="18"/>
              </w:rPr>
              <w:t>%</w:t>
            </w:r>
          </w:p>
        </w:tc>
      </w:tr>
      <w:tr w:rsidR="000C4A54" w:rsidRPr="000C4A54" w14:paraId="0C146A1F" w14:textId="77777777" w:rsidTr="00AA16AD">
        <w:trPr>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3ABBBB99"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Potatoes</w:t>
            </w:r>
          </w:p>
        </w:tc>
        <w:tc>
          <w:tcPr>
            <w:tcW w:w="918" w:type="dxa"/>
            <w:gridSpan w:val="2"/>
            <w:vAlign w:val="center"/>
          </w:tcPr>
          <w:p w14:paraId="4F18C196" w14:textId="12743B4D"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+1.6%</w:t>
            </w:r>
          </w:p>
        </w:tc>
        <w:tc>
          <w:tcPr>
            <w:tcW w:w="918" w:type="dxa"/>
            <w:gridSpan w:val="2"/>
            <w:vAlign w:val="center"/>
          </w:tcPr>
          <w:p w14:paraId="03C76BA4" w14:textId="0A069176"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+21.0%</w:t>
            </w:r>
          </w:p>
        </w:tc>
        <w:tc>
          <w:tcPr>
            <w:tcW w:w="918" w:type="dxa"/>
            <w:vAlign w:val="center"/>
          </w:tcPr>
          <w:p w14:paraId="14792562" w14:textId="62232F43"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-4.0%</w:t>
            </w:r>
          </w:p>
        </w:tc>
        <w:tc>
          <w:tcPr>
            <w:tcW w:w="917" w:type="dxa"/>
            <w:vAlign w:val="center"/>
          </w:tcPr>
          <w:p w14:paraId="069BD9ED" w14:textId="2785887F"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-19.7%</w:t>
            </w:r>
          </w:p>
        </w:tc>
        <w:tc>
          <w:tcPr>
            <w:tcW w:w="918" w:type="dxa"/>
            <w:vAlign w:val="center"/>
          </w:tcPr>
          <w:p w14:paraId="24040ADA" w14:textId="2D6FDD0B"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-4.6%</w:t>
            </w:r>
          </w:p>
        </w:tc>
        <w:tc>
          <w:tcPr>
            <w:tcW w:w="918" w:type="dxa"/>
            <w:vAlign w:val="center"/>
          </w:tcPr>
          <w:p w14:paraId="4A21180C" w14:textId="3860386C"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+0.2%</w:t>
            </w:r>
          </w:p>
        </w:tc>
        <w:tc>
          <w:tcPr>
            <w:tcW w:w="917" w:type="dxa"/>
            <w:vAlign w:val="center"/>
          </w:tcPr>
          <w:p w14:paraId="72A46FCE" w14:textId="59C71AE1"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+4.9%</w:t>
            </w:r>
          </w:p>
        </w:tc>
        <w:tc>
          <w:tcPr>
            <w:tcW w:w="918" w:type="dxa"/>
            <w:vAlign w:val="center"/>
          </w:tcPr>
          <w:p w14:paraId="76976A49" w14:textId="1608D38B"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274</w:t>
            </w:r>
            <w:r w:rsidRPr="000C4A54">
              <w:rPr>
                <w:rFonts w:ascii="Arial" w:hAnsi="Arial" w:cs="Arial"/>
                <w:bCs/>
                <w:color w:val="215868" w:themeColor="accent5" w:themeShade="80"/>
                <w:sz w:val="18"/>
                <w:szCs w:val="18"/>
              </w:rPr>
              <w:t>M</w:t>
            </w:r>
          </w:p>
        </w:tc>
        <w:tc>
          <w:tcPr>
            <w:tcW w:w="918" w:type="dxa"/>
            <w:vAlign w:val="center"/>
          </w:tcPr>
          <w:p w14:paraId="29621DCF" w14:textId="5A631799"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12.0</w:t>
            </w:r>
            <w:r w:rsidRPr="000C4A54">
              <w:rPr>
                <w:rFonts w:ascii="Arial" w:hAnsi="Arial" w:cs="Arial"/>
                <w:bCs/>
                <w:color w:val="215868" w:themeColor="accent5" w:themeShade="80"/>
                <w:sz w:val="18"/>
                <w:szCs w:val="18"/>
              </w:rPr>
              <w:t>%</w:t>
            </w:r>
          </w:p>
        </w:tc>
        <w:tc>
          <w:tcPr>
            <w:tcW w:w="918" w:type="dxa"/>
            <w:vAlign w:val="center"/>
          </w:tcPr>
          <w:p w14:paraId="341E5E4C" w14:textId="7EA57EA1"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1.0</w:t>
            </w:r>
            <w:r w:rsidRPr="000C4A54">
              <w:rPr>
                <w:rFonts w:ascii="Arial" w:hAnsi="Arial" w:cs="Arial"/>
                <w:bCs/>
                <w:color w:val="215868" w:themeColor="accent5" w:themeShade="80"/>
                <w:sz w:val="18"/>
                <w:szCs w:val="18"/>
              </w:rPr>
              <w:t>%</w:t>
            </w:r>
          </w:p>
        </w:tc>
      </w:tr>
      <w:tr w:rsidR="000C4A54" w:rsidRPr="000C4A54" w14:paraId="19234AF3" w14:textId="77777777" w:rsidTr="00110FF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0637D8F1"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Packaged salad</w:t>
            </w:r>
          </w:p>
        </w:tc>
        <w:tc>
          <w:tcPr>
            <w:tcW w:w="918" w:type="dxa"/>
            <w:gridSpan w:val="2"/>
            <w:vAlign w:val="center"/>
          </w:tcPr>
          <w:p w14:paraId="278A5970" w14:textId="2E371186"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+12.1%</w:t>
            </w:r>
          </w:p>
        </w:tc>
        <w:tc>
          <w:tcPr>
            <w:tcW w:w="918" w:type="dxa"/>
            <w:gridSpan w:val="2"/>
            <w:vAlign w:val="center"/>
          </w:tcPr>
          <w:p w14:paraId="0195E6E6" w14:textId="415EF3BE"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+14.8%</w:t>
            </w:r>
          </w:p>
        </w:tc>
        <w:tc>
          <w:tcPr>
            <w:tcW w:w="918" w:type="dxa"/>
            <w:vAlign w:val="center"/>
          </w:tcPr>
          <w:p w14:paraId="6EC7A46C" w14:textId="2DCC9C8E"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+12.6%</w:t>
            </w:r>
          </w:p>
        </w:tc>
        <w:tc>
          <w:tcPr>
            <w:tcW w:w="917" w:type="dxa"/>
            <w:vAlign w:val="center"/>
          </w:tcPr>
          <w:p w14:paraId="7BFBBD24" w14:textId="31336B90"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14.5%</w:t>
            </w:r>
          </w:p>
        </w:tc>
        <w:tc>
          <w:tcPr>
            <w:tcW w:w="918" w:type="dxa"/>
            <w:vAlign w:val="center"/>
          </w:tcPr>
          <w:p w14:paraId="039407D7" w14:textId="211B18B4"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+10.3%</w:t>
            </w:r>
          </w:p>
        </w:tc>
        <w:tc>
          <w:tcPr>
            <w:tcW w:w="918" w:type="dxa"/>
            <w:vAlign w:val="center"/>
          </w:tcPr>
          <w:p w14:paraId="60FD7D06"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+8.5%</w:t>
            </w:r>
          </w:p>
        </w:tc>
        <w:tc>
          <w:tcPr>
            <w:tcW w:w="917" w:type="dxa"/>
            <w:vAlign w:val="center"/>
          </w:tcPr>
          <w:p w14:paraId="77B238AD" w14:textId="0EEC962B"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+1.9%</w:t>
            </w:r>
          </w:p>
        </w:tc>
        <w:tc>
          <w:tcPr>
            <w:tcW w:w="918" w:type="dxa"/>
            <w:vAlign w:val="center"/>
          </w:tcPr>
          <w:p w14:paraId="7C0F3B6B" w14:textId="1BC25740"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266</w:t>
            </w:r>
            <w:r w:rsidRPr="000C4A54">
              <w:rPr>
                <w:rFonts w:ascii="Arial" w:hAnsi="Arial" w:cs="Arial"/>
                <w:bCs/>
                <w:color w:val="215868" w:themeColor="accent5" w:themeShade="80"/>
                <w:sz w:val="18"/>
                <w:szCs w:val="18"/>
              </w:rPr>
              <w:t>M</w:t>
            </w:r>
          </w:p>
        </w:tc>
        <w:tc>
          <w:tcPr>
            <w:tcW w:w="918" w:type="dxa"/>
            <w:vAlign w:val="center"/>
          </w:tcPr>
          <w:p w14:paraId="0B353B76" w14:textId="1EE0889C"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3.6</w:t>
            </w:r>
            <w:r w:rsidRPr="000C4A54">
              <w:rPr>
                <w:rFonts w:ascii="Arial" w:hAnsi="Arial" w:cs="Arial"/>
                <w:bCs/>
                <w:color w:val="215868" w:themeColor="accent5" w:themeShade="80"/>
                <w:sz w:val="18"/>
                <w:szCs w:val="18"/>
              </w:rPr>
              <w:t>%</w:t>
            </w:r>
          </w:p>
        </w:tc>
        <w:tc>
          <w:tcPr>
            <w:tcW w:w="918" w:type="dxa"/>
            <w:vAlign w:val="center"/>
          </w:tcPr>
          <w:p w14:paraId="1436E607" w14:textId="6A9E144B" w:rsidR="00CF01CC" w:rsidRPr="000C4A54" w:rsidRDefault="000C4A54"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-5.9</w:t>
            </w:r>
            <w:r w:rsidR="00CF01CC" w:rsidRPr="000C4A54">
              <w:rPr>
                <w:rFonts w:ascii="Arial" w:hAnsi="Arial" w:cs="Arial"/>
                <w:bCs/>
                <w:color w:val="215868" w:themeColor="accent5" w:themeShade="80"/>
                <w:sz w:val="18"/>
                <w:szCs w:val="18"/>
              </w:rPr>
              <w:t>%</w:t>
            </w:r>
          </w:p>
        </w:tc>
      </w:tr>
      <w:tr w:rsidR="000C4A54" w:rsidRPr="000C4A54" w14:paraId="5FA6635F" w14:textId="77777777" w:rsidTr="00AA16AD">
        <w:trPr>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79FF0CCA"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Lettuce</w:t>
            </w:r>
          </w:p>
        </w:tc>
        <w:tc>
          <w:tcPr>
            <w:tcW w:w="918" w:type="dxa"/>
            <w:gridSpan w:val="2"/>
            <w:vAlign w:val="center"/>
          </w:tcPr>
          <w:p w14:paraId="489A8A48" w14:textId="7AAEC5E5"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+6.3%</w:t>
            </w:r>
          </w:p>
        </w:tc>
        <w:tc>
          <w:tcPr>
            <w:tcW w:w="918" w:type="dxa"/>
            <w:gridSpan w:val="2"/>
            <w:vAlign w:val="center"/>
          </w:tcPr>
          <w:p w14:paraId="6BB7D162" w14:textId="469DF2FA"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+12.0%</w:t>
            </w:r>
          </w:p>
        </w:tc>
        <w:tc>
          <w:tcPr>
            <w:tcW w:w="918" w:type="dxa"/>
            <w:vAlign w:val="center"/>
          </w:tcPr>
          <w:p w14:paraId="05E885A8" w14:textId="42B10D4E"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+9.0%</w:t>
            </w:r>
          </w:p>
        </w:tc>
        <w:tc>
          <w:tcPr>
            <w:tcW w:w="917" w:type="dxa"/>
            <w:vAlign w:val="center"/>
          </w:tcPr>
          <w:p w14:paraId="445C249F" w14:textId="4A1C3A01"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-3.3%</w:t>
            </w:r>
          </w:p>
        </w:tc>
        <w:tc>
          <w:tcPr>
            <w:tcW w:w="918" w:type="dxa"/>
            <w:vAlign w:val="center"/>
          </w:tcPr>
          <w:p w14:paraId="1DF5B025" w14:textId="000AEA7E"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+2.5%</w:t>
            </w:r>
          </w:p>
        </w:tc>
        <w:tc>
          <w:tcPr>
            <w:tcW w:w="918" w:type="dxa"/>
            <w:vAlign w:val="center"/>
          </w:tcPr>
          <w:p w14:paraId="757340BF" w14:textId="50EA9BFA"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+0.6%</w:t>
            </w:r>
          </w:p>
        </w:tc>
        <w:tc>
          <w:tcPr>
            <w:tcW w:w="917" w:type="dxa"/>
            <w:vAlign w:val="center"/>
          </w:tcPr>
          <w:p w14:paraId="6187E043" w14:textId="08926C70"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+4.8%</w:t>
            </w:r>
          </w:p>
        </w:tc>
        <w:tc>
          <w:tcPr>
            <w:tcW w:w="918" w:type="dxa"/>
            <w:vAlign w:val="center"/>
          </w:tcPr>
          <w:p w14:paraId="6CD2C0F7" w14:textId="36ECC3B0"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227</w:t>
            </w:r>
            <w:r w:rsidRPr="000C4A54">
              <w:rPr>
                <w:rFonts w:ascii="Arial" w:hAnsi="Arial" w:cs="Arial"/>
                <w:bCs/>
                <w:color w:val="215868" w:themeColor="accent5" w:themeShade="80"/>
                <w:sz w:val="18"/>
                <w:szCs w:val="18"/>
              </w:rPr>
              <w:t>M</w:t>
            </w:r>
          </w:p>
        </w:tc>
        <w:tc>
          <w:tcPr>
            <w:tcW w:w="918" w:type="dxa"/>
            <w:vAlign w:val="center"/>
          </w:tcPr>
          <w:p w14:paraId="34B3545D" w14:textId="0A299928"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11.5</w:t>
            </w:r>
            <w:r w:rsidRPr="000C4A54">
              <w:rPr>
                <w:rFonts w:ascii="Arial" w:hAnsi="Arial" w:cs="Arial"/>
                <w:bCs/>
                <w:color w:val="215868" w:themeColor="accent5" w:themeShade="80"/>
                <w:sz w:val="18"/>
                <w:szCs w:val="18"/>
              </w:rPr>
              <w:t>%</w:t>
            </w:r>
          </w:p>
        </w:tc>
        <w:tc>
          <w:tcPr>
            <w:tcW w:w="918" w:type="dxa"/>
            <w:vAlign w:val="center"/>
          </w:tcPr>
          <w:p w14:paraId="5EB84E72" w14:textId="3932EC98" w:rsidR="00CF01CC" w:rsidRPr="000C4A54" w:rsidRDefault="000C4A54"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-4.9</w:t>
            </w:r>
            <w:r w:rsidR="00CF01CC" w:rsidRPr="000C4A54">
              <w:rPr>
                <w:rFonts w:ascii="Arial" w:hAnsi="Arial" w:cs="Arial"/>
                <w:bCs/>
                <w:color w:val="215868" w:themeColor="accent5" w:themeShade="80"/>
                <w:sz w:val="18"/>
                <w:szCs w:val="18"/>
              </w:rPr>
              <w:t>%</w:t>
            </w:r>
          </w:p>
        </w:tc>
      </w:tr>
      <w:tr w:rsidR="000C4A54" w:rsidRPr="000C4A54" w14:paraId="58A4C8AB" w14:textId="77777777" w:rsidTr="005F56DC">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72E7C846"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Onions</w:t>
            </w:r>
          </w:p>
        </w:tc>
        <w:tc>
          <w:tcPr>
            <w:tcW w:w="918" w:type="dxa"/>
            <w:gridSpan w:val="2"/>
            <w:vAlign w:val="center"/>
          </w:tcPr>
          <w:p w14:paraId="40FB15BF"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+6.0%</w:t>
            </w:r>
          </w:p>
        </w:tc>
        <w:tc>
          <w:tcPr>
            <w:tcW w:w="918" w:type="dxa"/>
            <w:gridSpan w:val="2"/>
            <w:vAlign w:val="center"/>
          </w:tcPr>
          <w:p w14:paraId="7B7E2503"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+14.5%</w:t>
            </w:r>
          </w:p>
        </w:tc>
        <w:tc>
          <w:tcPr>
            <w:tcW w:w="918" w:type="dxa"/>
            <w:vAlign w:val="center"/>
          </w:tcPr>
          <w:p w14:paraId="315EE21F"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+0.8%</w:t>
            </w:r>
          </w:p>
        </w:tc>
        <w:tc>
          <w:tcPr>
            <w:tcW w:w="917" w:type="dxa"/>
            <w:vAlign w:val="center"/>
          </w:tcPr>
          <w:p w14:paraId="201586D2"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-14.3%</w:t>
            </w:r>
          </w:p>
        </w:tc>
        <w:tc>
          <w:tcPr>
            <w:tcW w:w="918" w:type="dxa"/>
            <w:vAlign w:val="center"/>
          </w:tcPr>
          <w:p w14:paraId="74E1EBAB"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-1.7%</w:t>
            </w:r>
          </w:p>
        </w:tc>
        <w:tc>
          <w:tcPr>
            <w:tcW w:w="918" w:type="dxa"/>
            <w:vAlign w:val="center"/>
          </w:tcPr>
          <w:p w14:paraId="1A1B06F8" w14:textId="77777777"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+1.4%</w:t>
            </w:r>
          </w:p>
        </w:tc>
        <w:tc>
          <w:tcPr>
            <w:tcW w:w="917" w:type="dxa"/>
            <w:vAlign w:val="center"/>
          </w:tcPr>
          <w:p w14:paraId="19E717B6" w14:textId="5CE4BC02"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+5.9%</w:t>
            </w:r>
          </w:p>
        </w:tc>
        <w:tc>
          <w:tcPr>
            <w:tcW w:w="918" w:type="dxa"/>
            <w:vAlign w:val="center"/>
          </w:tcPr>
          <w:p w14:paraId="51855CC2" w14:textId="526967AC"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205</w:t>
            </w:r>
            <w:r w:rsidRPr="000C4A54">
              <w:rPr>
                <w:rFonts w:ascii="Arial" w:hAnsi="Arial" w:cs="Arial"/>
                <w:bCs/>
                <w:color w:val="215868" w:themeColor="accent5" w:themeShade="80"/>
                <w:sz w:val="18"/>
                <w:szCs w:val="18"/>
              </w:rPr>
              <w:t>M</w:t>
            </w:r>
          </w:p>
        </w:tc>
        <w:tc>
          <w:tcPr>
            <w:tcW w:w="918" w:type="dxa"/>
            <w:vAlign w:val="center"/>
          </w:tcPr>
          <w:p w14:paraId="04446ECC" w14:textId="315789F5" w:rsidR="00CF01CC" w:rsidRPr="000C4A54" w:rsidRDefault="00CF01CC"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15.5</w:t>
            </w:r>
            <w:r w:rsidRPr="000C4A54">
              <w:rPr>
                <w:rFonts w:ascii="Arial" w:hAnsi="Arial" w:cs="Arial"/>
                <w:bCs/>
                <w:color w:val="215868" w:themeColor="accent5" w:themeShade="80"/>
                <w:sz w:val="18"/>
                <w:szCs w:val="18"/>
              </w:rPr>
              <w:t>%</w:t>
            </w:r>
          </w:p>
        </w:tc>
        <w:tc>
          <w:tcPr>
            <w:tcW w:w="918" w:type="dxa"/>
            <w:vAlign w:val="center"/>
          </w:tcPr>
          <w:p w14:paraId="505B464D" w14:textId="307C0BDA" w:rsidR="00CF01CC" w:rsidRPr="000C4A54" w:rsidRDefault="000C4A54" w:rsidP="00CF01C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+3.1</w:t>
            </w:r>
            <w:r w:rsidR="00CF01CC" w:rsidRPr="000C4A54">
              <w:rPr>
                <w:rFonts w:ascii="Arial" w:hAnsi="Arial" w:cs="Arial"/>
                <w:bCs/>
                <w:color w:val="215868" w:themeColor="accent5" w:themeShade="80"/>
                <w:sz w:val="18"/>
                <w:szCs w:val="18"/>
              </w:rPr>
              <w:t>%</w:t>
            </w:r>
          </w:p>
        </w:tc>
      </w:tr>
      <w:tr w:rsidR="000C4A54" w:rsidRPr="000C4A54" w14:paraId="69318395" w14:textId="77777777" w:rsidTr="00110FF9">
        <w:trPr>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6E864BBD"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Peppers</w:t>
            </w:r>
          </w:p>
        </w:tc>
        <w:tc>
          <w:tcPr>
            <w:tcW w:w="918" w:type="dxa"/>
            <w:gridSpan w:val="2"/>
            <w:vAlign w:val="center"/>
          </w:tcPr>
          <w:p w14:paraId="3114764A"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+4.3%</w:t>
            </w:r>
          </w:p>
        </w:tc>
        <w:tc>
          <w:tcPr>
            <w:tcW w:w="918" w:type="dxa"/>
            <w:gridSpan w:val="2"/>
            <w:vAlign w:val="center"/>
          </w:tcPr>
          <w:p w14:paraId="790ACC9F"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+19.3%</w:t>
            </w:r>
          </w:p>
        </w:tc>
        <w:tc>
          <w:tcPr>
            <w:tcW w:w="918" w:type="dxa"/>
            <w:vAlign w:val="center"/>
          </w:tcPr>
          <w:p w14:paraId="2E58E480"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+11.6%</w:t>
            </w:r>
          </w:p>
        </w:tc>
        <w:tc>
          <w:tcPr>
            <w:tcW w:w="917" w:type="dxa"/>
            <w:vAlign w:val="center"/>
          </w:tcPr>
          <w:p w14:paraId="2342DC57"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-6.9%</w:t>
            </w:r>
          </w:p>
        </w:tc>
        <w:tc>
          <w:tcPr>
            <w:tcW w:w="918" w:type="dxa"/>
            <w:vAlign w:val="center"/>
          </w:tcPr>
          <w:p w14:paraId="570BC747"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-3.3%</w:t>
            </w:r>
          </w:p>
        </w:tc>
        <w:tc>
          <w:tcPr>
            <w:tcW w:w="918" w:type="dxa"/>
            <w:vAlign w:val="center"/>
          </w:tcPr>
          <w:p w14:paraId="79E8C82E"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-2.3%</w:t>
            </w:r>
          </w:p>
        </w:tc>
        <w:tc>
          <w:tcPr>
            <w:tcW w:w="917" w:type="dxa"/>
            <w:vAlign w:val="center"/>
          </w:tcPr>
          <w:p w14:paraId="7254814C" w14:textId="4D3BBFBD"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-2.1%</w:t>
            </w:r>
          </w:p>
        </w:tc>
        <w:tc>
          <w:tcPr>
            <w:tcW w:w="918" w:type="dxa"/>
            <w:vAlign w:val="center"/>
          </w:tcPr>
          <w:p w14:paraId="2EF132BA" w14:textId="6141C4CF"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194</w:t>
            </w:r>
            <w:r w:rsidRPr="000C4A54">
              <w:rPr>
                <w:rFonts w:ascii="Arial" w:hAnsi="Arial" w:cs="Arial"/>
                <w:bCs/>
                <w:color w:val="215868" w:themeColor="accent5" w:themeShade="80"/>
                <w:sz w:val="18"/>
                <w:szCs w:val="18"/>
              </w:rPr>
              <w:t>M</w:t>
            </w:r>
          </w:p>
        </w:tc>
        <w:tc>
          <w:tcPr>
            <w:tcW w:w="918" w:type="dxa"/>
            <w:vAlign w:val="center"/>
          </w:tcPr>
          <w:p w14:paraId="7633D59F" w14:textId="3F5E915E" w:rsidR="00CF01CC" w:rsidRPr="000C4A54" w:rsidRDefault="000C4A54"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-1.4</w:t>
            </w:r>
            <w:r w:rsidR="00CF01CC" w:rsidRPr="000C4A54">
              <w:rPr>
                <w:rFonts w:ascii="Arial" w:hAnsi="Arial" w:cs="Arial"/>
                <w:bCs/>
                <w:color w:val="215868" w:themeColor="accent5" w:themeShade="80"/>
                <w:sz w:val="18"/>
                <w:szCs w:val="18"/>
              </w:rPr>
              <w:t>%</w:t>
            </w:r>
          </w:p>
        </w:tc>
        <w:tc>
          <w:tcPr>
            <w:tcW w:w="918" w:type="dxa"/>
            <w:vAlign w:val="center"/>
          </w:tcPr>
          <w:p w14:paraId="3D971C9D" w14:textId="396D95F4" w:rsidR="00CF01CC" w:rsidRPr="000C4A54" w:rsidRDefault="000C4A54"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-7.7</w:t>
            </w:r>
            <w:r w:rsidR="00CF01CC" w:rsidRPr="000C4A54">
              <w:rPr>
                <w:rFonts w:ascii="Arial" w:hAnsi="Arial" w:cs="Arial"/>
                <w:bCs/>
                <w:color w:val="215868" w:themeColor="accent5" w:themeShade="80"/>
                <w:sz w:val="18"/>
                <w:szCs w:val="18"/>
              </w:rPr>
              <w:t>%</w:t>
            </w:r>
          </w:p>
        </w:tc>
      </w:tr>
      <w:tr w:rsidR="000C4A54" w:rsidRPr="000C4A54" w14:paraId="770262AD" w14:textId="77777777" w:rsidTr="00B4616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0CC6387E" w14:textId="77777777" w:rsidR="00E70C86" w:rsidRPr="000C4A54" w:rsidRDefault="00E70C86" w:rsidP="00B4616F">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Cucumbers</w:t>
            </w:r>
          </w:p>
        </w:tc>
        <w:tc>
          <w:tcPr>
            <w:tcW w:w="918" w:type="dxa"/>
            <w:gridSpan w:val="2"/>
            <w:vAlign w:val="center"/>
          </w:tcPr>
          <w:p w14:paraId="2B71F2A5"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+3.1%</w:t>
            </w:r>
          </w:p>
        </w:tc>
        <w:tc>
          <w:tcPr>
            <w:tcW w:w="918" w:type="dxa"/>
            <w:gridSpan w:val="2"/>
            <w:vAlign w:val="center"/>
          </w:tcPr>
          <w:p w14:paraId="4D76789C"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+18.1%</w:t>
            </w:r>
          </w:p>
        </w:tc>
        <w:tc>
          <w:tcPr>
            <w:tcW w:w="918" w:type="dxa"/>
            <w:vAlign w:val="center"/>
          </w:tcPr>
          <w:p w14:paraId="54FDDC40"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+10.1%</w:t>
            </w:r>
          </w:p>
        </w:tc>
        <w:tc>
          <w:tcPr>
            <w:tcW w:w="917" w:type="dxa"/>
            <w:vAlign w:val="center"/>
          </w:tcPr>
          <w:p w14:paraId="29F76C73"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+3.2%</w:t>
            </w:r>
          </w:p>
        </w:tc>
        <w:tc>
          <w:tcPr>
            <w:tcW w:w="918" w:type="dxa"/>
            <w:vAlign w:val="center"/>
          </w:tcPr>
          <w:p w14:paraId="14085285"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+4.0%</w:t>
            </w:r>
          </w:p>
        </w:tc>
        <w:tc>
          <w:tcPr>
            <w:tcW w:w="918" w:type="dxa"/>
            <w:vAlign w:val="center"/>
          </w:tcPr>
          <w:p w14:paraId="1E526A85"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+5.0%</w:t>
            </w:r>
          </w:p>
        </w:tc>
        <w:tc>
          <w:tcPr>
            <w:tcW w:w="917" w:type="dxa"/>
            <w:vAlign w:val="center"/>
          </w:tcPr>
          <w:p w14:paraId="5ACD3E9D" w14:textId="77777777"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+3.9%</w:t>
            </w:r>
          </w:p>
        </w:tc>
        <w:tc>
          <w:tcPr>
            <w:tcW w:w="918" w:type="dxa"/>
            <w:vAlign w:val="center"/>
          </w:tcPr>
          <w:p w14:paraId="0EE8061F" w14:textId="54960486"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111</w:t>
            </w:r>
            <w:r w:rsidRPr="000C4A54">
              <w:rPr>
                <w:rFonts w:ascii="Arial" w:hAnsi="Arial" w:cs="Arial"/>
                <w:bCs/>
                <w:color w:val="215868" w:themeColor="accent5" w:themeShade="80"/>
                <w:sz w:val="18"/>
                <w:szCs w:val="18"/>
              </w:rPr>
              <w:t>M</w:t>
            </w:r>
          </w:p>
        </w:tc>
        <w:tc>
          <w:tcPr>
            <w:tcW w:w="918" w:type="dxa"/>
            <w:vAlign w:val="center"/>
          </w:tcPr>
          <w:p w14:paraId="763F9B1D" w14:textId="77E4C01B"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4.2</w:t>
            </w:r>
            <w:r w:rsidRPr="000C4A54">
              <w:rPr>
                <w:rFonts w:ascii="Arial" w:hAnsi="Arial" w:cs="Arial"/>
                <w:bCs/>
                <w:color w:val="215868" w:themeColor="accent5" w:themeShade="80"/>
                <w:sz w:val="18"/>
                <w:szCs w:val="18"/>
              </w:rPr>
              <w:t>%</w:t>
            </w:r>
          </w:p>
        </w:tc>
        <w:tc>
          <w:tcPr>
            <w:tcW w:w="918" w:type="dxa"/>
            <w:vAlign w:val="center"/>
          </w:tcPr>
          <w:p w14:paraId="012EAF29" w14:textId="674DEB19" w:rsidR="00E70C86" w:rsidRPr="000C4A54" w:rsidRDefault="00E70C86"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0.5</w:t>
            </w:r>
            <w:r w:rsidRPr="000C4A54">
              <w:rPr>
                <w:rFonts w:ascii="Arial" w:hAnsi="Arial" w:cs="Arial"/>
                <w:bCs/>
                <w:color w:val="215868" w:themeColor="accent5" w:themeShade="80"/>
                <w:sz w:val="18"/>
                <w:szCs w:val="18"/>
              </w:rPr>
              <w:t>%</w:t>
            </w:r>
          </w:p>
        </w:tc>
      </w:tr>
      <w:tr w:rsidR="000C4A54" w:rsidRPr="000C4A54" w14:paraId="0DE609D9" w14:textId="77777777" w:rsidTr="00110FF9">
        <w:trPr>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21977F3C" w14:textId="77777777" w:rsidR="00CF01CC" w:rsidRPr="000C4A54" w:rsidRDefault="00CF01CC" w:rsidP="00CF01CC">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Carrots</w:t>
            </w:r>
          </w:p>
        </w:tc>
        <w:tc>
          <w:tcPr>
            <w:tcW w:w="918" w:type="dxa"/>
            <w:gridSpan w:val="2"/>
            <w:vAlign w:val="center"/>
          </w:tcPr>
          <w:p w14:paraId="4BF8F431" w14:textId="55B36BEF"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-1.6%</w:t>
            </w:r>
          </w:p>
        </w:tc>
        <w:tc>
          <w:tcPr>
            <w:tcW w:w="918" w:type="dxa"/>
            <w:gridSpan w:val="2"/>
            <w:vAlign w:val="center"/>
          </w:tcPr>
          <w:p w14:paraId="28BCDC03" w14:textId="0964209E"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+7.3%</w:t>
            </w:r>
          </w:p>
        </w:tc>
        <w:tc>
          <w:tcPr>
            <w:tcW w:w="918" w:type="dxa"/>
            <w:vAlign w:val="center"/>
          </w:tcPr>
          <w:p w14:paraId="70511B41" w14:textId="08C2C479"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-5.1%</w:t>
            </w:r>
          </w:p>
        </w:tc>
        <w:tc>
          <w:tcPr>
            <w:tcW w:w="917" w:type="dxa"/>
            <w:vAlign w:val="center"/>
          </w:tcPr>
          <w:p w14:paraId="728F8758" w14:textId="35D06469"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-7.5%</w:t>
            </w:r>
          </w:p>
        </w:tc>
        <w:tc>
          <w:tcPr>
            <w:tcW w:w="918" w:type="dxa"/>
            <w:vAlign w:val="center"/>
          </w:tcPr>
          <w:p w14:paraId="07482931" w14:textId="1405F8D3"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0.0%</w:t>
            </w:r>
          </w:p>
        </w:tc>
        <w:tc>
          <w:tcPr>
            <w:tcW w:w="918" w:type="dxa"/>
            <w:vAlign w:val="center"/>
          </w:tcPr>
          <w:p w14:paraId="7660F7C4" w14:textId="77777777"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+1.0%</w:t>
            </w:r>
          </w:p>
        </w:tc>
        <w:tc>
          <w:tcPr>
            <w:tcW w:w="917" w:type="dxa"/>
            <w:vAlign w:val="center"/>
          </w:tcPr>
          <w:p w14:paraId="010E1889" w14:textId="5D9F506C"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+3.5%</w:t>
            </w:r>
          </w:p>
        </w:tc>
        <w:tc>
          <w:tcPr>
            <w:tcW w:w="918" w:type="dxa"/>
            <w:vAlign w:val="center"/>
          </w:tcPr>
          <w:p w14:paraId="6AEA9183" w14:textId="65FE8929"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107</w:t>
            </w:r>
            <w:r w:rsidRPr="000C4A54">
              <w:rPr>
                <w:rFonts w:ascii="Arial" w:hAnsi="Arial" w:cs="Arial"/>
                <w:bCs/>
                <w:color w:val="215868" w:themeColor="accent5" w:themeShade="80"/>
                <w:sz w:val="18"/>
                <w:szCs w:val="18"/>
              </w:rPr>
              <w:t>M</w:t>
            </w:r>
          </w:p>
        </w:tc>
        <w:tc>
          <w:tcPr>
            <w:tcW w:w="918" w:type="dxa"/>
            <w:vAlign w:val="center"/>
          </w:tcPr>
          <w:p w14:paraId="14CFFCD7" w14:textId="793A22E2" w:rsidR="00CF01CC" w:rsidRPr="000C4A54" w:rsidRDefault="00CF01CC"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6.1</w:t>
            </w:r>
            <w:r w:rsidRPr="000C4A54">
              <w:rPr>
                <w:rFonts w:ascii="Arial" w:hAnsi="Arial" w:cs="Arial"/>
                <w:bCs/>
                <w:color w:val="215868" w:themeColor="accent5" w:themeShade="80"/>
                <w:sz w:val="18"/>
                <w:szCs w:val="18"/>
              </w:rPr>
              <w:t>%</w:t>
            </w:r>
          </w:p>
        </w:tc>
        <w:tc>
          <w:tcPr>
            <w:tcW w:w="918" w:type="dxa"/>
            <w:vAlign w:val="center"/>
          </w:tcPr>
          <w:p w14:paraId="0A237902" w14:textId="26542240" w:rsidR="00CF01CC" w:rsidRPr="000C4A54" w:rsidRDefault="000C4A54" w:rsidP="00CF01C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-0.2</w:t>
            </w:r>
            <w:r w:rsidR="00CF01CC" w:rsidRPr="000C4A54">
              <w:rPr>
                <w:rFonts w:ascii="Arial" w:hAnsi="Arial" w:cs="Arial"/>
                <w:bCs/>
                <w:color w:val="215868" w:themeColor="accent5" w:themeShade="80"/>
                <w:sz w:val="18"/>
                <w:szCs w:val="18"/>
              </w:rPr>
              <w:t>%</w:t>
            </w:r>
          </w:p>
        </w:tc>
      </w:tr>
      <w:tr w:rsidR="000C4A54" w:rsidRPr="000C4A54" w14:paraId="0F9F926E" w14:textId="77777777" w:rsidTr="00B4616F">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1DAA2F3B" w14:textId="77777777" w:rsidR="00731950" w:rsidRPr="000C4A54" w:rsidRDefault="00731950" w:rsidP="00B4616F">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Mushrooms</w:t>
            </w:r>
          </w:p>
        </w:tc>
        <w:tc>
          <w:tcPr>
            <w:tcW w:w="918" w:type="dxa"/>
            <w:gridSpan w:val="2"/>
            <w:vAlign w:val="center"/>
          </w:tcPr>
          <w:p w14:paraId="24E2B058"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+0.6%</w:t>
            </w:r>
          </w:p>
        </w:tc>
        <w:tc>
          <w:tcPr>
            <w:tcW w:w="918" w:type="dxa"/>
            <w:gridSpan w:val="2"/>
            <w:vAlign w:val="center"/>
          </w:tcPr>
          <w:p w14:paraId="2793E581"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+19.7%</w:t>
            </w:r>
          </w:p>
        </w:tc>
        <w:tc>
          <w:tcPr>
            <w:tcW w:w="918" w:type="dxa"/>
            <w:vAlign w:val="center"/>
          </w:tcPr>
          <w:p w14:paraId="6FD84EEA"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+8.6%</w:t>
            </w:r>
          </w:p>
        </w:tc>
        <w:tc>
          <w:tcPr>
            <w:tcW w:w="917" w:type="dxa"/>
            <w:vAlign w:val="center"/>
          </w:tcPr>
          <w:p w14:paraId="58586B08"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-12.6%</w:t>
            </w:r>
          </w:p>
        </w:tc>
        <w:tc>
          <w:tcPr>
            <w:tcW w:w="918" w:type="dxa"/>
            <w:vAlign w:val="center"/>
          </w:tcPr>
          <w:p w14:paraId="530EEDD8"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-9.2%</w:t>
            </w:r>
          </w:p>
        </w:tc>
        <w:tc>
          <w:tcPr>
            <w:tcW w:w="918" w:type="dxa"/>
            <w:vAlign w:val="center"/>
          </w:tcPr>
          <w:p w14:paraId="7EC74C6F"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-6.4%</w:t>
            </w:r>
          </w:p>
        </w:tc>
        <w:tc>
          <w:tcPr>
            <w:tcW w:w="917" w:type="dxa"/>
            <w:vAlign w:val="center"/>
          </w:tcPr>
          <w:p w14:paraId="3ECC3DC7" w14:textId="77777777"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-5.9%</w:t>
            </w:r>
          </w:p>
        </w:tc>
        <w:tc>
          <w:tcPr>
            <w:tcW w:w="918" w:type="dxa"/>
            <w:vAlign w:val="center"/>
          </w:tcPr>
          <w:p w14:paraId="3C6AD415" w14:textId="7AA7D615" w:rsidR="00731950" w:rsidRPr="000C4A54" w:rsidRDefault="00731950"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99</w:t>
            </w:r>
            <w:r w:rsidRPr="000C4A54">
              <w:rPr>
                <w:rFonts w:ascii="Arial" w:hAnsi="Arial" w:cs="Arial"/>
                <w:bCs/>
                <w:color w:val="215868" w:themeColor="accent5" w:themeShade="80"/>
                <w:sz w:val="18"/>
                <w:szCs w:val="18"/>
              </w:rPr>
              <w:t>M</w:t>
            </w:r>
          </w:p>
        </w:tc>
        <w:tc>
          <w:tcPr>
            <w:tcW w:w="918" w:type="dxa"/>
            <w:vAlign w:val="center"/>
          </w:tcPr>
          <w:p w14:paraId="69570CD5" w14:textId="3A45CB78" w:rsidR="00731950" w:rsidRPr="000C4A54" w:rsidRDefault="000C4A54"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-4.8</w:t>
            </w:r>
            <w:r w:rsidR="00731950" w:rsidRPr="000C4A54">
              <w:rPr>
                <w:rFonts w:ascii="Arial" w:hAnsi="Arial" w:cs="Arial"/>
                <w:bCs/>
                <w:color w:val="215868" w:themeColor="accent5" w:themeShade="80"/>
                <w:sz w:val="18"/>
                <w:szCs w:val="18"/>
              </w:rPr>
              <w:t>%</w:t>
            </w:r>
          </w:p>
        </w:tc>
        <w:tc>
          <w:tcPr>
            <w:tcW w:w="918" w:type="dxa"/>
            <w:vAlign w:val="center"/>
          </w:tcPr>
          <w:p w14:paraId="4B943419" w14:textId="160AC9D4" w:rsidR="00731950" w:rsidRPr="000C4A54" w:rsidRDefault="000C4A54" w:rsidP="00B4616F">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-11.1</w:t>
            </w:r>
            <w:r w:rsidR="00731950" w:rsidRPr="000C4A54">
              <w:rPr>
                <w:rFonts w:ascii="Arial" w:hAnsi="Arial" w:cs="Arial"/>
                <w:bCs/>
                <w:color w:val="215868" w:themeColor="accent5" w:themeShade="80"/>
                <w:sz w:val="18"/>
                <w:szCs w:val="18"/>
              </w:rPr>
              <w:t>%</w:t>
            </w:r>
          </w:p>
        </w:tc>
      </w:tr>
      <w:tr w:rsidR="000C4A54" w:rsidRPr="000C4A54" w14:paraId="28E9290C" w14:textId="77777777" w:rsidTr="00B4616F">
        <w:trPr>
          <w:trHeight w:val="253"/>
        </w:trPr>
        <w:tc>
          <w:tcPr>
            <w:cnfStyle w:val="001000000000" w:firstRow="0" w:lastRow="0" w:firstColumn="1" w:lastColumn="0" w:oddVBand="0" w:evenVBand="0" w:oddHBand="0" w:evenHBand="0" w:firstRowFirstColumn="0" w:firstRowLastColumn="0" w:lastRowFirstColumn="0" w:lastRowLastColumn="0"/>
            <w:tcW w:w="1453" w:type="dxa"/>
            <w:vAlign w:val="center"/>
          </w:tcPr>
          <w:p w14:paraId="029010AF" w14:textId="77777777" w:rsidR="00E70C86" w:rsidRPr="000C4A54" w:rsidRDefault="00E70C86" w:rsidP="00B4616F">
            <w:pPr>
              <w:jc w:val="right"/>
              <w:rPr>
                <w:rFonts w:ascii="Arial" w:hAnsi="Arial" w:cs="Arial"/>
                <w:b w:val="0"/>
                <w:color w:val="215868" w:themeColor="accent5" w:themeShade="80"/>
                <w:sz w:val="18"/>
                <w:szCs w:val="18"/>
              </w:rPr>
            </w:pPr>
            <w:r w:rsidRPr="000C4A54">
              <w:rPr>
                <w:rFonts w:ascii="Arial" w:hAnsi="Arial" w:cs="Arial"/>
                <w:b w:val="0"/>
                <w:color w:val="215868" w:themeColor="accent5" w:themeShade="80"/>
                <w:sz w:val="18"/>
                <w:szCs w:val="18"/>
              </w:rPr>
              <w:t>Broccoli</w:t>
            </w:r>
          </w:p>
        </w:tc>
        <w:tc>
          <w:tcPr>
            <w:tcW w:w="918" w:type="dxa"/>
            <w:gridSpan w:val="2"/>
            <w:vAlign w:val="center"/>
          </w:tcPr>
          <w:p w14:paraId="6BDCB029"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+7.3%</w:t>
            </w:r>
          </w:p>
        </w:tc>
        <w:tc>
          <w:tcPr>
            <w:tcW w:w="918" w:type="dxa"/>
            <w:gridSpan w:val="2"/>
            <w:vAlign w:val="center"/>
          </w:tcPr>
          <w:p w14:paraId="0C5F03A5"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+12.3%</w:t>
            </w:r>
          </w:p>
        </w:tc>
        <w:tc>
          <w:tcPr>
            <w:tcW w:w="918" w:type="dxa"/>
            <w:vAlign w:val="center"/>
          </w:tcPr>
          <w:p w14:paraId="341B86F7"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+5.0%</w:t>
            </w:r>
          </w:p>
        </w:tc>
        <w:tc>
          <w:tcPr>
            <w:tcW w:w="917" w:type="dxa"/>
            <w:vAlign w:val="center"/>
          </w:tcPr>
          <w:p w14:paraId="1F158A26"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-4.9%</w:t>
            </w:r>
          </w:p>
        </w:tc>
        <w:tc>
          <w:tcPr>
            <w:tcW w:w="918" w:type="dxa"/>
            <w:vAlign w:val="center"/>
          </w:tcPr>
          <w:p w14:paraId="1861942C"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color w:val="215868" w:themeColor="accent5" w:themeShade="80"/>
                <w:sz w:val="18"/>
                <w:szCs w:val="18"/>
              </w:rPr>
              <w:t>-0.2%</w:t>
            </w:r>
          </w:p>
        </w:tc>
        <w:tc>
          <w:tcPr>
            <w:tcW w:w="918" w:type="dxa"/>
            <w:vAlign w:val="center"/>
          </w:tcPr>
          <w:p w14:paraId="727E1095"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215868" w:themeColor="accent5" w:themeShade="80"/>
                <w:sz w:val="18"/>
                <w:szCs w:val="18"/>
              </w:rPr>
            </w:pPr>
            <w:r w:rsidRPr="000C4A54">
              <w:rPr>
                <w:rFonts w:ascii="Arial" w:hAnsi="Arial" w:cs="Arial"/>
                <w:bCs/>
                <w:color w:val="215868" w:themeColor="accent5" w:themeShade="80"/>
                <w:sz w:val="18"/>
                <w:szCs w:val="18"/>
              </w:rPr>
              <w:t>+7.3%</w:t>
            </w:r>
          </w:p>
        </w:tc>
        <w:tc>
          <w:tcPr>
            <w:tcW w:w="917" w:type="dxa"/>
            <w:vAlign w:val="center"/>
          </w:tcPr>
          <w:p w14:paraId="694F1199" w14:textId="77777777"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color w:val="215868" w:themeColor="accent5" w:themeShade="80"/>
              </w:rPr>
            </w:pPr>
            <w:r w:rsidRPr="000C4A54">
              <w:rPr>
                <w:rFonts w:ascii="Arial" w:hAnsi="Arial" w:cs="Arial"/>
                <w:color w:val="215868" w:themeColor="accent5" w:themeShade="80"/>
                <w:sz w:val="18"/>
                <w:szCs w:val="18"/>
              </w:rPr>
              <w:t>+4.4%</w:t>
            </w:r>
          </w:p>
        </w:tc>
        <w:tc>
          <w:tcPr>
            <w:tcW w:w="918" w:type="dxa"/>
            <w:vAlign w:val="center"/>
          </w:tcPr>
          <w:p w14:paraId="196302F6" w14:textId="376127B6"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98</w:t>
            </w:r>
            <w:r w:rsidRPr="000C4A54">
              <w:rPr>
                <w:rFonts w:ascii="Arial" w:hAnsi="Arial" w:cs="Arial"/>
                <w:bCs/>
                <w:color w:val="215868" w:themeColor="accent5" w:themeShade="80"/>
                <w:sz w:val="18"/>
                <w:szCs w:val="18"/>
              </w:rPr>
              <w:t>M</w:t>
            </w:r>
          </w:p>
        </w:tc>
        <w:tc>
          <w:tcPr>
            <w:tcW w:w="918" w:type="dxa"/>
            <w:vAlign w:val="center"/>
          </w:tcPr>
          <w:p w14:paraId="06754BD2" w14:textId="3339041C" w:rsidR="00E70C86" w:rsidRPr="000C4A54" w:rsidRDefault="00E70C86"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w:t>
            </w:r>
            <w:r w:rsidR="000C4A54" w:rsidRPr="000C4A54">
              <w:rPr>
                <w:rFonts w:ascii="Arial" w:hAnsi="Arial" w:cs="Arial"/>
                <w:bCs/>
                <w:color w:val="215868" w:themeColor="accent5" w:themeShade="80"/>
                <w:sz w:val="18"/>
                <w:szCs w:val="18"/>
              </w:rPr>
              <w:t>5.3</w:t>
            </w:r>
            <w:r w:rsidRPr="000C4A54">
              <w:rPr>
                <w:rFonts w:ascii="Arial" w:hAnsi="Arial" w:cs="Arial"/>
                <w:bCs/>
                <w:color w:val="215868" w:themeColor="accent5" w:themeShade="80"/>
                <w:sz w:val="18"/>
                <w:szCs w:val="18"/>
              </w:rPr>
              <w:t>%</w:t>
            </w:r>
          </w:p>
        </w:tc>
        <w:tc>
          <w:tcPr>
            <w:tcW w:w="918" w:type="dxa"/>
            <w:vAlign w:val="center"/>
          </w:tcPr>
          <w:p w14:paraId="5CEA7075" w14:textId="6CCF4133" w:rsidR="00E70C86" w:rsidRPr="000C4A54" w:rsidRDefault="000C4A54" w:rsidP="00B4616F">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0C4A54">
              <w:rPr>
                <w:rFonts w:ascii="Arial" w:hAnsi="Arial" w:cs="Arial"/>
                <w:bCs/>
                <w:color w:val="215868" w:themeColor="accent5" w:themeShade="80"/>
                <w:sz w:val="18"/>
                <w:szCs w:val="18"/>
              </w:rPr>
              <w:t>-3.0</w:t>
            </w:r>
            <w:r w:rsidR="00E70C86" w:rsidRPr="000C4A54">
              <w:rPr>
                <w:rFonts w:ascii="Arial" w:hAnsi="Arial" w:cs="Arial"/>
                <w:bCs/>
                <w:color w:val="215868" w:themeColor="accent5" w:themeShade="80"/>
                <w:sz w:val="18"/>
                <w:szCs w:val="18"/>
              </w:rPr>
              <w:t>%</w:t>
            </w:r>
          </w:p>
        </w:tc>
      </w:tr>
    </w:tbl>
    <w:p w14:paraId="4466B100" w14:textId="77777777" w:rsidR="00CB1955" w:rsidRPr="0009337A" w:rsidRDefault="00CB1955" w:rsidP="00EC2806">
      <w:pPr>
        <w:pStyle w:val="NoSpacing"/>
        <w:rPr>
          <w:rFonts w:ascii="Arial" w:hAnsi="Arial" w:cs="Arial"/>
          <w:sz w:val="14"/>
          <w:szCs w:val="4"/>
        </w:rPr>
      </w:pPr>
    </w:p>
    <w:p w14:paraId="32A125DE" w14:textId="77777777" w:rsidR="00EC2806" w:rsidRPr="00B35CE9" w:rsidRDefault="00EC2806" w:rsidP="00EC2806">
      <w:pPr>
        <w:pStyle w:val="NoSpacing"/>
        <w:rPr>
          <w:rFonts w:ascii="Arial" w:hAnsi="Arial" w:cs="Arial"/>
          <w:sz w:val="16"/>
          <w:szCs w:val="16"/>
        </w:rPr>
      </w:pPr>
      <w:r w:rsidRPr="00B35CE9">
        <w:rPr>
          <w:rFonts w:ascii="Arial" w:hAnsi="Arial" w:cs="Arial"/>
          <w:sz w:val="16"/>
          <w:szCs w:val="16"/>
        </w:rPr>
        <w:t>Source: Source:</w:t>
      </w:r>
      <w:r w:rsidR="007E5948">
        <w:rPr>
          <w:rFonts w:ascii="Arial" w:hAnsi="Arial" w:cs="Arial"/>
          <w:sz w:val="16"/>
          <w:szCs w:val="16"/>
        </w:rPr>
        <w:t xml:space="preserve"> IRI</w:t>
      </w:r>
      <w:r w:rsidR="00012355">
        <w:rPr>
          <w:rFonts w:ascii="Arial" w:hAnsi="Arial" w:cs="Arial"/>
          <w:sz w:val="16"/>
          <w:szCs w:val="16"/>
        </w:rPr>
        <w:t xml:space="preserve"> Integrated Fresh</w:t>
      </w:r>
      <w:r w:rsidR="007E5948">
        <w:rPr>
          <w:rFonts w:ascii="Arial" w:hAnsi="Arial" w:cs="Arial"/>
          <w:sz w:val="16"/>
          <w:szCs w:val="16"/>
        </w:rPr>
        <w:t>, Total U.S., MULO</w:t>
      </w:r>
    </w:p>
    <w:p w14:paraId="6B367975" w14:textId="77777777" w:rsidR="00F8382F" w:rsidRDefault="00F8382F" w:rsidP="00D77735">
      <w:pPr>
        <w:spacing w:after="0" w:line="240" w:lineRule="auto"/>
        <w:rPr>
          <w:rFonts w:ascii="Arial" w:hAnsi="Arial" w:cs="Arial"/>
          <w:b/>
          <w:color w:val="595959" w:themeColor="text1" w:themeTint="A6"/>
          <w:sz w:val="24"/>
          <w:szCs w:val="24"/>
        </w:rPr>
      </w:pPr>
    </w:p>
    <w:p w14:paraId="23DE661B" w14:textId="67671ABD" w:rsidR="009E5261" w:rsidRPr="001A4F53" w:rsidRDefault="00280853" w:rsidP="009E5261">
      <w:pPr>
        <w:pStyle w:val="NoSpacing"/>
        <w:rPr>
          <w:rFonts w:ascii="Arial" w:hAnsi="Arial" w:cs="Arial"/>
          <w:b/>
          <w:color w:val="595959" w:themeColor="text1" w:themeTint="A6"/>
          <w:sz w:val="24"/>
          <w:szCs w:val="20"/>
        </w:rPr>
      </w:pPr>
      <w:r>
        <w:rPr>
          <w:rFonts w:ascii="Arial" w:hAnsi="Arial" w:cs="Arial"/>
          <w:b/>
          <w:color w:val="595959" w:themeColor="text1" w:themeTint="A6"/>
          <w:sz w:val="24"/>
          <w:szCs w:val="20"/>
        </w:rPr>
        <w:lastRenderedPageBreak/>
        <w:t xml:space="preserve">Fresh Produce </w:t>
      </w:r>
      <w:r w:rsidR="009E5261" w:rsidRPr="005E2F61">
        <w:rPr>
          <w:rFonts w:ascii="Arial" w:hAnsi="Arial" w:cs="Arial"/>
          <w:b/>
          <w:color w:val="595959" w:themeColor="text1" w:themeTint="A6"/>
          <w:sz w:val="24"/>
          <w:szCs w:val="20"/>
        </w:rPr>
        <w:t xml:space="preserve">Absolute Dollar </w:t>
      </w:r>
      <w:r>
        <w:rPr>
          <w:rFonts w:ascii="Arial" w:hAnsi="Arial" w:cs="Arial"/>
          <w:b/>
          <w:color w:val="595959" w:themeColor="text1" w:themeTint="A6"/>
          <w:sz w:val="24"/>
          <w:szCs w:val="20"/>
        </w:rPr>
        <w:t>Gains</w:t>
      </w:r>
    </w:p>
    <w:p w14:paraId="25FFE32A" w14:textId="60F887E8" w:rsidR="009E5261" w:rsidRPr="00B35CE9" w:rsidRDefault="009E5261" w:rsidP="009E5261">
      <w:pPr>
        <w:pStyle w:val="NoSpacing"/>
        <w:rPr>
          <w:rFonts w:ascii="Arial" w:hAnsi="Arial" w:cs="Arial"/>
          <w:sz w:val="20"/>
          <w:szCs w:val="20"/>
        </w:rPr>
      </w:pPr>
      <w:r>
        <w:rPr>
          <w:rFonts w:ascii="Arial" w:hAnsi="Arial" w:cs="Arial"/>
          <w:sz w:val="20"/>
          <w:szCs w:val="20"/>
        </w:rPr>
        <w:t>“</w:t>
      </w:r>
      <w:r w:rsidR="00E4420B">
        <w:rPr>
          <w:rFonts w:ascii="Arial" w:hAnsi="Arial" w:cs="Arial"/>
          <w:sz w:val="20"/>
          <w:szCs w:val="20"/>
        </w:rPr>
        <w:t xml:space="preserve">The top 10 </w:t>
      </w:r>
      <w:r w:rsidR="00A225C7">
        <w:rPr>
          <w:rFonts w:ascii="Arial" w:hAnsi="Arial" w:cs="Arial"/>
          <w:sz w:val="20"/>
          <w:szCs w:val="20"/>
        </w:rPr>
        <w:t xml:space="preserve">in absolute dollar gains </w:t>
      </w:r>
      <w:r w:rsidR="00BE7DBD">
        <w:rPr>
          <w:rFonts w:ascii="Arial" w:hAnsi="Arial" w:cs="Arial"/>
          <w:sz w:val="20"/>
          <w:szCs w:val="20"/>
        </w:rPr>
        <w:t>shows the overwhelming strength of berries in today’s marketplace</w:t>
      </w:r>
      <w:r w:rsidR="000D3B17">
        <w:rPr>
          <w:rFonts w:ascii="Arial" w:hAnsi="Arial" w:cs="Arial"/>
          <w:sz w:val="20"/>
          <w:szCs w:val="20"/>
        </w:rPr>
        <w:t xml:space="preserve"> as well as Easter dinner staples in potatoes and onions</w:t>
      </w:r>
      <w:r w:rsidR="004D26B3">
        <w:rPr>
          <w:rFonts w:ascii="Arial" w:hAnsi="Arial" w:cs="Arial"/>
          <w:sz w:val="20"/>
          <w:szCs w:val="20"/>
        </w:rPr>
        <w:t>,</w:t>
      </w:r>
      <w:r>
        <w:rPr>
          <w:rFonts w:ascii="Arial" w:hAnsi="Arial" w:cs="Arial"/>
          <w:sz w:val="20"/>
          <w:szCs w:val="20"/>
        </w:rPr>
        <w:t>”</w:t>
      </w:r>
      <w:r w:rsidR="004D26B3">
        <w:rPr>
          <w:rFonts w:ascii="Arial" w:hAnsi="Arial" w:cs="Arial"/>
          <w:sz w:val="20"/>
          <w:szCs w:val="20"/>
        </w:rPr>
        <w:t xml:space="preserve"> said </w:t>
      </w:r>
      <w:r w:rsidR="000D5031">
        <w:rPr>
          <w:rFonts w:ascii="Arial" w:hAnsi="Arial" w:cs="Arial"/>
          <w:sz w:val="20"/>
          <w:szCs w:val="20"/>
        </w:rPr>
        <w:t>Parker</w:t>
      </w:r>
      <w:r w:rsidR="004D26B3">
        <w:rPr>
          <w:rFonts w:ascii="Arial" w:hAnsi="Arial" w:cs="Arial"/>
          <w:sz w:val="20"/>
          <w:szCs w:val="20"/>
        </w:rPr>
        <w:t>. “</w:t>
      </w:r>
      <w:r w:rsidR="000D3B17">
        <w:rPr>
          <w:rFonts w:ascii="Arial" w:hAnsi="Arial" w:cs="Arial"/>
          <w:sz w:val="20"/>
          <w:szCs w:val="20"/>
        </w:rPr>
        <w:t>Berries have, by far, the lowest level of inflation, at +2.0% and yet added $70 million in new dollars</w:t>
      </w:r>
      <w:r w:rsidR="006A12EC">
        <w:rPr>
          <w:rFonts w:ascii="Arial" w:hAnsi="Arial" w:cs="Arial"/>
          <w:sz w:val="20"/>
          <w:szCs w:val="20"/>
        </w:rPr>
        <w:t>.</w:t>
      </w:r>
      <w:r w:rsidR="000D3B17">
        <w:rPr>
          <w:rFonts w:ascii="Arial" w:hAnsi="Arial" w:cs="Arial"/>
          <w:sz w:val="20"/>
          <w:szCs w:val="20"/>
        </w:rPr>
        <w:t xml:space="preserve"> The inflation boost was clearest for limes, at 44%, resulting in $13 million in new dollars.</w:t>
      </w:r>
      <w:r w:rsidR="006A12EC">
        <w:rPr>
          <w:rFonts w:ascii="Arial" w:hAnsi="Arial" w:cs="Arial"/>
          <w:sz w:val="20"/>
          <w:szCs w:val="20"/>
        </w:rPr>
        <w:t>”</w:t>
      </w:r>
    </w:p>
    <w:p w14:paraId="64BA956D" w14:textId="77777777" w:rsidR="00470A5F" w:rsidRDefault="00470A5F" w:rsidP="009E5261">
      <w:pPr>
        <w:pStyle w:val="NoSpacing"/>
        <w:rPr>
          <w:rFonts w:ascii="Arial" w:hAnsi="Arial" w:cs="Arial"/>
          <w:sz w:val="10"/>
          <w:szCs w:val="10"/>
        </w:rPr>
      </w:pPr>
    </w:p>
    <w:p w14:paraId="65036843" w14:textId="77777777" w:rsidR="00470A5F" w:rsidRPr="00E62AA9" w:rsidRDefault="00470A5F" w:rsidP="009E5261">
      <w:pPr>
        <w:pStyle w:val="NoSpacing"/>
        <w:rPr>
          <w:rFonts w:ascii="Arial" w:hAnsi="Arial" w:cs="Arial"/>
          <w:sz w:val="10"/>
          <w:szCs w:val="10"/>
        </w:rPr>
      </w:pPr>
    </w:p>
    <w:tbl>
      <w:tblPr>
        <w:tblStyle w:val="LightShading-Accent5"/>
        <w:tblW w:w="10458" w:type="dxa"/>
        <w:tblBorders>
          <w:top w:val="none" w:sz="0" w:space="0" w:color="auto"/>
          <w:bottom w:val="none" w:sz="0" w:space="0" w:color="auto"/>
        </w:tblBorders>
        <w:tblLook w:val="04A0" w:firstRow="1" w:lastRow="0" w:firstColumn="1" w:lastColumn="0" w:noHBand="0" w:noVBand="1"/>
      </w:tblPr>
      <w:tblGrid>
        <w:gridCol w:w="3008"/>
        <w:gridCol w:w="1862"/>
        <w:gridCol w:w="1863"/>
        <w:gridCol w:w="1862"/>
        <w:gridCol w:w="600"/>
        <w:gridCol w:w="1263"/>
      </w:tblGrid>
      <w:tr w:rsidR="0087772C" w:rsidRPr="00764049" w14:paraId="6F319179" w14:textId="77777777" w:rsidTr="0087772C">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4EC3C13C" w14:textId="1ECC3BED" w:rsidR="0087772C" w:rsidRPr="001A4F53" w:rsidRDefault="000D3B17" w:rsidP="00F103B9">
            <w:pPr>
              <w:pStyle w:val="NoSpacing"/>
              <w:rPr>
                <w:rFonts w:ascii="Arial" w:hAnsi="Arial" w:cs="Arial"/>
                <w:color w:val="FFFFFF" w:themeColor="background1"/>
                <w:sz w:val="18"/>
                <w:szCs w:val="18"/>
              </w:rPr>
            </w:pPr>
            <w:r>
              <w:rPr>
                <w:rFonts w:ascii="Arial" w:hAnsi="Arial" w:cs="Arial"/>
                <w:color w:val="FFFFFF" w:themeColor="background1"/>
                <w:sz w:val="18"/>
                <w:szCs w:val="18"/>
              </w:rPr>
              <w:t xml:space="preserve">April </w:t>
            </w:r>
            <w:r w:rsidR="002C11A9">
              <w:rPr>
                <w:rFonts w:ascii="Arial" w:hAnsi="Arial" w:cs="Arial"/>
                <w:color w:val="FFFFFF" w:themeColor="background1"/>
                <w:sz w:val="18"/>
                <w:szCs w:val="18"/>
              </w:rPr>
              <w:t>2022</w:t>
            </w:r>
          </w:p>
        </w:tc>
        <w:tc>
          <w:tcPr>
            <w:tcW w:w="6187" w:type="dxa"/>
            <w:gridSpan w:val="4"/>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46D8EE0B" w14:textId="77777777" w:rsidR="0087772C" w:rsidRPr="001A4F53" w:rsidRDefault="0087772C" w:rsidP="002C11A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ascii="Arial" w:hAnsi="Arial" w:cs="Arial"/>
                <w:color w:val="FFFFFF" w:themeColor="background1"/>
                <w:sz w:val="18"/>
                <w:szCs w:val="18"/>
              </w:rPr>
              <w:t>Versus comparable period</w:t>
            </w:r>
            <w:r w:rsidRPr="001A4F53">
              <w:rPr>
                <w:rFonts w:ascii="Arial" w:hAnsi="Arial" w:cs="Arial"/>
                <w:color w:val="FFFFFF" w:themeColor="background1"/>
                <w:sz w:val="18"/>
                <w:szCs w:val="18"/>
              </w:rPr>
              <w:t xml:space="preserve"> in 20</w:t>
            </w:r>
            <w:r>
              <w:rPr>
                <w:rFonts w:ascii="Arial" w:hAnsi="Arial" w:cs="Arial"/>
                <w:color w:val="FFFFFF" w:themeColor="background1"/>
                <w:sz w:val="18"/>
                <w:szCs w:val="18"/>
              </w:rPr>
              <w:t>2</w:t>
            </w:r>
            <w:r w:rsidR="002C11A9">
              <w:rPr>
                <w:rFonts w:ascii="Arial" w:hAnsi="Arial" w:cs="Arial"/>
                <w:color w:val="FFFFFF" w:themeColor="background1"/>
                <w:sz w:val="18"/>
                <w:szCs w:val="18"/>
              </w:rPr>
              <w:t>1</w:t>
            </w:r>
          </w:p>
        </w:tc>
        <w:tc>
          <w:tcPr>
            <w:tcW w:w="1263" w:type="dxa"/>
            <w:tcBorders>
              <w:top w:val="none" w:sz="0" w:space="0" w:color="auto"/>
              <w:left w:val="none" w:sz="0" w:space="0" w:color="auto"/>
              <w:bottom w:val="none" w:sz="0" w:space="0" w:color="auto"/>
              <w:right w:val="none" w:sz="0" w:space="0" w:color="auto"/>
            </w:tcBorders>
            <w:shd w:val="clear" w:color="auto" w:fill="17365D" w:themeFill="text2" w:themeFillShade="BF"/>
          </w:tcPr>
          <w:p w14:paraId="0B30EE45" w14:textId="77777777" w:rsidR="0087772C" w:rsidRDefault="0087772C" w:rsidP="00F103B9">
            <w:pPr>
              <w:pStyle w:val="NoSpacing"/>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tc>
      </w:tr>
      <w:tr w:rsidR="0087772C" w:rsidRPr="00764049" w14:paraId="74A228B9" w14:textId="77777777" w:rsidTr="0087772C">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tcBorders>
              <w:left w:val="none" w:sz="0" w:space="0" w:color="auto"/>
              <w:right w:val="none" w:sz="0" w:space="0" w:color="auto"/>
            </w:tcBorders>
            <w:shd w:val="clear" w:color="auto" w:fill="17365D" w:themeFill="text2" w:themeFillShade="BF"/>
            <w:vAlign w:val="center"/>
          </w:tcPr>
          <w:p w14:paraId="5BA6C8F0" w14:textId="77777777" w:rsidR="0087772C" w:rsidRPr="001A4F53" w:rsidRDefault="0087772C" w:rsidP="00F103B9">
            <w:pPr>
              <w:pStyle w:val="NoSpacing"/>
              <w:rPr>
                <w:rFonts w:ascii="Arial" w:hAnsi="Arial" w:cs="Arial"/>
                <w:color w:val="FFFFFF" w:themeColor="background1"/>
                <w:sz w:val="18"/>
                <w:szCs w:val="18"/>
              </w:rPr>
            </w:pPr>
            <w:r w:rsidRPr="001A4F53">
              <w:rPr>
                <w:rFonts w:ascii="Arial" w:hAnsi="Arial" w:cs="Arial"/>
                <w:color w:val="FFFFFF" w:themeColor="background1"/>
                <w:sz w:val="18"/>
                <w:szCs w:val="18"/>
              </w:rPr>
              <w:t xml:space="preserve">Top 10 produce items in absolute dollar growth </w:t>
            </w:r>
          </w:p>
        </w:tc>
        <w:tc>
          <w:tcPr>
            <w:tcW w:w="1862" w:type="dxa"/>
            <w:tcBorders>
              <w:left w:val="none" w:sz="0" w:space="0" w:color="auto"/>
              <w:right w:val="none" w:sz="0" w:space="0" w:color="auto"/>
            </w:tcBorders>
            <w:shd w:val="clear" w:color="auto" w:fill="17365D" w:themeFill="text2" w:themeFillShade="BF"/>
            <w:vAlign w:val="center"/>
          </w:tcPr>
          <w:p w14:paraId="2877944D" w14:textId="18931E02" w:rsidR="0087772C" w:rsidRPr="001A4F53" w:rsidRDefault="0087772C" w:rsidP="00F103B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1A4F53">
              <w:rPr>
                <w:rFonts w:ascii="Arial" w:hAnsi="Arial" w:cs="Arial"/>
                <w:b/>
                <w:color w:val="FFFFFF" w:themeColor="background1"/>
                <w:sz w:val="18"/>
                <w:szCs w:val="18"/>
              </w:rPr>
              <w:t xml:space="preserve">Absolute </w:t>
            </w:r>
            <w:r w:rsidR="001C54D9">
              <w:rPr>
                <w:rFonts w:ascii="Arial" w:hAnsi="Arial" w:cs="Arial"/>
                <w:b/>
                <w:color w:val="FFFFFF" w:themeColor="background1"/>
                <w:sz w:val="18"/>
                <w:szCs w:val="18"/>
              </w:rPr>
              <w:br/>
            </w:r>
            <w:r w:rsidRPr="001A4F53">
              <w:rPr>
                <w:rFonts w:ascii="Arial" w:hAnsi="Arial" w:cs="Arial"/>
                <w:b/>
                <w:color w:val="FFFFFF" w:themeColor="background1"/>
                <w:sz w:val="18"/>
                <w:szCs w:val="18"/>
              </w:rPr>
              <w:t xml:space="preserve">dollar gain </w:t>
            </w:r>
          </w:p>
        </w:tc>
        <w:tc>
          <w:tcPr>
            <w:tcW w:w="1863" w:type="dxa"/>
            <w:tcBorders>
              <w:left w:val="none" w:sz="0" w:space="0" w:color="auto"/>
              <w:right w:val="none" w:sz="0" w:space="0" w:color="auto"/>
            </w:tcBorders>
            <w:shd w:val="clear" w:color="auto" w:fill="17365D" w:themeFill="text2" w:themeFillShade="BF"/>
            <w:vAlign w:val="center"/>
          </w:tcPr>
          <w:p w14:paraId="0E812425" w14:textId="6DA2C602" w:rsidR="0087772C" w:rsidRPr="001A4F53" w:rsidRDefault="0087772C" w:rsidP="00F103B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1A4F53">
              <w:rPr>
                <w:rFonts w:ascii="Arial" w:hAnsi="Arial" w:cs="Arial"/>
                <w:b/>
                <w:color w:val="FFFFFF" w:themeColor="background1"/>
                <w:sz w:val="18"/>
                <w:szCs w:val="18"/>
              </w:rPr>
              <w:t xml:space="preserve">Dollar </w:t>
            </w:r>
            <w:r w:rsidR="001C54D9">
              <w:rPr>
                <w:rFonts w:ascii="Arial" w:hAnsi="Arial" w:cs="Arial"/>
                <w:b/>
                <w:color w:val="FFFFFF" w:themeColor="background1"/>
                <w:sz w:val="18"/>
                <w:szCs w:val="18"/>
              </w:rPr>
              <w:br/>
            </w:r>
            <w:r w:rsidRPr="001A4F53">
              <w:rPr>
                <w:rFonts w:ascii="Arial" w:hAnsi="Arial" w:cs="Arial"/>
                <w:b/>
                <w:color w:val="FFFFFF" w:themeColor="background1"/>
                <w:sz w:val="18"/>
                <w:szCs w:val="18"/>
              </w:rPr>
              <w:t xml:space="preserve">% </w:t>
            </w:r>
            <w:r>
              <w:rPr>
                <w:rFonts w:ascii="Arial" w:hAnsi="Arial" w:cs="Arial"/>
                <w:b/>
                <w:color w:val="FFFFFF" w:themeColor="background1"/>
                <w:sz w:val="18"/>
                <w:szCs w:val="18"/>
              </w:rPr>
              <w:t>growth</w:t>
            </w:r>
          </w:p>
        </w:tc>
        <w:tc>
          <w:tcPr>
            <w:tcW w:w="1862" w:type="dxa"/>
            <w:tcBorders>
              <w:left w:val="none" w:sz="0" w:space="0" w:color="auto"/>
              <w:right w:val="none" w:sz="0" w:space="0" w:color="auto"/>
            </w:tcBorders>
            <w:shd w:val="clear" w:color="auto" w:fill="17365D" w:themeFill="text2" w:themeFillShade="BF"/>
            <w:vAlign w:val="center"/>
          </w:tcPr>
          <w:p w14:paraId="0B544E93" w14:textId="5EF30020" w:rsidR="0087772C" w:rsidRPr="001A4F53" w:rsidRDefault="0087772C" w:rsidP="00F103B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sidRPr="001A4F53">
              <w:rPr>
                <w:rFonts w:ascii="Arial" w:hAnsi="Arial" w:cs="Arial"/>
                <w:b/>
                <w:color w:val="FFFFFF" w:themeColor="background1"/>
                <w:sz w:val="18"/>
                <w:szCs w:val="18"/>
              </w:rPr>
              <w:t xml:space="preserve">Total </w:t>
            </w:r>
            <w:r w:rsidR="001C54D9">
              <w:rPr>
                <w:rFonts w:ascii="Arial" w:hAnsi="Arial" w:cs="Arial"/>
                <w:b/>
                <w:color w:val="FFFFFF" w:themeColor="background1"/>
                <w:sz w:val="18"/>
                <w:szCs w:val="18"/>
              </w:rPr>
              <w:br/>
            </w:r>
            <w:r w:rsidRPr="001A4F53">
              <w:rPr>
                <w:rFonts w:ascii="Arial" w:hAnsi="Arial" w:cs="Arial"/>
                <w:b/>
                <w:color w:val="FFFFFF" w:themeColor="background1"/>
                <w:sz w:val="18"/>
                <w:szCs w:val="18"/>
              </w:rPr>
              <w:t>dollar sales</w:t>
            </w:r>
          </w:p>
        </w:tc>
        <w:tc>
          <w:tcPr>
            <w:tcW w:w="1863" w:type="dxa"/>
            <w:gridSpan w:val="2"/>
            <w:tcBorders>
              <w:left w:val="none" w:sz="0" w:space="0" w:color="auto"/>
              <w:right w:val="none" w:sz="0" w:space="0" w:color="auto"/>
            </w:tcBorders>
            <w:shd w:val="clear" w:color="auto" w:fill="17365D" w:themeFill="text2" w:themeFillShade="BF"/>
          </w:tcPr>
          <w:p w14:paraId="3C571A8B" w14:textId="57CAFA7C" w:rsidR="0087772C" w:rsidRPr="001A4F53" w:rsidRDefault="00BE7DBD" w:rsidP="00F103B9">
            <w:pPr>
              <w:pStyle w:val="NoSpacing"/>
              <w:jc w:val="right"/>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 xml:space="preserve">Change </w:t>
            </w:r>
            <w:r w:rsidR="0087772C">
              <w:rPr>
                <w:rFonts w:ascii="Arial" w:hAnsi="Arial" w:cs="Arial"/>
                <w:b/>
                <w:color w:val="FFFFFF" w:themeColor="background1"/>
                <w:sz w:val="18"/>
                <w:szCs w:val="18"/>
              </w:rPr>
              <w:t>in price per pound</w:t>
            </w:r>
          </w:p>
        </w:tc>
      </w:tr>
      <w:tr w:rsidR="0087772C" w:rsidRPr="0039690E" w14:paraId="04F1D0AF" w14:textId="77777777" w:rsidTr="0087772C">
        <w:trPr>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0C01466F" w14:textId="77777777" w:rsidR="0087772C" w:rsidRPr="0039690E" w:rsidRDefault="0087772C" w:rsidP="000166DA">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Berries</w:t>
            </w:r>
          </w:p>
        </w:tc>
        <w:tc>
          <w:tcPr>
            <w:tcW w:w="1862" w:type="dxa"/>
            <w:vAlign w:val="center"/>
          </w:tcPr>
          <w:p w14:paraId="27F7C24E" w14:textId="79CF26C7" w:rsidR="0087772C" w:rsidRPr="0039690E" w:rsidRDefault="002C11A9" w:rsidP="0001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w:t>
            </w:r>
            <w:r w:rsidR="000D3B17">
              <w:rPr>
                <w:rFonts w:ascii="Arial" w:hAnsi="Arial" w:cs="Arial"/>
                <w:color w:val="215868" w:themeColor="accent5" w:themeShade="80"/>
                <w:sz w:val="18"/>
                <w:szCs w:val="18"/>
              </w:rPr>
              <w:t>70M</w:t>
            </w:r>
          </w:p>
        </w:tc>
        <w:tc>
          <w:tcPr>
            <w:tcW w:w="1863" w:type="dxa"/>
            <w:vAlign w:val="center"/>
          </w:tcPr>
          <w:p w14:paraId="66E5E3BB" w14:textId="3E6A77E6" w:rsidR="0087772C" w:rsidRPr="0039690E" w:rsidRDefault="0087772C" w:rsidP="0001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39690E">
              <w:rPr>
                <w:rFonts w:ascii="Arial" w:hAnsi="Arial" w:cs="Arial"/>
                <w:color w:val="215868" w:themeColor="accent5" w:themeShade="80"/>
                <w:sz w:val="18"/>
                <w:szCs w:val="18"/>
              </w:rPr>
              <w:t>+</w:t>
            </w:r>
            <w:r w:rsidR="000D3B17">
              <w:rPr>
                <w:rFonts w:ascii="Arial" w:hAnsi="Arial" w:cs="Arial"/>
                <w:color w:val="215868" w:themeColor="accent5" w:themeShade="80"/>
                <w:sz w:val="18"/>
                <w:szCs w:val="18"/>
              </w:rPr>
              <w:t>10.5</w:t>
            </w:r>
            <w:r w:rsidRPr="0039690E">
              <w:rPr>
                <w:rFonts w:ascii="Arial" w:hAnsi="Arial" w:cs="Arial"/>
                <w:color w:val="215868" w:themeColor="accent5" w:themeShade="80"/>
                <w:sz w:val="18"/>
                <w:szCs w:val="18"/>
              </w:rPr>
              <w:t>%</w:t>
            </w:r>
          </w:p>
        </w:tc>
        <w:tc>
          <w:tcPr>
            <w:tcW w:w="1862" w:type="dxa"/>
            <w:vAlign w:val="center"/>
          </w:tcPr>
          <w:p w14:paraId="1C5E5C05" w14:textId="10A0BA03" w:rsidR="0087772C" w:rsidRPr="0039690E" w:rsidRDefault="0087772C" w:rsidP="0001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sidRPr="0039690E">
              <w:rPr>
                <w:rFonts w:ascii="Arial" w:hAnsi="Arial" w:cs="Arial"/>
                <w:color w:val="215868" w:themeColor="accent5" w:themeShade="80"/>
                <w:sz w:val="18"/>
                <w:szCs w:val="18"/>
              </w:rPr>
              <w:t>$</w:t>
            </w:r>
            <w:r w:rsidR="000D3B17">
              <w:rPr>
                <w:rFonts w:ascii="Arial" w:hAnsi="Arial" w:cs="Arial"/>
                <w:color w:val="215868" w:themeColor="accent5" w:themeShade="80"/>
                <w:sz w:val="18"/>
                <w:szCs w:val="18"/>
              </w:rPr>
              <w:t>736</w:t>
            </w:r>
            <w:r w:rsidRPr="0039690E">
              <w:rPr>
                <w:rFonts w:ascii="Arial" w:hAnsi="Arial" w:cs="Arial"/>
                <w:color w:val="215868" w:themeColor="accent5" w:themeShade="80"/>
                <w:sz w:val="18"/>
                <w:szCs w:val="18"/>
              </w:rPr>
              <w:t>M</w:t>
            </w:r>
          </w:p>
        </w:tc>
        <w:tc>
          <w:tcPr>
            <w:tcW w:w="1863" w:type="dxa"/>
            <w:gridSpan w:val="2"/>
          </w:tcPr>
          <w:p w14:paraId="6AFCF28C" w14:textId="309F3426" w:rsidR="0087772C" w:rsidRPr="0039690E" w:rsidRDefault="000D3B17" w:rsidP="0001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215868" w:themeColor="accent5" w:themeShade="80"/>
                <w:sz w:val="18"/>
                <w:szCs w:val="18"/>
              </w:rPr>
            </w:pPr>
            <w:r>
              <w:rPr>
                <w:rFonts w:ascii="Arial" w:hAnsi="Arial" w:cs="Arial"/>
                <w:color w:val="215868" w:themeColor="accent5" w:themeShade="80"/>
                <w:sz w:val="18"/>
                <w:szCs w:val="18"/>
              </w:rPr>
              <w:t>+2.0</w:t>
            </w:r>
            <w:r w:rsidR="0087772C">
              <w:rPr>
                <w:rFonts w:ascii="Arial" w:hAnsi="Arial" w:cs="Arial"/>
                <w:color w:val="215868" w:themeColor="accent5" w:themeShade="80"/>
                <w:sz w:val="18"/>
                <w:szCs w:val="18"/>
              </w:rPr>
              <w:t>%</w:t>
            </w:r>
          </w:p>
        </w:tc>
      </w:tr>
      <w:tr w:rsidR="000D3B17" w:rsidRPr="0039690E" w14:paraId="43381836" w14:textId="77777777" w:rsidTr="00DB2D60">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068569A2" w14:textId="3B0CF798"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Potatoes</w:t>
            </w:r>
          </w:p>
        </w:tc>
        <w:tc>
          <w:tcPr>
            <w:tcW w:w="1862" w:type="dxa"/>
            <w:vAlign w:val="center"/>
          </w:tcPr>
          <w:p w14:paraId="473224CC" w14:textId="3DA4A6E4"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+$29M</w:t>
            </w:r>
          </w:p>
        </w:tc>
        <w:tc>
          <w:tcPr>
            <w:tcW w:w="1863" w:type="dxa"/>
            <w:vAlign w:val="center"/>
          </w:tcPr>
          <w:p w14:paraId="69BA81BF" w14:textId="24BAB766"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12.0</w:t>
            </w:r>
            <w:r w:rsidRPr="0039690E">
              <w:rPr>
                <w:rFonts w:ascii="Arial" w:hAnsi="Arial" w:cs="Arial"/>
                <w:color w:val="215868" w:themeColor="accent5" w:themeShade="80"/>
                <w:sz w:val="18"/>
                <w:szCs w:val="18"/>
              </w:rPr>
              <w:t>%</w:t>
            </w:r>
          </w:p>
        </w:tc>
        <w:tc>
          <w:tcPr>
            <w:tcW w:w="1862" w:type="dxa"/>
            <w:vAlign w:val="center"/>
          </w:tcPr>
          <w:p w14:paraId="33105BD9" w14:textId="1FA6DAF0"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274</w:t>
            </w:r>
            <w:r w:rsidRPr="0039690E">
              <w:rPr>
                <w:rFonts w:ascii="Arial" w:hAnsi="Arial" w:cs="Arial"/>
                <w:color w:val="215868" w:themeColor="accent5" w:themeShade="80"/>
                <w:sz w:val="18"/>
                <w:szCs w:val="18"/>
              </w:rPr>
              <w:t>M</w:t>
            </w:r>
          </w:p>
        </w:tc>
        <w:tc>
          <w:tcPr>
            <w:tcW w:w="1863" w:type="dxa"/>
            <w:gridSpan w:val="2"/>
          </w:tcPr>
          <w:p w14:paraId="15A0570C" w14:textId="226BAD58"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+10.9%</w:t>
            </w:r>
          </w:p>
        </w:tc>
      </w:tr>
      <w:tr w:rsidR="000D3B17" w:rsidRPr="0039690E" w14:paraId="75511BE8" w14:textId="77777777" w:rsidTr="00451DC5">
        <w:trPr>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7DB301F9" w14:textId="7EE431CB"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Onions</w:t>
            </w:r>
          </w:p>
        </w:tc>
        <w:tc>
          <w:tcPr>
            <w:tcW w:w="1862" w:type="dxa"/>
            <w:vAlign w:val="center"/>
          </w:tcPr>
          <w:p w14:paraId="575F9CA6" w14:textId="4214F969"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+$27M</w:t>
            </w:r>
          </w:p>
        </w:tc>
        <w:tc>
          <w:tcPr>
            <w:tcW w:w="1863" w:type="dxa"/>
            <w:vAlign w:val="center"/>
          </w:tcPr>
          <w:p w14:paraId="0A097B6D" w14:textId="06105CB0"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15.5</w:t>
            </w:r>
            <w:r w:rsidRPr="0039690E">
              <w:rPr>
                <w:rFonts w:ascii="Arial" w:hAnsi="Arial" w:cs="Arial"/>
                <w:color w:val="215868" w:themeColor="accent5" w:themeShade="80"/>
                <w:sz w:val="18"/>
                <w:szCs w:val="18"/>
              </w:rPr>
              <w:t>%</w:t>
            </w:r>
          </w:p>
        </w:tc>
        <w:tc>
          <w:tcPr>
            <w:tcW w:w="1862" w:type="dxa"/>
            <w:vAlign w:val="center"/>
          </w:tcPr>
          <w:p w14:paraId="28D0C663" w14:textId="232EA098"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205</w:t>
            </w:r>
            <w:r w:rsidRPr="0039690E">
              <w:rPr>
                <w:rFonts w:ascii="Arial" w:hAnsi="Arial" w:cs="Arial"/>
                <w:color w:val="215868" w:themeColor="accent5" w:themeShade="80"/>
                <w:sz w:val="18"/>
                <w:szCs w:val="18"/>
              </w:rPr>
              <w:t>M</w:t>
            </w:r>
          </w:p>
        </w:tc>
        <w:tc>
          <w:tcPr>
            <w:tcW w:w="1863" w:type="dxa"/>
            <w:gridSpan w:val="2"/>
          </w:tcPr>
          <w:p w14:paraId="6C5789DF" w14:textId="69DE07B5"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+12.0%</w:t>
            </w:r>
          </w:p>
        </w:tc>
      </w:tr>
      <w:tr w:rsidR="000D3B17" w:rsidRPr="0039690E" w14:paraId="1A21AA15" w14:textId="77777777" w:rsidTr="00451D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44C84FAA" w14:textId="606D9414"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Apples</w:t>
            </w:r>
          </w:p>
        </w:tc>
        <w:tc>
          <w:tcPr>
            <w:tcW w:w="1862" w:type="dxa"/>
            <w:vAlign w:val="center"/>
          </w:tcPr>
          <w:p w14:paraId="53A4FBF5" w14:textId="55A39260"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+$24M</w:t>
            </w:r>
          </w:p>
        </w:tc>
        <w:tc>
          <w:tcPr>
            <w:tcW w:w="1863" w:type="dxa"/>
            <w:vAlign w:val="center"/>
          </w:tcPr>
          <w:p w14:paraId="7B62BF9D" w14:textId="1D566DFD"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7.4</w:t>
            </w:r>
            <w:r w:rsidRPr="0039690E">
              <w:rPr>
                <w:rFonts w:ascii="Arial" w:hAnsi="Arial" w:cs="Arial"/>
                <w:color w:val="215868" w:themeColor="accent5" w:themeShade="80"/>
                <w:sz w:val="18"/>
                <w:szCs w:val="18"/>
              </w:rPr>
              <w:t>%</w:t>
            </w:r>
          </w:p>
        </w:tc>
        <w:tc>
          <w:tcPr>
            <w:tcW w:w="1862" w:type="dxa"/>
            <w:vAlign w:val="center"/>
          </w:tcPr>
          <w:p w14:paraId="165DF388" w14:textId="223418C5"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346</w:t>
            </w:r>
            <w:r w:rsidRPr="0039690E">
              <w:rPr>
                <w:rFonts w:ascii="Arial" w:hAnsi="Arial" w:cs="Arial"/>
                <w:color w:val="215868" w:themeColor="accent5" w:themeShade="80"/>
                <w:sz w:val="18"/>
                <w:szCs w:val="18"/>
              </w:rPr>
              <w:t>M</w:t>
            </w:r>
          </w:p>
        </w:tc>
        <w:tc>
          <w:tcPr>
            <w:tcW w:w="1863" w:type="dxa"/>
            <w:gridSpan w:val="2"/>
          </w:tcPr>
          <w:p w14:paraId="2D5467DF" w14:textId="7495E05B"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+11.0%</w:t>
            </w:r>
          </w:p>
        </w:tc>
      </w:tr>
      <w:tr w:rsidR="000D3B17" w:rsidRPr="0039690E" w14:paraId="75397FB3" w14:textId="77777777" w:rsidTr="00451DC5">
        <w:trPr>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4BDF8BBC" w14:textId="0920F18F"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Lettuce</w:t>
            </w:r>
          </w:p>
        </w:tc>
        <w:tc>
          <w:tcPr>
            <w:tcW w:w="1862" w:type="dxa"/>
            <w:vAlign w:val="center"/>
          </w:tcPr>
          <w:p w14:paraId="5A00940C" w14:textId="705187F0"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+$23M</w:t>
            </w:r>
          </w:p>
        </w:tc>
        <w:tc>
          <w:tcPr>
            <w:tcW w:w="1863" w:type="dxa"/>
            <w:vAlign w:val="center"/>
          </w:tcPr>
          <w:p w14:paraId="633C67A6" w14:textId="6851BFE6"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11.5</w:t>
            </w:r>
            <w:r w:rsidRPr="0039690E">
              <w:rPr>
                <w:rFonts w:ascii="Arial" w:hAnsi="Arial" w:cs="Arial"/>
                <w:color w:val="215868" w:themeColor="accent5" w:themeShade="80"/>
                <w:sz w:val="18"/>
                <w:szCs w:val="18"/>
              </w:rPr>
              <w:t>%</w:t>
            </w:r>
          </w:p>
        </w:tc>
        <w:tc>
          <w:tcPr>
            <w:tcW w:w="1862" w:type="dxa"/>
            <w:vAlign w:val="center"/>
          </w:tcPr>
          <w:p w14:paraId="1F613C99" w14:textId="56DE9D1B"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227</w:t>
            </w:r>
            <w:r w:rsidRPr="0039690E">
              <w:rPr>
                <w:rFonts w:ascii="Arial" w:hAnsi="Arial" w:cs="Arial"/>
                <w:color w:val="215868" w:themeColor="accent5" w:themeShade="80"/>
                <w:sz w:val="18"/>
                <w:szCs w:val="18"/>
              </w:rPr>
              <w:t>M</w:t>
            </w:r>
          </w:p>
        </w:tc>
        <w:tc>
          <w:tcPr>
            <w:tcW w:w="1863" w:type="dxa"/>
            <w:gridSpan w:val="2"/>
          </w:tcPr>
          <w:p w14:paraId="705E85A2" w14:textId="46384E89"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+17.3%</w:t>
            </w:r>
          </w:p>
        </w:tc>
      </w:tr>
      <w:tr w:rsidR="000D3B17" w:rsidRPr="0039690E" w14:paraId="60EECAA3" w14:textId="77777777" w:rsidTr="00451D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tcBorders>
              <w:left w:val="none" w:sz="0" w:space="0" w:color="auto"/>
              <w:right w:val="none" w:sz="0" w:space="0" w:color="auto"/>
            </w:tcBorders>
            <w:vAlign w:val="center"/>
          </w:tcPr>
          <w:p w14:paraId="763F33C2" w14:textId="478352C7"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Avocados</w:t>
            </w:r>
          </w:p>
        </w:tc>
        <w:tc>
          <w:tcPr>
            <w:tcW w:w="1862" w:type="dxa"/>
            <w:tcBorders>
              <w:left w:val="none" w:sz="0" w:space="0" w:color="auto"/>
              <w:right w:val="none" w:sz="0" w:space="0" w:color="auto"/>
            </w:tcBorders>
            <w:vAlign w:val="center"/>
          </w:tcPr>
          <w:p w14:paraId="71B192EF" w14:textId="59BF0DC4"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+$17M</w:t>
            </w:r>
          </w:p>
        </w:tc>
        <w:tc>
          <w:tcPr>
            <w:tcW w:w="1863" w:type="dxa"/>
            <w:tcBorders>
              <w:left w:val="none" w:sz="0" w:space="0" w:color="auto"/>
              <w:right w:val="none" w:sz="0" w:space="0" w:color="auto"/>
            </w:tcBorders>
            <w:vAlign w:val="center"/>
          </w:tcPr>
          <w:p w14:paraId="445EC599" w14:textId="03BF9157"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8.0</w:t>
            </w:r>
            <w:r w:rsidRPr="0039690E">
              <w:rPr>
                <w:rFonts w:ascii="Arial" w:hAnsi="Arial" w:cs="Arial"/>
                <w:color w:val="215868" w:themeColor="accent5" w:themeShade="80"/>
                <w:sz w:val="18"/>
                <w:szCs w:val="18"/>
              </w:rPr>
              <w:t>%</w:t>
            </w:r>
          </w:p>
        </w:tc>
        <w:tc>
          <w:tcPr>
            <w:tcW w:w="1862" w:type="dxa"/>
            <w:tcBorders>
              <w:left w:val="none" w:sz="0" w:space="0" w:color="auto"/>
              <w:right w:val="none" w:sz="0" w:space="0" w:color="auto"/>
            </w:tcBorders>
            <w:vAlign w:val="center"/>
          </w:tcPr>
          <w:p w14:paraId="02CF5248" w14:textId="751A7FD6"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225</w:t>
            </w:r>
            <w:r w:rsidRPr="0039690E">
              <w:rPr>
                <w:rFonts w:ascii="Arial" w:hAnsi="Arial" w:cs="Arial"/>
                <w:color w:val="215868" w:themeColor="accent5" w:themeShade="80"/>
                <w:sz w:val="18"/>
                <w:szCs w:val="18"/>
              </w:rPr>
              <w:t>M</w:t>
            </w:r>
          </w:p>
        </w:tc>
        <w:tc>
          <w:tcPr>
            <w:tcW w:w="1863" w:type="dxa"/>
            <w:gridSpan w:val="2"/>
            <w:tcBorders>
              <w:left w:val="none" w:sz="0" w:space="0" w:color="auto"/>
              <w:right w:val="none" w:sz="0" w:space="0" w:color="auto"/>
            </w:tcBorders>
          </w:tcPr>
          <w:p w14:paraId="66944382" w14:textId="52896F40"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+20.5%</w:t>
            </w:r>
          </w:p>
        </w:tc>
      </w:tr>
      <w:tr w:rsidR="000D3B17" w:rsidRPr="0039690E" w14:paraId="702F2F7B" w14:textId="77777777" w:rsidTr="00451DC5">
        <w:trPr>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70FE71CA" w14:textId="2427C3CB"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Oranges</w:t>
            </w:r>
          </w:p>
        </w:tc>
        <w:tc>
          <w:tcPr>
            <w:tcW w:w="1862" w:type="dxa"/>
            <w:vAlign w:val="center"/>
          </w:tcPr>
          <w:p w14:paraId="6C6039DB" w14:textId="73DD1F86"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+$15M</w:t>
            </w:r>
          </w:p>
        </w:tc>
        <w:tc>
          <w:tcPr>
            <w:tcW w:w="1863" w:type="dxa"/>
            <w:vAlign w:val="center"/>
          </w:tcPr>
          <w:p w14:paraId="429880EB" w14:textId="2993C7D1"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14.7</w:t>
            </w:r>
            <w:r w:rsidRPr="0039690E">
              <w:rPr>
                <w:rFonts w:ascii="Arial" w:hAnsi="Arial" w:cs="Arial"/>
                <w:color w:val="215868" w:themeColor="accent5" w:themeShade="80"/>
                <w:sz w:val="18"/>
                <w:szCs w:val="18"/>
              </w:rPr>
              <w:t>%</w:t>
            </w:r>
          </w:p>
        </w:tc>
        <w:tc>
          <w:tcPr>
            <w:tcW w:w="1862" w:type="dxa"/>
            <w:vAlign w:val="center"/>
          </w:tcPr>
          <w:p w14:paraId="6F9682AC" w14:textId="3C0DFAC5"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120</w:t>
            </w:r>
            <w:r w:rsidRPr="0039690E">
              <w:rPr>
                <w:rFonts w:ascii="Arial" w:hAnsi="Arial" w:cs="Arial"/>
                <w:color w:val="215868" w:themeColor="accent5" w:themeShade="80"/>
                <w:sz w:val="18"/>
                <w:szCs w:val="18"/>
              </w:rPr>
              <w:t>M</w:t>
            </w:r>
          </w:p>
        </w:tc>
        <w:tc>
          <w:tcPr>
            <w:tcW w:w="1863" w:type="dxa"/>
            <w:gridSpan w:val="2"/>
          </w:tcPr>
          <w:p w14:paraId="7C1FEF60" w14:textId="42F5FFFA"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+19.0%</w:t>
            </w:r>
          </w:p>
        </w:tc>
      </w:tr>
      <w:tr w:rsidR="000D3B17" w:rsidRPr="0039690E" w14:paraId="5460D770" w14:textId="77777777" w:rsidTr="00451D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53975AE0" w14:textId="0DAD9757"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Melons</w:t>
            </w:r>
          </w:p>
        </w:tc>
        <w:tc>
          <w:tcPr>
            <w:tcW w:w="1862" w:type="dxa"/>
            <w:vAlign w:val="center"/>
          </w:tcPr>
          <w:p w14:paraId="708615DE" w14:textId="357AEF94"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+$13M</w:t>
            </w:r>
          </w:p>
        </w:tc>
        <w:tc>
          <w:tcPr>
            <w:tcW w:w="1863" w:type="dxa"/>
            <w:vAlign w:val="center"/>
          </w:tcPr>
          <w:p w14:paraId="6301E553" w14:textId="77A9E97B"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6.7</w:t>
            </w:r>
            <w:r w:rsidRPr="0039690E">
              <w:rPr>
                <w:rFonts w:ascii="Arial" w:hAnsi="Arial" w:cs="Arial"/>
                <w:color w:val="215868" w:themeColor="accent5" w:themeShade="80"/>
                <w:sz w:val="18"/>
                <w:szCs w:val="18"/>
              </w:rPr>
              <w:t>%</w:t>
            </w:r>
          </w:p>
        </w:tc>
        <w:tc>
          <w:tcPr>
            <w:tcW w:w="1862" w:type="dxa"/>
            <w:vAlign w:val="center"/>
          </w:tcPr>
          <w:p w14:paraId="5AC78EC5" w14:textId="2FCC6A3B"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208</w:t>
            </w:r>
            <w:r w:rsidRPr="0039690E">
              <w:rPr>
                <w:rFonts w:ascii="Arial" w:hAnsi="Arial" w:cs="Arial"/>
                <w:color w:val="215868" w:themeColor="accent5" w:themeShade="80"/>
                <w:sz w:val="18"/>
                <w:szCs w:val="18"/>
              </w:rPr>
              <w:t>M</w:t>
            </w:r>
          </w:p>
        </w:tc>
        <w:tc>
          <w:tcPr>
            <w:tcW w:w="1863" w:type="dxa"/>
            <w:gridSpan w:val="2"/>
          </w:tcPr>
          <w:p w14:paraId="34BD11CE" w14:textId="4581FC01"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+25.2%</w:t>
            </w:r>
          </w:p>
        </w:tc>
      </w:tr>
      <w:tr w:rsidR="000D3B17" w:rsidRPr="0039690E" w14:paraId="796068CA" w14:textId="77777777" w:rsidTr="00451DC5">
        <w:trPr>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2235C818" w14:textId="09A4BA3D"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Limes</w:t>
            </w:r>
          </w:p>
        </w:tc>
        <w:tc>
          <w:tcPr>
            <w:tcW w:w="1862" w:type="dxa"/>
            <w:vAlign w:val="center"/>
          </w:tcPr>
          <w:p w14:paraId="044A037C" w14:textId="3905F352"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+$13M</w:t>
            </w:r>
          </w:p>
        </w:tc>
        <w:tc>
          <w:tcPr>
            <w:tcW w:w="1863" w:type="dxa"/>
            <w:vAlign w:val="center"/>
          </w:tcPr>
          <w:p w14:paraId="26745975" w14:textId="700A39CC"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21.4</w:t>
            </w:r>
            <w:r w:rsidRPr="0039690E">
              <w:rPr>
                <w:rFonts w:ascii="Arial" w:hAnsi="Arial" w:cs="Arial"/>
                <w:color w:val="215868" w:themeColor="accent5" w:themeShade="80"/>
                <w:sz w:val="18"/>
                <w:szCs w:val="18"/>
              </w:rPr>
              <w:t>%</w:t>
            </w:r>
          </w:p>
        </w:tc>
        <w:tc>
          <w:tcPr>
            <w:tcW w:w="1862" w:type="dxa"/>
            <w:vAlign w:val="center"/>
          </w:tcPr>
          <w:p w14:paraId="589893D3" w14:textId="31DA77C9"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73</w:t>
            </w:r>
            <w:r w:rsidRPr="0039690E">
              <w:rPr>
                <w:rFonts w:ascii="Arial" w:hAnsi="Arial" w:cs="Arial"/>
                <w:color w:val="215868" w:themeColor="accent5" w:themeShade="80"/>
                <w:sz w:val="18"/>
                <w:szCs w:val="18"/>
              </w:rPr>
              <w:t>M</w:t>
            </w:r>
          </w:p>
        </w:tc>
        <w:tc>
          <w:tcPr>
            <w:tcW w:w="1863" w:type="dxa"/>
            <w:gridSpan w:val="2"/>
          </w:tcPr>
          <w:p w14:paraId="706BF9F0" w14:textId="02F62DC8" w:rsidR="000D3B17" w:rsidRDefault="000D3B17" w:rsidP="000D3B17">
            <w:pPr>
              <w:jc w:val="right"/>
              <w:cnfStyle w:val="000000000000" w:firstRow="0" w:lastRow="0" w:firstColumn="0" w:lastColumn="0" w:oddVBand="0" w:evenVBand="0" w:oddHBand="0" w:evenHBand="0" w:firstRowFirstColumn="0" w:firstRowLastColumn="0" w:lastRowFirstColumn="0" w:lastRowLastColumn="0"/>
            </w:pPr>
            <w:r>
              <w:rPr>
                <w:rFonts w:ascii="Arial" w:hAnsi="Arial" w:cs="Arial"/>
                <w:color w:val="215868" w:themeColor="accent5" w:themeShade="80"/>
                <w:sz w:val="18"/>
                <w:szCs w:val="18"/>
              </w:rPr>
              <w:t>+44.4%</w:t>
            </w:r>
          </w:p>
        </w:tc>
      </w:tr>
      <w:tr w:rsidR="000D3B17" w:rsidRPr="0039690E" w14:paraId="461D5732" w14:textId="77777777" w:rsidTr="00451DC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3008" w:type="dxa"/>
            <w:vAlign w:val="center"/>
          </w:tcPr>
          <w:p w14:paraId="02A11049" w14:textId="59550F77" w:rsidR="000D3B17" w:rsidRPr="0039690E" w:rsidRDefault="000D3B17" w:rsidP="000D3B17">
            <w:pPr>
              <w:jc w:val="right"/>
              <w:rPr>
                <w:rFonts w:ascii="Arial" w:hAnsi="Arial" w:cs="Arial"/>
                <w:b w:val="0"/>
                <w:color w:val="215868" w:themeColor="accent5" w:themeShade="80"/>
                <w:sz w:val="18"/>
                <w:szCs w:val="18"/>
              </w:rPr>
            </w:pPr>
            <w:r>
              <w:rPr>
                <w:rFonts w:ascii="Arial" w:hAnsi="Arial" w:cs="Arial"/>
                <w:b w:val="0"/>
                <w:color w:val="215868" w:themeColor="accent5" w:themeShade="80"/>
                <w:sz w:val="18"/>
                <w:szCs w:val="18"/>
              </w:rPr>
              <w:t>Salad kits</w:t>
            </w:r>
          </w:p>
        </w:tc>
        <w:tc>
          <w:tcPr>
            <w:tcW w:w="1862" w:type="dxa"/>
            <w:vAlign w:val="center"/>
          </w:tcPr>
          <w:p w14:paraId="77FA8095" w14:textId="34545F9D"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+$9M</w:t>
            </w:r>
          </w:p>
        </w:tc>
        <w:tc>
          <w:tcPr>
            <w:tcW w:w="1863" w:type="dxa"/>
            <w:vAlign w:val="center"/>
          </w:tcPr>
          <w:p w14:paraId="6023B995" w14:textId="33717837"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3.6</w:t>
            </w:r>
            <w:r w:rsidRPr="0039690E">
              <w:rPr>
                <w:rFonts w:ascii="Arial" w:hAnsi="Arial" w:cs="Arial"/>
                <w:color w:val="215868" w:themeColor="accent5" w:themeShade="80"/>
                <w:sz w:val="18"/>
                <w:szCs w:val="18"/>
              </w:rPr>
              <w:t>%</w:t>
            </w:r>
          </w:p>
        </w:tc>
        <w:tc>
          <w:tcPr>
            <w:tcW w:w="1862" w:type="dxa"/>
            <w:vAlign w:val="center"/>
          </w:tcPr>
          <w:p w14:paraId="559377CC" w14:textId="6708650C"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sidRPr="0039690E">
              <w:rPr>
                <w:rFonts w:ascii="Arial" w:hAnsi="Arial" w:cs="Arial"/>
                <w:color w:val="215868" w:themeColor="accent5" w:themeShade="80"/>
                <w:sz w:val="18"/>
                <w:szCs w:val="18"/>
              </w:rPr>
              <w:t>$</w:t>
            </w:r>
            <w:r>
              <w:rPr>
                <w:rFonts w:ascii="Arial" w:hAnsi="Arial" w:cs="Arial"/>
                <w:color w:val="215868" w:themeColor="accent5" w:themeShade="80"/>
                <w:sz w:val="18"/>
                <w:szCs w:val="18"/>
              </w:rPr>
              <w:t>266</w:t>
            </w:r>
            <w:r w:rsidRPr="0039690E">
              <w:rPr>
                <w:rFonts w:ascii="Arial" w:hAnsi="Arial" w:cs="Arial"/>
                <w:color w:val="215868" w:themeColor="accent5" w:themeShade="80"/>
                <w:sz w:val="18"/>
                <w:szCs w:val="18"/>
              </w:rPr>
              <w:t>M</w:t>
            </w:r>
          </w:p>
        </w:tc>
        <w:tc>
          <w:tcPr>
            <w:tcW w:w="1863" w:type="dxa"/>
            <w:gridSpan w:val="2"/>
          </w:tcPr>
          <w:p w14:paraId="1567B1D1" w14:textId="0AE2496B" w:rsidR="000D3B17" w:rsidRDefault="000D3B17" w:rsidP="000D3B17">
            <w:pPr>
              <w:jc w:val="right"/>
              <w:cnfStyle w:val="000000100000" w:firstRow="0" w:lastRow="0" w:firstColumn="0" w:lastColumn="0" w:oddVBand="0" w:evenVBand="0" w:oddHBand="1" w:evenHBand="0" w:firstRowFirstColumn="0" w:firstRowLastColumn="0" w:lastRowFirstColumn="0" w:lastRowLastColumn="0"/>
            </w:pPr>
            <w:r>
              <w:rPr>
                <w:rFonts w:ascii="Arial" w:hAnsi="Arial" w:cs="Arial"/>
                <w:color w:val="215868" w:themeColor="accent5" w:themeShade="80"/>
                <w:sz w:val="18"/>
                <w:szCs w:val="18"/>
              </w:rPr>
              <w:t>+10.1%</w:t>
            </w:r>
          </w:p>
        </w:tc>
      </w:tr>
    </w:tbl>
    <w:p w14:paraId="6EA702CF" w14:textId="77777777" w:rsidR="009E5261" w:rsidRPr="00E62AA9" w:rsidRDefault="009E5261" w:rsidP="009E5261">
      <w:pPr>
        <w:pStyle w:val="NoSpacing"/>
        <w:rPr>
          <w:rFonts w:ascii="Arial" w:hAnsi="Arial" w:cs="Arial"/>
          <w:sz w:val="6"/>
          <w:szCs w:val="6"/>
        </w:rPr>
      </w:pPr>
    </w:p>
    <w:p w14:paraId="1823C3C0" w14:textId="77777777" w:rsidR="00D97697" w:rsidRDefault="009E5261" w:rsidP="001024F6">
      <w:pPr>
        <w:pStyle w:val="NoSpacing"/>
        <w:rPr>
          <w:rFonts w:ascii="Arial" w:hAnsi="Arial" w:cs="Arial"/>
          <w:b/>
          <w:color w:val="595959" w:themeColor="text1" w:themeTint="A6"/>
          <w:sz w:val="24"/>
          <w:szCs w:val="24"/>
        </w:rPr>
      </w:pPr>
      <w:r w:rsidRPr="00B35CE9">
        <w:rPr>
          <w:rFonts w:ascii="Arial" w:hAnsi="Arial" w:cs="Arial"/>
          <w:sz w:val="16"/>
          <w:szCs w:val="16"/>
        </w:rPr>
        <w:t>Source</w:t>
      </w:r>
      <w:r>
        <w:rPr>
          <w:rFonts w:ascii="Arial" w:hAnsi="Arial" w:cs="Arial"/>
          <w:sz w:val="16"/>
          <w:szCs w:val="16"/>
        </w:rPr>
        <w:t>: IRI Integrated Fresh, Total U.S., MULO</w:t>
      </w:r>
    </w:p>
    <w:p w14:paraId="56F0416D" w14:textId="77777777" w:rsidR="00135BE7" w:rsidRDefault="00135BE7" w:rsidP="001024F6">
      <w:pPr>
        <w:pStyle w:val="NoSpacing"/>
        <w:rPr>
          <w:rFonts w:ascii="Arial" w:hAnsi="Arial" w:cs="Arial"/>
          <w:b/>
          <w:color w:val="595959" w:themeColor="text1" w:themeTint="A6"/>
          <w:sz w:val="24"/>
          <w:szCs w:val="24"/>
        </w:rPr>
      </w:pPr>
    </w:p>
    <w:p w14:paraId="7B04BD45" w14:textId="3CE5CCD8" w:rsidR="001024F6" w:rsidRPr="009172A3" w:rsidRDefault="004D26B3" w:rsidP="001024F6">
      <w:pPr>
        <w:pStyle w:val="NoSpacing"/>
        <w:rPr>
          <w:rFonts w:ascii="Arial" w:hAnsi="Arial" w:cs="Arial"/>
          <w:b/>
          <w:color w:val="595959" w:themeColor="text1" w:themeTint="A6"/>
          <w:sz w:val="24"/>
          <w:szCs w:val="24"/>
        </w:rPr>
      </w:pPr>
      <w:r>
        <w:rPr>
          <w:rFonts w:ascii="Arial" w:hAnsi="Arial" w:cs="Arial"/>
          <w:b/>
          <w:color w:val="595959" w:themeColor="text1" w:themeTint="A6"/>
          <w:sz w:val="24"/>
          <w:szCs w:val="24"/>
        </w:rPr>
        <w:t xml:space="preserve">Perishables </w:t>
      </w:r>
      <w:r w:rsidR="001024F6">
        <w:rPr>
          <w:rFonts w:ascii="Arial" w:hAnsi="Arial" w:cs="Arial"/>
          <w:b/>
          <w:color w:val="595959" w:themeColor="text1" w:themeTint="A6"/>
          <w:sz w:val="24"/>
          <w:szCs w:val="24"/>
        </w:rPr>
        <w:t>P</w:t>
      </w:r>
      <w:r w:rsidR="001024F6" w:rsidRPr="009172A3">
        <w:rPr>
          <w:rFonts w:ascii="Arial" w:hAnsi="Arial" w:cs="Arial"/>
          <w:b/>
          <w:color w:val="595959" w:themeColor="text1" w:themeTint="A6"/>
          <w:sz w:val="24"/>
          <w:szCs w:val="24"/>
        </w:rPr>
        <w:t>erformance</w:t>
      </w:r>
    </w:p>
    <w:p w14:paraId="7FDE0642" w14:textId="6DE07271" w:rsidR="001024F6" w:rsidRDefault="00DD7A16" w:rsidP="001024F6">
      <w:pPr>
        <w:pStyle w:val="NoSpacing"/>
        <w:rPr>
          <w:rFonts w:ascii="Arial" w:hAnsi="Arial" w:cs="Arial"/>
          <w:sz w:val="20"/>
          <w:szCs w:val="20"/>
        </w:rPr>
      </w:pPr>
      <w:r>
        <w:rPr>
          <w:rFonts w:ascii="Arial" w:hAnsi="Arial" w:cs="Arial"/>
          <w:sz w:val="20"/>
          <w:szCs w:val="20"/>
        </w:rPr>
        <w:t>In</w:t>
      </w:r>
      <w:r w:rsidR="0003032A">
        <w:rPr>
          <w:rFonts w:ascii="Arial" w:hAnsi="Arial" w:cs="Arial"/>
          <w:sz w:val="20"/>
          <w:szCs w:val="20"/>
        </w:rPr>
        <w:t xml:space="preserve"> April</w:t>
      </w:r>
      <w:r>
        <w:rPr>
          <w:rFonts w:ascii="Arial" w:hAnsi="Arial" w:cs="Arial"/>
          <w:sz w:val="20"/>
          <w:szCs w:val="20"/>
        </w:rPr>
        <w:t xml:space="preserve">, total perishables grew </w:t>
      </w:r>
      <w:r w:rsidR="0003032A">
        <w:rPr>
          <w:rFonts w:ascii="Arial" w:hAnsi="Arial" w:cs="Arial"/>
          <w:sz w:val="20"/>
          <w:szCs w:val="20"/>
        </w:rPr>
        <w:t>7.6</w:t>
      </w:r>
      <w:r>
        <w:rPr>
          <w:rFonts w:ascii="Arial" w:hAnsi="Arial" w:cs="Arial"/>
          <w:sz w:val="20"/>
          <w:szCs w:val="20"/>
        </w:rPr>
        <w:t>%, with above-average increases for bakery and refrigerated, which includes dairy</w:t>
      </w:r>
      <w:r w:rsidR="00102502">
        <w:rPr>
          <w:rFonts w:ascii="Arial" w:hAnsi="Arial" w:cs="Arial"/>
          <w:sz w:val="20"/>
          <w:szCs w:val="20"/>
        </w:rPr>
        <w:t>.</w:t>
      </w:r>
      <w:r>
        <w:rPr>
          <w:rFonts w:ascii="Arial" w:hAnsi="Arial" w:cs="Arial"/>
          <w:sz w:val="20"/>
          <w:szCs w:val="20"/>
        </w:rPr>
        <w:t xml:space="preserve"> </w:t>
      </w:r>
      <w:r w:rsidR="007D58FE">
        <w:rPr>
          <w:rFonts w:ascii="Arial" w:hAnsi="Arial" w:cs="Arial"/>
          <w:sz w:val="20"/>
          <w:szCs w:val="20"/>
        </w:rPr>
        <w:t>The highest gain versus the pre-pandemic normal was generated by meat, up 2</w:t>
      </w:r>
      <w:r w:rsidR="0003032A">
        <w:rPr>
          <w:rFonts w:ascii="Arial" w:hAnsi="Arial" w:cs="Arial"/>
          <w:sz w:val="20"/>
          <w:szCs w:val="20"/>
        </w:rPr>
        <w:t>4.3</w:t>
      </w:r>
      <w:r w:rsidR="007D58FE">
        <w:rPr>
          <w:rFonts w:ascii="Arial" w:hAnsi="Arial" w:cs="Arial"/>
          <w:sz w:val="20"/>
          <w:szCs w:val="20"/>
        </w:rPr>
        <w:t xml:space="preserve">% in </w:t>
      </w:r>
      <w:r w:rsidR="0003032A">
        <w:rPr>
          <w:rFonts w:ascii="Arial" w:hAnsi="Arial" w:cs="Arial"/>
          <w:sz w:val="20"/>
          <w:szCs w:val="20"/>
        </w:rPr>
        <w:t xml:space="preserve">April </w:t>
      </w:r>
      <w:r w:rsidR="007D58FE">
        <w:rPr>
          <w:rFonts w:ascii="Arial" w:hAnsi="Arial" w:cs="Arial"/>
          <w:sz w:val="20"/>
          <w:szCs w:val="20"/>
        </w:rPr>
        <w:t xml:space="preserve">of 2022 versus </w:t>
      </w:r>
      <w:r w:rsidR="00ED5834">
        <w:rPr>
          <w:rFonts w:ascii="Arial" w:hAnsi="Arial" w:cs="Arial"/>
          <w:sz w:val="20"/>
          <w:szCs w:val="20"/>
        </w:rPr>
        <w:t xml:space="preserve">April </w:t>
      </w:r>
      <w:r w:rsidR="007D58FE">
        <w:rPr>
          <w:rFonts w:ascii="Arial" w:hAnsi="Arial" w:cs="Arial"/>
          <w:sz w:val="20"/>
          <w:szCs w:val="20"/>
        </w:rPr>
        <w:t xml:space="preserve">2019. The departments still selling more units in </w:t>
      </w:r>
      <w:r w:rsidR="0003032A">
        <w:rPr>
          <w:rFonts w:ascii="Arial" w:hAnsi="Arial" w:cs="Arial"/>
          <w:sz w:val="20"/>
          <w:szCs w:val="20"/>
        </w:rPr>
        <w:t xml:space="preserve">April </w:t>
      </w:r>
      <w:r w:rsidR="007D58FE">
        <w:rPr>
          <w:rFonts w:ascii="Arial" w:hAnsi="Arial" w:cs="Arial"/>
          <w:sz w:val="20"/>
          <w:szCs w:val="20"/>
        </w:rPr>
        <w:t xml:space="preserve">2022 than they did in </w:t>
      </w:r>
      <w:r w:rsidR="0003032A">
        <w:rPr>
          <w:rFonts w:ascii="Arial" w:hAnsi="Arial" w:cs="Arial"/>
          <w:sz w:val="20"/>
          <w:szCs w:val="20"/>
        </w:rPr>
        <w:t xml:space="preserve">April </w:t>
      </w:r>
      <w:r w:rsidR="007D58FE">
        <w:rPr>
          <w:rFonts w:ascii="Arial" w:hAnsi="Arial" w:cs="Arial"/>
          <w:sz w:val="20"/>
          <w:szCs w:val="20"/>
        </w:rPr>
        <w:t>2019 are deli</w:t>
      </w:r>
      <w:r w:rsidR="0003032A">
        <w:rPr>
          <w:rFonts w:ascii="Arial" w:hAnsi="Arial" w:cs="Arial"/>
          <w:sz w:val="20"/>
          <w:szCs w:val="20"/>
        </w:rPr>
        <w:t xml:space="preserve"> and produce</w:t>
      </w:r>
      <w:r w:rsidR="007D58FE">
        <w:rPr>
          <w:rFonts w:ascii="Arial" w:hAnsi="Arial" w:cs="Arial"/>
          <w:sz w:val="20"/>
          <w:szCs w:val="20"/>
        </w:rPr>
        <w:t xml:space="preserve">. </w:t>
      </w:r>
      <w:r w:rsidR="00102502">
        <w:rPr>
          <w:rFonts w:ascii="Arial" w:hAnsi="Arial" w:cs="Arial"/>
          <w:sz w:val="20"/>
          <w:szCs w:val="20"/>
        </w:rPr>
        <w:t xml:space="preserve"> </w:t>
      </w:r>
      <w:r w:rsidR="000166DA">
        <w:rPr>
          <w:rFonts w:ascii="Arial" w:hAnsi="Arial" w:cs="Arial"/>
          <w:sz w:val="20"/>
          <w:szCs w:val="20"/>
        </w:rPr>
        <w:t xml:space="preserve"> </w:t>
      </w:r>
      <w:r w:rsidR="001024F6">
        <w:rPr>
          <w:rFonts w:ascii="Arial" w:hAnsi="Arial" w:cs="Arial"/>
          <w:sz w:val="20"/>
          <w:szCs w:val="20"/>
        </w:rPr>
        <w:t xml:space="preserve"> </w:t>
      </w:r>
    </w:p>
    <w:p w14:paraId="4C083BE9" w14:textId="72EF3295" w:rsidR="00843888" w:rsidRDefault="00843888" w:rsidP="001024F6">
      <w:pPr>
        <w:pStyle w:val="NoSpacing"/>
        <w:rPr>
          <w:rFonts w:ascii="Arial" w:hAnsi="Arial" w:cs="Arial"/>
          <w:sz w:val="20"/>
          <w:szCs w:val="20"/>
        </w:rPr>
      </w:pPr>
    </w:p>
    <w:tbl>
      <w:tblPr>
        <w:tblStyle w:val="ListTable6Colorful-Accent5"/>
        <w:tblW w:w="10615" w:type="dxa"/>
        <w:tblLayout w:type="fixed"/>
        <w:tblLook w:val="04A0" w:firstRow="1" w:lastRow="0" w:firstColumn="1" w:lastColumn="0" w:noHBand="0" w:noVBand="1"/>
      </w:tblPr>
      <w:tblGrid>
        <w:gridCol w:w="1795"/>
        <w:gridCol w:w="1102"/>
        <w:gridCol w:w="1103"/>
        <w:gridCol w:w="1102"/>
        <w:gridCol w:w="1103"/>
        <w:gridCol w:w="1102"/>
        <w:gridCol w:w="1103"/>
        <w:gridCol w:w="1102"/>
        <w:gridCol w:w="1103"/>
      </w:tblGrid>
      <w:tr w:rsidR="000D3B17" w:rsidRPr="00843888" w14:paraId="48E8DBE1" w14:textId="77777777" w:rsidTr="00DA261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5" w:type="dxa"/>
            <w:shd w:val="clear" w:color="auto" w:fill="17365D" w:themeFill="text2" w:themeFillShade="BF"/>
            <w:noWrap/>
            <w:hideMark/>
          </w:tcPr>
          <w:p w14:paraId="37718F62" w14:textId="71F02797" w:rsidR="00843888" w:rsidRPr="00843888" w:rsidRDefault="00DA261B" w:rsidP="00843888">
            <w:pPr>
              <w:rPr>
                <w:rFonts w:ascii="Arial" w:eastAsia="Times New Roman" w:hAnsi="Arial" w:cs="Arial"/>
                <w:color w:val="FFFFFF" w:themeColor="background1"/>
                <w:sz w:val="18"/>
                <w:szCs w:val="18"/>
              </w:rPr>
            </w:pPr>
            <w:r>
              <w:rPr>
                <w:rFonts w:ascii="Arial" w:eastAsia="Times New Roman" w:hAnsi="Arial" w:cs="Arial"/>
                <w:color w:val="FFFFFF" w:themeColor="background1"/>
                <w:sz w:val="18"/>
                <w:szCs w:val="18"/>
              </w:rPr>
              <w:t>April 2022</w:t>
            </w:r>
          </w:p>
        </w:tc>
        <w:tc>
          <w:tcPr>
            <w:tcW w:w="1102" w:type="dxa"/>
            <w:shd w:val="clear" w:color="auto" w:fill="17365D" w:themeFill="text2" w:themeFillShade="BF"/>
            <w:noWrap/>
            <w:hideMark/>
          </w:tcPr>
          <w:p w14:paraId="1A966777" w14:textId="71667261"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 xml:space="preserve">$ </w:t>
            </w:r>
            <w:r w:rsidR="00DD7A16">
              <w:rPr>
                <w:rFonts w:ascii="Arial" w:eastAsia="Times New Roman" w:hAnsi="Arial" w:cs="Arial"/>
                <w:sz w:val="18"/>
                <w:szCs w:val="18"/>
              </w:rPr>
              <w:br/>
            </w:r>
            <w:r w:rsidRPr="00843888">
              <w:rPr>
                <w:rFonts w:ascii="Arial" w:eastAsia="Times New Roman" w:hAnsi="Arial" w:cs="Arial"/>
                <w:color w:val="FFFFFF" w:themeColor="background1"/>
                <w:sz w:val="18"/>
                <w:szCs w:val="18"/>
              </w:rPr>
              <w:t>sales</w:t>
            </w:r>
          </w:p>
        </w:tc>
        <w:tc>
          <w:tcPr>
            <w:tcW w:w="1103" w:type="dxa"/>
            <w:shd w:val="clear" w:color="auto" w:fill="17365D" w:themeFill="text2" w:themeFillShade="BF"/>
            <w:noWrap/>
            <w:hideMark/>
          </w:tcPr>
          <w:p w14:paraId="170BF0F0"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YA</w:t>
            </w:r>
          </w:p>
        </w:tc>
        <w:tc>
          <w:tcPr>
            <w:tcW w:w="1102" w:type="dxa"/>
            <w:shd w:val="clear" w:color="auto" w:fill="17365D" w:themeFill="text2" w:themeFillShade="BF"/>
            <w:noWrap/>
            <w:hideMark/>
          </w:tcPr>
          <w:p w14:paraId="4026DD36"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2YA</w:t>
            </w:r>
          </w:p>
        </w:tc>
        <w:tc>
          <w:tcPr>
            <w:tcW w:w="1103" w:type="dxa"/>
            <w:shd w:val="clear" w:color="auto" w:fill="17365D" w:themeFill="text2" w:themeFillShade="BF"/>
            <w:noWrap/>
            <w:hideMark/>
          </w:tcPr>
          <w:p w14:paraId="2E013909"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3YA</w:t>
            </w:r>
          </w:p>
        </w:tc>
        <w:tc>
          <w:tcPr>
            <w:tcW w:w="1102" w:type="dxa"/>
            <w:shd w:val="clear" w:color="auto" w:fill="17365D" w:themeFill="text2" w:themeFillShade="BF"/>
            <w:noWrap/>
            <w:hideMark/>
          </w:tcPr>
          <w:p w14:paraId="7FF5CEA1" w14:textId="023EE176"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 xml:space="preserve">Unit </w:t>
            </w:r>
            <w:r w:rsidR="00DD7A16">
              <w:rPr>
                <w:rFonts w:ascii="Arial" w:eastAsia="Times New Roman" w:hAnsi="Arial" w:cs="Arial"/>
                <w:sz w:val="18"/>
                <w:szCs w:val="18"/>
              </w:rPr>
              <w:br/>
            </w:r>
            <w:r w:rsidRPr="00843888">
              <w:rPr>
                <w:rFonts w:ascii="Arial" w:eastAsia="Times New Roman" w:hAnsi="Arial" w:cs="Arial"/>
                <w:color w:val="FFFFFF" w:themeColor="background1"/>
                <w:sz w:val="18"/>
                <w:szCs w:val="18"/>
              </w:rPr>
              <w:t>sales</w:t>
            </w:r>
          </w:p>
        </w:tc>
        <w:tc>
          <w:tcPr>
            <w:tcW w:w="1103" w:type="dxa"/>
            <w:shd w:val="clear" w:color="auto" w:fill="17365D" w:themeFill="text2" w:themeFillShade="BF"/>
            <w:noWrap/>
            <w:hideMark/>
          </w:tcPr>
          <w:p w14:paraId="1404F7D1"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YA</w:t>
            </w:r>
          </w:p>
        </w:tc>
        <w:tc>
          <w:tcPr>
            <w:tcW w:w="1102" w:type="dxa"/>
            <w:shd w:val="clear" w:color="auto" w:fill="17365D" w:themeFill="text2" w:themeFillShade="BF"/>
            <w:noWrap/>
            <w:hideMark/>
          </w:tcPr>
          <w:p w14:paraId="1DA3D42F"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2YA</w:t>
            </w:r>
          </w:p>
        </w:tc>
        <w:tc>
          <w:tcPr>
            <w:tcW w:w="1103" w:type="dxa"/>
            <w:shd w:val="clear" w:color="auto" w:fill="17365D" w:themeFill="text2" w:themeFillShade="BF"/>
            <w:noWrap/>
            <w:hideMark/>
          </w:tcPr>
          <w:p w14:paraId="310FDEF3" w14:textId="77777777" w:rsidR="00843888" w:rsidRPr="00843888" w:rsidRDefault="00843888" w:rsidP="00843888">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18"/>
                <w:szCs w:val="18"/>
              </w:rPr>
            </w:pPr>
            <w:r w:rsidRPr="00843888">
              <w:rPr>
                <w:rFonts w:ascii="Arial" w:eastAsia="Times New Roman" w:hAnsi="Arial" w:cs="Arial"/>
                <w:color w:val="FFFFFF" w:themeColor="background1"/>
                <w:sz w:val="18"/>
                <w:szCs w:val="18"/>
              </w:rPr>
              <w:t>Change vs. 3YA</w:t>
            </w:r>
          </w:p>
        </w:tc>
      </w:tr>
      <w:tr w:rsidR="00DA261B" w:rsidRPr="00843888" w14:paraId="2F8F8C7D" w14:textId="77777777" w:rsidTr="00493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8482B25" w14:textId="6C92F679" w:rsidR="00DA261B" w:rsidRPr="00843888" w:rsidRDefault="00DA261B" w:rsidP="00DA261B">
            <w:pPr>
              <w:rPr>
                <w:rFonts w:ascii="Arial" w:eastAsia="Times New Roman" w:hAnsi="Arial" w:cs="Arial"/>
                <w:b w:val="0"/>
                <w:bCs w:val="0"/>
                <w:color w:val="215868" w:themeColor="accent5" w:themeShade="80"/>
                <w:sz w:val="18"/>
                <w:szCs w:val="18"/>
              </w:rPr>
            </w:pPr>
            <w:r w:rsidRPr="00DD7A16">
              <w:rPr>
                <w:rFonts w:ascii="Arial" w:eastAsia="Times New Roman" w:hAnsi="Arial" w:cs="Arial"/>
                <w:b w:val="0"/>
                <w:bCs w:val="0"/>
                <w:color w:val="215868" w:themeColor="accent5" w:themeShade="80"/>
                <w:sz w:val="18"/>
                <w:szCs w:val="18"/>
              </w:rPr>
              <w:t>Perishables</w:t>
            </w:r>
          </w:p>
        </w:tc>
        <w:tc>
          <w:tcPr>
            <w:tcW w:w="1102" w:type="dxa"/>
            <w:noWrap/>
            <w:vAlign w:val="bottom"/>
            <w:hideMark/>
          </w:tcPr>
          <w:p w14:paraId="73ABED33" w14:textId="24B914C8"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$25</w:t>
            </w:r>
            <w:r>
              <w:rPr>
                <w:rFonts w:ascii="Arial" w:hAnsi="Arial" w:cs="Arial"/>
                <w:color w:val="215868" w:themeColor="accent5" w:themeShade="80"/>
                <w:sz w:val="18"/>
                <w:szCs w:val="18"/>
              </w:rPr>
              <w:t>B</w:t>
            </w:r>
          </w:p>
        </w:tc>
        <w:tc>
          <w:tcPr>
            <w:tcW w:w="1103" w:type="dxa"/>
            <w:noWrap/>
            <w:vAlign w:val="bottom"/>
            <w:hideMark/>
          </w:tcPr>
          <w:p w14:paraId="25B7B7AA" w14:textId="5F2DEA4E"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7.6%</w:t>
            </w:r>
          </w:p>
        </w:tc>
        <w:tc>
          <w:tcPr>
            <w:tcW w:w="1102" w:type="dxa"/>
            <w:noWrap/>
            <w:vAlign w:val="bottom"/>
            <w:hideMark/>
          </w:tcPr>
          <w:p w14:paraId="140DAB3C" w14:textId="6019D343"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1.6%</w:t>
            </w:r>
          </w:p>
        </w:tc>
        <w:tc>
          <w:tcPr>
            <w:tcW w:w="1103" w:type="dxa"/>
            <w:noWrap/>
            <w:vAlign w:val="bottom"/>
            <w:hideMark/>
          </w:tcPr>
          <w:p w14:paraId="6B6ED24B" w14:textId="42A53C9B"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21.0%</w:t>
            </w:r>
          </w:p>
        </w:tc>
        <w:tc>
          <w:tcPr>
            <w:tcW w:w="1102" w:type="dxa"/>
            <w:noWrap/>
            <w:vAlign w:val="bottom"/>
            <w:hideMark/>
          </w:tcPr>
          <w:p w14:paraId="15867B9D" w14:textId="63F4D38B"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6</w:t>
            </w:r>
            <w:r>
              <w:rPr>
                <w:rFonts w:ascii="Arial" w:hAnsi="Arial" w:cs="Arial"/>
                <w:color w:val="215868" w:themeColor="accent5" w:themeShade="80"/>
                <w:sz w:val="18"/>
                <w:szCs w:val="18"/>
              </w:rPr>
              <w:t>.6B</w:t>
            </w:r>
          </w:p>
        </w:tc>
        <w:tc>
          <w:tcPr>
            <w:tcW w:w="1103" w:type="dxa"/>
            <w:noWrap/>
            <w:vAlign w:val="bottom"/>
            <w:hideMark/>
          </w:tcPr>
          <w:p w14:paraId="6340ECF5" w14:textId="705B1575"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-3.2%</w:t>
            </w:r>
          </w:p>
        </w:tc>
        <w:tc>
          <w:tcPr>
            <w:tcW w:w="1102" w:type="dxa"/>
            <w:noWrap/>
            <w:vAlign w:val="bottom"/>
            <w:hideMark/>
          </w:tcPr>
          <w:p w14:paraId="4CCF5250" w14:textId="1A4F264D"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-9.8%</w:t>
            </w:r>
          </w:p>
        </w:tc>
        <w:tc>
          <w:tcPr>
            <w:tcW w:w="1103" w:type="dxa"/>
            <w:noWrap/>
            <w:vAlign w:val="bottom"/>
            <w:hideMark/>
          </w:tcPr>
          <w:p w14:paraId="4895A2B3" w14:textId="7F794A1C" w:rsidR="00DA261B" w:rsidRPr="00DA261B" w:rsidRDefault="0003032A"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00DA261B" w:rsidRPr="00DA261B">
              <w:rPr>
                <w:rFonts w:ascii="Arial" w:hAnsi="Arial" w:cs="Arial"/>
                <w:color w:val="215868" w:themeColor="accent5" w:themeShade="80"/>
                <w:sz w:val="18"/>
                <w:szCs w:val="18"/>
              </w:rPr>
              <w:t>1.0%</w:t>
            </w:r>
          </w:p>
        </w:tc>
      </w:tr>
      <w:tr w:rsidR="00DA261B" w:rsidRPr="00843888" w14:paraId="5C74590E" w14:textId="77777777" w:rsidTr="00493BFF">
        <w:trPr>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10D5A9F" w14:textId="42C25D5B" w:rsidR="00DA261B" w:rsidRPr="00843888" w:rsidRDefault="00DA261B" w:rsidP="00DA261B">
            <w:pPr>
              <w:rPr>
                <w:rFonts w:ascii="Arial" w:eastAsia="Times New Roman" w:hAnsi="Arial" w:cs="Arial"/>
                <w:b w:val="0"/>
                <w:bCs w:val="0"/>
                <w:color w:val="215868" w:themeColor="accent5" w:themeShade="80"/>
                <w:sz w:val="18"/>
                <w:szCs w:val="18"/>
              </w:rPr>
            </w:pPr>
            <w:r w:rsidRPr="00DD7A16">
              <w:rPr>
                <w:rFonts w:ascii="Arial" w:eastAsia="Times New Roman" w:hAnsi="Arial" w:cs="Arial"/>
                <w:b w:val="0"/>
                <w:bCs w:val="0"/>
                <w:color w:val="215868" w:themeColor="accent5" w:themeShade="80"/>
                <w:sz w:val="18"/>
                <w:szCs w:val="18"/>
              </w:rPr>
              <w:t>Bakery</w:t>
            </w:r>
          </w:p>
        </w:tc>
        <w:tc>
          <w:tcPr>
            <w:tcW w:w="1102" w:type="dxa"/>
            <w:noWrap/>
            <w:vAlign w:val="bottom"/>
            <w:hideMark/>
          </w:tcPr>
          <w:p w14:paraId="685A5CFA" w14:textId="10E77FE5"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w:t>
            </w:r>
            <w:r>
              <w:rPr>
                <w:rFonts w:ascii="Arial" w:hAnsi="Arial" w:cs="Arial"/>
                <w:color w:val="215868" w:themeColor="accent5" w:themeShade="80"/>
                <w:sz w:val="18"/>
                <w:szCs w:val="18"/>
              </w:rPr>
              <w:t>3.0B</w:t>
            </w:r>
          </w:p>
        </w:tc>
        <w:tc>
          <w:tcPr>
            <w:tcW w:w="1103" w:type="dxa"/>
            <w:noWrap/>
            <w:vAlign w:val="bottom"/>
            <w:hideMark/>
          </w:tcPr>
          <w:p w14:paraId="6DADCD24" w14:textId="7F829FE1"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10.0%</w:t>
            </w:r>
          </w:p>
        </w:tc>
        <w:tc>
          <w:tcPr>
            <w:tcW w:w="1102" w:type="dxa"/>
            <w:noWrap/>
            <w:vAlign w:val="bottom"/>
            <w:hideMark/>
          </w:tcPr>
          <w:p w14:paraId="3FA3D49D" w14:textId="59CA88A1"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12.7%</w:t>
            </w:r>
          </w:p>
        </w:tc>
        <w:tc>
          <w:tcPr>
            <w:tcW w:w="1103" w:type="dxa"/>
            <w:noWrap/>
            <w:vAlign w:val="bottom"/>
            <w:hideMark/>
          </w:tcPr>
          <w:p w14:paraId="0B2072AA" w14:textId="5812D6DB"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20.2%</w:t>
            </w:r>
          </w:p>
        </w:tc>
        <w:tc>
          <w:tcPr>
            <w:tcW w:w="1102" w:type="dxa"/>
            <w:noWrap/>
            <w:vAlign w:val="bottom"/>
            <w:hideMark/>
          </w:tcPr>
          <w:p w14:paraId="76DB9F3F" w14:textId="3218C06D"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90</w:t>
            </w:r>
            <w:r>
              <w:rPr>
                <w:rFonts w:ascii="Arial" w:hAnsi="Arial" w:cs="Arial"/>
                <w:color w:val="215868" w:themeColor="accent5" w:themeShade="80"/>
                <w:sz w:val="18"/>
                <w:szCs w:val="18"/>
              </w:rPr>
              <w:t>7M</w:t>
            </w:r>
          </w:p>
        </w:tc>
        <w:tc>
          <w:tcPr>
            <w:tcW w:w="1103" w:type="dxa"/>
            <w:noWrap/>
            <w:vAlign w:val="bottom"/>
            <w:hideMark/>
          </w:tcPr>
          <w:p w14:paraId="62793CA1" w14:textId="159E455C"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-1.2%</w:t>
            </w:r>
          </w:p>
        </w:tc>
        <w:tc>
          <w:tcPr>
            <w:tcW w:w="1102" w:type="dxa"/>
            <w:noWrap/>
            <w:vAlign w:val="bottom"/>
            <w:hideMark/>
          </w:tcPr>
          <w:p w14:paraId="6017D95C" w14:textId="315FB73A"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-3.0%</w:t>
            </w:r>
          </w:p>
        </w:tc>
        <w:tc>
          <w:tcPr>
            <w:tcW w:w="1103" w:type="dxa"/>
            <w:noWrap/>
            <w:vAlign w:val="bottom"/>
            <w:hideMark/>
          </w:tcPr>
          <w:p w14:paraId="0DFA7558" w14:textId="19E92287"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-4.1%</w:t>
            </w:r>
          </w:p>
        </w:tc>
      </w:tr>
      <w:tr w:rsidR="00DA261B" w:rsidRPr="00843888" w14:paraId="709C5EF3" w14:textId="77777777" w:rsidTr="00493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6894EBE" w14:textId="1D22D040" w:rsidR="00DA261B" w:rsidRPr="00843888" w:rsidRDefault="00DA261B" w:rsidP="00DA261B">
            <w:pPr>
              <w:rPr>
                <w:rFonts w:ascii="Arial" w:eastAsia="Times New Roman" w:hAnsi="Arial" w:cs="Arial"/>
                <w:b w:val="0"/>
                <w:bCs w:val="0"/>
                <w:color w:val="215868" w:themeColor="accent5" w:themeShade="80"/>
                <w:sz w:val="18"/>
                <w:szCs w:val="18"/>
              </w:rPr>
            </w:pPr>
            <w:r w:rsidRPr="00DD7A16">
              <w:rPr>
                <w:rFonts w:ascii="Arial" w:eastAsia="Times New Roman" w:hAnsi="Arial" w:cs="Arial"/>
                <w:b w:val="0"/>
                <w:bCs w:val="0"/>
                <w:color w:val="215868" w:themeColor="accent5" w:themeShade="80"/>
                <w:sz w:val="18"/>
                <w:szCs w:val="18"/>
              </w:rPr>
              <w:t>Deli</w:t>
            </w:r>
          </w:p>
        </w:tc>
        <w:tc>
          <w:tcPr>
            <w:tcW w:w="1102" w:type="dxa"/>
            <w:noWrap/>
            <w:vAlign w:val="bottom"/>
            <w:hideMark/>
          </w:tcPr>
          <w:p w14:paraId="0C9EB501" w14:textId="530808E5"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$3</w:t>
            </w:r>
            <w:r>
              <w:rPr>
                <w:rFonts w:ascii="Arial" w:hAnsi="Arial" w:cs="Arial"/>
                <w:color w:val="215868" w:themeColor="accent5" w:themeShade="80"/>
                <w:sz w:val="18"/>
                <w:szCs w:val="18"/>
              </w:rPr>
              <w:t>.2B</w:t>
            </w:r>
          </w:p>
        </w:tc>
        <w:tc>
          <w:tcPr>
            <w:tcW w:w="1103" w:type="dxa"/>
            <w:noWrap/>
            <w:vAlign w:val="bottom"/>
            <w:hideMark/>
          </w:tcPr>
          <w:p w14:paraId="3F92A315" w14:textId="513C6A02"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8.1%</w:t>
            </w:r>
          </w:p>
        </w:tc>
        <w:tc>
          <w:tcPr>
            <w:tcW w:w="1102" w:type="dxa"/>
            <w:noWrap/>
            <w:vAlign w:val="bottom"/>
            <w:hideMark/>
          </w:tcPr>
          <w:p w14:paraId="77872D8C" w14:textId="49E879C8"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33.3%</w:t>
            </w:r>
          </w:p>
        </w:tc>
        <w:tc>
          <w:tcPr>
            <w:tcW w:w="1103" w:type="dxa"/>
            <w:noWrap/>
            <w:vAlign w:val="bottom"/>
            <w:hideMark/>
          </w:tcPr>
          <w:p w14:paraId="17EB5AA8" w14:textId="65C97383"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19.9%</w:t>
            </w:r>
          </w:p>
        </w:tc>
        <w:tc>
          <w:tcPr>
            <w:tcW w:w="1102" w:type="dxa"/>
            <w:noWrap/>
            <w:vAlign w:val="bottom"/>
            <w:hideMark/>
          </w:tcPr>
          <w:p w14:paraId="3B01B02E" w14:textId="01F4CD32"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58</w:t>
            </w:r>
            <w:r>
              <w:rPr>
                <w:rFonts w:ascii="Arial" w:hAnsi="Arial" w:cs="Arial"/>
                <w:color w:val="215868" w:themeColor="accent5" w:themeShade="80"/>
                <w:sz w:val="18"/>
                <w:szCs w:val="18"/>
              </w:rPr>
              <w:t>6M</w:t>
            </w:r>
          </w:p>
        </w:tc>
        <w:tc>
          <w:tcPr>
            <w:tcW w:w="1103" w:type="dxa"/>
            <w:noWrap/>
            <w:vAlign w:val="bottom"/>
            <w:hideMark/>
          </w:tcPr>
          <w:p w14:paraId="4AD0A3AF" w14:textId="143CD5EE"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-1.9%</w:t>
            </w:r>
          </w:p>
        </w:tc>
        <w:tc>
          <w:tcPr>
            <w:tcW w:w="1102" w:type="dxa"/>
            <w:noWrap/>
            <w:vAlign w:val="bottom"/>
            <w:hideMark/>
          </w:tcPr>
          <w:p w14:paraId="41245BA6" w14:textId="62AE822F"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15.4%</w:t>
            </w:r>
          </w:p>
        </w:tc>
        <w:tc>
          <w:tcPr>
            <w:tcW w:w="1103" w:type="dxa"/>
            <w:noWrap/>
            <w:vAlign w:val="bottom"/>
            <w:hideMark/>
          </w:tcPr>
          <w:p w14:paraId="2ADCB870" w14:textId="6B1D096F" w:rsidR="00DA261B" w:rsidRPr="00DA261B" w:rsidRDefault="0003032A"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00DA261B" w:rsidRPr="00DA261B">
              <w:rPr>
                <w:rFonts w:ascii="Arial" w:hAnsi="Arial" w:cs="Arial"/>
                <w:color w:val="215868" w:themeColor="accent5" w:themeShade="80"/>
                <w:sz w:val="18"/>
                <w:szCs w:val="18"/>
              </w:rPr>
              <w:t>4.5%</w:t>
            </w:r>
          </w:p>
        </w:tc>
      </w:tr>
      <w:tr w:rsidR="00DA261B" w:rsidRPr="00843888" w14:paraId="2D346A6A" w14:textId="77777777" w:rsidTr="00493BFF">
        <w:trPr>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39F38E4F" w14:textId="0838BD41" w:rsidR="00DA261B" w:rsidRPr="00843888" w:rsidRDefault="00DA261B" w:rsidP="00DA261B">
            <w:pPr>
              <w:rPr>
                <w:rFonts w:ascii="Arial" w:eastAsia="Times New Roman" w:hAnsi="Arial" w:cs="Arial"/>
                <w:b w:val="0"/>
                <w:bCs w:val="0"/>
                <w:color w:val="215868" w:themeColor="accent5" w:themeShade="80"/>
                <w:sz w:val="18"/>
                <w:szCs w:val="18"/>
              </w:rPr>
            </w:pPr>
            <w:r w:rsidRPr="00DD7A16">
              <w:rPr>
                <w:rFonts w:ascii="Arial" w:eastAsia="Times New Roman" w:hAnsi="Arial" w:cs="Arial"/>
                <w:b w:val="0"/>
                <w:bCs w:val="0"/>
                <w:color w:val="215868" w:themeColor="accent5" w:themeShade="80"/>
                <w:sz w:val="18"/>
                <w:szCs w:val="18"/>
              </w:rPr>
              <w:t>Meat</w:t>
            </w:r>
          </w:p>
        </w:tc>
        <w:tc>
          <w:tcPr>
            <w:tcW w:w="1102" w:type="dxa"/>
            <w:noWrap/>
            <w:vAlign w:val="bottom"/>
            <w:hideMark/>
          </w:tcPr>
          <w:p w14:paraId="4FA73441" w14:textId="291E3F22"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$6</w:t>
            </w:r>
            <w:r>
              <w:rPr>
                <w:rFonts w:ascii="Arial" w:hAnsi="Arial" w:cs="Arial"/>
                <w:color w:val="215868" w:themeColor="accent5" w:themeShade="80"/>
                <w:sz w:val="18"/>
                <w:szCs w:val="18"/>
              </w:rPr>
              <w:t>.5B</w:t>
            </w:r>
          </w:p>
        </w:tc>
        <w:tc>
          <w:tcPr>
            <w:tcW w:w="1103" w:type="dxa"/>
            <w:noWrap/>
            <w:vAlign w:val="bottom"/>
            <w:hideMark/>
          </w:tcPr>
          <w:p w14:paraId="5C8C8D5C" w14:textId="15BB9E87"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7.5%</w:t>
            </w:r>
          </w:p>
        </w:tc>
        <w:tc>
          <w:tcPr>
            <w:tcW w:w="1102" w:type="dxa"/>
            <w:noWrap/>
            <w:vAlign w:val="bottom"/>
            <w:hideMark/>
          </w:tcPr>
          <w:p w14:paraId="1717E3E8" w14:textId="57195674"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-8.2%</w:t>
            </w:r>
          </w:p>
        </w:tc>
        <w:tc>
          <w:tcPr>
            <w:tcW w:w="1103" w:type="dxa"/>
            <w:noWrap/>
            <w:vAlign w:val="bottom"/>
            <w:hideMark/>
          </w:tcPr>
          <w:p w14:paraId="0A8EFAD3" w14:textId="7C614E44"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24.3%</w:t>
            </w:r>
          </w:p>
        </w:tc>
        <w:tc>
          <w:tcPr>
            <w:tcW w:w="1102" w:type="dxa"/>
            <w:noWrap/>
            <w:vAlign w:val="bottom"/>
            <w:hideMark/>
          </w:tcPr>
          <w:p w14:paraId="2A392554" w14:textId="7E6CDD7E"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w:t>
            </w:r>
            <w:r>
              <w:rPr>
                <w:rFonts w:ascii="Arial" w:hAnsi="Arial" w:cs="Arial"/>
                <w:color w:val="215868" w:themeColor="accent5" w:themeShade="80"/>
                <w:sz w:val="18"/>
                <w:szCs w:val="18"/>
              </w:rPr>
              <w:t>.0B</w:t>
            </w:r>
          </w:p>
        </w:tc>
        <w:tc>
          <w:tcPr>
            <w:tcW w:w="1103" w:type="dxa"/>
            <w:noWrap/>
            <w:vAlign w:val="bottom"/>
            <w:hideMark/>
          </w:tcPr>
          <w:p w14:paraId="6D59D597" w14:textId="648FC9F1"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-5.3%</w:t>
            </w:r>
          </w:p>
        </w:tc>
        <w:tc>
          <w:tcPr>
            <w:tcW w:w="1102" w:type="dxa"/>
            <w:noWrap/>
            <w:vAlign w:val="bottom"/>
            <w:hideMark/>
          </w:tcPr>
          <w:p w14:paraId="2A63E609" w14:textId="57FE15BE"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-18.6%</w:t>
            </w:r>
          </w:p>
        </w:tc>
        <w:tc>
          <w:tcPr>
            <w:tcW w:w="1103" w:type="dxa"/>
            <w:noWrap/>
            <w:vAlign w:val="bottom"/>
            <w:hideMark/>
          </w:tcPr>
          <w:p w14:paraId="557CBB90" w14:textId="732B2DA5"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-0.8%</w:t>
            </w:r>
          </w:p>
        </w:tc>
      </w:tr>
      <w:tr w:rsidR="00DA261B" w:rsidRPr="00843888" w14:paraId="6498DF04" w14:textId="77777777" w:rsidTr="00493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EE33BF3" w14:textId="3DA97AE8" w:rsidR="00DA261B" w:rsidRPr="00843888" w:rsidRDefault="00DA261B" w:rsidP="00DA261B">
            <w:pPr>
              <w:rPr>
                <w:rFonts w:ascii="Arial" w:eastAsia="Times New Roman" w:hAnsi="Arial" w:cs="Arial"/>
                <w:b w:val="0"/>
                <w:bCs w:val="0"/>
                <w:color w:val="215868" w:themeColor="accent5" w:themeShade="80"/>
                <w:sz w:val="18"/>
                <w:szCs w:val="18"/>
              </w:rPr>
            </w:pPr>
            <w:r w:rsidRPr="00843888">
              <w:rPr>
                <w:rFonts w:ascii="Arial" w:eastAsia="Times New Roman" w:hAnsi="Arial" w:cs="Arial"/>
                <w:b w:val="0"/>
                <w:bCs w:val="0"/>
                <w:color w:val="215868" w:themeColor="accent5" w:themeShade="80"/>
                <w:sz w:val="18"/>
                <w:szCs w:val="18"/>
              </w:rPr>
              <w:t>P</w:t>
            </w:r>
            <w:r w:rsidRPr="00DD7A16">
              <w:rPr>
                <w:rFonts w:ascii="Arial" w:eastAsia="Times New Roman" w:hAnsi="Arial" w:cs="Arial"/>
                <w:b w:val="0"/>
                <w:bCs w:val="0"/>
                <w:color w:val="215868" w:themeColor="accent5" w:themeShade="80"/>
                <w:sz w:val="18"/>
                <w:szCs w:val="18"/>
              </w:rPr>
              <w:t>roduce</w:t>
            </w:r>
          </w:p>
        </w:tc>
        <w:tc>
          <w:tcPr>
            <w:tcW w:w="1102" w:type="dxa"/>
            <w:noWrap/>
            <w:vAlign w:val="bottom"/>
            <w:hideMark/>
          </w:tcPr>
          <w:p w14:paraId="7E7FB224" w14:textId="63CE9F12"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$5</w:t>
            </w:r>
            <w:r>
              <w:rPr>
                <w:rFonts w:ascii="Arial" w:hAnsi="Arial" w:cs="Arial"/>
                <w:color w:val="215868" w:themeColor="accent5" w:themeShade="80"/>
                <w:sz w:val="18"/>
                <w:szCs w:val="18"/>
              </w:rPr>
              <w:t>.7B</w:t>
            </w:r>
          </w:p>
        </w:tc>
        <w:tc>
          <w:tcPr>
            <w:tcW w:w="1103" w:type="dxa"/>
            <w:noWrap/>
            <w:vAlign w:val="bottom"/>
            <w:hideMark/>
          </w:tcPr>
          <w:p w14:paraId="03E1F941" w14:textId="59BD65AD"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4.3%</w:t>
            </w:r>
          </w:p>
        </w:tc>
        <w:tc>
          <w:tcPr>
            <w:tcW w:w="1102" w:type="dxa"/>
            <w:noWrap/>
            <w:vAlign w:val="bottom"/>
            <w:hideMark/>
          </w:tcPr>
          <w:p w14:paraId="0F23F4EE" w14:textId="7694B9B5"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1.3%</w:t>
            </w:r>
          </w:p>
        </w:tc>
        <w:tc>
          <w:tcPr>
            <w:tcW w:w="1103" w:type="dxa"/>
            <w:noWrap/>
            <w:vAlign w:val="bottom"/>
            <w:hideMark/>
          </w:tcPr>
          <w:p w14:paraId="7177F86B" w14:textId="3C047333"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16.3%</w:t>
            </w:r>
          </w:p>
        </w:tc>
        <w:tc>
          <w:tcPr>
            <w:tcW w:w="1102" w:type="dxa"/>
            <w:noWrap/>
            <w:vAlign w:val="bottom"/>
            <w:hideMark/>
          </w:tcPr>
          <w:p w14:paraId="22821649" w14:textId="520A04F9"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2</w:t>
            </w:r>
            <w:r>
              <w:rPr>
                <w:rFonts w:ascii="Arial" w:hAnsi="Arial" w:cs="Arial"/>
                <w:color w:val="215868" w:themeColor="accent5" w:themeShade="80"/>
                <w:sz w:val="18"/>
                <w:szCs w:val="18"/>
              </w:rPr>
              <w:t>.2B</w:t>
            </w:r>
          </w:p>
        </w:tc>
        <w:tc>
          <w:tcPr>
            <w:tcW w:w="1103" w:type="dxa"/>
            <w:noWrap/>
            <w:vAlign w:val="bottom"/>
            <w:hideMark/>
          </w:tcPr>
          <w:p w14:paraId="739DBA45" w14:textId="3FF48882"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-4.4%</w:t>
            </w:r>
          </w:p>
        </w:tc>
        <w:tc>
          <w:tcPr>
            <w:tcW w:w="1102" w:type="dxa"/>
            <w:noWrap/>
            <w:vAlign w:val="bottom"/>
            <w:hideMark/>
          </w:tcPr>
          <w:p w14:paraId="04FFDB69" w14:textId="7A09A463"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-10.6%</w:t>
            </w:r>
          </w:p>
        </w:tc>
        <w:tc>
          <w:tcPr>
            <w:tcW w:w="1103" w:type="dxa"/>
            <w:noWrap/>
            <w:vAlign w:val="bottom"/>
            <w:hideMark/>
          </w:tcPr>
          <w:p w14:paraId="669105D0" w14:textId="53FFE26E" w:rsidR="00DA261B" w:rsidRPr="00DA261B" w:rsidRDefault="0003032A"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00DA261B" w:rsidRPr="00DA261B">
              <w:rPr>
                <w:rFonts w:ascii="Arial" w:hAnsi="Arial" w:cs="Arial"/>
                <w:color w:val="215868" w:themeColor="accent5" w:themeShade="80"/>
                <w:sz w:val="18"/>
                <w:szCs w:val="18"/>
              </w:rPr>
              <w:t>4.4%</w:t>
            </w:r>
          </w:p>
        </w:tc>
      </w:tr>
      <w:tr w:rsidR="00DA261B" w:rsidRPr="00843888" w14:paraId="2B5665AE" w14:textId="77777777" w:rsidTr="00493BFF">
        <w:trPr>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57B09037" w14:textId="342BE891" w:rsidR="00DA261B" w:rsidRPr="00843888" w:rsidRDefault="00DA261B" w:rsidP="00DA261B">
            <w:pPr>
              <w:rPr>
                <w:rFonts w:ascii="Arial" w:eastAsia="Times New Roman" w:hAnsi="Arial" w:cs="Arial"/>
                <w:b w:val="0"/>
                <w:bCs w:val="0"/>
                <w:color w:val="215868" w:themeColor="accent5" w:themeShade="80"/>
                <w:sz w:val="18"/>
                <w:szCs w:val="18"/>
              </w:rPr>
            </w:pPr>
            <w:r w:rsidRPr="00843888">
              <w:rPr>
                <w:rFonts w:ascii="Arial" w:eastAsia="Times New Roman" w:hAnsi="Arial" w:cs="Arial"/>
                <w:b w:val="0"/>
                <w:bCs w:val="0"/>
                <w:color w:val="215868" w:themeColor="accent5" w:themeShade="80"/>
                <w:sz w:val="18"/>
                <w:szCs w:val="18"/>
              </w:rPr>
              <w:t>R</w:t>
            </w:r>
            <w:r w:rsidRPr="00DD7A16">
              <w:rPr>
                <w:rFonts w:ascii="Arial" w:eastAsia="Times New Roman" w:hAnsi="Arial" w:cs="Arial"/>
                <w:b w:val="0"/>
                <w:bCs w:val="0"/>
                <w:color w:val="215868" w:themeColor="accent5" w:themeShade="80"/>
                <w:sz w:val="18"/>
                <w:szCs w:val="18"/>
              </w:rPr>
              <w:t>efrigerated</w:t>
            </w:r>
          </w:p>
        </w:tc>
        <w:tc>
          <w:tcPr>
            <w:tcW w:w="1102" w:type="dxa"/>
            <w:noWrap/>
            <w:vAlign w:val="bottom"/>
            <w:hideMark/>
          </w:tcPr>
          <w:p w14:paraId="2B99802C" w14:textId="39EF3202"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$6</w:t>
            </w:r>
            <w:r>
              <w:rPr>
                <w:rFonts w:ascii="Arial" w:hAnsi="Arial" w:cs="Arial"/>
                <w:color w:val="215868" w:themeColor="accent5" w:themeShade="80"/>
                <w:sz w:val="18"/>
                <w:szCs w:val="18"/>
              </w:rPr>
              <w:t>.1B</w:t>
            </w:r>
          </w:p>
        </w:tc>
        <w:tc>
          <w:tcPr>
            <w:tcW w:w="1103" w:type="dxa"/>
            <w:noWrap/>
            <w:vAlign w:val="bottom"/>
            <w:hideMark/>
          </w:tcPr>
          <w:p w14:paraId="3AD6EAEE" w14:textId="51F2865F"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11.8%</w:t>
            </w:r>
          </w:p>
        </w:tc>
        <w:tc>
          <w:tcPr>
            <w:tcW w:w="1102" w:type="dxa"/>
            <w:noWrap/>
            <w:vAlign w:val="bottom"/>
            <w:hideMark/>
          </w:tcPr>
          <w:p w14:paraId="61FF8938" w14:textId="1E98EB03"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-3.7%</w:t>
            </w:r>
          </w:p>
        </w:tc>
        <w:tc>
          <w:tcPr>
            <w:tcW w:w="1103" w:type="dxa"/>
            <w:noWrap/>
            <w:vAlign w:val="bottom"/>
            <w:hideMark/>
          </w:tcPr>
          <w:p w14:paraId="2340249A" w14:textId="11C445F8"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23.8%</w:t>
            </w:r>
          </w:p>
        </w:tc>
        <w:tc>
          <w:tcPr>
            <w:tcW w:w="1102" w:type="dxa"/>
            <w:noWrap/>
            <w:vAlign w:val="bottom"/>
            <w:hideMark/>
          </w:tcPr>
          <w:p w14:paraId="6EC8FA10" w14:textId="1A3AD556"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w:t>
            </w:r>
            <w:r>
              <w:rPr>
                <w:rFonts w:ascii="Arial" w:hAnsi="Arial" w:cs="Arial"/>
                <w:color w:val="215868" w:themeColor="accent5" w:themeShade="80"/>
                <w:sz w:val="18"/>
                <w:szCs w:val="18"/>
              </w:rPr>
              <w:t>.9B</w:t>
            </w:r>
          </w:p>
        </w:tc>
        <w:tc>
          <w:tcPr>
            <w:tcW w:w="1103" w:type="dxa"/>
            <w:noWrap/>
            <w:vAlign w:val="bottom"/>
            <w:hideMark/>
          </w:tcPr>
          <w:p w14:paraId="2F2E3B03" w14:textId="2D91EEF9"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-1.2%</w:t>
            </w:r>
          </w:p>
        </w:tc>
        <w:tc>
          <w:tcPr>
            <w:tcW w:w="1102" w:type="dxa"/>
            <w:noWrap/>
            <w:vAlign w:val="bottom"/>
            <w:hideMark/>
          </w:tcPr>
          <w:p w14:paraId="1B9ABE08" w14:textId="007C0777" w:rsidR="00DA261B" w:rsidRPr="00DA261B" w:rsidRDefault="00DA261B"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-12.5%</w:t>
            </w:r>
          </w:p>
        </w:tc>
        <w:tc>
          <w:tcPr>
            <w:tcW w:w="1103" w:type="dxa"/>
            <w:noWrap/>
            <w:vAlign w:val="bottom"/>
            <w:hideMark/>
          </w:tcPr>
          <w:p w14:paraId="1A78E784" w14:textId="1A9E8096" w:rsidR="00DA261B" w:rsidRPr="00DA261B" w:rsidRDefault="0003032A" w:rsidP="00DA261B">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00DA261B" w:rsidRPr="00DA261B">
              <w:rPr>
                <w:rFonts w:ascii="Arial" w:hAnsi="Arial" w:cs="Arial"/>
                <w:color w:val="215868" w:themeColor="accent5" w:themeShade="80"/>
                <w:sz w:val="18"/>
                <w:szCs w:val="18"/>
              </w:rPr>
              <w:t>0.0%</w:t>
            </w:r>
          </w:p>
        </w:tc>
      </w:tr>
      <w:tr w:rsidR="00DA261B" w:rsidRPr="00843888" w14:paraId="119F1DC4" w14:textId="77777777" w:rsidTr="00493BF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C879CED" w14:textId="26C5472A" w:rsidR="00DA261B" w:rsidRPr="00843888" w:rsidRDefault="00DA261B" w:rsidP="00DA261B">
            <w:pPr>
              <w:rPr>
                <w:rFonts w:ascii="Arial" w:eastAsia="Times New Roman" w:hAnsi="Arial" w:cs="Arial"/>
                <w:b w:val="0"/>
                <w:bCs w:val="0"/>
                <w:color w:val="215868" w:themeColor="accent5" w:themeShade="80"/>
                <w:sz w:val="18"/>
                <w:szCs w:val="18"/>
              </w:rPr>
            </w:pPr>
            <w:r w:rsidRPr="00DD7A16">
              <w:rPr>
                <w:rFonts w:ascii="Arial" w:eastAsia="Times New Roman" w:hAnsi="Arial" w:cs="Arial"/>
                <w:b w:val="0"/>
                <w:bCs w:val="0"/>
                <w:color w:val="215868" w:themeColor="accent5" w:themeShade="80"/>
                <w:sz w:val="18"/>
                <w:szCs w:val="18"/>
              </w:rPr>
              <w:t>Seafood</w:t>
            </w:r>
          </w:p>
        </w:tc>
        <w:tc>
          <w:tcPr>
            <w:tcW w:w="1102" w:type="dxa"/>
            <w:noWrap/>
            <w:vAlign w:val="bottom"/>
            <w:hideMark/>
          </w:tcPr>
          <w:p w14:paraId="699C0C55" w14:textId="1A5433BD"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$493</w:t>
            </w:r>
            <w:r>
              <w:rPr>
                <w:rFonts w:ascii="Arial" w:hAnsi="Arial" w:cs="Arial"/>
                <w:color w:val="215868" w:themeColor="accent5" w:themeShade="80"/>
                <w:sz w:val="18"/>
                <w:szCs w:val="18"/>
              </w:rPr>
              <w:t>M</w:t>
            </w:r>
          </w:p>
        </w:tc>
        <w:tc>
          <w:tcPr>
            <w:tcW w:w="1103" w:type="dxa"/>
            <w:noWrap/>
            <w:vAlign w:val="bottom"/>
            <w:hideMark/>
          </w:tcPr>
          <w:p w14:paraId="229209B9" w14:textId="6031C8A3"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-11.8%</w:t>
            </w:r>
          </w:p>
        </w:tc>
        <w:tc>
          <w:tcPr>
            <w:tcW w:w="1102" w:type="dxa"/>
            <w:noWrap/>
            <w:vAlign w:val="bottom"/>
            <w:hideMark/>
          </w:tcPr>
          <w:p w14:paraId="578BC6D0" w14:textId="0215246A"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-0.4%</w:t>
            </w:r>
          </w:p>
        </w:tc>
        <w:tc>
          <w:tcPr>
            <w:tcW w:w="1103" w:type="dxa"/>
            <w:noWrap/>
            <w:vAlign w:val="bottom"/>
            <w:hideMark/>
          </w:tcPr>
          <w:p w14:paraId="2856F3C7" w14:textId="31BCF7C9"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Pr>
                <w:rFonts w:ascii="Arial" w:hAnsi="Arial" w:cs="Arial"/>
                <w:color w:val="215868" w:themeColor="accent5" w:themeShade="80"/>
                <w:sz w:val="18"/>
                <w:szCs w:val="18"/>
              </w:rPr>
              <w:t>+</w:t>
            </w:r>
            <w:r w:rsidRPr="00DA261B">
              <w:rPr>
                <w:rFonts w:ascii="Arial" w:hAnsi="Arial" w:cs="Arial"/>
                <w:color w:val="215868" w:themeColor="accent5" w:themeShade="80"/>
                <w:sz w:val="18"/>
                <w:szCs w:val="18"/>
              </w:rPr>
              <w:t>13.0%</w:t>
            </w:r>
          </w:p>
        </w:tc>
        <w:tc>
          <w:tcPr>
            <w:tcW w:w="1102" w:type="dxa"/>
            <w:noWrap/>
            <w:vAlign w:val="bottom"/>
            <w:hideMark/>
          </w:tcPr>
          <w:p w14:paraId="2AD2E772" w14:textId="65649827"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57</w:t>
            </w:r>
            <w:r>
              <w:rPr>
                <w:rFonts w:ascii="Arial" w:hAnsi="Arial" w:cs="Arial"/>
                <w:color w:val="215868" w:themeColor="accent5" w:themeShade="80"/>
                <w:sz w:val="18"/>
                <w:szCs w:val="18"/>
              </w:rPr>
              <w:t>M</w:t>
            </w:r>
          </w:p>
        </w:tc>
        <w:tc>
          <w:tcPr>
            <w:tcW w:w="1103" w:type="dxa"/>
            <w:noWrap/>
            <w:vAlign w:val="bottom"/>
            <w:hideMark/>
          </w:tcPr>
          <w:p w14:paraId="7805C532" w14:textId="58CE6A11"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-21.9%</w:t>
            </w:r>
          </w:p>
        </w:tc>
        <w:tc>
          <w:tcPr>
            <w:tcW w:w="1102" w:type="dxa"/>
            <w:noWrap/>
            <w:vAlign w:val="bottom"/>
            <w:hideMark/>
          </w:tcPr>
          <w:p w14:paraId="106B05A1" w14:textId="6EC61FFB"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-15.1%</w:t>
            </w:r>
          </w:p>
        </w:tc>
        <w:tc>
          <w:tcPr>
            <w:tcW w:w="1103" w:type="dxa"/>
            <w:noWrap/>
            <w:vAlign w:val="bottom"/>
            <w:hideMark/>
          </w:tcPr>
          <w:p w14:paraId="74C3ABB4" w14:textId="5FC258B0" w:rsidR="00DA261B" w:rsidRPr="00DA261B" w:rsidRDefault="00DA261B" w:rsidP="00DA261B">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215868" w:themeColor="accent5" w:themeShade="80"/>
                <w:sz w:val="18"/>
                <w:szCs w:val="18"/>
              </w:rPr>
            </w:pPr>
            <w:r w:rsidRPr="00DA261B">
              <w:rPr>
                <w:rFonts w:ascii="Arial" w:hAnsi="Arial" w:cs="Arial"/>
                <w:color w:val="215868" w:themeColor="accent5" w:themeShade="80"/>
                <w:sz w:val="18"/>
                <w:szCs w:val="18"/>
              </w:rPr>
              <w:t>-9.5%</w:t>
            </w:r>
          </w:p>
        </w:tc>
      </w:tr>
    </w:tbl>
    <w:p w14:paraId="2D9AB8C7" w14:textId="7DF9C0CD" w:rsidR="00D66F5A" w:rsidRPr="00D66F5A" w:rsidRDefault="00D66F5A" w:rsidP="001024F6">
      <w:pPr>
        <w:pStyle w:val="NoSpacing"/>
        <w:rPr>
          <w:noProof/>
          <w:sz w:val="10"/>
          <w:szCs w:val="10"/>
        </w:rPr>
      </w:pPr>
    </w:p>
    <w:p w14:paraId="23AF6DF5" w14:textId="7ADDE019" w:rsidR="001024F6" w:rsidRDefault="001024F6" w:rsidP="001024F6">
      <w:pPr>
        <w:pStyle w:val="NoSpacing"/>
        <w:rPr>
          <w:rFonts w:ascii="Arial" w:hAnsi="Arial" w:cs="Arial"/>
          <w:sz w:val="16"/>
          <w:szCs w:val="16"/>
        </w:rPr>
      </w:pPr>
      <w:r w:rsidRPr="00764049">
        <w:rPr>
          <w:rFonts w:ascii="Arial" w:hAnsi="Arial" w:cs="Arial"/>
          <w:sz w:val="16"/>
          <w:szCs w:val="16"/>
        </w:rPr>
        <w:t>Source: IRI</w:t>
      </w:r>
      <w:r>
        <w:rPr>
          <w:rFonts w:ascii="Arial" w:hAnsi="Arial" w:cs="Arial"/>
          <w:sz w:val="16"/>
          <w:szCs w:val="16"/>
        </w:rPr>
        <w:t xml:space="preserve"> Integrated Fresh,</w:t>
      </w:r>
      <w:r w:rsidRPr="00764049">
        <w:rPr>
          <w:rFonts w:ascii="Arial" w:hAnsi="Arial" w:cs="Arial"/>
          <w:sz w:val="16"/>
          <w:szCs w:val="16"/>
        </w:rPr>
        <w:t xml:space="preserve"> Total U.S., MULO, </w:t>
      </w:r>
      <w:r>
        <w:rPr>
          <w:rFonts w:ascii="Arial" w:hAnsi="Arial" w:cs="Arial"/>
          <w:sz w:val="16"/>
          <w:szCs w:val="16"/>
        </w:rPr>
        <w:t>fixed and random weight items combined into department views</w:t>
      </w:r>
    </w:p>
    <w:p w14:paraId="2CEB1F70" w14:textId="77777777" w:rsidR="00102502" w:rsidRPr="00764049" w:rsidRDefault="00102502" w:rsidP="001024F6">
      <w:pPr>
        <w:pStyle w:val="NoSpacing"/>
        <w:rPr>
          <w:rFonts w:ascii="Arial" w:hAnsi="Arial" w:cs="Arial"/>
          <w:sz w:val="16"/>
          <w:szCs w:val="16"/>
        </w:rPr>
      </w:pPr>
    </w:p>
    <w:p w14:paraId="1C1A044E" w14:textId="77777777" w:rsidR="00357E26" w:rsidRPr="00D66F5A" w:rsidRDefault="00357E26" w:rsidP="00563A06">
      <w:pPr>
        <w:pStyle w:val="NoSpacing"/>
        <w:rPr>
          <w:rFonts w:ascii="Arial" w:hAnsi="Arial" w:cs="Arial"/>
          <w:b/>
          <w:color w:val="595959" w:themeColor="text1" w:themeTint="A6"/>
          <w:sz w:val="28"/>
          <w:szCs w:val="28"/>
        </w:rPr>
      </w:pPr>
      <w:bookmarkStart w:id="0" w:name="_Hlk76989410"/>
    </w:p>
    <w:p w14:paraId="2D70FC64" w14:textId="77777777" w:rsidR="0003032A" w:rsidRPr="00706DE2" w:rsidRDefault="0003032A" w:rsidP="0003032A">
      <w:pPr>
        <w:pStyle w:val="NoSpacing"/>
        <w:rPr>
          <w:rFonts w:ascii="Arial" w:hAnsi="Arial" w:cs="Arial"/>
          <w:b/>
          <w:color w:val="595959" w:themeColor="text1" w:themeTint="A6"/>
          <w:sz w:val="24"/>
          <w:szCs w:val="24"/>
        </w:rPr>
      </w:pPr>
      <w:bookmarkStart w:id="1" w:name="_Hlk79236872"/>
      <w:bookmarkEnd w:id="0"/>
      <w:r w:rsidRPr="00706DE2">
        <w:rPr>
          <w:rFonts w:ascii="Arial" w:hAnsi="Arial" w:cs="Arial"/>
          <w:b/>
          <w:color w:val="595959" w:themeColor="text1" w:themeTint="A6"/>
          <w:sz w:val="24"/>
          <w:szCs w:val="24"/>
        </w:rPr>
        <w:t xml:space="preserve">What’s </w:t>
      </w:r>
      <w:r>
        <w:rPr>
          <w:rFonts w:ascii="Arial" w:hAnsi="Arial" w:cs="Arial"/>
          <w:b/>
          <w:color w:val="595959" w:themeColor="text1" w:themeTint="A6"/>
          <w:sz w:val="24"/>
          <w:szCs w:val="24"/>
        </w:rPr>
        <w:t>N</w:t>
      </w:r>
      <w:r w:rsidRPr="00706DE2">
        <w:rPr>
          <w:rFonts w:ascii="Arial" w:hAnsi="Arial" w:cs="Arial"/>
          <w:b/>
          <w:color w:val="595959" w:themeColor="text1" w:themeTint="A6"/>
          <w:sz w:val="24"/>
          <w:szCs w:val="24"/>
        </w:rPr>
        <w:t xml:space="preserve">ext? </w:t>
      </w:r>
    </w:p>
    <w:p w14:paraId="628F5FD8" w14:textId="77777777" w:rsidR="0003032A" w:rsidRDefault="0003032A" w:rsidP="0003032A">
      <w:pPr>
        <w:pStyle w:val="NoSpacing"/>
        <w:rPr>
          <w:rFonts w:ascii="Arial" w:hAnsi="Arial" w:cs="Arial"/>
          <w:color w:val="000000" w:themeColor="text1"/>
          <w:sz w:val="20"/>
          <w:szCs w:val="20"/>
        </w:rPr>
      </w:pPr>
      <w:r>
        <w:rPr>
          <w:rFonts w:ascii="Arial" w:hAnsi="Arial" w:cs="Arial"/>
          <w:color w:val="000000" w:themeColor="text1"/>
          <w:sz w:val="20"/>
          <w:szCs w:val="20"/>
        </w:rPr>
        <w:t>The war in Ukraine, the renewed COVID lockdowns in China, record inflation, labor shortages and supply chain challenges will have a continued effect on food and frozen food sales in the months to come.</w:t>
      </w:r>
    </w:p>
    <w:p w14:paraId="315CC14E" w14:textId="77777777" w:rsidR="0003032A" w:rsidRDefault="0003032A" w:rsidP="0003032A">
      <w:pPr>
        <w:pStyle w:val="NoSpacing"/>
        <w:numPr>
          <w:ilvl w:val="0"/>
          <w:numId w:val="22"/>
        </w:numPr>
        <w:rPr>
          <w:rFonts w:ascii="Arial" w:hAnsi="Arial" w:cs="Arial"/>
          <w:color w:val="000000" w:themeColor="text1"/>
          <w:sz w:val="20"/>
          <w:szCs w:val="20"/>
        </w:rPr>
      </w:pPr>
      <w:r>
        <w:rPr>
          <w:rFonts w:ascii="Arial" w:hAnsi="Arial" w:cs="Arial"/>
          <w:color w:val="000000" w:themeColor="text1"/>
          <w:sz w:val="20"/>
          <w:szCs w:val="20"/>
        </w:rPr>
        <w:t xml:space="preserve">Inflation is likely to boost dollar sales while pressuring unit and volume sales. </w:t>
      </w:r>
    </w:p>
    <w:p w14:paraId="4E708D06" w14:textId="77777777" w:rsidR="0003032A" w:rsidRDefault="0003032A" w:rsidP="0003032A">
      <w:pPr>
        <w:pStyle w:val="NoSpacing"/>
        <w:numPr>
          <w:ilvl w:val="0"/>
          <w:numId w:val="22"/>
        </w:numPr>
        <w:rPr>
          <w:rFonts w:ascii="Arial" w:hAnsi="Arial" w:cs="Arial"/>
          <w:color w:val="000000" w:themeColor="text1"/>
          <w:sz w:val="20"/>
          <w:szCs w:val="20"/>
        </w:rPr>
      </w:pPr>
      <w:r>
        <w:rPr>
          <w:rFonts w:ascii="Arial" w:hAnsi="Arial" w:cs="Arial"/>
          <w:color w:val="000000" w:themeColor="text1"/>
          <w:sz w:val="20"/>
          <w:szCs w:val="20"/>
        </w:rPr>
        <w:t xml:space="preserve">More Americans are growing worried about their financial health and ability to purchase what they need. </w:t>
      </w:r>
    </w:p>
    <w:p w14:paraId="4EDF0827" w14:textId="77777777" w:rsidR="0003032A" w:rsidRDefault="0003032A" w:rsidP="0003032A">
      <w:pPr>
        <w:pStyle w:val="NoSpacing"/>
        <w:numPr>
          <w:ilvl w:val="1"/>
          <w:numId w:val="22"/>
        </w:numPr>
        <w:rPr>
          <w:rFonts w:ascii="Arial" w:hAnsi="Arial" w:cs="Arial"/>
          <w:color w:val="000000" w:themeColor="text1"/>
          <w:sz w:val="20"/>
          <w:szCs w:val="20"/>
        </w:rPr>
      </w:pPr>
      <w:r>
        <w:rPr>
          <w:rFonts w:ascii="Arial" w:hAnsi="Arial" w:cs="Arial"/>
          <w:color w:val="000000" w:themeColor="text1"/>
          <w:sz w:val="20"/>
          <w:szCs w:val="20"/>
        </w:rPr>
        <w:t>38% of households report that their current financial health is strained.</w:t>
      </w:r>
    </w:p>
    <w:p w14:paraId="5D48AC5D" w14:textId="77777777" w:rsidR="0003032A" w:rsidRPr="00A94A72" w:rsidRDefault="0003032A" w:rsidP="0003032A">
      <w:pPr>
        <w:pStyle w:val="NoSpacing"/>
        <w:numPr>
          <w:ilvl w:val="1"/>
          <w:numId w:val="22"/>
        </w:numPr>
        <w:rPr>
          <w:rFonts w:ascii="Arial" w:hAnsi="Arial" w:cs="Arial"/>
          <w:color w:val="000000" w:themeColor="text1"/>
          <w:sz w:val="20"/>
          <w:szCs w:val="20"/>
        </w:rPr>
      </w:pPr>
      <w:r>
        <w:rPr>
          <w:rFonts w:ascii="Arial" w:hAnsi="Arial" w:cs="Arial"/>
          <w:color w:val="000000" w:themeColor="text1"/>
          <w:sz w:val="20"/>
          <w:szCs w:val="20"/>
        </w:rPr>
        <w:t>32% of household expect their financial situation will look worse a year from now.</w:t>
      </w:r>
    </w:p>
    <w:p w14:paraId="480950B7" w14:textId="77777777" w:rsidR="0003032A" w:rsidRPr="00A94A72" w:rsidRDefault="0003032A" w:rsidP="0003032A">
      <w:pPr>
        <w:pStyle w:val="NoSpacing"/>
        <w:numPr>
          <w:ilvl w:val="0"/>
          <w:numId w:val="22"/>
        </w:numPr>
        <w:rPr>
          <w:rFonts w:ascii="Arial" w:hAnsi="Arial" w:cs="Arial"/>
          <w:color w:val="000000" w:themeColor="text1"/>
          <w:sz w:val="20"/>
          <w:szCs w:val="20"/>
        </w:rPr>
      </w:pPr>
      <w:r>
        <w:rPr>
          <w:rFonts w:ascii="Arial" w:hAnsi="Arial" w:cs="Arial"/>
          <w:color w:val="000000" w:themeColor="text1"/>
          <w:sz w:val="20"/>
          <w:szCs w:val="20"/>
        </w:rPr>
        <w:t xml:space="preserve">Online shopping seems to be plateauing in engagement: 3% expect to purchase all groceries online, whereas 69% expect to exclusively purchase in-store. The remaining 28% have a hybrid system in which they buy some items online, others in person. This is the most likely area of continued sales growth for grocery e-commerce in case of increased online shopping frequency and/or greater online spending. </w:t>
      </w:r>
    </w:p>
    <w:p w14:paraId="1AE00470" w14:textId="77777777" w:rsidR="003D37B7" w:rsidRDefault="003D37B7" w:rsidP="003D37B7">
      <w:pPr>
        <w:pStyle w:val="NoSpacing"/>
        <w:rPr>
          <w:rFonts w:ascii="Arial" w:hAnsi="Arial" w:cs="Arial"/>
          <w:color w:val="000000" w:themeColor="text1"/>
          <w:sz w:val="20"/>
          <w:szCs w:val="20"/>
        </w:rPr>
      </w:pPr>
    </w:p>
    <w:p w14:paraId="1F16FBDB" w14:textId="5E42F3D1" w:rsidR="001E19ED" w:rsidRDefault="001E19ED" w:rsidP="009E4189">
      <w:pPr>
        <w:rPr>
          <w:rFonts w:ascii="Arial" w:hAnsi="Arial" w:cs="Arial"/>
          <w:sz w:val="20"/>
          <w:szCs w:val="20"/>
        </w:rPr>
      </w:pPr>
      <w:r>
        <w:rPr>
          <w:rFonts w:ascii="Arial" w:hAnsi="Arial" w:cs="Arial"/>
          <w:sz w:val="20"/>
          <w:szCs w:val="20"/>
        </w:rPr>
        <w:t>The next report, covering</w:t>
      </w:r>
      <w:r w:rsidR="007D58FE">
        <w:rPr>
          <w:rFonts w:ascii="Arial" w:hAnsi="Arial" w:cs="Arial"/>
          <w:sz w:val="20"/>
          <w:szCs w:val="20"/>
        </w:rPr>
        <w:t xml:space="preserve"> </w:t>
      </w:r>
      <w:r w:rsidR="0003032A">
        <w:rPr>
          <w:rFonts w:ascii="Arial" w:hAnsi="Arial" w:cs="Arial"/>
          <w:sz w:val="20"/>
          <w:szCs w:val="20"/>
        </w:rPr>
        <w:t>May</w:t>
      </w:r>
      <w:r>
        <w:rPr>
          <w:rFonts w:ascii="Arial" w:hAnsi="Arial" w:cs="Arial"/>
          <w:sz w:val="20"/>
          <w:szCs w:val="20"/>
        </w:rPr>
        <w:t>, will be released in mid-</w:t>
      </w:r>
      <w:r w:rsidR="0003032A">
        <w:rPr>
          <w:rFonts w:ascii="Arial" w:hAnsi="Arial" w:cs="Arial"/>
          <w:sz w:val="20"/>
          <w:szCs w:val="20"/>
        </w:rPr>
        <w:t>June</w:t>
      </w:r>
      <w:r>
        <w:rPr>
          <w:rFonts w:ascii="Arial" w:hAnsi="Arial" w:cs="Arial"/>
          <w:sz w:val="20"/>
          <w:szCs w:val="20"/>
        </w:rPr>
        <w:t xml:space="preserve">. </w:t>
      </w:r>
      <w:r w:rsidR="00834DC2">
        <w:rPr>
          <w:rFonts w:ascii="Arial" w:hAnsi="Arial" w:cs="Arial"/>
          <w:sz w:val="20"/>
          <w:szCs w:val="20"/>
        </w:rPr>
        <w:t xml:space="preserve">In addition to the data provided here, the IFPA also now offers InSite – an </w:t>
      </w:r>
      <w:r w:rsidR="00834DC2" w:rsidRPr="009E4189">
        <w:rPr>
          <w:rFonts w:ascii="Arial" w:hAnsi="Arial" w:cs="Arial"/>
          <w:sz w:val="20"/>
          <w:szCs w:val="20"/>
        </w:rPr>
        <w:t>online interactive data set covering both produce and floral performance as well as a look at the 2021 consumer sentiment surveys.</w:t>
      </w:r>
      <w:r w:rsidR="009E4189" w:rsidRPr="009E4189">
        <w:rPr>
          <w:rFonts w:ascii="Arial" w:hAnsi="Arial" w:cs="Arial"/>
          <w:sz w:val="20"/>
          <w:szCs w:val="20"/>
        </w:rPr>
        <w:t xml:space="preserve"> Start your free trial today! See </w:t>
      </w:r>
      <w:hyperlink r:id="rId15" w:history="1">
        <w:r w:rsidR="009E4189" w:rsidRPr="009E4189">
          <w:rPr>
            <w:rStyle w:val="Hyperlink"/>
            <w:rFonts w:ascii="Arial" w:hAnsi="Arial" w:cs="Arial"/>
            <w:sz w:val="20"/>
            <w:szCs w:val="20"/>
          </w:rPr>
          <w:t>www.freshproduce.com/insite</w:t>
        </w:r>
      </w:hyperlink>
      <w:r w:rsidR="009E4189" w:rsidRPr="009E4189">
        <w:rPr>
          <w:rFonts w:ascii="Arial" w:hAnsi="Arial" w:cs="Arial"/>
          <w:sz w:val="20"/>
          <w:szCs w:val="20"/>
        </w:rPr>
        <w:t xml:space="preserve"> for more detail. </w:t>
      </w:r>
      <w:r w:rsidRPr="009E4189">
        <w:rPr>
          <w:rFonts w:ascii="Arial" w:hAnsi="Arial" w:cs="Arial"/>
          <w:sz w:val="20"/>
          <w:szCs w:val="20"/>
        </w:rPr>
        <w:t xml:space="preserve">We </w:t>
      </w:r>
      <w:r w:rsidR="00834DC2" w:rsidRPr="009E4189">
        <w:rPr>
          <w:rFonts w:ascii="Arial" w:hAnsi="Arial" w:cs="Arial"/>
          <w:sz w:val="20"/>
          <w:szCs w:val="20"/>
        </w:rPr>
        <w:t xml:space="preserve">also </w:t>
      </w:r>
      <w:r w:rsidRPr="009E4189">
        <w:rPr>
          <w:rFonts w:ascii="Arial" w:hAnsi="Arial" w:cs="Arial"/>
          <w:sz w:val="20"/>
          <w:szCs w:val="20"/>
        </w:rPr>
        <w:t xml:space="preserve">encourage you to contact Joe Watson, </w:t>
      </w:r>
      <w:r w:rsidR="003D37B7" w:rsidRPr="009E4189">
        <w:rPr>
          <w:rFonts w:ascii="Arial" w:hAnsi="Arial" w:cs="Arial"/>
          <w:sz w:val="20"/>
          <w:szCs w:val="20"/>
        </w:rPr>
        <w:t>IFPA</w:t>
      </w:r>
      <w:r w:rsidRPr="009E4189">
        <w:rPr>
          <w:rFonts w:ascii="Arial" w:hAnsi="Arial" w:cs="Arial"/>
          <w:sz w:val="20"/>
          <w:szCs w:val="20"/>
        </w:rPr>
        <w:t xml:space="preserve">’s </w:t>
      </w:r>
      <w:r w:rsidR="0045675D" w:rsidRPr="009E4189">
        <w:rPr>
          <w:rFonts w:ascii="Arial" w:hAnsi="Arial" w:cs="Arial"/>
          <w:sz w:val="20"/>
          <w:szCs w:val="20"/>
        </w:rPr>
        <w:t>V</w:t>
      </w:r>
      <w:r w:rsidR="00086061" w:rsidRPr="009E4189">
        <w:rPr>
          <w:rFonts w:ascii="Arial" w:hAnsi="Arial" w:cs="Arial"/>
          <w:sz w:val="20"/>
          <w:szCs w:val="20"/>
        </w:rPr>
        <w:t>P,</w:t>
      </w:r>
      <w:r w:rsidR="0045675D" w:rsidRPr="009E4189">
        <w:rPr>
          <w:rFonts w:ascii="Arial" w:hAnsi="Arial" w:cs="Arial"/>
          <w:sz w:val="20"/>
          <w:szCs w:val="20"/>
        </w:rPr>
        <w:t xml:space="preserve"> Retail, Foodservice and Wholesale</w:t>
      </w:r>
      <w:r w:rsidRPr="009E4189">
        <w:rPr>
          <w:rFonts w:ascii="Arial" w:hAnsi="Arial" w:cs="Arial"/>
          <w:sz w:val="20"/>
          <w:szCs w:val="20"/>
        </w:rPr>
        <w:t xml:space="preserve">, at </w:t>
      </w:r>
      <w:hyperlink r:id="rId16" w:history="1">
        <w:r w:rsidR="0045675D" w:rsidRPr="009E4189">
          <w:rPr>
            <w:rStyle w:val="Hyperlink"/>
            <w:rFonts w:ascii="Arial" w:hAnsi="Arial" w:cs="Arial"/>
            <w:sz w:val="20"/>
            <w:szCs w:val="20"/>
          </w:rPr>
          <w:t>jwatson@freshproduce.com</w:t>
        </w:r>
      </w:hyperlink>
      <w:r w:rsidRPr="009E4189">
        <w:rPr>
          <w:rFonts w:ascii="Arial" w:hAnsi="Arial" w:cs="Arial"/>
          <w:sz w:val="20"/>
          <w:szCs w:val="20"/>
        </w:rPr>
        <w:t xml:space="preserve"> with any questions or concerns. Please recognize the continued dedication of the entire grocery and produce supply chains, from farm to retailer. #produce #joyoffresh #SupermarketSuperHeroes</w:t>
      </w:r>
      <w:r w:rsidRPr="008A6A7C">
        <w:rPr>
          <w:rFonts w:ascii="Arial" w:hAnsi="Arial" w:cs="Arial"/>
          <w:sz w:val="20"/>
          <w:szCs w:val="20"/>
        </w:rPr>
        <w:t>.</w:t>
      </w:r>
    </w:p>
    <w:bookmarkEnd w:id="1"/>
    <w:p w14:paraId="79E5D9DE" w14:textId="77777777" w:rsidR="0003032A" w:rsidRPr="00DE633B" w:rsidRDefault="0003032A" w:rsidP="0003032A">
      <w:pPr>
        <w:pStyle w:val="NoSpacing"/>
        <w:rPr>
          <w:rFonts w:ascii="Arial" w:hAnsi="Arial" w:cs="Arial"/>
          <w:b/>
          <w:sz w:val="20"/>
          <w:szCs w:val="20"/>
        </w:rPr>
      </w:pPr>
      <w:r w:rsidRPr="00DE633B">
        <w:rPr>
          <w:rFonts w:ascii="Arial" w:hAnsi="Arial" w:cs="Arial"/>
          <w:b/>
          <w:sz w:val="20"/>
          <w:szCs w:val="20"/>
        </w:rPr>
        <w:lastRenderedPageBreak/>
        <w:t xml:space="preserve">Date ranges: </w:t>
      </w:r>
    </w:p>
    <w:p w14:paraId="01E4040D" w14:textId="77777777" w:rsidR="0003032A" w:rsidRDefault="0003032A" w:rsidP="0003032A">
      <w:pPr>
        <w:pStyle w:val="NoSpacing"/>
        <w:rPr>
          <w:rFonts w:ascii="Arial" w:hAnsi="Arial" w:cs="Arial"/>
          <w:sz w:val="20"/>
          <w:szCs w:val="20"/>
        </w:rPr>
      </w:pPr>
      <w:r>
        <w:rPr>
          <w:rFonts w:ascii="Arial" w:hAnsi="Arial" w:cs="Arial"/>
          <w:sz w:val="20"/>
          <w:szCs w:val="20"/>
        </w:rPr>
        <w:t>2019: 52 weeks ending 12/28/2019</w:t>
      </w:r>
    </w:p>
    <w:p w14:paraId="237C1781" w14:textId="77777777" w:rsidR="0003032A" w:rsidRDefault="0003032A" w:rsidP="0003032A">
      <w:pPr>
        <w:pStyle w:val="NoSpacing"/>
        <w:rPr>
          <w:rFonts w:ascii="Arial" w:hAnsi="Arial" w:cs="Arial"/>
          <w:sz w:val="20"/>
          <w:szCs w:val="20"/>
        </w:rPr>
      </w:pPr>
      <w:r>
        <w:rPr>
          <w:rFonts w:ascii="Arial" w:hAnsi="Arial" w:cs="Arial"/>
          <w:sz w:val="20"/>
          <w:szCs w:val="20"/>
        </w:rPr>
        <w:t>2020: 52 weeks ending 12/27/2020</w:t>
      </w:r>
    </w:p>
    <w:p w14:paraId="6A9E6CDB" w14:textId="77777777" w:rsidR="0003032A" w:rsidRDefault="0003032A" w:rsidP="0003032A">
      <w:pPr>
        <w:pStyle w:val="NoSpacing"/>
        <w:rPr>
          <w:rFonts w:ascii="Arial" w:hAnsi="Arial" w:cs="Arial"/>
          <w:sz w:val="20"/>
          <w:szCs w:val="20"/>
        </w:rPr>
      </w:pPr>
      <w:r>
        <w:rPr>
          <w:rFonts w:ascii="Arial" w:hAnsi="Arial" w:cs="Arial"/>
          <w:sz w:val="20"/>
          <w:szCs w:val="20"/>
        </w:rPr>
        <w:t>Q1 2021: 13 weeks ending 3/28/2021</w:t>
      </w:r>
    </w:p>
    <w:p w14:paraId="5AC2F8DB" w14:textId="77777777" w:rsidR="0003032A" w:rsidRDefault="0003032A" w:rsidP="0003032A">
      <w:pPr>
        <w:pStyle w:val="NoSpacing"/>
        <w:rPr>
          <w:rFonts w:ascii="Arial" w:hAnsi="Arial" w:cs="Arial"/>
          <w:sz w:val="20"/>
          <w:szCs w:val="20"/>
        </w:rPr>
      </w:pPr>
      <w:r>
        <w:rPr>
          <w:rFonts w:ascii="Arial" w:hAnsi="Arial" w:cs="Arial"/>
          <w:sz w:val="20"/>
          <w:szCs w:val="20"/>
        </w:rPr>
        <w:t>Q2 2021: 13 weeks ending 6/27/2021</w:t>
      </w:r>
    </w:p>
    <w:p w14:paraId="04D1C799" w14:textId="77777777" w:rsidR="0003032A" w:rsidRDefault="0003032A" w:rsidP="0003032A">
      <w:pPr>
        <w:pStyle w:val="NoSpacing"/>
        <w:rPr>
          <w:rFonts w:ascii="Arial" w:hAnsi="Arial" w:cs="Arial"/>
          <w:sz w:val="20"/>
          <w:szCs w:val="20"/>
        </w:rPr>
      </w:pPr>
      <w:r>
        <w:rPr>
          <w:rFonts w:ascii="Arial" w:hAnsi="Arial" w:cs="Arial"/>
          <w:sz w:val="20"/>
          <w:szCs w:val="20"/>
        </w:rPr>
        <w:t>Q3 2021: 13 weeks ending 9/26/2021</w:t>
      </w:r>
    </w:p>
    <w:p w14:paraId="7EE2EA7B" w14:textId="77777777" w:rsidR="0003032A" w:rsidRDefault="0003032A" w:rsidP="0003032A">
      <w:pPr>
        <w:pStyle w:val="NoSpacing"/>
        <w:rPr>
          <w:rFonts w:ascii="Arial" w:hAnsi="Arial" w:cs="Arial"/>
          <w:sz w:val="20"/>
          <w:szCs w:val="20"/>
        </w:rPr>
      </w:pPr>
      <w:r>
        <w:rPr>
          <w:rFonts w:ascii="Arial" w:hAnsi="Arial" w:cs="Arial"/>
          <w:sz w:val="20"/>
          <w:szCs w:val="20"/>
        </w:rPr>
        <w:t>Q4 2021: 13 weeks ending 12/26/2021</w:t>
      </w:r>
    </w:p>
    <w:p w14:paraId="624A6FD6" w14:textId="77777777" w:rsidR="0003032A" w:rsidRDefault="0003032A" w:rsidP="0003032A">
      <w:pPr>
        <w:pStyle w:val="NoSpacing"/>
        <w:rPr>
          <w:rFonts w:ascii="Arial" w:hAnsi="Arial" w:cs="Arial"/>
          <w:sz w:val="20"/>
          <w:szCs w:val="20"/>
        </w:rPr>
      </w:pPr>
      <w:r>
        <w:rPr>
          <w:rFonts w:ascii="Arial" w:hAnsi="Arial" w:cs="Arial"/>
          <w:sz w:val="20"/>
          <w:szCs w:val="20"/>
        </w:rPr>
        <w:t>Q1 2022: 13 weeks ending 3/27/2022</w:t>
      </w:r>
    </w:p>
    <w:p w14:paraId="5CB14805" w14:textId="77777777" w:rsidR="0003032A" w:rsidRDefault="0003032A" w:rsidP="0003032A">
      <w:pPr>
        <w:pStyle w:val="NoSpacing"/>
        <w:rPr>
          <w:rFonts w:ascii="Arial" w:hAnsi="Arial" w:cs="Arial"/>
          <w:sz w:val="20"/>
          <w:szCs w:val="20"/>
        </w:rPr>
      </w:pPr>
      <w:r>
        <w:rPr>
          <w:rFonts w:ascii="Arial" w:hAnsi="Arial" w:cs="Arial"/>
          <w:sz w:val="20"/>
          <w:szCs w:val="20"/>
        </w:rPr>
        <w:t>January 2022: 5 weeks ending 1/30/2022</w:t>
      </w:r>
    </w:p>
    <w:p w14:paraId="1824DB82" w14:textId="77777777" w:rsidR="0003032A" w:rsidRDefault="0003032A" w:rsidP="0003032A">
      <w:pPr>
        <w:pStyle w:val="NoSpacing"/>
        <w:rPr>
          <w:rFonts w:ascii="Arial" w:hAnsi="Arial" w:cs="Arial"/>
          <w:sz w:val="20"/>
          <w:szCs w:val="20"/>
        </w:rPr>
      </w:pPr>
      <w:r>
        <w:rPr>
          <w:rFonts w:ascii="Arial" w:hAnsi="Arial" w:cs="Arial"/>
          <w:sz w:val="20"/>
          <w:szCs w:val="20"/>
        </w:rPr>
        <w:t>February 2022: 4 weeks ending 2/27/2022</w:t>
      </w:r>
    </w:p>
    <w:p w14:paraId="5905CF16" w14:textId="77777777" w:rsidR="0003032A" w:rsidRDefault="0003032A" w:rsidP="0003032A">
      <w:pPr>
        <w:pStyle w:val="NoSpacing"/>
        <w:rPr>
          <w:rFonts w:ascii="Arial" w:hAnsi="Arial" w:cs="Arial"/>
          <w:sz w:val="20"/>
          <w:szCs w:val="20"/>
        </w:rPr>
      </w:pPr>
      <w:r>
        <w:rPr>
          <w:rFonts w:ascii="Arial" w:hAnsi="Arial" w:cs="Arial"/>
          <w:sz w:val="20"/>
          <w:szCs w:val="20"/>
        </w:rPr>
        <w:t>March 2022: 4 weeks ending 3/27/2022</w:t>
      </w:r>
    </w:p>
    <w:p w14:paraId="4EE6560F" w14:textId="77777777" w:rsidR="0003032A" w:rsidRPr="00D42D94" w:rsidRDefault="0003032A" w:rsidP="0003032A">
      <w:pPr>
        <w:pStyle w:val="NoSpacing"/>
        <w:rPr>
          <w:rFonts w:ascii="Arial" w:hAnsi="Arial" w:cs="Arial"/>
          <w:sz w:val="20"/>
          <w:szCs w:val="20"/>
        </w:rPr>
      </w:pPr>
      <w:r>
        <w:rPr>
          <w:rFonts w:ascii="Arial" w:hAnsi="Arial" w:cs="Arial"/>
          <w:sz w:val="20"/>
          <w:szCs w:val="20"/>
        </w:rPr>
        <w:t>April: 4 weeks ending 4/24/2022</w:t>
      </w:r>
    </w:p>
    <w:p w14:paraId="7343FCEB" w14:textId="39EAA5C2" w:rsidR="00C826C2" w:rsidRPr="008A6A7C" w:rsidRDefault="00C826C2" w:rsidP="0003032A">
      <w:pPr>
        <w:pStyle w:val="NoSpacing"/>
        <w:rPr>
          <w:rFonts w:ascii="Arial" w:hAnsi="Arial" w:cs="Arial"/>
          <w:sz w:val="20"/>
          <w:szCs w:val="20"/>
        </w:rPr>
      </w:pPr>
    </w:p>
    <w:sectPr w:rsidR="00C826C2" w:rsidRPr="008A6A7C" w:rsidSect="009172A3">
      <w:headerReference w:type="default" r:id="rId17"/>
      <w:footerReference w:type="default" r:id="rId18"/>
      <w:pgSz w:w="12240" w:h="15840"/>
      <w:pgMar w:top="1276" w:right="758" w:bottom="851"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3111" w14:textId="77777777" w:rsidR="007E6602" w:rsidRDefault="007E6602" w:rsidP="007E1D2E">
      <w:pPr>
        <w:spacing w:after="0" w:line="240" w:lineRule="auto"/>
      </w:pPr>
      <w:r>
        <w:separator/>
      </w:r>
    </w:p>
  </w:endnote>
  <w:endnote w:type="continuationSeparator" w:id="0">
    <w:p w14:paraId="227BCCC5" w14:textId="77777777" w:rsidR="007E6602" w:rsidRDefault="007E6602" w:rsidP="007E1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6B01" w14:textId="23468BA2" w:rsidR="00112E9A" w:rsidRPr="001C4C48" w:rsidRDefault="000F45C4" w:rsidP="009172A3">
    <w:pPr>
      <w:spacing w:before="68" w:after="71" w:line="210" w:lineRule="atLeast"/>
      <w:rPr>
        <w:rFonts w:ascii="Verdana" w:hAnsi="Verdana" w:cs="Times New Roman"/>
        <w:color w:val="000000" w:themeColor="text1"/>
        <w:sz w:val="14"/>
        <w:szCs w:val="14"/>
      </w:rPr>
    </w:pPr>
    <w:r>
      <w:rPr>
        <w:rFonts w:ascii="Verdana" w:hAnsi="Verdana" w:cs="Times New Roman"/>
        <w:b/>
        <w:bCs/>
        <w:noProof/>
        <w:color w:val="000000" w:themeColor="text1"/>
        <w:sz w:val="14"/>
        <w:szCs w:val="14"/>
      </w:rPr>
      <mc:AlternateContent>
        <mc:Choice Requires="wps">
          <w:drawing>
            <wp:anchor distT="0" distB="0" distL="114300" distR="114300" simplePos="0" relativeHeight="251658240" behindDoc="0" locked="0" layoutInCell="1" allowOverlap="1" wp14:anchorId="091F28F7" wp14:editId="114F1E35">
              <wp:simplePos x="0" y="0"/>
              <wp:positionH relativeFrom="page">
                <wp:posOffset>457200</wp:posOffset>
              </wp:positionH>
              <wp:positionV relativeFrom="paragraph">
                <wp:posOffset>148590</wp:posOffset>
              </wp:positionV>
              <wp:extent cx="6858000" cy="20320"/>
              <wp:effectExtent l="0" t="0" r="0" b="177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2032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52F44"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pt,11.7pt" to="8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ZvwwEAAPgDAAAOAAAAZHJzL2Uyb0RvYy54bWysU8Fu2zAMvQ/oPwi6L3YyrAiMOD206C7F&#10;VqzbB6gyFQuTREFSY+fvR8mxV7Qdhg27EKbE98j3RO+uRmvYEULU6Fq+XtWcgZPYaXdo+fdvt++3&#10;nMUkXCcMOmj5CSK/2l+82w2+gQ32aDoIjEhcbAbf8j4l31RVlD1YEVfowdGlwmBFojQcqi6Igdit&#10;qTZ1fVkNGDofUEKMdHozXfJ94VcKZPqiVITETMtptlRiKPExx2q/E80hCN9reR5D/MMUVmhHTReq&#10;G5EEewr6FZXVMmBElVYSbYVKaQlFA6lZ1y/UPPTCQ9FC5kS/2BT/H638fLx29yGPLkf34O9Q/ohk&#10;SjX42CyXOYl+KhtVsLmcZmdjMfK0GAljYpIOL7cft3VNfku629QfNsXoSjQz2IeYPgFalj9abrTL&#10;OkUjjncx5faimUvysXE5RjS6u9XGlCRvCFybwI6C3lZICS6t83sS9lklZRld9EwSiph0MjAxfwXF&#10;dEdDr8sEZfN+x2scVWeYoikWYP1n4Lk+Q6Fs5d+AF0TpjC4tYKsdhre6p3G2Qk31swOT7mzBI3an&#10;+zA/Na1Xce78K+T9fZ4X+K8fdv8TAAD//wMAUEsDBBQABgAIAAAAIQD6G2BD3QAAAAkBAAAPAAAA&#10;ZHJzL2Rvd25yZXYueG1sTI/NTsMwEITvSLyDtZW4UadpMSjEqaJKCHEk5dCjY29+1HgdYrcNb49z&#10;guPOjGa/yfezHdgVJ987krBZJ8CQtDM9tRK+jm+PL8B8UGTU4Agl/KCHfXF/l6vMuBt94rUKLYsl&#10;5DMloQthzDj3ukOr/NqNSNFr3GRViOfUcjOpWyy3A0+TRHCreoofOjXioUN9ri5WQqNbEbpK70Rd&#10;v5fNx/ep3B5OUj6s5vIVWMA5/IVhwY/oUESm2l3IeDZIeE7jlCAh3e6ALf7maVHqqAgBvMj5/wXF&#10;LwAAAP//AwBQSwECLQAUAAYACAAAACEAtoM4kv4AAADhAQAAEwAAAAAAAAAAAAAAAAAAAAAAW0Nv&#10;bnRlbnRfVHlwZXNdLnhtbFBLAQItABQABgAIAAAAIQA4/SH/1gAAAJQBAAALAAAAAAAAAAAAAAAA&#10;AC8BAABfcmVscy8ucmVsc1BLAQItABQABgAIAAAAIQAzraZvwwEAAPgDAAAOAAAAAAAAAAAAAAAA&#10;AC4CAABkcnMvZTJvRG9jLnhtbFBLAQItABQABgAIAAAAIQD6G2BD3QAAAAkBAAAPAAAAAAAAAAAA&#10;AAAAAB0EAABkcnMvZG93bnJldi54bWxQSwUGAAAAAAQABADzAAAAJwUAAAAA&#10;" strokecolor="#4f81bd [3204]">
              <o:lock v:ext="edit" shapetype="f"/>
              <w10:wrap anchorx="page"/>
            </v:line>
          </w:pict>
        </mc:Fallback>
      </mc:AlternateContent>
    </w:r>
  </w:p>
  <w:p w14:paraId="280BF8AE" w14:textId="110F4C1E" w:rsidR="00112E9A" w:rsidRPr="00030F05" w:rsidRDefault="000F45C4" w:rsidP="009172A3">
    <w:pPr>
      <w:pStyle w:val="NoSpacing"/>
      <w:rPr>
        <w:sz w:val="16"/>
      </w:rPr>
    </w:pPr>
    <w:r>
      <w:rPr>
        <w:noProof/>
        <w:sz w:val="16"/>
      </w:rPr>
      <mc:AlternateContent>
        <mc:Choice Requires="wps">
          <w:drawing>
            <wp:anchor distT="0" distB="0" distL="114300" distR="114300" simplePos="0" relativeHeight="251659264" behindDoc="0" locked="0" layoutInCell="1" allowOverlap="1" wp14:anchorId="0B734F52" wp14:editId="71F2F78A">
              <wp:simplePos x="0" y="0"/>
              <wp:positionH relativeFrom="page">
                <wp:posOffset>5035550</wp:posOffset>
              </wp:positionH>
              <wp:positionV relativeFrom="page">
                <wp:posOffset>9556750</wp:posOffset>
              </wp:positionV>
              <wp:extent cx="2359025" cy="3473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9025" cy="3473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0E1C4D" w14:textId="77777777" w:rsidR="00112E9A" w:rsidRPr="002E71F7" w:rsidRDefault="00112E9A" w:rsidP="009172A3">
                          <w:pPr>
                            <w:jc w:val="right"/>
                            <w:rPr>
                              <w:rFonts w:ascii="Arial" w:hAnsi="Arial" w:cs="Arial"/>
                              <w:color w:val="000000" w:themeColor="text1"/>
                              <w:sz w:val="14"/>
                              <w:szCs w:val="14"/>
                            </w:rPr>
                          </w:pPr>
                          <w:r w:rsidRPr="002E71F7">
                            <w:rPr>
                              <w:rFonts w:ascii="Arial" w:hAnsi="Arial" w:cs="Arial"/>
                              <w:color w:val="000000" w:themeColor="text1"/>
                              <w:sz w:val="14"/>
                              <w:szCs w:val="14"/>
                            </w:rPr>
                            <w:t xml:space="preserve">Copyright © </w:t>
                          </w:r>
                          <w:r>
                            <w:rPr>
                              <w:rFonts w:ascii="Arial" w:hAnsi="Arial" w:cs="Arial"/>
                              <w:color w:val="000000" w:themeColor="text1"/>
                              <w:sz w:val="14"/>
                              <w:szCs w:val="14"/>
                            </w:rPr>
                            <w:t xml:space="preserve">210 Analytics and </w:t>
                          </w:r>
                          <w:r>
                            <w:rPr>
                              <w:rFonts w:ascii="Arial" w:hAnsi="Arial" w:cs="Arial"/>
                              <w:color w:val="000000" w:themeColor="text1"/>
                              <w:sz w:val="14"/>
                              <w:szCs w:val="14"/>
                            </w:rPr>
                            <w:br/>
                          </w:r>
                          <w:r w:rsidRPr="002E71F7">
                            <w:rPr>
                              <w:rFonts w:ascii="Arial" w:hAnsi="Arial" w:cs="Arial"/>
                              <w:color w:val="000000" w:themeColor="text1"/>
                              <w:sz w:val="14"/>
                              <w:szCs w:val="14"/>
                            </w:rPr>
                            <w:t>Information Resources, Inc. (IRI)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4F52" id="_x0000_t202" coordsize="21600,21600" o:spt="202" path="m,l,21600r21600,l21600,xe">
              <v:stroke joinstyle="miter"/>
              <v:path gradientshapeok="t" o:connecttype="rect"/>
            </v:shapetype>
            <v:shape id="Text Box 3" o:spid="_x0000_s1027" type="#_x0000_t202" style="position:absolute;margin-left:396.5pt;margin-top:752.5pt;width:185.75pt;height:2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Yo/bgIAAE0FAAAOAAAAZHJzL2Uyb0RvYy54bWysVEtv2zAMvg/YfxB0X53nuhp1iixFhwFB&#10;WywdelZkqTEqi5rExM5+/SjZSbpulw67SBT58U3q8qqtDdspHyqwBR+eDThTVkJZ2aeCf3+4+fCJ&#10;s4DClsKAVQXfq8CvZu/fXTYuVyPYgCmVZ2TEhrxxBd8gujzLgtyoWoQzcMqSUIOvBdLTP2WlFw1Z&#10;r002Ggw+Zg340nmQKgTiXndCPkv2tVYS77QOCpkpOMWG6fTpXMczm12K/MkLt6lkH4b4hyhqUVly&#10;ejR1LVCwra/+MFVX0kMAjWcS6gy0rqRKOVA2w8GrbFYb4VTKhYoT3LFM4f+Zlbe7lbv3DNvP0FID&#10;UxLBLUE+B6pN1riQ95hY05AHQsdEW+3reFMKjBSptvtjPVWLTBJzNJ5eDEZTziTJxpPz8WQaC56d&#10;tJ0P+EVBzSJRcE/9ShGI3TJgBz1AojMLN5UxqWfG/sYgmx1Hpab32qeAE4V7o6KWsd+UZlWZ4o6M&#10;NG5qYTzbCRoUIaWyOOxjTeiI0uT7LYo9Pqp2Ub1F+aiRPIPFo3JdWfBdn+KWnMIunw8h6w7f9y90&#10;eccSYLtuqXyRXEO5p8Z76HYiOHlTUROWIuC98LQE1FJabLyjQxtoCg49xdkG/M+/8SOeZpOknDW0&#10;VAUPP7bCK87MV0tTezGcTOIWpsdkej6ih38pWb+U2G29AGrHkL4QJxMZ8WgOpPZQP9L+z6NXEgkr&#10;yXfB8UAusFt1+j+kms8TiPbOCVzalZOHeY8j9tA+Cu/6OUSa4Fs4rJ/IX41jh42NsTDfIugqzeqp&#10;qn3haWfTtPf/S/wUXr4T6vQLzn4BAAD//wMAUEsDBBQABgAIAAAAIQD/8Yn04AAAAA4BAAAPAAAA&#10;ZHJzL2Rvd25yZXYueG1sTI/NTsMwEITvSLyDtUjcqF2oWxLiVAjEFUT5kbi58TaJiNdR7Dbh7dmc&#10;4La7M5r9pthOvhMnHGIbyMByoUAgVcG1VBt4f3u6ugURkyVnu0Bo4AcjbMvzs8LmLoz0iqddqgWH&#10;UMytgSalPpcyVg16GxehR2LtEAZvE69DLd1gRw73nbxWai29bYk/NLbHhwar793RG/h4Pnx9rtRL&#10;/eh1P4ZJSfKZNObyYrq/A5FwSn9mmPEZHUpm2ocjuSg6A5vshrskFrTSPM2W5XqlQeznm842IMtC&#10;/q9R/gIAAP//AwBQSwECLQAUAAYACAAAACEAtoM4kv4AAADhAQAAEwAAAAAAAAAAAAAAAAAAAAAA&#10;W0NvbnRlbnRfVHlwZXNdLnhtbFBLAQItABQABgAIAAAAIQA4/SH/1gAAAJQBAAALAAAAAAAAAAAA&#10;AAAAAC8BAABfcmVscy8ucmVsc1BLAQItABQABgAIAAAAIQA8RYo/bgIAAE0FAAAOAAAAAAAAAAAA&#10;AAAAAC4CAABkcnMvZTJvRG9jLnhtbFBLAQItABQABgAIAAAAIQD/8Yn04AAAAA4BAAAPAAAAAAAA&#10;AAAAAAAAAMgEAABkcnMvZG93bnJldi54bWxQSwUGAAAAAAQABADzAAAA1QUAAAAA&#10;" filled="f" stroked="f">
              <v:textbox>
                <w:txbxContent>
                  <w:p w14:paraId="620E1C4D" w14:textId="77777777" w:rsidR="00112E9A" w:rsidRPr="002E71F7" w:rsidRDefault="00112E9A" w:rsidP="009172A3">
                    <w:pPr>
                      <w:jc w:val="right"/>
                      <w:rPr>
                        <w:rFonts w:ascii="Arial" w:hAnsi="Arial" w:cs="Arial"/>
                        <w:color w:val="000000" w:themeColor="text1"/>
                        <w:sz w:val="14"/>
                        <w:szCs w:val="14"/>
                      </w:rPr>
                    </w:pPr>
                    <w:r w:rsidRPr="002E71F7">
                      <w:rPr>
                        <w:rFonts w:ascii="Arial" w:hAnsi="Arial" w:cs="Arial"/>
                        <w:color w:val="000000" w:themeColor="text1"/>
                        <w:sz w:val="14"/>
                        <w:szCs w:val="14"/>
                      </w:rPr>
                      <w:t xml:space="preserve">Copyright © </w:t>
                    </w:r>
                    <w:r>
                      <w:rPr>
                        <w:rFonts w:ascii="Arial" w:hAnsi="Arial" w:cs="Arial"/>
                        <w:color w:val="000000" w:themeColor="text1"/>
                        <w:sz w:val="14"/>
                        <w:szCs w:val="14"/>
                      </w:rPr>
                      <w:t xml:space="preserve">210 Analytics and </w:t>
                    </w:r>
                    <w:r>
                      <w:rPr>
                        <w:rFonts w:ascii="Arial" w:hAnsi="Arial" w:cs="Arial"/>
                        <w:color w:val="000000" w:themeColor="text1"/>
                        <w:sz w:val="14"/>
                        <w:szCs w:val="14"/>
                      </w:rPr>
                      <w:br/>
                    </w:r>
                    <w:r w:rsidRPr="002E71F7">
                      <w:rPr>
                        <w:rFonts w:ascii="Arial" w:hAnsi="Arial" w:cs="Arial"/>
                        <w:color w:val="000000" w:themeColor="text1"/>
                        <w:sz w:val="14"/>
                        <w:szCs w:val="14"/>
                      </w:rPr>
                      <w:t>Information Resources, Inc. (IRI)</w:t>
                    </w:r>
                  </w:p>
                </w:txbxContent>
              </v:textbox>
              <w10:wrap anchorx="page" anchory="page"/>
            </v:shape>
          </w:pict>
        </mc:Fallback>
      </mc:AlternateContent>
    </w:r>
    <w:r w:rsidR="00112E9A" w:rsidRPr="00030F05">
      <w:rPr>
        <w:sz w:val="16"/>
      </w:rPr>
      <w:t>Need more information?</w:t>
    </w:r>
    <w:r w:rsidR="00112E9A" w:rsidRPr="00030F05">
      <w:rPr>
        <w:sz w:val="16"/>
      </w:rPr>
      <w:br/>
    </w:r>
    <w:r>
      <w:rPr>
        <w:sz w:val="16"/>
      </w:rPr>
      <w:t>freshfoods@iriworldwide.com</w:t>
    </w:r>
    <w:r w:rsidR="00112E9A">
      <w:rPr>
        <w:sz w:val="16"/>
      </w:rPr>
      <w:tab/>
    </w:r>
    <w:r w:rsidR="00112E9A">
      <w:rPr>
        <w:sz w:val="16"/>
      </w:rPr>
      <w:tab/>
    </w:r>
    <w:r w:rsidR="00112E9A">
      <w:rPr>
        <w:sz w:val="16"/>
      </w:rPr>
      <w:tab/>
      <w:t>210 Analytics</w:t>
    </w:r>
  </w:p>
  <w:p w14:paraId="6E4FF3AA" w14:textId="61144657" w:rsidR="00112E9A" w:rsidRPr="00030F05" w:rsidRDefault="00280853" w:rsidP="009172A3">
    <w:pPr>
      <w:pStyle w:val="NoSpacing"/>
      <w:rPr>
        <w:sz w:val="16"/>
      </w:rPr>
    </w:pPr>
    <w:r>
      <w:rPr>
        <w:sz w:val="16"/>
      </w:rPr>
      <w:t>FreshProduce@iriworldwide.com</w:t>
    </w:r>
    <w:r w:rsidR="00112E9A">
      <w:rPr>
        <w:sz w:val="16"/>
      </w:rPr>
      <w:tab/>
    </w:r>
    <w:r w:rsidR="00112E9A">
      <w:rPr>
        <w:sz w:val="16"/>
      </w:rPr>
      <w:tab/>
      <w:t>aroerink@210analytics.com</w:t>
    </w:r>
  </w:p>
  <w:p w14:paraId="0C43B367" w14:textId="77777777" w:rsidR="00112E9A" w:rsidRDefault="0011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C6F2A" w14:textId="77777777" w:rsidR="007E6602" w:rsidRDefault="007E6602" w:rsidP="007E1D2E">
      <w:pPr>
        <w:spacing w:after="0" w:line="240" w:lineRule="auto"/>
      </w:pPr>
      <w:r>
        <w:separator/>
      </w:r>
    </w:p>
  </w:footnote>
  <w:footnote w:type="continuationSeparator" w:id="0">
    <w:p w14:paraId="4AA1989B" w14:textId="77777777" w:rsidR="007E6602" w:rsidRDefault="007E6602" w:rsidP="007E1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63C2" w14:textId="77777777" w:rsidR="00112E9A" w:rsidRDefault="00112E9A">
    <w:pPr>
      <w:pStyle w:val="Header"/>
    </w:pPr>
    <w:r w:rsidRPr="00030F05">
      <w:rPr>
        <w:noProof/>
      </w:rPr>
      <w:drawing>
        <wp:anchor distT="0" distB="0" distL="114300" distR="114300" simplePos="0" relativeHeight="251657216" behindDoc="1" locked="1" layoutInCell="1" allowOverlap="1" wp14:anchorId="1C9A4F7D" wp14:editId="66E82C26">
          <wp:simplePos x="0" y="0"/>
          <wp:positionH relativeFrom="page">
            <wp:posOffset>1521847</wp:posOffset>
          </wp:positionH>
          <wp:positionV relativeFrom="page">
            <wp:posOffset>0</wp:posOffset>
          </wp:positionV>
          <wp:extent cx="6270431" cy="787179"/>
          <wp:effectExtent l="19050" t="0" r="0" b="0"/>
          <wp:wrapNone/>
          <wp:docPr id="1" name="Picture 12"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rcRect b="28448"/>
                  <a:stretch>
                    <a:fillRect/>
                  </a:stretch>
                </pic:blipFill>
                <pic:spPr>
                  <a:xfrm>
                    <a:off x="0" y="0"/>
                    <a:ext cx="6267450" cy="790575"/>
                  </a:xfrm>
                  <a:prstGeom prst="rect">
                    <a:avLst/>
                  </a:prstGeom>
                </pic:spPr>
              </pic:pic>
            </a:graphicData>
          </a:graphic>
        </wp:anchor>
      </w:drawing>
    </w:r>
    <w:r w:rsidRPr="00030F05">
      <w:rPr>
        <w:noProof/>
      </w:rPr>
      <w:drawing>
        <wp:anchor distT="0" distB="0" distL="114300" distR="114300" simplePos="0" relativeHeight="251656192" behindDoc="0" locked="1" layoutInCell="1" allowOverlap="1" wp14:anchorId="73F2A16B" wp14:editId="3E276A20">
          <wp:simplePos x="0" y="0"/>
          <wp:positionH relativeFrom="page">
            <wp:posOffset>-55659</wp:posOffset>
          </wp:positionH>
          <wp:positionV relativeFrom="page">
            <wp:posOffset>0</wp:posOffset>
          </wp:positionV>
          <wp:extent cx="7903596" cy="289450"/>
          <wp:effectExtent l="0" t="0" r="0" b="1270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jpg"/>
                  <pic:cNvPicPr/>
                </pic:nvPicPr>
                <pic:blipFill rotWithShape="1">
                  <a:blip r:embed="rId2">
                    <a:extLst>
                      <a:ext uri="{28A0092B-C50C-407E-A947-70E740481C1C}">
                        <a14:useLocalDpi xmlns:a14="http://schemas.microsoft.com/office/drawing/2010/main"/>
                      </a:ext>
                    </a:extLst>
                  </a:blip>
                  <a:srcRect/>
                  <a:stretch/>
                </pic:blipFill>
                <pic:spPr bwMode="auto">
                  <a:xfrm>
                    <a:off x="0" y="0"/>
                    <a:ext cx="7909560" cy="2921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C90"/>
    <w:multiLevelType w:val="hybridMultilevel"/>
    <w:tmpl w:val="752ED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040D6"/>
    <w:multiLevelType w:val="hybridMultilevel"/>
    <w:tmpl w:val="11A09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302F0"/>
    <w:multiLevelType w:val="hybridMultilevel"/>
    <w:tmpl w:val="E138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B60CD"/>
    <w:multiLevelType w:val="hybridMultilevel"/>
    <w:tmpl w:val="ABEA9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FA0879"/>
    <w:multiLevelType w:val="hybridMultilevel"/>
    <w:tmpl w:val="69AC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50D42"/>
    <w:multiLevelType w:val="hybridMultilevel"/>
    <w:tmpl w:val="8F8C6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4D3521"/>
    <w:multiLevelType w:val="hybridMultilevel"/>
    <w:tmpl w:val="4676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82225"/>
    <w:multiLevelType w:val="hybridMultilevel"/>
    <w:tmpl w:val="52A604A8"/>
    <w:lvl w:ilvl="0" w:tplc="AAAC1FB8">
      <w:start w:val="2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A15C7"/>
    <w:multiLevelType w:val="hybridMultilevel"/>
    <w:tmpl w:val="38A47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997A99"/>
    <w:multiLevelType w:val="hybridMultilevel"/>
    <w:tmpl w:val="1E2CD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24DE6"/>
    <w:multiLevelType w:val="hybridMultilevel"/>
    <w:tmpl w:val="649E6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5042CF"/>
    <w:multiLevelType w:val="hybridMultilevel"/>
    <w:tmpl w:val="A328D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FF24BB"/>
    <w:multiLevelType w:val="hybridMultilevel"/>
    <w:tmpl w:val="A492F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5869AC"/>
    <w:multiLevelType w:val="hybridMultilevel"/>
    <w:tmpl w:val="87902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9867E9"/>
    <w:multiLevelType w:val="hybridMultilevel"/>
    <w:tmpl w:val="48462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B31247"/>
    <w:multiLevelType w:val="hybridMultilevel"/>
    <w:tmpl w:val="A3E05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7A61B6"/>
    <w:multiLevelType w:val="hybridMultilevel"/>
    <w:tmpl w:val="85081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E87EF7"/>
    <w:multiLevelType w:val="hybridMultilevel"/>
    <w:tmpl w:val="3FBA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5D18DB"/>
    <w:multiLevelType w:val="hybridMultilevel"/>
    <w:tmpl w:val="C2640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034E9D"/>
    <w:multiLevelType w:val="hybridMultilevel"/>
    <w:tmpl w:val="B81EDA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464BB5"/>
    <w:multiLevelType w:val="hybridMultilevel"/>
    <w:tmpl w:val="53684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ED5576"/>
    <w:multiLevelType w:val="hybridMultilevel"/>
    <w:tmpl w:val="64E2B4B6"/>
    <w:lvl w:ilvl="0" w:tplc="D1F2BFBE">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D75C21"/>
    <w:multiLevelType w:val="hybridMultilevel"/>
    <w:tmpl w:val="39305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69623603">
    <w:abstractNumId w:val="20"/>
  </w:num>
  <w:num w:numId="2" w16cid:durableId="1694304509">
    <w:abstractNumId w:val="6"/>
  </w:num>
  <w:num w:numId="3" w16cid:durableId="301158244">
    <w:abstractNumId w:val="18"/>
  </w:num>
  <w:num w:numId="4" w16cid:durableId="245118934">
    <w:abstractNumId w:val="19"/>
  </w:num>
  <w:num w:numId="5" w16cid:durableId="2080515362">
    <w:abstractNumId w:val="21"/>
  </w:num>
  <w:num w:numId="6" w16cid:durableId="2114551298">
    <w:abstractNumId w:val="2"/>
  </w:num>
  <w:num w:numId="7" w16cid:durableId="722296473">
    <w:abstractNumId w:val="8"/>
  </w:num>
  <w:num w:numId="8" w16cid:durableId="1097022233">
    <w:abstractNumId w:val="10"/>
  </w:num>
  <w:num w:numId="9" w16cid:durableId="418910139">
    <w:abstractNumId w:val="17"/>
  </w:num>
  <w:num w:numId="10" w16cid:durableId="1666201225">
    <w:abstractNumId w:val="15"/>
  </w:num>
  <w:num w:numId="11" w16cid:durableId="2053648835">
    <w:abstractNumId w:val="11"/>
  </w:num>
  <w:num w:numId="12" w16cid:durableId="1131247872">
    <w:abstractNumId w:val="4"/>
  </w:num>
  <w:num w:numId="13" w16cid:durableId="805898386">
    <w:abstractNumId w:val="1"/>
  </w:num>
  <w:num w:numId="14" w16cid:durableId="1166557905">
    <w:abstractNumId w:val="0"/>
  </w:num>
  <w:num w:numId="15" w16cid:durableId="1177771187">
    <w:abstractNumId w:val="12"/>
  </w:num>
  <w:num w:numId="16" w16cid:durableId="197207834">
    <w:abstractNumId w:val="16"/>
  </w:num>
  <w:num w:numId="17" w16cid:durableId="142965282">
    <w:abstractNumId w:val="7"/>
  </w:num>
  <w:num w:numId="18" w16cid:durableId="519780146">
    <w:abstractNumId w:val="22"/>
  </w:num>
  <w:num w:numId="19" w16cid:durableId="1407415914">
    <w:abstractNumId w:val="5"/>
  </w:num>
  <w:num w:numId="20" w16cid:durableId="1648433682">
    <w:abstractNumId w:val="13"/>
  </w:num>
  <w:num w:numId="21" w16cid:durableId="642389434">
    <w:abstractNumId w:val="3"/>
  </w:num>
  <w:num w:numId="22" w16cid:durableId="870462446">
    <w:abstractNumId w:val="9"/>
  </w:num>
  <w:num w:numId="23" w16cid:durableId="1108551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2D"/>
    <w:rsid w:val="00000581"/>
    <w:rsid w:val="0000075A"/>
    <w:rsid w:val="0000248F"/>
    <w:rsid w:val="00007A72"/>
    <w:rsid w:val="00010D51"/>
    <w:rsid w:val="0001120A"/>
    <w:rsid w:val="000117EF"/>
    <w:rsid w:val="00012355"/>
    <w:rsid w:val="000166DA"/>
    <w:rsid w:val="00017F7D"/>
    <w:rsid w:val="00020882"/>
    <w:rsid w:val="00022AE5"/>
    <w:rsid w:val="00022DA3"/>
    <w:rsid w:val="00023C8F"/>
    <w:rsid w:val="00024B5F"/>
    <w:rsid w:val="000263ED"/>
    <w:rsid w:val="00027658"/>
    <w:rsid w:val="0003032A"/>
    <w:rsid w:val="0003459A"/>
    <w:rsid w:val="00036105"/>
    <w:rsid w:val="000369B9"/>
    <w:rsid w:val="00036B2C"/>
    <w:rsid w:val="000375AF"/>
    <w:rsid w:val="00042FD2"/>
    <w:rsid w:val="000439A5"/>
    <w:rsid w:val="00043B43"/>
    <w:rsid w:val="00050514"/>
    <w:rsid w:val="0005157F"/>
    <w:rsid w:val="00051887"/>
    <w:rsid w:val="000526EA"/>
    <w:rsid w:val="00052CF6"/>
    <w:rsid w:val="000538C0"/>
    <w:rsid w:val="00053F8C"/>
    <w:rsid w:val="000544E1"/>
    <w:rsid w:val="000545C1"/>
    <w:rsid w:val="0005496E"/>
    <w:rsid w:val="000554A9"/>
    <w:rsid w:val="00055F57"/>
    <w:rsid w:val="00057ED6"/>
    <w:rsid w:val="000607BB"/>
    <w:rsid w:val="00060A46"/>
    <w:rsid w:val="00061697"/>
    <w:rsid w:val="00061736"/>
    <w:rsid w:val="00062D68"/>
    <w:rsid w:val="00064FBD"/>
    <w:rsid w:val="000658F7"/>
    <w:rsid w:val="0006645D"/>
    <w:rsid w:val="000670BC"/>
    <w:rsid w:val="00070D2B"/>
    <w:rsid w:val="00070E17"/>
    <w:rsid w:val="00071A3E"/>
    <w:rsid w:val="00073676"/>
    <w:rsid w:val="00083DB0"/>
    <w:rsid w:val="00083EF7"/>
    <w:rsid w:val="00084469"/>
    <w:rsid w:val="00086061"/>
    <w:rsid w:val="00091E61"/>
    <w:rsid w:val="0009337A"/>
    <w:rsid w:val="000A17A4"/>
    <w:rsid w:val="000A1FB2"/>
    <w:rsid w:val="000A3E66"/>
    <w:rsid w:val="000A543A"/>
    <w:rsid w:val="000A7CDC"/>
    <w:rsid w:val="000B035F"/>
    <w:rsid w:val="000B0AF5"/>
    <w:rsid w:val="000B0C6D"/>
    <w:rsid w:val="000B16D5"/>
    <w:rsid w:val="000B44E8"/>
    <w:rsid w:val="000B4FD7"/>
    <w:rsid w:val="000B5FE1"/>
    <w:rsid w:val="000B62E2"/>
    <w:rsid w:val="000B6A06"/>
    <w:rsid w:val="000B705A"/>
    <w:rsid w:val="000B73DB"/>
    <w:rsid w:val="000C0984"/>
    <w:rsid w:val="000C0F39"/>
    <w:rsid w:val="000C1222"/>
    <w:rsid w:val="000C2C93"/>
    <w:rsid w:val="000C4A54"/>
    <w:rsid w:val="000C757A"/>
    <w:rsid w:val="000D036B"/>
    <w:rsid w:val="000D0664"/>
    <w:rsid w:val="000D3B17"/>
    <w:rsid w:val="000D5031"/>
    <w:rsid w:val="000D5607"/>
    <w:rsid w:val="000D5DA3"/>
    <w:rsid w:val="000D5E13"/>
    <w:rsid w:val="000D6CF5"/>
    <w:rsid w:val="000D6E48"/>
    <w:rsid w:val="000E02DD"/>
    <w:rsid w:val="000E109F"/>
    <w:rsid w:val="000E2CB5"/>
    <w:rsid w:val="000E3C59"/>
    <w:rsid w:val="000F1852"/>
    <w:rsid w:val="000F1BEC"/>
    <w:rsid w:val="000F3291"/>
    <w:rsid w:val="000F45C4"/>
    <w:rsid w:val="000F5310"/>
    <w:rsid w:val="000F53E4"/>
    <w:rsid w:val="000F55C0"/>
    <w:rsid w:val="000F7521"/>
    <w:rsid w:val="000F7549"/>
    <w:rsid w:val="000F7932"/>
    <w:rsid w:val="000F7F92"/>
    <w:rsid w:val="001008BD"/>
    <w:rsid w:val="0010093C"/>
    <w:rsid w:val="00100F44"/>
    <w:rsid w:val="00101C4E"/>
    <w:rsid w:val="001024F6"/>
    <w:rsid w:val="00102502"/>
    <w:rsid w:val="0010503A"/>
    <w:rsid w:val="00105352"/>
    <w:rsid w:val="0010695F"/>
    <w:rsid w:val="00106F0B"/>
    <w:rsid w:val="00110FF9"/>
    <w:rsid w:val="00112A5A"/>
    <w:rsid w:val="00112E9A"/>
    <w:rsid w:val="001141CA"/>
    <w:rsid w:val="0011420E"/>
    <w:rsid w:val="00114591"/>
    <w:rsid w:val="0011663F"/>
    <w:rsid w:val="00116FC7"/>
    <w:rsid w:val="0011773C"/>
    <w:rsid w:val="001210D2"/>
    <w:rsid w:val="001213B4"/>
    <w:rsid w:val="00121989"/>
    <w:rsid w:val="00121E18"/>
    <w:rsid w:val="00125FAE"/>
    <w:rsid w:val="00130D41"/>
    <w:rsid w:val="00131954"/>
    <w:rsid w:val="00131B9A"/>
    <w:rsid w:val="0013220C"/>
    <w:rsid w:val="00133959"/>
    <w:rsid w:val="001344E1"/>
    <w:rsid w:val="00135BE7"/>
    <w:rsid w:val="00140A5F"/>
    <w:rsid w:val="00140B3C"/>
    <w:rsid w:val="00141DBA"/>
    <w:rsid w:val="001420B1"/>
    <w:rsid w:val="00143527"/>
    <w:rsid w:val="001452A1"/>
    <w:rsid w:val="00150F33"/>
    <w:rsid w:val="00151C32"/>
    <w:rsid w:val="00151CCC"/>
    <w:rsid w:val="00152095"/>
    <w:rsid w:val="00155142"/>
    <w:rsid w:val="00155ACB"/>
    <w:rsid w:val="00157669"/>
    <w:rsid w:val="00157776"/>
    <w:rsid w:val="0016082C"/>
    <w:rsid w:val="00160D1A"/>
    <w:rsid w:val="00162C95"/>
    <w:rsid w:val="00163CF9"/>
    <w:rsid w:val="00163F0B"/>
    <w:rsid w:val="00164B37"/>
    <w:rsid w:val="0016509F"/>
    <w:rsid w:val="001676D0"/>
    <w:rsid w:val="0017206C"/>
    <w:rsid w:val="001729EA"/>
    <w:rsid w:val="00180487"/>
    <w:rsid w:val="001823F0"/>
    <w:rsid w:val="0018439F"/>
    <w:rsid w:val="001904BA"/>
    <w:rsid w:val="00190A58"/>
    <w:rsid w:val="00191B23"/>
    <w:rsid w:val="00192C41"/>
    <w:rsid w:val="00192E8C"/>
    <w:rsid w:val="001937D1"/>
    <w:rsid w:val="001946FE"/>
    <w:rsid w:val="00194FCF"/>
    <w:rsid w:val="0019681B"/>
    <w:rsid w:val="0019735A"/>
    <w:rsid w:val="0019737A"/>
    <w:rsid w:val="001A0E90"/>
    <w:rsid w:val="001A1830"/>
    <w:rsid w:val="001A2844"/>
    <w:rsid w:val="001A2FCB"/>
    <w:rsid w:val="001A4317"/>
    <w:rsid w:val="001A4F53"/>
    <w:rsid w:val="001B04C2"/>
    <w:rsid w:val="001B27BC"/>
    <w:rsid w:val="001B2A5E"/>
    <w:rsid w:val="001B361F"/>
    <w:rsid w:val="001B5D83"/>
    <w:rsid w:val="001B6F56"/>
    <w:rsid w:val="001C0658"/>
    <w:rsid w:val="001C0962"/>
    <w:rsid w:val="001C454A"/>
    <w:rsid w:val="001C5358"/>
    <w:rsid w:val="001C54D9"/>
    <w:rsid w:val="001C56E4"/>
    <w:rsid w:val="001C6281"/>
    <w:rsid w:val="001C641C"/>
    <w:rsid w:val="001C6B93"/>
    <w:rsid w:val="001D030C"/>
    <w:rsid w:val="001D0A38"/>
    <w:rsid w:val="001D0C47"/>
    <w:rsid w:val="001D0D13"/>
    <w:rsid w:val="001D13E3"/>
    <w:rsid w:val="001D1C94"/>
    <w:rsid w:val="001D1FD7"/>
    <w:rsid w:val="001D2163"/>
    <w:rsid w:val="001D5464"/>
    <w:rsid w:val="001D5C1A"/>
    <w:rsid w:val="001E19ED"/>
    <w:rsid w:val="001E1AD8"/>
    <w:rsid w:val="001E2207"/>
    <w:rsid w:val="001E26EB"/>
    <w:rsid w:val="001E28F9"/>
    <w:rsid w:val="001E3E8E"/>
    <w:rsid w:val="001E4381"/>
    <w:rsid w:val="001E4CD3"/>
    <w:rsid w:val="001E4D03"/>
    <w:rsid w:val="001E5E9F"/>
    <w:rsid w:val="001E726D"/>
    <w:rsid w:val="001F04FA"/>
    <w:rsid w:val="001F074D"/>
    <w:rsid w:val="001F292B"/>
    <w:rsid w:val="001F29DC"/>
    <w:rsid w:val="001F512A"/>
    <w:rsid w:val="001F53D3"/>
    <w:rsid w:val="001F7395"/>
    <w:rsid w:val="00200C0F"/>
    <w:rsid w:val="00200D19"/>
    <w:rsid w:val="00203B6C"/>
    <w:rsid w:val="00206FA1"/>
    <w:rsid w:val="00207525"/>
    <w:rsid w:val="0021074E"/>
    <w:rsid w:val="002137F5"/>
    <w:rsid w:val="00213F99"/>
    <w:rsid w:val="0021462C"/>
    <w:rsid w:val="00214C85"/>
    <w:rsid w:val="00215410"/>
    <w:rsid w:val="0021673D"/>
    <w:rsid w:val="00216752"/>
    <w:rsid w:val="0021684E"/>
    <w:rsid w:val="00216FFD"/>
    <w:rsid w:val="00217CA1"/>
    <w:rsid w:val="00217E85"/>
    <w:rsid w:val="0022022C"/>
    <w:rsid w:val="00220B71"/>
    <w:rsid w:val="0022252A"/>
    <w:rsid w:val="00223410"/>
    <w:rsid w:val="00226322"/>
    <w:rsid w:val="00227ED7"/>
    <w:rsid w:val="00230809"/>
    <w:rsid w:val="00230E25"/>
    <w:rsid w:val="00231015"/>
    <w:rsid w:val="002314B8"/>
    <w:rsid w:val="00231A49"/>
    <w:rsid w:val="00231B9B"/>
    <w:rsid w:val="00231DF3"/>
    <w:rsid w:val="00232B19"/>
    <w:rsid w:val="00232CD1"/>
    <w:rsid w:val="002358BA"/>
    <w:rsid w:val="00235FBD"/>
    <w:rsid w:val="002409F7"/>
    <w:rsid w:val="002450E6"/>
    <w:rsid w:val="0024650C"/>
    <w:rsid w:val="00247235"/>
    <w:rsid w:val="00247561"/>
    <w:rsid w:val="00250FB7"/>
    <w:rsid w:val="00251476"/>
    <w:rsid w:val="00252AC4"/>
    <w:rsid w:val="00253765"/>
    <w:rsid w:val="00254063"/>
    <w:rsid w:val="00254795"/>
    <w:rsid w:val="00254FD3"/>
    <w:rsid w:val="00255020"/>
    <w:rsid w:val="002559AC"/>
    <w:rsid w:val="002577CE"/>
    <w:rsid w:val="0026038C"/>
    <w:rsid w:val="00260E1C"/>
    <w:rsid w:val="00262B72"/>
    <w:rsid w:val="00262B7A"/>
    <w:rsid w:val="00263C9F"/>
    <w:rsid w:val="00265A50"/>
    <w:rsid w:val="00267E57"/>
    <w:rsid w:val="00271EF8"/>
    <w:rsid w:val="00272C41"/>
    <w:rsid w:val="00273813"/>
    <w:rsid w:val="002741C9"/>
    <w:rsid w:val="00274C89"/>
    <w:rsid w:val="0027508E"/>
    <w:rsid w:val="002769A5"/>
    <w:rsid w:val="00280853"/>
    <w:rsid w:val="00281DD0"/>
    <w:rsid w:val="002829C4"/>
    <w:rsid w:val="00283FD8"/>
    <w:rsid w:val="00284D1B"/>
    <w:rsid w:val="002855FE"/>
    <w:rsid w:val="00285C02"/>
    <w:rsid w:val="00286F2E"/>
    <w:rsid w:val="002909D7"/>
    <w:rsid w:val="00290E49"/>
    <w:rsid w:val="00292CDE"/>
    <w:rsid w:val="00292EC7"/>
    <w:rsid w:val="002938C6"/>
    <w:rsid w:val="00296016"/>
    <w:rsid w:val="002968B4"/>
    <w:rsid w:val="002979E1"/>
    <w:rsid w:val="00297D11"/>
    <w:rsid w:val="002A1EEF"/>
    <w:rsid w:val="002A4D9A"/>
    <w:rsid w:val="002B1115"/>
    <w:rsid w:val="002B46DD"/>
    <w:rsid w:val="002B647B"/>
    <w:rsid w:val="002C0E44"/>
    <w:rsid w:val="002C11A9"/>
    <w:rsid w:val="002C22DF"/>
    <w:rsid w:val="002C2F4F"/>
    <w:rsid w:val="002C64EC"/>
    <w:rsid w:val="002C6B59"/>
    <w:rsid w:val="002C7619"/>
    <w:rsid w:val="002D178D"/>
    <w:rsid w:val="002D28F4"/>
    <w:rsid w:val="002D3293"/>
    <w:rsid w:val="002D3EC8"/>
    <w:rsid w:val="002D5486"/>
    <w:rsid w:val="002D7676"/>
    <w:rsid w:val="002D7D39"/>
    <w:rsid w:val="002D7F8D"/>
    <w:rsid w:val="002E0575"/>
    <w:rsid w:val="002E09F5"/>
    <w:rsid w:val="002E3448"/>
    <w:rsid w:val="002E3E0D"/>
    <w:rsid w:val="002E4BE8"/>
    <w:rsid w:val="002E5503"/>
    <w:rsid w:val="002E5A54"/>
    <w:rsid w:val="002E6833"/>
    <w:rsid w:val="002E76F7"/>
    <w:rsid w:val="002E78E1"/>
    <w:rsid w:val="002E7CDB"/>
    <w:rsid w:val="002F2661"/>
    <w:rsid w:val="002F3E80"/>
    <w:rsid w:val="002F74F6"/>
    <w:rsid w:val="002F7B5D"/>
    <w:rsid w:val="00300012"/>
    <w:rsid w:val="00300ECD"/>
    <w:rsid w:val="00301A27"/>
    <w:rsid w:val="00301A61"/>
    <w:rsid w:val="00302080"/>
    <w:rsid w:val="003025A7"/>
    <w:rsid w:val="00305692"/>
    <w:rsid w:val="003057CD"/>
    <w:rsid w:val="00307723"/>
    <w:rsid w:val="00310171"/>
    <w:rsid w:val="0031035E"/>
    <w:rsid w:val="00310885"/>
    <w:rsid w:val="00311B6D"/>
    <w:rsid w:val="00313FC0"/>
    <w:rsid w:val="003150F5"/>
    <w:rsid w:val="00315642"/>
    <w:rsid w:val="00315C59"/>
    <w:rsid w:val="003168B6"/>
    <w:rsid w:val="00317658"/>
    <w:rsid w:val="00321D95"/>
    <w:rsid w:val="00323CA3"/>
    <w:rsid w:val="00324012"/>
    <w:rsid w:val="00324348"/>
    <w:rsid w:val="00324547"/>
    <w:rsid w:val="003269C9"/>
    <w:rsid w:val="003304F8"/>
    <w:rsid w:val="00330FD7"/>
    <w:rsid w:val="0033194E"/>
    <w:rsid w:val="00331E0B"/>
    <w:rsid w:val="00332630"/>
    <w:rsid w:val="00332866"/>
    <w:rsid w:val="00334213"/>
    <w:rsid w:val="00334F5C"/>
    <w:rsid w:val="0033541D"/>
    <w:rsid w:val="00335BB3"/>
    <w:rsid w:val="00335E8D"/>
    <w:rsid w:val="00336C30"/>
    <w:rsid w:val="003400E7"/>
    <w:rsid w:val="00340AA9"/>
    <w:rsid w:val="00342B2D"/>
    <w:rsid w:val="003433C6"/>
    <w:rsid w:val="003441BB"/>
    <w:rsid w:val="00345BA2"/>
    <w:rsid w:val="00345E41"/>
    <w:rsid w:val="0034772B"/>
    <w:rsid w:val="003507F8"/>
    <w:rsid w:val="003508FD"/>
    <w:rsid w:val="003538DC"/>
    <w:rsid w:val="00354739"/>
    <w:rsid w:val="003555F0"/>
    <w:rsid w:val="0035616A"/>
    <w:rsid w:val="00357E26"/>
    <w:rsid w:val="00361BCC"/>
    <w:rsid w:val="003627EF"/>
    <w:rsid w:val="00365D81"/>
    <w:rsid w:val="003671FD"/>
    <w:rsid w:val="00367C42"/>
    <w:rsid w:val="003702C2"/>
    <w:rsid w:val="00373662"/>
    <w:rsid w:val="00375DB1"/>
    <w:rsid w:val="00380CBC"/>
    <w:rsid w:val="0038311D"/>
    <w:rsid w:val="00384446"/>
    <w:rsid w:val="00384746"/>
    <w:rsid w:val="0038533A"/>
    <w:rsid w:val="003860D6"/>
    <w:rsid w:val="00386440"/>
    <w:rsid w:val="0038781D"/>
    <w:rsid w:val="00392773"/>
    <w:rsid w:val="00392F8D"/>
    <w:rsid w:val="00393115"/>
    <w:rsid w:val="00393357"/>
    <w:rsid w:val="003935EB"/>
    <w:rsid w:val="00393E83"/>
    <w:rsid w:val="00394F89"/>
    <w:rsid w:val="00395431"/>
    <w:rsid w:val="0039690E"/>
    <w:rsid w:val="003A0E9C"/>
    <w:rsid w:val="003A1E76"/>
    <w:rsid w:val="003A20BE"/>
    <w:rsid w:val="003A40A2"/>
    <w:rsid w:val="003A7E92"/>
    <w:rsid w:val="003B041E"/>
    <w:rsid w:val="003B0512"/>
    <w:rsid w:val="003B22D4"/>
    <w:rsid w:val="003B318C"/>
    <w:rsid w:val="003B4FA0"/>
    <w:rsid w:val="003B6387"/>
    <w:rsid w:val="003C39A1"/>
    <w:rsid w:val="003C455D"/>
    <w:rsid w:val="003C4C33"/>
    <w:rsid w:val="003C6387"/>
    <w:rsid w:val="003C63CD"/>
    <w:rsid w:val="003C7643"/>
    <w:rsid w:val="003C782B"/>
    <w:rsid w:val="003C7846"/>
    <w:rsid w:val="003C7D7A"/>
    <w:rsid w:val="003D0AE6"/>
    <w:rsid w:val="003D0C38"/>
    <w:rsid w:val="003D2003"/>
    <w:rsid w:val="003D2D37"/>
    <w:rsid w:val="003D31A0"/>
    <w:rsid w:val="003D339B"/>
    <w:rsid w:val="003D37B7"/>
    <w:rsid w:val="003D46CC"/>
    <w:rsid w:val="003E0C1E"/>
    <w:rsid w:val="003E0E97"/>
    <w:rsid w:val="003E1146"/>
    <w:rsid w:val="003E1441"/>
    <w:rsid w:val="003E1B5F"/>
    <w:rsid w:val="003E2198"/>
    <w:rsid w:val="003E330D"/>
    <w:rsid w:val="003E4829"/>
    <w:rsid w:val="003E55E0"/>
    <w:rsid w:val="003E5674"/>
    <w:rsid w:val="003F1982"/>
    <w:rsid w:val="003F22C7"/>
    <w:rsid w:val="003F230B"/>
    <w:rsid w:val="003F3DAA"/>
    <w:rsid w:val="003F513E"/>
    <w:rsid w:val="003F5D02"/>
    <w:rsid w:val="003F676E"/>
    <w:rsid w:val="00400319"/>
    <w:rsid w:val="00401D64"/>
    <w:rsid w:val="00402E47"/>
    <w:rsid w:val="00403382"/>
    <w:rsid w:val="00403929"/>
    <w:rsid w:val="00403A49"/>
    <w:rsid w:val="004045F4"/>
    <w:rsid w:val="00405174"/>
    <w:rsid w:val="00405372"/>
    <w:rsid w:val="00406AA9"/>
    <w:rsid w:val="00412BCF"/>
    <w:rsid w:val="00413E9F"/>
    <w:rsid w:val="004146EF"/>
    <w:rsid w:val="00414983"/>
    <w:rsid w:val="004164A0"/>
    <w:rsid w:val="00421894"/>
    <w:rsid w:val="00422C9B"/>
    <w:rsid w:val="00422CBC"/>
    <w:rsid w:val="00423839"/>
    <w:rsid w:val="00423AA6"/>
    <w:rsid w:val="0042476D"/>
    <w:rsid w:val="00424B0A"/>
    <w:rsid w:val="004262CE"/>
    <w:rsid w:val="00427A55"/>
    <w:rsid w:val="004304A7"/>
    <w:rsid w:val="004324AC"/>
    <w:rsid w:val="004349A0"/>
    <w:rsid w:val="00434A67"/>
    <w:rsid w:val="00434B5E"/>
    <w:rsid w:val="00435088"/>
    <w:rsid w:val="00437E02"/>
    <w:rsid w:val="00440E23"/>
    <w:rsid w:val="00441424"/>
    <w:rsid w:val="00441E8F"/>
    <w:rsid w:val="00443A78"/>
    <w:rsid w:val="00444E82"/>
    <w:rsid w:val="00444F30"/>
    <w:rsid w:val="00445232"/>
    <w:rsid w:val="00445503"/>
    <w:rsid w:val="004460B5"/>
    <w:rsid w:val="00447877"/>
    <w:rsid w:val="00452431"/>
    <w:rsid w:val="00453713"/>
    <w:rsid w:val="004563F4"/>
    <w:rsid w:val="0045675D"/>
    <w:rsid w:val="00460FB7"/>
    <w:rsid w:val="00461C35"/>
    <w:rsid w:val="0046208B"/>
    <w:rsid w:val="004634E6"/>
    <w:rsid w:val="004647C0"/>
    <w:rsid w:val="004649F1"/>
    <w:rsid w:val="00465D0F"/>
    <w:rsid w:val="00466863"/>
    <w:rsid w:val="00466C35"/>
    <w:rsid w:val="00466D79"/>
    <w:rsid w:val="00470A5F"/>
    <w:rsid w:val="00472A5B"/>
    <w:rsid w:val="00474357"/>
    <w:rsid w:val="00476037"/>
    <w:rsid w:val="0047723D"/>
    <w:rsid w:val="004773E0"/>
    <w:rsid w:val="0047795F"/>
    <w:rsid w:val="00480D74"/>
    <w:rsid w:val="004816C6"/>
    <w:rsid w:val="00482A2D"/>
    <w:rsid w:val="004850A1"/>
    <w:rsid w:val="00486117"/>
    <w:rsid w:val="00486A68"/>
    <w:rsid w:val="00487253"/>
    <w:rsid w:val="00490DEA"/>
    <w:rsid w:val="00491167"/>
    <w:rsid w:val="00493F7F"/>
    <w:rsid w:val="004940C4"/>
    <w:rsid w:val="00495014"/>
    <w:rsid w:val="00495F2C"/>
    <w:rsid w:val="004A11C3"/>
    <w:rsid w:val="004A4DF1"/>
    <w:rsid w:val="004A4F04"/>
    <w:rsid w:val="004B0A09"/>
    <w:rsid w:val="004B1860"/>
    <w:rsid w:val="004B21FF"/>
    <w:rsid w:val="004B2C15"/>
    <w:rsid w:val="004B4107"/>
    <w:rsid w:val="004B5E72"/>
    <w:rsid w:val="004B7B04"/>
    <w:rsid w:val="004C079D"/>
    <w:rsid w:val="004C0A02"/>
    <w:rsid w:val="004C2A38"/>
    <w:rsid w:val="004C2B65"/>
    <w:rsid w:val="004C48C8"/>
    <w:rsid w:val="004C5A19"/>
    <w:rsid w:val="004C6EF6"/>
    <w:rsid w:val="004C74E9"/>
    <w:rsid w:val="004D185B"/>
    <w:rsid w:val="004D26B3"/>
    <w:rsid w:val="004D2786"/>
    <w:rsid w:val="004D2E26"/>
    <w:rsid w:val="004D3159"/>
    <w:rsid w:val="004D582E"/>
    <w:rsid w:val="004D611F"/>
    <w:rsid w:val="004D6484"/>
    <w:rsid w:val="004D72F0"/>
    <w:rsid w:val="004E17F7"/>
    <w:rsid w:val="004E1D60"/>
    <w:rsid w:val="004E1FBB"/>
    <w:rsid w:val="004E6B52"/>
    <w:rsid w:val="004F27DA"/>
    <w:rsid w:val="004F346A"/>
    <w:rsid w:val="004F61B9"/>
    <w:rsid w:val="004F66AC"/>
    <w:rsid w:val="004F69B5"/>
    <w:rsid w:val="004F7335"/>
    <w:rsid w:val="005041EB"/>
    <w:rsid w:val="00504AF6"/>
    <w:rsid w:val="00504E6B"/>
    <w:rsid w:val="00504EC1"/>
    <w:rsid w:val="00504F5F"/>
    <w:rsid w:val="005070E3"/>
    <w:rsid w:val="00507D74"/>
    <w:rsid w:val="0051320B"/>
    <w:rsid w:val="00514512"/>
    <w:rsid w:val="00516F4B"/>
    <w:rsid w:val="00517A63"/>
    <w:rsid w:val="00517D7F"/>
    <w:rsid w:val="00520731"/>
    <w:rsid w:val="00521574"/>
    <w:rsid w:val="00524358"/>
    <w:rsid w:val="00525BFD"/>
    <w:rsid w:val="0053257C"/>
    <w:rsid w:val="00533970"/>
    <w:rsid w:val="00534F05"/>
    <w:rsid w:val="00540B8A"/>
    <w:rsid w:val="00541668"/>
    <w:rsid w:val="00542741"/>
    <w:rsid w:val="00542BDA"/>
    <w:rsid w:val="00543085"/>
    <w:rsid w:val="00546508"/>
    <w:rsid w:val="00547E8F"/>
    <w:rsid w:val="00550F90"/>
    <w:rsid w:val="005512D4"/>
    <w:rsid w:val="00551D01"/>
    <w:rsid w:val="0055305F"/>
    <w:rsid w:val="005561B1"/>
    <w:rsid w:val="005565BE"/>
    <w:rsid w:val="005567F4"/>
    <w:rsid w:val="005575E8"/>
    <w:rsid w:val="005575F0"/>
    <w:rsid w:val="005627D0"/>
    <w:rsid w:val="00562AF2"/>
    <w:rsid w:val="00563A06"/>
    <w:rsid w:val="00565FD2"/>
    <w:rsid w:val="00566B14"/>
    <w:rsid w:val="00570B51"/>
    <w:rsid w:val="00570D2C"/>
    <w:rsid w:val="00571158"/>
    <w:rsid w:val="005729FD"/>
    <w:rsid w:val="00574B6E"/>
    <w:rsid w:val="00574C00"/>
    <w:rsid w:val="00575026"/>
    <w:rsid w:val="00576016"/>
    <w:rsid w:val="005761CC"/>
    <w:rsid w:val="00576207"/>
    <w:rsid w:val="00576505"/>
    <w:rsid w:val="005815C8"/>
    <w:rsid w:val="00581E1C"/>
    <w:rsid w:val="00582663"/>
    <w:rsid w:val="00592B01"/>
    <w:rsid w:val="00592DB1"/>
    <w:rsid w:val="005935E4"/>
    <w:rsid w:val="00593BC6"/>
    <w:rsid w:val="00594573"/>
    <w:rsid w:val="00595F74"/>
    <w:rsid w:val="00596B93"/>
    <w:rsid w:val="005A0868"/>
    <w:rsid w:val="005A0A2F"/>
    <w:rsid w:val="005A5440"/>
    <w:rsid w:val="005A5A01"/>
    <w:rsid w:val="005A5F29"/>
    <w:rsid w:val="005B198A"/>
    <w:rsid w:val="005B75A0"/>
    <w:rsid w:val="005C201D"/>
    <w:rsid w:val="005C3E8E"/>
    <w:rsid w:val="005C4361"/>
    <w:rsid w:val="005C6FBA"/>
    <w:rsid w:val="005C7FDD"/>
    <w:rsid w:val="005D2937"/>
    <w:rsid w:val="005D30ED"/>
    <w:rsid w:val="005D3C9F"/>
    <w:rsid w:val="005D5770"/>
    <w:rsid w:val="005D5EFC"/>
    <w:rsid w:val="005E2F61"/>
    <w:rsid w:val="005E370A"/>
    <w:rsid w:val="005E5225"/>
    <w:rsid w:val="005F15CB"/>
    <w:rsid w:val="005F485C"/>
    <w:rsid w:val="005F4FE9"/>
    <w:rsid w:val="005F5578"/>
    <w:rsid w:val="00601D6D"/>
    <w:rsid w:val="00601E38"/>
    <w:rsid w:val="006024AB"/>
    <w:rsid w:val="006050A3"/>
    <w:rsid w:val="006054BA"/>
    <w:rsid w:val="006069A6"/>
    <w:rsid w:val="00606E2B"/>
    <w:rsid w:val="00611143"/>
    <w:rsid w:val="0061115A"/>
    <w:rsid w:val="00614D8A"/>
    <w:rsid w:val="00615446"/>
    <w:rsid w:val="00622C36"/>
    <w:rsid w:val="00622DC0"/>
    <w:rsid w:val="00623FE0"/>
    <w:rsid w:val="00624AD9"/>
    <w:rsid w:val="00625436"/>
    <w:rsid w:val="006266CC"/>
    <w:rsid w:val="006273E4"/>
    <w:rsid w:val="006324AE"/>
    <w:rsid w:val="00632BEE"/>
    <w:rsid w:val="00632D4B"/>
    <w:rsid w:val="00633BA9"/>
    <w:rsid w:val="00633BC2"/>
    <w:rsid w:val="00634631"/>
    <w:rsid w:val="00634B86"/>
    <w:rsid w:val="0063505C"/>
    <w:rsid w:val="0063542C"/>
    <w:rsid w:val="006356F8"/>
    <w:rsid w:val="0063796D"/>
    <w:rsid w:val="0064024D"/>
    <w:rsid w:val="0064120A"/>
    <w:rsid w:val="0064192B"/>
    <w:rsid w:val="006424E6"/>
    <w:rsid w:val="00642728"/>
    <w:rsid w:val="00643B46"/>
    <w:rsid w:val="00644477"/>
    <w:rsid w:val="006451B9"/>
    <w:rsid w:val="006453BA"/>
    <w:rsid w:val="0064743B"/>
    <w:rsid w:val="00647DD6"/>
    <w:rsid w:val="006502E8"/>
    <w:rsid w:val="00650E52"/>
    <w:rsid w:val="006517D5"/>
    <w:rsid w:val="00655108"/>
    <w:rsid w:val="00656757"/>
    <w:rsid w:val="00656B34"/>
    <w:rsid w:val="006601AF"/>
    <w:rsid w:val="006637F6"/>
    <w:rsid w:val="00664D47"/>
    <w:rsid w:val="00665E7E"/>
    <w:rsid w:val="00666497"/>
    <w:rsid w:val="00667BC4"/>
    <w:rsid w:val="00670599"/>
    <w:rsid w:val="00671962"/>
    <w:rsid w:val="00672D72"/>
    <w:rsid w:val="00673BDC"/>
    <w:rsid w:val="00681E68"/>
    <w:rsid w:val="00682EC3"/>
    <w:rsid w:val="0068309E"/>
    <w:rsid w:val="00683168"/>
    <w:rsid w:val="00683227"/>
    <w:rsid w:val="00683F16"/>
    <w:rsid w:val="00685838"/>
    <w:rsid w:val="0068714A"/>
    <w:rsid w:val="00687A24"/>
    <w:rsid w:val="00690B89"/>
    <w:rsid w:val="0069149A"/>
    <w:rsid w:val="006965D0"/>
    <w:rsid w:val="006A12EC"/>
    <w:rsid w:val="006A32A4"/>
    <w:rsid w:val="006A4A53"/>
    <w:rsid w:val="006A57AF"/>
    <w:rsid w:val="006A67F6"/>
    <w:rsid w:val="006A75A2"/>
    <w:rsid w:val="006B0746"/>
    <w:rsid w:val="006B3E16"/>
    <w:rsid w:val="006C078E"/>
    <w:rsid w:val="006C11E5"/>
    <w:rsid w:val="006C230E"/>
    <w:rsid w:val="006C2468"/>
    <w:rsid w:val="006C2F8A"/>
    <w:rsid w:val="006C3FCE"/>
    <w:rsid w:val="006C5680"/>
    <w:rsid w:val="006C5F8E"/>
    <w:rsid w:val="006D13E5"/>
    <w:rsid w:val="006D3BA1"/>
    <w:rsid w:val="006D4E7C"/>
    <w:rsid w:val="006D6B85"/>
    <w:rsid w:val="006E07FB"/>
    <w:rsid w:val="006E1337"/>
    <w:rsid w:val="006E29DB"/>
    <w:rsid w:val="006E44AE"/>
    <w:rsid w:val="006E5601"/>
    <w:rsid w:val="006E61B3"/>
    <w:rsid w:val="006E7826"/>
    <w:rsid w:val="006F463B"/>
    <w:rsid w:val="006F4845"/>
    <w:rsid w:val="006F4B6C"/>
    <w:rsid w:val="00701867"/>
    <w:rsid w:val="00702075"/>
    <w:rsid w:val="007020B3"/>
    <w:rsid w:val="0070210F"/>
    <w:rsid w:val="007038C4"/>
    <w:rsid w:val="00704131"/>
    <w:rsid w:val="0070607D"/>
    <w:rsid w:val="0070639F"/>
    <w:rsid w:val="00706F41"/>
    <w:rsid w:val="007072D7"/>
    <w:rsid w:val="00710652"/>
    <w:rsid w:val="00711016"/>
    <w:rsid w:val="00712AD0"/>
    <w:rsid w:val="00712D94"/>
    <w:rsid w:val="007145CB"/>
    <w:rsid w:val="0071505A"/>
    <w:rsid w:val="00715C16"/>
    <w:rsid w:val="0071719D"/>
    <w:rsid w:val="00720CF5"/>
    <w:rsid w:val="0072249B"/>
    <w:rsid w:val="0072268E"/>
    <w:rsid w:val="0072292E"/>
    <w:rsid w:val="007248D9"/>
    <w:rsid w:val="00725919"/>
    <w:rsid w:val="007260F5"/>
    <w:rsid w:val="00726326"/>
    <w:rsid w:val="007273B2"/>
    <w:rsid w:val="00731950"/>
    <w:rsid w:val="007328E0"/>
    <w:rsid w:val="00732C43"/>
    <w:rsid w:val="00732CE6"/>
    <w:rsid w:val="00733C3B"/>
    <w:rsid w:val="00733D34"/>
    <w:rsid w:val="007352EE"/>
    <w:rsid w:val="007354E2"/>
    <w:rsid w:val="00736F10"/>
    <w:rsid w:val="00737428"/>
    <w:rsid w:val="00737D50"/>
    <w:rsid w:val="0074069D"/>
    <w:rsid w:val="00740BDC"/>
    <w:rsid w:val="007437B7"/>
    <w:rsid w:val="00744F45"/>
    <w:rsid w:val="00745FC2"/>
    <w:rsid w:val="0074727A"/>
    <w:rsid w:val="00747EEE"/>
    <w:rsid w:val="00750132"/>
    <w:rsid w:val="0075209A"/>
    <w:rsid w:val="00752D23"/>
    <w:rsid w:val="00753E6A"/>
    <w:rsid w:val="00754B67"/>
    <w:rsid w:val="007566E4"/>
    <w:rsid w:val="00756B1E"/>
    <w:rsid w:val="00760CA8"/>
    <w:rsid w:val="00762631"/>
    <w:rsid w:val="00762929"/>
    <w:rsid w:val="007631ED"/>
    <w:rsid w:val="00764049"/>
    <w:rsid w:val="00764CBC"/>
    <w:rsid w:val="00764CD2"/>
    <w:rsid w:val="00764F1B"/>
    <w:rsid w:val="0076584E"/>
    <w:rsid w:val="00765C13"/>
    <w:rsid w:val="00765D68"/>
    <w:rsid w:val="00766709"/>
    <w:rsid w:val="00770809"/>
    <w:rsid w:val="00772557"/>
    <w:rsid w:val="00773CA3"/>
    <w:rsid w:val="00775BB4"/>
    <w:rsid w:val="00776E1B"/>
    <w:rsid w:val="00780FBE"/>
    <w:rsid w:val="0078177E"/>
    <w:rsid w:val="0078184A"/>
    <w:rsid w:val="00782E51"/>
    <w:rsid w:val="007831B3"/>
    <w:rsid w:val="007874C4"/>
    <w:rsid w:val="00792E7B"/>
    <w:rsid w:val="007942A7"/>
    <w:rsid w:val="007947E9"/>
    <w:rsid w:val="00794CAC"/>
    <w:rsid w:val="007A1C17"/>
    <w:rsid w:val="007A211F"/>
    <w:rsid w:val="007A36E0"/>
    <w:rsid w:val="007A379A"/>
    <w:rsid w:val="007A3C43"/>
    <w:rsid w:val="007A68CD"/>
    <w:rsid w:val="007A7087"/>
    <w:rsid w:val="007B0257"/>
    <w:rsid w:val="007B056D"/>
    <w:rsid w:val="007B2389"/>
    <w:rsid w:val="007B27CB"/>
    <w:rsid w:val="007B30EE"/>
    <w:rsid w:val="007B6172"/>
    <w:rsid w:val="007B70C7"/>
    <w:rsid w:val="007B7B59"/>
    <w:rsid w:val="007B7C7D"/>
    <w:rsid w:val="007C037B"/>
    <w:rsid w:val="007C0523"/>
    <w:rsid w:val="007C430F"/>
    <w:rsid w:val="007C64D5"/>
    <w:rsid w:val="007C6F86"/>
    <w:rsid w:val="007D0BDF"/>
    <w:rsid w:val="007D1F9F"/>
    <w:rsid w:val="007D25D5"/>
    <w:rsid w:val="007D3DBE"/>
    <w:rsid w:val="007D3E81"/>
    <w:rsid w:val="007D41CC"/>
    <w:rsid w:val="007D4DC6"/>
    <w:rsid w:val="007D58E6"/>
    <w:rsid w:val="007D58FE"/>
    <w:rsid w:val="007D6561"/>
    <w:rsid w:val="007D6C58"/>
    <w:rsid w:val="007D6F08"/>
    <w:rsid w:val="007E05E4"/>
    <w:rsid w:val="007E1D2E"/>
    <w:rsid w:val="007E4B08"/>
    <w:rsid w:val="007E5948"/>
    <w:rsid w:val="007E6602"/>
    <w:rsid w:val="007E6C97"/>
    <w:rsid w:val="007E7F27"/>
    <w:rsid w:val="007F06A9"/>
    <w:rsid w:val="007F3002"/>
    <w:rsid w:val="007F5087"/>
    <w:rsid w:val="007F5D0A"/>
    <w:rsid w:val="008000D5"/>
    <w:rsid w:val="00802488"/>
    <w:rsid w:val="00802FF9"/>
    <w:rsid w:val="00805821"/>
    <w:rsid w:val="008064A5"/>
    <w:rsid w:val="00810A59"/>
    <w:rsid w:val="008111C0"/>
    <w:rsid w:val="00812AF9"/>
    <w:rsid w:val="00815B38"/>
    <w:rsid w:val="008166ED"/>
    <w:rsid w:val="00821F4E"/>
    <w:rsid w:val="0082522D"/>
    <w:rsid w:val="00825C5D"/>
    <w:rsid w:val="00825EEA"/>
    <w:rsid w:val="008269D0"/>
    <w:rsid w:val="008276A2"/>
    <w:rsid w:val="00832644"/>
    <w:rsid w:val="008340B5"/>
    <w:rsid w:val="00834DC2"/>
    <w:rsid w:val="00835D0B"/>
    <w:rsid w:val="008361EF"/>
    <w:rsid w:val="008369BD"/>
    <w:rsid w:val="00836A3F"/>
    <w:rsid w:val="00836D73"/>
    <w:rsid w:val="008370F1"/>
    <w:rsid w:val="0083795B"/>
    <w:rsid w:val="00840027"/>
    <w:rsid w:val="0084072F"/>
    <w:rsid w:val="008436E5"/>
    <w:rsid w:val="00843888"/>
    <w:rsid w:val="00843DBE"/>
    <w:rsid w:val="008449E0"/>
    <w:rsid w:val="00844CCD"/>
    <w:rsid w:val="00850F54"/>
    <w:rsid w:val="00850F60"/>
    <w:rsid w:val="008536E5"/>
    <w:rsid w:val="00853775"/>
    <w:rsid w:val="008542A6"/>
    <w:rsid w:val="008545F2"/>
    <w:rsid w:val="00854902"/>
    <w:rsid w:val="00854BA0"/>
    <w:rsid w:val="008550DF"/>
    <w:rsid w:val="0085632A"/>
    <w:rsid w:val="00856BFE"/>
    <w:rsid w:val="00857840"/>
    <w:rsid w:val="00860188"/>
    <w:rsid w:val="00861CC3"/>
    <w:rsid w:val="00861EB4"/>
    <w:rsid w:val="00862FC2"/>
    <w:rsid w:val="008631AD"/>
    <w:rsid w:val="00863383"/>
    <w:rsid w:val="008634AA"/>
    <w:rsid w:val="00865026"/>
    <w:rsid w:val="00865365"/>
    <w:rsid w:val="00866232"/>
    <w:rsid w:val="00866BC1"/>
    <w:rsid w:val="008674EE"/>
    <w:rsid w:val="00867AC1"/>
    <w:rsid w:val="00867D02"/>
    <w:rsid w:val="00871D48"/>
    <w:rsid w:val="00872B23"/>
    <w:rsid w:val="00874251"/>
    <w:rsid w:val="00874C4A"/>
    <w:rsid w:val="0087772C"/>
    <w:rsid w:val="0087790F"/>
    <w:rsid w:val="0088076E"/>
    <w:rsid w:val="00880C1C"/>
    <w:rsid w:val="00880EA2"/>
    <w:rsid w:val="00880F21"/>
    <w:rsid w:val="008827C6"/>
    <w:rsid w:val="00883B51"/>
    <w:rsid w:val="008851B3"/>
    <w:rsid w:val="00887E3D"/>
    <w:rsid w:val="00890324"/>
    <w:rsid w:val="008907EE"/>
    <w:rsid w:val="00891C7E"/>
    <w:rsid w:val="0089379E"/>
    <w:rsid w:val="008967D3"/>
    <w:rsid w:val="00897C9C"/>
    <w:rsid w:val="00897F1B"/>
    <w:rsid w:val="008A16B8"/>
    <w:rsid w:val="008A194F"/>
    <w:rsid w:val="008A20BE"/>
    <w:rsid w:val="008A2C58"/>
    <w:rsid w:val="008A349E"/>
    <w:rsid w:val="008A538A"/>
    <w:rsid w:val="008A577D"/>
    <w:rsid w:val="008A6A7C"/>
    <w:rsid w:val="008B05F8"/>
    <w:rsid w:val="008B5438"/>
    <w:rsid w:val="008B729A"/>
    <w:rsid w:val="008C1734"/>
    <w:rsid w:val="008C32D4"/>
    <w:rsid w:val="008C3726"/>
    <w:rsid w:val="008C52F0"/>
    <w:rsid w:val="008C5947"/>
    <w:rsid w:val="008C5A40"/>
    <w:rsid w:val="008C5E14"/>
    <w:rsid w:val="008C6259"/>
    <w:rsid w:val="008C760B"/>
    <w:rsid w:val="008D0296"/>
    <w:rsid w:val="008D032E"/>
    <w:rsid w:val="008D0413"/>
    <w:rsid w:val="008D0B2F"/>
    <w:rsid w:val="008D0E13"/>
    <w:rsid w:val="008D19D4"/>
    <w:rsid w:val="008D1E6D"/>
    <w:rsid w:val="008D279D"/>
    <w:rsid w:val="008D28AD"/>
    <w:rsid w:val="008D5DD9"/>
    <w:rsid w:val="008D6C3A"/>
    <w:rsid w:val="008D7B46"/>
    <w:rsid w:val="008E0FB8"/>
    <w:rsid w:val="008E2423"/>
    <w:rsid w:val="008E26AD"/>
    <w:rsid w:val="008E26D5"/>
    <w:rsid w:val="008E4F9B"/>
    <w:rsid w:val="008E6AC3"/>
    <w:rsid w:val="008F0972"/>
    <w:rsid w:val="008F2DAB"/>
    <w:rsid w:val="008F2E15"/>
    <w:rsid w:val="008F2E46"/>
    <w:rsid w:val="008F45FB"/>
    <w:rsid w:val="008F5FF6"/>
    <w:rsid w:val="00901F1D"/>
    <w:rsid w:val="00905C56"/>
    <w:rsid w:val="00906C46"/>
    <w:rsid w:val="00907D5A"/>
    <w:rsid w:val="0091114D"/>
    <w:rsid w:val="00912595"/>
    <w:rsid w:val="00912E70"/>
    <w:rsid w:val="009135EA"/>
    <w:rsid w:val="009172A3"/>
    <w:rsid w:val="00921B41"/>
    <w:rsid w:val="00922D1D"/>
    <w:rsid w:val="00922D43"/>
    <w:rsid w:val="00926C6E"/>
    <w:rsid w:val="00927255"/>
    <w:rsid w:val="009273DB"/>
    <w:rsid w:val="00927870"/>
    <w:rsid w:val="00931093"/>
    <w:rsid w:val="00933A42"/>
    <w:rsid w:val="009340F2"/>
    <w:rsid w:val="009372B9"/>
    <w:rsid w:val="00940BF0"/>
    <w:rsid w:val="00941D8A"/>
    <w:rsid w:val="00942054"/>
    <w:rsid w:val="00944DAA"/>
    <w:rsid w:val="009462B6"/>
    <w:rsid w:val="00946FA4"/>
    <w:rsid w:val="00955400"/>
    <w:rsid w:val="00956BB1"/>
    <w:rsid w:val="00960617"/>
    <w:rsid w:val="0096076B"/>
    <w:rsid w:val="0096226E"/>
    <w:rsid w:val="0096275C"/>
    <w:rsid w:val="0096285B"/>
    <w:rsid w:val="00964A8B"/>
    <w:rsid w:val="00965331"/>
    <w:rsid w:val="00965338"/>
    <w:rsid w:val="00965483"/>
    <w:rsid w:val="009666B0"/>
    <w:rsid w:val="009759B0"/>
    <w:rsid w:val="00975F30"/>
    <w:rsid w:val="0098003F"/>
    <w:rsid w:val="009808AA"/>
    <w:rsid w:val="00980CCB"/>
    <w:rsid w:val="00981177"/>
    <w:rsid w:val="00981B55"/>
    <w:rsid w:val="00983F3F"/>
    <w:rsid w:val="0098427E"/>
    <w:rsid w:val="00985228"/>
    <w:rsid w:val="009861E6"/>
    <w:rsid w:val="00986FB1"/>
    <w:rsid w:val="0098718A"/>
    <w:rsid w:val="0098771F"/>
    <w:rsid w:val="00991296"/>
    <w:rsid w:val="009926A4"/>
    <w:rsid w:val="00993AE0"/>
    <w:rsid w:val="00993F23"/>
    <w:rsid w:val="0099425B"/>
    <w:rsid w:val="009960D3"/>
    <w:rsid w:val="009A07EF"/>
    <w:rsid w:val="009A0F69"/>
    <w:rsid w:val="009A1090"/>
    <w:rsid w:val="009A393E"/>
    <w:rsid w:val="009B0D12"/>
    <w:rsid w:val="009B1032"/>
    <w:rsid w:val="009B1D0D"/>
    <w:rsid w:val="009B1F30"/>
    <w:rsid w:val="009B440A"/>
    <w:rsid w:val="009B4884"/>
    <w:rsid w:val="009B653F"/>
    <w:rsid w:val="009C02A0"/>
    <w:rsid w:val="009C0A78"/>
    <w:rsid w:val="009C0B40"/>
    <w:rsid w:val="009C140E"/>
    <w:rsid w:val="009C1BD1"/>
    <w:rsid w:val="009C1E9B"/>
    <w:rsid w:val="009C22F4"/>
    <w:rsid w:val="009C48A3"/>
    <w:rsid w:val="009C4990"/>
    <w:rsid w:val="009C5544"/>
    <w:rsid w:val="009C5CE6"/>
    <w:rsid w:val="009C5D61"/>
    <w:rsid w:val="009C6825"/>
    <w:rsid w:val="009C72C8"/>
    <w:rsid w:val="009D0F34"/>
    <w:rsid w:val="009D1A60"/>
    <w:rsid w:val="009D4100"/>
    <w:rsid w:val="009D4C1B"/>
    <w:rsid w:val="009D5406"/>
    <w:rsid w:val="009D63EC"/>
    <w:rsid w:val="009D6933"/>
    <w:rsid w:val="009D7889"/>
    <w:rsid w:val="009E0ADC"/>
    <w:rsid w:val="009E1DF8"/>
    <w:rsid w:val="009E2F2E"/>
    <w:rsid w:val="009E3E7D"/>
    <w:rsid w:val="009E4189"/>
    <w:rsid w:val="009E5093"/>
    <w:rsid w:val="009E512D"/>
    <w:rsid w:val="009E5261"/>
    <w:rsid w:val="009E5FB1"/>
    <w:rsid w:val="009F1D55"/>
    <w:rsid w:val="009F213D"/>
    <w:rsid w:val="009F27B4"/>
    <w:rsid w:val="009F295D"/>
    <w:rsid w:val="009F417C"/>
    <w:rsid w:val="009F5C6A"/>
    <w:rsid w:val="009F5E32"/>
    <w:rsid w:val="009F65EA"/>
    <w:rsid w:val="009F6D7D"/>
    <w:rsid w:val="00A01F35"/>
    <w:rsid w:val="00A043BD"/>
    <w:rsid w:val="00A04998"/>
    <w:rsid w:val="00A04CFB"/>
    <w:rsid w:val="00A052A1"/>
    <w:rsid w:val="00A0597E"/>
    <w:rsid w:val="00A07F7A"/>
    <w:rsid w:val="00A128EA"/>
    <w:rsid w:val="00A12A7F"/>
    <w:rsid w:val="00A13BC2"/>
    <w:rsid w:val="00A15500"/>
    <w:rsid w:val="00A1610F"/>
    <w:rsid w:val="00A20B81"/>
    <w:rsid w:val="00A225AD"/>
    <w:rsid w:val="00A225C7"/>
    <w:rsid w:val="00A256D4"/>
    <w:rsid w:val="00A26555"/>
    <w:rsid w:val="00A269BE"/>
    <w:rsid w:val="00A30A8B"/>
    <w:rsid w:val="00A310F7"/>
    <w:rsid w:val="00A33B3B"/>
    <w:rsid w:val="00A34F9D"/>
    <w:rsid w:val="00A3594A"/>
    <w:rsid w:val="00A36161"/>
    <w:rsid w:val="00A3789A"/>
    <w:rsid w:val="00A424EA"/>
    <w:rsid w:val="00A425BE"/>
    <w:rsid w:val="00A42613"/>
    <w:rsid w:val="00A431AD"/>
    <w:rsid w:val="00A43207"/>
    <w:rsid w:val="00A45861"/>
    <w:rsid w:val="00A46318"/>
    <w:rsid w:val="00A51C9D"/>
    <w:rsid w:val="00A526E8"/>
    <w:rsid w:val="00A5428B"/>
    <w:rsid w:val="00A5606E"/>
    <w:rsid w:val="00A560BF"/>
    <w:rsid w:val="00A56B3F"/>
    <w:rsid w:val="00A56B7C"/>
    <w:rsid w:val="00A6005A"/>
    <w:rsid w:val="00A60628"/>
    <w:rsid w:val="00A61CB3"/>
    <w:rsid w:val="00A62860"/>
    <w:rsid w:val="00A62ABD"/>
    <w:rsid w:val="00A64C99"/>
    <w:rsid w:val="00A735EC"/>
    <w:rsid w:val="00A74177"/>
    <w:rsid w:val="00A753BE"/>
    <w:rsid w:val="00A80C20"/>
    <w:rsid w:val="00A81493"/>
    <w:rsid w:val="00A81DD5"/>
    <w:rsid w:val="00A823C9"/>
    <w:rsid w:val="00A83523"/>
    <w:rsid w:val="00A84CAB"/>
    <w:rsid w:val="00A85336"/>
    <w:rsid w:val="00A869FB"/>
    <w:rsid w:val="00A873BD"/>
    <w:rsid w:val="00A87E10"/>
    <w:rsid w:val="00A90E70"/>
    <w:rsid w:val="00A9120F"/>
    <w:rsid w:val="00A956DE"/>
    <w:rsid w:val="00A95927"/>
    <w:rsid w:val="00A96063"/>
    <w:rsid w:val="00A960AB"/>
    <w:rsid w:val="00A96741"/>
    <w:rsid w:val="00A96B52"/>
    <w:rsid w:val="00A9759E"/>
    <w:rsid w:val="00A977DB"/>
    <w:rsid w:val="00AA16AD"/>
    <w:rsid w:val="00AA181D"/>
    <w:rsid w:val="00AA21F4"/>
    <w:rsid w:val="00AA4C1A"/>
    <w:rsid w:val="00AA5716"/>
    <w:rsid w:val="00AA6AEB"/>
    <w:rsid w:val="00AA781A"/>
    <w:rsid w:val="00AA7B84"/>
    <w:rsid w:val="00AB0213"/>
    <w:rsid w:val="00AB04D3"/>
    <w:rsid w:val="00AB0D40"/>
    <w:rsid w:val="00AB1306"/>
    <w:rsid w:val="00AB421F"/>
    <w:rsid w:val="00AB7EF4"/>
    <w:rsid w:val="00AC0CDA"/>
    <w:rsid w:val="00AC1329"/>
    <w:rsid w:val="00AC194D"/>
    <w:rsid w:val="00AC23A8"/>
    <w:rsid w:val="00AC3D2B"/>
    <w:rsid w:val="00AC402C"/>
    <w:rsid w:val="00AC4463"/>
    <w:rsid w:val="00AC478B"/>
    <w:rsid w:val="00AC5330"/>
    <w:rsid w:val="00AC5D4E"/>
    <w:rsid w:val="00AC64F2"/>
    <w:rsid w:val="00AC7A77"/>
    <w:rsid w:val="00AD068D"/>
    <w:rsid w:val="00AD2C35"/>
    <w:rsid w:val="00AD5C59"/>
    <w:rsid w:val="00AD5F43"/>
    <w:rsid w:val="00AD6170"/>
    <w:rsid w:val="00AE2AA0"/>
    <w:rsid w:val="00AE2CEA"/>
    <w:rsid w:val="00AE3045"/>
    <w:rsid w:val="00AE3C13"/>
    <w:rsid w:val="00AE509A"/>
    <w:rsid w:val="00AE6A20"/>
    <w:rsid w:val="00AF0999"/>
    <w:rsid w:val="00AF0D02"/>
    <w:rsid w:val="00AF12C4"/>
    <w:rsid w:val="00AF21A4"/>
    <w:rsid w:val="00AF3E13"/>
    <w:rsid w:val="00AF4493"/>
    <w:rsid w:val="00AF4FDD"/>
    <w:rsid w:val="00AF7EDF"/>
    <w:rsid w:val="00B01670"/>
    <w:rsid w:val="00B02D10"/>
    <w:rsid w:val="00B02ED1"/>
    <w:rsid w:val="00B05254"/>
    <w:rsid w:val="00B05A20"/>
    <w:rsid w:val="00B05EC1"/>
    <w:rsid w:val="00B06717"/>
    <w:rsid w:val="00B0769C"/>
    <w:rsid w:val="00B1061E"/>
    <w:rsid w:val="00B10C22"/>
    <w:rsid w:val="00B10EED"/>
    <w:rsid w:val="00B1417F"/>
    <w:rsid w:val="00B145D0"/>
    <w:rsid w:val="00B154A1"/>
    <w:rsid w:val="00B163DB"/>
    <w:rsid w:val="00B17BA1"/>
    <w:rsid w:val="00B20655"/>
    <w:rsid w:val="00B21410"/>
    <w:rsid w:val="00B227ED"/>
    <w:rsid w:val="00B23C22"/>
    <w:rsid w:val="00B25D8D"/>
    <w:rsid w:val="00B265F0"/>
    <w:rsid w:val="00B30587"/>
    <w:rsid w:val="00B34298"/>
    <w:rsid w:val="00B34F5D"/>
    <w:rsid w:val="00B35CE9"/>
    <w:rsid w:val="00B40F5F"/>
    <w:rsid w:val="00B414B2"/>
    <w:rsid w:val="00B41764"/>
    <w:rsid w:val="00B418C8"/>
    <w:rsid w:val="00B4410E"/>
    <w:rsid w:val="00B4527D"/>
    <w:rsid w:val="00B45851"/>
    <w:rsid w:val="00B46633"/>
    <w:rsid w:val="00B47035"/>
    <w:rsid w:val="00B47388"/>
    <w:rsid w:val="00B474E2"/>
    <w:rsid w:val="00B51D47"/>
    <w:rsid w:val="00B522AE"/>
    <w:rsid w:val="00B529F0"/>
    <w:rsid w:val="00B52DB0"/>
    <w:rsid w:val="00B53971"/>
    <w:rsid w:val="00B55F1A"/>
    <w:rsid w:val="00B60EDD"/>
    <w:rsid w:val="00B63160"/>
    <w:rsid w:val="00B64173"/>
    <w:rsid w:val="00B64A01"/>
    <w:rsid w:val="00B64CF8"/>
    <w:rsid w:val="00B65D8F"/>
    <w:rsid w:val="00B65E56"/>
    <w:rsid w:val="00B66C37"/>
    <w:rsid w:val="00B679A9"/>
    <w:rsid w:val="00B67D94"/>
    <w:rsid w:val="00B71FC0"/>
    <w:rsid w:val="00B72013"/>
    <w:rsid w:val="00B7428E"/>
    <w:rsid w:val="00B74871"/>
    <w:rsid w:val="00B75CF4"/>
    <w:rsid w:val="00B75D3A"/>
    <w:rsid w:val="00B803CA"/>
    <w:rsid w:val="00B80CC5"/>
    <w:rsid w:val="00B82411"/>
    <w:rsid w:val="00B8716D"/>
    <w:rsid w:val="00B87A29"/>
    <w:rsid w:val="00B87F76"/>
    <w:rsid w:val="00B906F3"/>
    <w:rsid w:val="00B920A9"/>
    <w:rsid w:val="00B92479"/>
    <w:rsid w:val="00B93932"/>
    <w:rsid w:val="00B94825"/>
    <w:rsid w:val="00B94B5C"/>
    <w:rsid w:val="00B96776"/>
    <w:rsid w:val="00BA02A6"/>
    <w:rsid w:val="00BA12AB"/>
    <w:rsid w:val="00BA2335"/>
    <w:rsid w:val="00BA2B19"/>
    <w:rsid w:val="00BA516E"/>
    <w:rsid w:val="00BA664A"/>
    <w:rsid w:val="00BA715A"/>
    <w:rsid w:val="00BA7456"/>
    <w:rsid w:val="00BB001C"/>
    <w:rsid w:val="00BB141F"/>
    <w:rsid w:val="00BB2B8E"/>
    <w:rsid w:val="00BB3051"/>
    <w:rsid w:val="00BB45F4"/>
    <w:rsid w:val="00BB5C92"/>
    <w:rsid w:val="00BB7EE1"/>
    <w:rsid w:val="00BC0F48"/>
    <w:rsid w:val="00BC17F9"/>
    <w:rsid w:val="00BC21CA"/>
    <w:rsid w:val="00BC5030"/>
    <w:rsid w:val="00BC59A0"/>
    <w:rsid w:val="00BC79B3"/>
    <w:rsid w:val="00BC7B47"/>
    <w:rsid w:val="00BD01F7"/>
    <w:rsid w:val="00BD26B6"/>
    <w:rsid w:val="00BD270B"/>
    <w:rsid w:val="00BD4960"/>
    <w:rsid w:val="00BD4CDA"/>
    <w:rsid w:val="00BE2D01"/>
    <w:rsid w:val="00BE2F63"/>
    <w:rsid w:val="00BE4117"/>
    <w:rsid w:val="00BE4D0C"/>
    <w:rsid w:val="00BE7DBD"/>
    <w:rsid w:val="00BF1BA2"/>
    <w:rsid w:val="00BF3299"/>
    <w:rsid w:val="00BF3DE4"/>
    <w:rsid w:val="00BF447C"/>
    <w:rsid w:val="00BF5590"/>
    <w:rsid w:val="00BF5D2A"/>
    <w:rsid w:val="00BF64A8"/>
    <w:rsid w:val="00BF6E18"/>
    <w:rsid w:val="00BF7B2A"/>
    <w:rsid w:val="00C00E73"/>
    <w:rsid w:val="00C0573D"/>
    <w:rsid w:val="00C05AA1"/>
    <w:rsid w:val="00C078C4"/>
    <w:rsid w:val="00C07962"/>
    <w:rsid w:val="00C1272F"/>
    <w:rsid w:val="00C13104"/>
    <w:rsid w:val="00C13CBF"/>
    <w:rsid w:val="00C1618C"/>
    <w:rsid w:val="00C16A60"/>
    <w:rsid w:val="00C16C18"/>
    <w:rsid w:val="00C17060"/>
    <w:rsid w:val="00C170D7"/>
    <w:rsid w:val="00C17834"/>
    <w:rsid w:val="00C21AF1"/>
    <w:rsid w:val="00C23843"/>
    <w:rsid w:val="00C24977"/>
    <w:rsid w:val="00C24BE6"/>
    <w:rsid w:val="00C30167"/>
    <w:rsid w:val="00C30B2D"/>
    <w:rsid w:val="00C33146"/>
    <w:rsid w:val="00C33DFE"/>
    <w:rsid w:val="00C34E13"/>
    <w:rsid w:val="00C373EC"/>
    <w:rsid w:val="00C400DC"/>
    <w:rsid w:val="00C450D4"/>
    <w:rsid w:val="00C46B4A"/>
    <w:rsid w:val="00C50733"/>
    <w:rsid w:val="00C511F1"/>
    <w:rsid w:val="00C513EC"/>
    <w:rsid w:val="00C51566"/>
    <w:rsid w:val="00C5173F"/>
    <w:rsid w:val="00C52F97"/>
    <w:rsid w:val="00C53684"/>
    <w:rsid w:val="00C53871"/>
    <w:rsid w:val="00C54548"/>
    <w:rsid w:val="00C56329"/>
    <w:rsid w:val="00C573F6"/>
    <w:rsid w:val="00C6009B"/>
    <w:rsid w:val="00C609A2"/>
    <w:rsid w:val="00C616F0"/>
    <w:rsid w:val="00C620F5"/>
    <w:rsid w:val="00C63BCE"/>
    <w:rsid w:val="00C65CED"/>
    <w:rsid w:val="00C675C5"/>
    <w:rsid w:val="00C71CF7"/>
    <w:rsid w:val="00C7382E"/>
    <w:rsid w:val="00C752C1"/>
    <w:rsid w:val="00C76128"/>
    <w:rsid w:val="00C7789D"/>
    <w:rsid w:val="00C80A17"/>
    <w:rsid w:val="00C80B04"/>
    <w:rsid w:val="00C826C2"/>
    <w:rsid w:val="00C858B3"/>
    <w:rsid w:val="00C85C80"/>
    <w:rsid w:val="00C867B8"/>
    <w:rsid w:val="00C86E94"/>
    <w:rsid w:val="00C90196"/>
    <w:rsid w:val="00C9097A"/>
    <w:rsid w:val="00C90B00"/>
    <w:rsid w:val="00C96000"/>
    <w:rsid w:val="00C96A36"/>
    <w:rsid w:val="00C96B2E"/>
    <w:rsid w:val="00C970E6"/>
    <w:rsid w:val="00C9712F"/>
    <w:rsid w:val="00C9773E"/>
    <w:rsid w:val="00CA24E8"/>
    <w:rsid w:val="00CA25CA"/>
    <w:rsid w:val="00CA499C"/>
    <w:rsid w:val="00CA6213"/>
    <w:rsid w:val="00CB06C1"/>
    <w:rsid w:val="00CB11FF"/>
    <w:rsid w:val="00CB1955"/>
    <w:rsid w:val="00CB5465"/>
    <w:rsid w:val="00CB6454"/>
    <w:rsid w:val="00CB64D9"/>
    <w:rsid w:val="00CB76FB"/>
    <w:rsid w:val="00CB799E"/>
    <w:rsid w:val="00CC1B1C"/>
    <w:rsid w:val="00CC2438"/>
    <w:rsid w:val="00CC28A5"/>
    <w:rsid w:val="00CC529C"/>
    <w:rsid w:val="00CC6288"/>
    <w:rsid w:val="00CC792C"/>
    <w:rsid w:val="00CD0219"/>
    <w:rsid w:val="00CD0494"/>
    <w:rsid w:val="00CD165B"/>
    <w:rsid w:val="00CD176C"/>
    <w:rsid w:val="00CD25A6"/>
    <w:rsid w:val="00CD2F2B"/>
    <w:rsid w:val="00CD34F8"/>
    <w:rsid w:val="00CD46AB"/>
    <w:rsid w:val="00CD5009"/>
    <w:rsid w:val="00CD725A"/>
    <w:rsid w:val="00CD753C"/>
    <w:rsid w:val="00CE028A"/>
    <w:rsid w:val="00CE0741"/>
    <w:rsid w:val="00CE165E"/>
    <w:rsid w:val="00CE2B8C"/>
    <w:rsid w:val="00CE3182"/>
    <w:rsid w:val="00CE4E5B"/>
    <w:rsid w:val="00CE5BD4"/>
    <w:rsid w:val="00CE5C38"/>
    <w:rsid w:val="00CE5DAF"/>
    <w:rsid w:val="00CE678D"/>
    <w:rsid w:val="00CE6E5A"/>
    <w:rsid w:val="00CF01CC"/>
    <w:rsid w:val="00CF1139"/>
    <w:rsid w:val="00CF2FF0"/>
    <w:rsid w:val="00CF309B"/>
    <w:rsid w:val="00CF30D8"/>
    <w:rsid w:val="00CF3159"/>
    <w:rsid w:val="00CF3BFD"/>
    <w:rsid w:val="00CF43CE"/>
    <w:rsid w:val="00CF5A5C"/>
    <w:rsid w:val="00CF61E8"/>
    <w:rsid w:val="00CF651D"/>
    <w:rsid w:val="00CF7D61"/>
    <w:rsid w:val="00D00701"/>
    <w:rsid w:val="00D00A24"/>
    <w:rsid w:val="00D014A0"/>
    <w:rsid w:val="00D046A6"/>
    <w:rsid w:val="00D046CF"/>
    <w:rsid w:val="00D05F99"/>
    <w:rsid w:val="00D06621"/>
    <w:rsid w:val="00D078F7"/>
    <w:rsid w:val="00D07FD3"/>
    <w:rsid w:val="00D110C6"/>
    <w:rsid w:val="00D11B4A"/>
    <w:rsid w:val="00D1385F"/>
    <w:rsid w:val="00D14741"/>
    <w:rsid w:val="00D151FE"/>
    <w:rsid w:val="00D15A58"/>
    <w:rsid w:val="00D20A0A"/>
    <w:rsid w:val="00D23FC8"/>
    <w:rsid w:val="00D244FF"/>
    <w:rsid w:val="00D2524A"/>
    <w:rsid w:val="00D2690A"/>
    <w:rsid w:val="00D31C35"/>
    <w:rsid w:val="00D328FE"/>
    <w:rsid w:val="00D32D11"/>
    <w:rsid w:val="00D32DE5"/>
    <w:rsid w:val="00D35394"/>
    <w:rsid w:val="00D3750C"/>
    <w:rsid w:val="00D4006C"/>
    <w:rsid w:val="00D4285A"/>
    <w:rsid w:val="00D437BC"/>
    <w:rsid w:val="00D44187"/>
    <w:rsid w:val="00D44AC8"/>
    <w:rsid w:val="00D460F3"/>
    <w:rsid w:val="00D4705D"/>
    <w:rsid w:val="00D47F5B"/>
    <w:rsid w:val="00D52EC4"/>
    <w:rsid w:val="00D54C29"/>
    <w:rsid w:val="00D553EE"/>
    <w:rsid w:val="00D5634C"/>
    <w:rsid w:val="00D57662"/>
    <w:rsid w:val="00D577E8"/>
    <w:rsid w:val="00D60950"/>
    <w:rsid w:val="00D64EB4"/>
    <w:rsid w:val="00D65642"/>
    <w:rsid w:val="00D661F2"/>
    <w:rsid w:val="00D66F5A"/>
    <w:rsid w:val="00D677B3"/>
    <w:rsid w:val="00D72965"/>
    <w:rsid w:val="00D76410"/>
    <w:rsid w:val="00D765CD"/>
    <w:rsid w:val="00D77735"/>
    <w:rsid w:val="00D778DC"/>
    <w:rsid w:val="00D80851"/>
    <w:rsid w:val="00D81AC2"/>
    <w:rsid w:val="00D81ADA"/>
    <w:rsid w:val="00D82D94"/>
    <w:rsid w:val="00D832FC"/>
    <w:rsid w:val="00D83BB6"/>
    <w:rsid w:val="00D83F79"/>
    <w:rsid w:val="00D855DD"/>
    <w:rsid w:val="00D8582D"/>
    <w:rsid w:val="00D870ED"/>
    <w:rsid w:val="00D913D9"/>
    <w:rsid w:val="00D943BB"/>
    <w:rsid w:val="00D94AC7"/>
    <w:rsid w:val="00D96437"/>
    <w:rsid w:val="00D97697"/>
    <w:rsid w:val="00D97905"/>
    <w:rsid w:val="00DA120C"/>
    <w:rsid w:val="00DA19D3"/>
    <w:rsid w:val="00DA261B"/>
    <w:rsid w:val="00DA4EEF"/>
    <w:rsid w:val="00DA5072"/>
    <w:rsid w:val="00DA7952"/>
    <w:rsid w:val="00DB1D9D"/>
    <w:rsid w:val="00DB3E36"/>
    <w:rsid w:val="00DB41E8"/>
    <w:rsid w:val="00DB444F"/>
    <w:rsid w:val="00DB62F4"/>
    <w:rsid w:val="00DB7061"/>
    <w:rsid w:val="00DB79D2"/>
    <w:rsid w:val="00DC0A82"/>
    <w:rsid w:val="00DC3686"/>
    <w:rsid w:val="00DC43E0"/>
    <w:rsid w:val="00DC4415"/>
    <w:rsid w:val="00DC5CE6"/>
    <w:rsid w:val="00DC5E32"/>
    <w:rsid w:val="00DC66BC"/>
    <w:rsid w:val="00DC7894"/>
    <w:rsid w:val="00DD3DF6"/>
    <w:rsid w:val="00DD4400"/>
    <w:rsid w:val="00DD7A16"/>
    <w:rsid w:val="00DE2445"/>
    <w:rsid w:val="00DE3692"/>
    <w:rsid w:val="00DE4141"/>
    <w:rsid w:val="00DE6DF3"/>
    <w:rsid w:val="00DF12AE"/>
    <w:rsid w:val="00DF15D5"/>
    <w:rsid w:val="00DF3970"/>
    <w:rsid w:val="00DF4495"/>
    <w:rsid w:val="00DF671A"/>
    <w:rsid w:val="00DF6A62"/>
    <w:rsid w:val="00E00543"/>
    <w:rsid w:val="00E01B25"/>
    <w:rsid w:val="00E0228D"/>
    <w:rsid w:val="00E04507"/>
    <w:rsid w:val="00E0613E"/>
    <w:rsid w:val="00E0645D"/>
    <w:rsid w:val="00E07A83"/>
    <w:rsid w:val="00E11EB4"/>
    <w:rsid w:val="00E15013"/>
    <w:rsid w:val="00E15889"/>
    <w:rsid w:val="00E17206"/>
    <w:rsid w:val="00E176AF"/>
    <w:rsid w:val="00E20669"/>
    <w:rsid w:val="00E2235D"/>
    <w:rsid w:val="00E22C87"/>
    <w:rsid w:val="00E23AF6"/>
    <w:rsid w:val="00E24425"/>
    <w:rsid w:val="00E3183D"/>
    <w:rsid w:val="00E32CAF"/>
    <w:rsid w:val="00E32CCB"/>
    <w:rsid w:val="00E33D11"/>
    <w:rsid w:val="00E407FC"/>
    <w:rsid w:val="00E42F81"/>
    <w:rsid w:val="00E43E81"/>
    <w:rsid w:val="00E4420B"/>
    <w:rsid w:val="00E449F2"/>
    <w:rsid w:val="00E450AE"/>
    <w:rsid w:val="00E4510B"/>
    <w:rsid w:val="00E45902"/>
    <w:rsid w:val="00E46385"/>
    <w:rsid w:val="00E46A69"/>
    <w:rsid w:val="00E508BC"/>
    <w:rsid w:val="00E53110"/>
    <w:rsid w:val="00E53629"/>
    <w:rsid w:val="00E53AE9"/>
    <w:rsid w:val="00E54996"/>
    <w:rsid w:val="00E56660"/>
    <w:rsid w:val="00E569E2"/>
    <w:rsid w:val="00E56AA2"/>
    <w:rsid w:val="00E575CB"/>
    <w:rsid w:val="00E60412"/>
    <w:rsid w:val="00E614AD"/>
    <w:rsid w:val="00E62323"/>
    <w:rsid w:val="00E623A4"/>
    <w:rsid w:val="00E62AA9"/>
    <w:rsid w:val="00E62B72"/>
    <w:rsid w:val="00E633B0"/>
    <w:rsid w:val="00E6448D"/>
    <w:rsid w:val="00E648E4"/>
    <w:rsid w:val="00E65295"/>
    <w:rsid w:val="00E67891"/>
    <w:rsid w:val="00E70C86"/>
    <w:rsid w:val="00E7405A"/>
    <w:rsid w:val="00E76864"/>
    <w:rsid w:val="00E775E7"/>
    <w:rsid w:val="00E7781E"/>
    <w:rsid w:val="00E82AEF"/>
    <w:rsid w:val="00E82FE3"/>
    <w:rsid w:val="00E843B4"/>
    <w:rsid w:val="00E86435"/>
    <w:rsid w:val="00E86580"/>
    <w:rsid w:val="00E86788"/>
    <w:rsid w:val="00E86C64"/>
    <w:rsid w:val="00E92520"/>
    <w:rsid w:val="00E9324D"/>
    <w:rsid w:val="00E96D1E"/>
    <w:rsid w:val="00E97D52"/>
    <w:rsid w:val="00E97EAD"/>
    <w:rsid w:val="00E97EEF"/>
    <w:rsid w:val="00EA0010"/>
    <w:rsid w:val="00EA009F"/>
    <w:rsid w:val="00EA1EBF"/>
    <w:rsid w:val="00EA1FE4"/>
    <w:rsid w:val="00EA277C"/>
    <w:rsid w:val="00EA326A"/>
    <w:rsid w:val="00EA32B7"/>
    <w:rsid w:val="00EA3D43"/>
    <w:rsid w:val="00EA4935"/>
    <w:rsid w:val="00EB0739"/>
    <w:rsid w:val="00EB0B1D"/>
    <w:rsid w:val="00EB0E0E"/>
    <w:rsid w:val="00EB0E7B"/>
    <w:rsid w:val="00EB211E"/>
    <w:rsid w:val="00EB28C1"/>
    <w:rsid w:val="00EB319F"/>
    <w:rsid w:val="00EB33CE"/>
    <w:rsid w:val="00EB367C"/>
    <w:rsid w:val="00EB3E0D"/>
    <w:rsid w:val="00EB4984"/>
    <w:rsid w:val="00EB6614"/>
    <w:rsid w:val="00EB6BCC"/>
    <w:rsid w:val="00EC0786"/>
    <w:rsid w:val="00EC0FFF"/>
    <w:rsid w:val="00EC2806"/>
    <w:rsid w:val="00EC369F"/>
    <w:rsid w:val="00EC4A60"/>
    <w:rsid w:val="00EC62BA"/>
    <w:rsid w:val="00EC73D8"/>
    <w:rsid w:val="00EC7FAC"/>
    <w:rsid w:val="00ED011A"/>
    <w:rsid w:val="00ED0BA8"/>
    <w:rsid w:val="00ED2205"/>
    <w:rsid w:val="00ED477A"/>
    <w:rsid w:val="00ED5834"/>
    <w:rsid w:val="00ED58AA"/>
    <w:rsid w:val="00ED6961"/>
    <w:rsid w:val="00ED6BB6"/>
    <w:rsid w:val="00ED74DD"/>
    <w:rsid w:val="00EE00E5"/>
    <w:rsid w:val="00EE0DB9"/>
    <w:rsid w:val="00EE1154"/>
    <w:rsid w:val="00EE2214"/>
    <w:rsid w:val="00EE3CF4"/>
    <w:rsid w:val="00EE5FDD"/>
    <w:rsid w:val="00EE62DD"/>
    <w:rsid w:val="00EE6659"/>
    <w:rsid w:val="00EE720B"/>
    <w:rsid w:val="00EF0B26"/>
    <w:rsid w:val="00EF11C6"/>
    <w:rsid w:val="00EF1EF8"/>
    <w:rsid w:val="00EF394C"/>
    <w:rsid w:val="00EF524A"/>
    <w:rsid w:val="00EF6473"/>
    <w:rsid w:val="00F0002F"/>
    <w:rsid w:val="00F006F5"/>
    <w:rsid w:val="00F00F9A"/>
    <w:rsid w:val="00F01B8A"/>
    <w:rsid w:val="00F03833"/>
    <w:rsid w:val="00F103B9"/>
    <w:rsid w:val="00F10CCE"/>
    <w:rsid w:val="00F122CD"/>
    <w:rsid w:val="00F125A2"/>
    <w:rsid w:val="00F146EB"/>
    <w:rsid w:val="00F153CA"/>
    <w:rsid w:val="00F215A6"/>
    <w:rsid w:val="00F216C1"/>
    <w:rsid w:val="00F248CB"/>
    <w:rsid w:val="00F25253"/>
    <w:rsid w:val="00F25C7A"/>
    <w:rsid w:val="00F27029"/>
    <w:rsid w:val="00F2712D"/>
    <w:rsid w:val="00F279E5"/>
    <w:rsid w:val="00F30D44"/>
    <w:rsid w:val="00F32ADF"/>
    <w:rsid w:val="00F3330C"/>
    <w:rsid w:val="00F34AEA"/>
    <w:rsid w:val="00F50B81"/>
    <w:rsid w:val="00F53078"/>
    <w:rsid w:val="00F55870"/>
    <w:rsid w:val="00F56532"/>
    <w:rsid w:val="00F56D59"/>
    <w:rsid w:val="00F57312"/>
    <w:rsid w:val="00F5745D"/>
    <w:rsid w:val="00F578C0"/>
    <w:rsid w:val="00F60225"/>
    <w:rsid w:val="00F60611"/>
    <w:rsid w:val="00F616B0"/>
    <w:rsid w:val="00F63F15"/>
    <w:rsid w:val="00F64AE5"/>
    <w:rsid w:val="00F6669E"/>
    <w:rsid w:val="00F67DC6"/>
    <w:rsid w:val="00F72FA2"/>
    <w:rsid w:val="00F73AC7"/>
    <w:rsid w:val="00F74E79"/>
    <w:rsid w:val="00F754E9"/>
    <w:rsid w:val="00F75A8C"/>
    <w:rsid w:val="00F75CF8"/>
    <w:rsid w:val="00F76E3D"/>
    <w:rsid w:val="00F80CE4"/>
    <w:rsid w:val="00F80E97"/>
    <w:rsid w:val="00F82F23"/>
    <w:rsid w:val="00F8382F"/>
    <w:rsid w:val="00F85733"/>
    <w:rsid w:val="00F85A8A"/>
    <w:rsid w:val="00F8649C"/>
    <w:rsid w:val="00F87064"/>
    <w:rsid w:val="00F90F58"/>
    <w:rsid w:val="00F91260"/>
    <w:rsid w:val="00F9167D"/>
    <w:rsid w:val="00F91C67"/>
    <w:rsid w:val="00F92077"/>
    <w:rsid w:val="00F960AA"/>
    <w:rsid w:val="00F962B2"/>
    <w:rsid w:val="00FA1373"/>
    <w:rsid w:val="00FA3B84"/>
    <w:rsid w:val="00FA4BE1"/>
    <w:rsid w:val="00FA4FE7"/>
    <w:rsid w:val="00FA5F3C"/>
    <w:rsid w:val="00FA64D3"/>
    <w:rsid w:val="00FA6D34"/>
    <w:rsid w:val="00FB130D"/>
    <w:rsid w:val="00FB38A9"/>
    <w:rsid w:val="00FB4EC7"/>
    <w:rsid w:val="00FB5652"/>
    <w:rsid w:val="00FB648A"/>
    <w:rsid w:val="00FC00DE"/>
    <w:rsid w:val="00FC0E2F"/>
    <w:rsid w:val="00FC1239"/>
    <w:rsid w:val="00FC1871"/>
    <w:rsid w:val="00FC3CB9"/>
    <w:rsid w:val="00FC5204"/>
    <w:rsid w:val="00FC5EC6"/>
    <w:rsid w:val="00FC6223"/>
    <w:rsid w:val="00FC685E"/>
    <w:rsid w:val="00FC7844"/>
    <w:rsid w:val="00FD1952"/>
    <w:rsid w:val="00FD2030"/>
    <w:rsid w:val="00FD27EA"/>
    <w:rsid w:val="00FD286B"/>
    <w:rsid w:val="00FD42B1"/>
    <w:rsid w:val="00FD5ACD"/>
    <w:rsid w:val="00FD619D"/>
    <w:rsid w:val="00FE03D5"/>
    <w:rsid w:val="00FE1936"/>
    <w:rsid w:val="00FE1C56"/>
    <w:rsid w:val="00FE2632"/>
    <w:rsid w:val="00FE532E"/>
    <w:rsid w:val="00FE5CFB"/>
    <w:rsid w:val="00FE5D0F"/>
    <w:rsid w:val="00FE759E"/>
    <w:rsid w:val="00FE77A5"/>
    <w:rsid w:val="00FE7DF5"/>
    <w:rsid w:val="00FE7DF7"/>
    <w:rsid w:val="00FE7EF5"/>
    <w:rsid w:val="00FF2D6B"/>
    <w:rsid w:val="00FF31EA"/>
    <w:rsid w:val="00FF5F7E"/>
    <w:rsid w:val="00FF5FAB"/>
    <w:rsid w:val="00FF7209"/>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002D"/>
  <w15:docId w15:val="{47B43692-15BE-44AB-934D-6ECCDBBD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260"/>
  </w:style>
  <w:style w:type="paragraph" w:styleId="Heading1">
    <w:name w:val="heading 1"/>
    <w:basedOn w:val="Normal"/>
    <w:next w:val="Normal"/>
    <w:link w:val="Heading1Char"/>
    <w:uiPriority w:val="9"/>
    <w:qFormat/>
    <w:rsid w:val="00F27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12D"/>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F2712D"/>
    <w:pPr>
      <w:spacing w:after="0" w:line="240" w:lineRule="auto"/>
    </w:pPr>
  </w:style>
  <w:style w:type="paragraph" w:styleId="BalloonText">
    <w:name w:val="Balloon Text"/>
    <w:basedOn w:val="Normal"/>
    <w:link w:val="BalloonTextChar"/>
    <w:uiPriority w:val="99"/>
    <w:semiHidden/>
    <w:unhideWhenUsed/>
    <w:rsid w:val="00F2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12D"/>
    <w:rPr>
      <w:rFonts w:ascii="Tahoma" w:hAnsi="Tahoma" w:cs="Tahoma"/>
      <w:sz w:val="16"/>
      <w:szCs w:val="16"/>
    </w:rPr>
  </w:style>
  <w:style w:type="table" w:styleId="TableGrid">
    <w:name w:val="Table Grid"/>
    <w:basedOn w:val="TableNormal"/>
    <w:uiPriority w:val="59"/>
    <w:rsid w:val="0025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B10E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CD5009"/>
    <w:rPr>
      <w:color w:val="0000FF"/>
      <w:u w:val="single"/>
    </w:rPr>
  </w:style>
  <w:style w:type="paragraph" w:styleId="Header">
    <w:name w:val="header"/>
    <w:basedOn w:val="Normal"/>
    <w:link w:val="HeaderChar"/>
    <w:uiPriority w:val="99"/>
    <w:unhideWhenUsed/>
    <w:rsid w:val="007E1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D2E"/>
  </w:style>
  <w:style w:type="paragraph" w:styleId="Footer">
    <w:name w:val="footer"/>
    <w:basedOn w:val="Normal"/>
    <w:link w:val="FooterChar"/>
    <w:uiPriority w:val="99"/>
    <w:unhideWhenUsed/>
    <w:rsid w:val="007E1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D2E"/>
  </w:style>
  <w:style w:type="character" w:styleId="CommentReference">
    <w:name w:val="annotation reference"/>
    <w:basedOn w:val="DefaultParagraphFont"/>
    <w:uiPriority w:val="99"/>
    <w:semiHidden/>
    <w:unhideWhenUsed/>
    <w:rsid w:val="00BD270B"/>
    <w:rPr>
      <w:sz w:val="16"/>
      <w:szCs w:val="16"/>
    </w:rPr>
  </w:style>
  <w:style w:type="paragraph" w:styleId="CommentText">
    <w:name w:val="annotation text"/>
    <w:basedOn w:val="Normal"/>
    <w:link w:val="CommentTextChar"/>
    <w:uiPriority w:val="99"/>
    <w:semiHidden/>
    <w:unhideWhenUsed/>
    <w:rsid w:val="00BD270B"/>
    <w:pPr>
      <w:spacing w:line="240" w:lineRule="auto"/>
    </w:pPr>
    <w:rPr>
      <w:sz w:val="20"/>
      <w:szCs w:val="20"/>
    </w:rPr>
  </w:style>
  <w:style w:type="character" w:customStyle="1" w:styleId="CommentTextChar">
    <w:name w:val="Comment Text Char"/>
    <w:basedOn w:val="DefaultParagraphFont"/>
    <w:link w:val="CommentText"/>
    <w:uiPriority w:val="99"/>
    <w:semiHidden/>
    <w:rsid w:val="00BD270B"/>
    <w:rPr>
      <w:sz w:val="20"/>
      <w:szCs w:val="20"/>
    </w:rPr>
  </w:style>
  <w:style w:type="paragraph" w:styleId="CommentSubject">
    <w:name w:val="annotation subject"/>
    <w:basedOn w:val="CommentText"/>
    <w:next w:val="CommentText"/>
    <w:link w:val="CommentSubjectChar"/>
    <w:uiPriority w:val="99"/>
    <w:semiHidden/>
    <w:unhideWhenUsed/>
    <w:rsid w:val="00BD270B"/>
    <w:rPr>
      <w:b/>
      <w:bCs/>
    </w:rPr>
  </w:style>
  <w:style w:type="character" w:customStyle="1" w:styleId="CommentSubjectChar">
    <w:name w:val="Comment Subject Char"/>
    <w:basedOn w:val="CommentTextChar"/>
    <w:link w:val="CommentSubject"/>
    <w:uiPriority w:val="99"/>
    <w:semiHidden/>
    <w:rsid w:val="00BD270B"/>
    <w:rPr>
      <w:b/>
      <w:bCs/>
      <w:sz w:val="20"/>
      <w:szCs w:val="20"/>
    </w:rPr>
  </w:style>
  <w:style w:type="character" w:customStyle="1" w:styleId="NoSpacingChar">
    <w:name w:val="No Spacing Char"/>
    <w:basedOn w:val="DefaultParagraphFont"/>
    <w:link w:val="NoSpacing"/>
    <w:uiPriority w:val="1"/>
    <w:rsid w:val="00782E51"/>
  </w:style>
  <w:style w:type="paragraph" w:styleId="ListParagraph">
    <w:name w:val="List Paragraph"/>
    <w:basedOn w:val="Normal"/>
    <w:uiPriority w:val="34"/>
    <w:qFormat/>
    <w:rsid w:val="00BE4117"/>
    <w:pPr>
      <w:spacing w:after="160" w:line="259" w:lineRule="auto"/>
      <w:ind w:left="720"/>
      <w:contextualSpacing/>
    </w:pPr>
  </w:style>
  <w:style w:type="table" w:customStyle="1" w:styleId="ListTable4-Accent51">
    <w:name w:val="List Table 4 - Accent 51"/>
    <w:basedOn w:val="TableNormal"/>
    <w:uiPriority w:val="49"/>
    <w:rsid w:val="00232B1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1">
    <w:name w:val="Unresolved Mention1"/>
    <w:basedOn w:val="DefaultParagraphFont"/>
    <w:uiPriority w:val="99"/>
    <w:semiHidden/>
    <w:unhideWhenUsed/>
    <w:rsid w:val="0045675D"/>
    <w:rPr>
      <w:color w:val="605E5C"/>
      <w:shd w:val="clear" w:color="auto" w:fill="E1DFDD"/>
    </w:rPr>
  </w:style>
  <w:style w:type="character" w:styleId="UnresolvedMention">
    <w:name w:val="Unresolved Mention"/>
    <w:basedOn w:val="DefaultParagraphFont"/>
    <w:uiPriority w:val="99"/>
    <w:semiHidden/>
    <w:unhideWhenUsed/>
    <w:rsid w:val="00834DC2"/>
    <w:rPr>
      <w:color w:val="605E5C"/>
      <w:shd w:val="clear" w:color="auto" w:fill="E1DFDD"/>
    </w:rPr>
  </w:style>
  <w:style w:type="table" w:styleId="GridTable4-Accent1">
    <w:name w:val="Grid Table 4 Accent 1"/>
    <w:basedOn w:val="TableNormal"/>
    <w:uiPriority w:val="49"/>
    <w:rsid w:val="0084388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1">
    <w:name w:val="List Table 2 Accent 1"/>
    <w:basedOn w:val="TableNormal"/>
    <w:uiPriority w:val="47"/>
    <w:rsid w:val="00DD7A1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0D3B1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1">
    <w:name w:val="List Table 6 Colorful Accent 1"/>
    <w:basedOn w:val="TableNormal"/>
    <w:uiPriority w:val="51"/>
    <w:rsid w:val="000D3B1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DA261B"/>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14">
      <w:bodyDiv w:val="1"/>
      <w:marLeft w:val="0"/>
      <w:marRight w:val="0"/>
      <w:marTop w:val="0"/>
      <w:marBottom w:val="0"/>
      <w:divBdr>
        <w:top w:val="none" w:sz="0" w:space="0" w:color="auto"/>
        <w:left w:val="none" w:sz="0" w:space="0" w:color="auto"/>
        <w:bottom w:val="none" w:sz="0" w:space="0" w:color="auto"/>
        <w:right w:val="none" w:sz="0" w:space="0" w:color="auto"/>
      </w:divBdr>
    </w:div>
    <w:div w:id="177159065">
      <w:bodyDiv w:val="1"/>
      <w:marLeft w:val="0"/>
      <w:marRight w:val="0"/>
      <w:marTop w:val="0"/>
      <w:marBottom w:val="0"/>
      <w:divBdr>
        <w:top w:val="none" w:sz="0" w:space="0" w:color="auto"/>
        <w:left w:val="none" w:sz="0" w:space="0" w:color="auto"/>
        <w:bottom w:val="none" w:sz="0" w:space="0" w:color="auto"/>
        <w:right w:val="none" w:sz="0" w:space="0" w:color="auto"/>
      </w:divBdr>
    </w:div>
    <w:div w:id="484712557">
      <w:bodyDiv w:val="1"/>
      <w:marLeft w:val="0"/>
      <w:marRight w:val="0"/>
      <w:marTop w:val="0"/>
      <w:marBottom w:val="0"/>
      <w:divBdr>
        <w:top w:val="none" w:sz="0" w:space="0" w:color="auto"/>
        <w:left w:val="none" w:sz="0" w:space="0" w:color="auto"/>
        <w:bottom w:val="none" w:sz="0" w:space="0" w:color="auto"/>
        <w:right w:val="none" w:sz="0" w:space="0" w:color="auto"/>
      </w:divBdr>
    </w:div>
    <w:div w:id="571233653">
      <w:bodyDiv w:val="1"/>
      <w:marLeft w:val="0"/>
      <w:marRight w:val="0"/>
      <w:marTop w:val="0"/>
      <w:marBottom w:val="0"/>
      <w:divBdr>
        <w:top w:val="none" w:sz="0" w:space="0" w:color="auto"/>
        <w:left w:val="none" w:sz="0" w:space="0" w:color="auto"/>
        <w:bottom w:val="none" w:sz="0" w:space="0" w:color="auto"/>
        <w:right w:val="none" w:sz="0" w:space="0" w:color="auto"/>
      </w:divBdr>
    </w:div>
    <w:div w:id="588974724">
      <w:bodyDiv w:val="1"/>
      <w:marLeft w:val="0"/>
      <w:marRight w:val="0"/>
      <w:marTop w:val="0"/>
      <w:marBottom w:val="0"/>
      <w:divBdr>
        <w:top w:val="none" w:sz="0" w:space="0" w:color="auto"/>
        <w:left w:val="none" w:sz="0" w:space="0" w:color="auto"/>
        <w:bottom w:val="none" w:sz="0" w:space="0" w:color="auto"/>
        <w:right w:val="none" w:sz="0" w:space="0" w:color="auto"/>
      </w:divBdr>
    </w:div>
    <w:div w:id="616985097">
      <w:bodyDiv w:val="1"/>
      <w:marLeft w:val="0"/>
      <w:marRight w:val="0"/>
      <w:marTop w:val="0"/>
      <w:marBottom w:val="0"/>
      <w:divBdr>
        <w:top w:val="none" w:sz="0" w:space="0" w:color="auto"/>
        <w:left w:val="none" w:sz="0" w:space="0" w:color="auto"/>
        <w:bottom w:val="none" w:sz="0" w:space="0" w:color="auto"/>
        <w:right w:val="none" w:sz="0" w:space="0" w:color="auto"/>
      </w:divBdr>
    </w:div>
    <w:div w:id="692338332">
      <w:bodyDiv w:val="1"/>
      <w:marLeft w:val="0"/>
      <w:marRight w:val="0"/>
      <w:marTop w:val="0"/>
      <w:marBottom w:val="0"/>
      <w:divBdr>
        <w:top w:val="none" w:sz="0" w:space="0" w:color="auto"/>
        <w:left w:val="none" w:sz="0" w:space="0" w:color="auto"/>
        <w:bottom w:val="none" w:sz="0" w:space="0" w:color="auto"/>
        <w:right w:val="none" w:sz="0" w:space="0" w:color="auto"/>
      </w:divBdr>
    </w:div>
    <w:div w:id="723069261">
      <w:bodyDiv w:val="1"/>
      <w:marLeft w:val="0"/>
      <w:marRight w:val="0"/>
      <w:marTop w:val="0"/>
      <w:marBottom w:val="0"/>
      <w:divBdr>
        <w:top w:val="none" w:sz="0" w:space="0" w:color="auto"/>
        <w:left w:val="none" w:sz="0" w:space="0" w:color="auto"/>
        <w:bottom w:val="none" w:sz="0" w:space="0" w:color="auto"/>
        <w:right w:val="none" w:sz="0" w:space="0" w:color="auto"/>
      </w:divBdr>
    </w:div>
    <w:div w:id="731126497">
      <w:bodyDiv w:val="1"/>
      <w:marLeft w:val="0"/>
      <w:marRight w:val="0"/>
      <w:marTop w:val="0"/>
      <w:marBottom w:val="0"/>
      <w:divBdr>
        <w:top w:val="none" w:sz="0" w:space="0" w:color="auto"/>
        <w:left w:val="none" w:sz="0" w:space="0" w:color="auto"/>
        <w:bottom w:val="none" w:sz="0" w:space="0" w:color="auto"/>
        <w:right w:val="none" w:sz="0" w:space="0" w:color="auto"/>
      </w:divBdr>
    </w:div>
    <w:div w:id="742921274">
      <w:bodyDiv w:val="1"/>
      <w:marLeft w:val="0"/>
      <w:marRight w:val="0"/>
      <w:marTop w:val="0"/>
      <w:marBottom w:val="0"/>
      <w:divBdr>
        <w:top w:val="none" w:sz="0" w:space="0" w:color="auto"/>
        <w:left w:val="none" w:sz="0" w:space="0" w:color="auto"/>
        <w:bottom w:val="none" w:sz="0" w:space="0" w:color="auto"/>
        <w:right w:val="none" w:sz="0" w:space="0" w:color="auto"/>
      </w:divBdr>
    </w:div>
    <w:div w:id="908079451">
      <w:bodyDiv w:val="1"/>
      <w:marLeft w:val="0"/>
      <w:marRight w:val="0"/>
      <w:marTop w:val="0"/>
      <w:marBottom w:val="0"/>
      <w:divBdr>
        <w:top w:val="none" w:sz="0" w:space="0" w:color="auto"/>
        <w:left w:val="none" w:sz="0" w:space="0" w:color="auto"/>
        <w:bottom w:val="none" w:sz="0" w:space="0" w:color="auto"/>
        <w:right w:val="none" w:sz="0" w:space="0" w:color="auto"/>
      </w:divBdr>
    </w:div>
    <w:div w:id="920066878">
      <w:bodyDiv w:val="1"/>
      <w:marLeft w:val="0"/>
      <w:marRight w:val="0"/>
      <w:marTop w:val="0"/>
      <w:marBottom w:val="0"/>
      <w:divBdr>
        <w:top w:val="none" w:sz="0" w:space="0" w:color="auto"/>
        <w:left w:val="none" w:sz="0" w:space="0" w:color="auto"/>
        <w:bottom w:val="none" w:sz="0" w:space="0" w:color="auto"/>
        <w:right w:val="none" w:sz="0" w:space="0" w:color="auto"/>
      </w:divBdr>
    </w:div>
    <w:div w:id="958537348">
      <w:bodyDiv w:val="1"/>
      <w:marLeft w:val="0"/>
      <w:marRight w:val="0"/>
      <w:marTop w:val="0"/>
      <w:marBottom w:val="0"/>
      <w:divBdr>
        <w:top w:val="none" w:sz="0" w:space="0" w:color="auto"/>
        <w:left w:val="none" w:sz="0" w:space="0" w:color="auto"/>
        <w:bottom w:val="none" w:sz="0" w:space="0" w:color="auto"/>
        <w:right w:val="none" w:sz="0" w:space="0" w:color="auto"/>
      </w:divBdr>
    </w:div>
    <w:div w:id="1066418647">
      <w:bodyDiv w:val="1"/>
      <w:marLeft w:val="0"/>
      <w:marRight w:val="0"/>
      <w:marTop w:val="0"/>
      <w:marBottom w:val="0"/>
      <w:divBdr>
        <w:top w:val="none" w:sz="0" w:space="0" w:color="auto"/>
        <w:left w:val="none" w:sz="0" w:space="0" w:color="auto"/>
        <w:bottom w:val="none" w:sz="0" w:space="0" w:color="auto"/>
        <w:right w:val="none" w:sz="0" w:space="0" w:color="auto"/>
      </w:divBdr>
    </w:div>
    <w:div w:id="1193878164">
      <w:bodyDiv w:val="1"/>
      <w:marLeft w:val="0"/>
      <w:marRight w:val="0"/>
      <w:marTop w:val="0"/>
      <w:marBottom w:val="0"/>
      <w:divBdr>
        <w:top w:val="none" w:sz="0" w:space="0" w:color="auto"/>
        <w:left w:val="none" w:sz="0" w:space="0" w:color="auto"/>
        <w:bottom w:val="none" w:sz="0" w:space="0" w:color="auto"/>
        <w:right w:val="none" w:sz="0" w:space="0" w:color="auto"/>
      </w:divBdr>
    </w:div>
    <w:div w:id="1209026870">
      <w:bodyDiv w:val="1"/>
      <w:marLeft w:val="0"/>
      <w:marRight w:val="0"/>
      <w:marTop w:val="0"/>
      <w:marBottom w:val="0"/>
      <w:divBdr>
        <w:top w:val="none" w:sz="0" w:space="0" w:color="auto"/>
        <w:left w:val="none" w:sz="0" w:space="0" w:color="auto"/>
        <w:bottom w:val="none" w:sz="0" w:space="0" w:color="auto"/>
        <w:right w:val="none" w:sz="0" w:space="0" w:color="auto"/>
      </w:divBdr>
    </w:div>
    <w:div w:id="1263760097">
      <w:bodyDiv w:val="1"/>
      <w:marLeft w:val="0"/>
      <w:marRight w:val="0"/>
      <w:marTop w:val="0"/>
      <w:marBottom w:val="0"/>
      <w:divBdr>
        <w:top w:val="none" w:sz="0" w:space="0" w:color="auto"/>
        <w:left w:val="none" w:sz="0" w:space="0" w:color="auto"/>
        <w:bottom w:val="none" w:sz="0" w:space="0" w:color="auto"/>
        <w:right w:val="none" w:sz="0" w:space="0" w:color="auto"/>
      </w:divBdr>
    </w:div>
    <w:div w:id="1307197628">
      <w:bodyDiv w:val="1"/>
      <w:marLeft w:val="0"/>
      <w:marRight w:val="0"/>
      <w:marTop w:val="0"/>
      <w:marBottom w:val="0"/>
      <w:divBdr>
        <w:top w:val="none" w:sz="0" w:space="0" w:color="auto"/>
        <w:left w:val="none" w:sz="0" w:space="0" w:color="auto"/>
        <w:bottom w:val="none" w:sz="0" w:space="0" w:color="auto"/>
        <w:right w:val="none" w:sz="0" w:space="0" w:color="auto"/>
      </w:divBdr>
    </w:div>
    <w:div w:id="1319967319">
      <w:bodyDiv w:val="1"/>
      <w:marLeft w:val="0"/>
      <w:marRight w:val="0"/>
      <w:marTop w:val="0"/>
      <w:marBottom w:val="0"/>
      <w:divBdr>
        <w:top w:val="none" w:sz="0" w:space="0" w:color="auto"/>
        <w:left w:val="none" w:sz="0" w:space="0" w:color="auto"/>
        <w:bottom w:val="none" w:sz="0" w:space="0" w:color="auto"/>
        <w:right w:val="none" w:sz="0" w:space="0" w:color="auto"/>
      </w:divBdr>
    </w:div>
    <w:div w:id="1476682346">
      <w:bodyDiv w:val="1"/>
      <w:marLeft w:val="0"/>
      <w:marRight w:val="0"/>
      <w:marTop w:val="0"/>
      <w:marBottom w:val="0"/>
      <w:divBdr>
        <w:top w:val="none" w:sz="0" w:space="0" w:color="auto"/>
        <w:left w:val="none" w:sz="0" w:space="0" w:color="auto"/>
        <w:bottom w:val="none" w:sz="0" w:space="0" w:color="auto"/>
        <w:right w:val="none" w:sz="0" w:space="0" w:color="auto"/>
      </w:divBdr>
    </w:div>
    <w:div w:id="1542552639">
      <w:bodyDiv w:val="1"/>
      <w:marLeft w:val="0"/>
      <w:marRight w:val="0"/>
      <w:marTop w:val="0"/>
      <w:marBottom w:val="0"/>
      <w:divBdr>
        <w:top w:val="none" w:sz="0" w:space="0" w:color="auto"/>
        <w:left w:val="none" w:sz="0" w:space="0" w:color="auto"/>
        <w:bottom w:val="none" w:sz="0" w:space="0" w:color="auto"/>
        <w:right w:val="none" w:sz="0" w:space="0" w:color="auto"/>
      </w:divBdr>
    </w:div>
    <w:div w:id="1726249752">
      <w:bodyDiv w:val="1"/>
      <w:marLeft w:val="0"/>
      <w:marRight w:val="0"/>
      <w:marTop w:val="0"/>
      <w:marBottom w:val="0"/>
      <w:divBdr>
        <w:top w:val="none" w:sz="0" w:space="0" w:color="auto"/>
        <w:left w:val="none" w:sz="0" w:space="0" w:color="auto"/>
        <w:bottom w:val="none" w:sz="0" w:space="0" w:color="auto"/>
        <w:right w:val="none" w:sz="0" w:space="0" w:color="auto"/>
      </w:divBdr>
    </w:div>
    <w:div w:id="2018773501">
      <w:bodyDiv w:val="1"/>
      <w:marLeft w:val="0"/>
      <w:marRight w:val="0"/>
      <w:marTop w:val="0"/>
      <w:marBottom w:val="0"/>
      <w:divBdr>
        <w:top w:val="none" w:sz="0" w:space="0" w:color="auto"/>
        <w:left w:val="none" w:sz="0" w:space="0" w:color="auto"/>
        <w:bottom w:val="none" w:sz="0" w:space="0" w:color="auto"/>
        <w:right w:val="none" w:sz="0" w:space="0" w:color="auto"/>
      </w:divBdr>
    </w:div>
    <w:div w:id="214624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watson@freshprodu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reshproduce.com/insi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e-Marie\Documents\210%20Analytics\Clients\IRI\2022\April%202022\Line_graph_produce_April_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e-Marie\Documents\210%20Analytics\Clients\IRI\2022\April%202022\Line_graph_produce_April_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ne-Marie\Documents\210%20Analytics\Clients\IRI\2022\April%202022\Line_graph_produce_April_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rtl="0">
              <a:defRPr sz="900"/>
            </a:pPr>
            <a:r>
              <a:rPr lang="en-US" sz="900"/>
              <a:t>% Dollar growth versus the same time period year ago</a:t>
            </a:r>
          </a:p>
        </c:rich>
      </c:tx>
      <c:overlay val="0"/>
    </c:title>
    <c:autoTitleDeleted val="0"/>
    <c:plotArea>
      <c:layout/>
      <c:lineChart>
        <c:grouping val="standard"/>
        <c:varyColors val="0"/>
        <c:ser>
          <c:idx val="0"/>
          <c:order val="0"/>
          <c:tx>
            <c:strRef>
              <c:f>Sheet1!$A$30</c:f>
              <c:strCache>
                <c:ptCount val="1"/>
                <c:pt idx="0">
                  <c:v>Produce dpt  </c:v>
                </c:pt>
              </c:strCache>
            </c:strRef>
          </c:tx>
          <c:marker>
            <c:symbol val="none"/>
          </c:marker>
          <c:dLbls>
            <c:dLbl>
              <c:idx val="0"/>
              <c:layout>
                <c:manualLayout>
                  <c:x val="-6.3073042185404743E-2"/>
                  <c:y val="-1.0999996535434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77-4A78-A46D-F8F30A252545}"/>
                </c:ext>
              </c:extLst>
            </c:dLbl>
            <c:dLbl>
              <c:idx val="1"/>
              <c:layout>
                <c:manualLayout>
                  <c:x val="-3.2262228751839012E-2"/>
                  <c:y val="-1.89999940157499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77-4A78-A46D-F8F30A252545}"/>
                </c:ext>
              </c:extLst>
            </c:dLbl>
            <c:dLbl>
              <c:idx val="5"/>
              <c:layout>
                <c:manualLayout>
                  <c:x val="-2.4229214437575215E-2"/>
                  <c:y val="-1.4999995275592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77-4A78-A46D-F8F30A252545}"/>
                </c:ext>
              </c:extLst>
            </c:dLbl>
            <c:dLbl>
              <c:idx val="6"/>
              <c:layout>
                <c:manualLayout>
                  <c:x val="-3.6881075840587842E-2"/>
                  <c:y val="-2.0086386256564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77-4A78-A46D-F8F30A252545}"/>
                </c:ext>
              </c:extLst>
            </c:dLbl>
            <c:dLbl>
              <c:idx val="7"/>
              <c:layout>
                <c:manualLayout>
                  <c:x val="-1.7440512703191361E-2"/>
                  <c:y val="2.39740739191258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77-4A78-A46D-F8F30A252545}"/>
                </c:ext>
              </c:extLst>
            </c:dLbl>
            <c:dLbl>
              <c:idx val="8"/>
              <c:layout>
                <c:manualLayout>
                  <c:x val="-1.8726705522064315E-2"/>
                  <c:y val="-2.2288533225572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77-4A78-A46D-F8F30A252545}"/>
                </c:ext>
              </c:extLst>
            </c:dLbl>
            <c:dLbl>
              <c:idx val="9"/>
              <c:layout>
                <c:manualLayout>
                  <c:x val="-1.4612762247133194E-2"/>
                  <c:y val="-2.94766019027444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77-4A78-A46D-F8F30A252545}"/>
                </c:ext>
              </c:extLst>
            </c:dLbl>
            <c:dLbl>
              <c:idx val="10"/>
              <c:layout>
                <c:manualLayout>
                  <c:x val="-6.1708652810387428E-3"/>
                  <c:y val="-7.531148333540705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77-4A78-A46D-F8F30A252545}"/>
                </c:ext>
              </c:extLst>
            </c:dLbl>
            <c:dLbl>
              <c:idx val="11"/>
              <c:layout>
                <c:manualLayout>
                  <c:x val="-2.4693211455823771E-2"/>
                  <c:y val="2.81119320555966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77-4A78-A46D-F8F30A252545}"/>
                </c:ext>
              </c:extLst>
            </c:dLbl>
            <c:dLbl>
              <c:idx val="12"/>
              <c:layout>
                <c:manualLayout>
                  <c:x val="-2.3484444590904287E-2"/>
                  <c:y val="-1.79424119166335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77-4A78-A46D-F8F30A252545}"/>
                </c:ext>
              </c:extLst>
            </c:dLbl>
            <c:dLbl>
              <c:idx val="13"/>
              <c:layout>
                <c:manualLayout>
                  <c:x val="-1.8576973326594252E-2"/>
                  <c:y val="3.08599510085453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77-4A78-A46D-F8F30A252545}"/>
                </c:ext>
              </c:extLst>
            </c:dLbl>
            <c:spPr>
              <a:noFill/>
              <a:ln>
                <a:noFill/>
              </a:ln>
              <a:effectLst/>
            </c:spPr>
            <c:txPr>
              <a:bodyPr/>
              <a:lstStyle/>
              <a:p>
                <a:pPr>
                  <a:defRPr sz="900">
                    <a:solidFill>
                      <a:schemeClr val="accent1"/>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Sheet1!$B$30:$L$30</c:f>
              <c:numCache>
                <c:formatCode>0%</c:formatCode>
                <c:ptCount val="11"/>
                <c:pt idx="0">
                  <c:v>1.7999999999999999E-2</c:v>
                </c:pt>
                <c:pt idx="1">
                  <c:v>6.8000000000000005E-2</c:v>
                </c:pt>
                <c:pt idx="2">
                  <c:v>0.151</c:v>
                </c:pt>
                <c:pt idx="3">
                  <c:v>0.121</c:v>
                </c:pt>
                <c:pt idx="4">
                  <c:v>0.11700000000000001</c:v>
                </c:pt>
                <c:pt idx="5">
                  <c:v>4.8000000000000001E-2</c:v>
                </c:pt>
                <c:pt idx="6">
                  <c:v>-1.0999999999999999E-2</c:v>
                </c:pt>
                <c:pt idx="7">
                  <c:v>0.02</c:v>
                </c:pt>
                <c:pt idx="8">
                  <c:v>5.0999999999999997E-2</c:v>
                </c:pt>
                <c:pt idx="9">
                  <c:v>4.7E-2</c:v>
                </c:pt>
                <c:pt idx="10" formatCode="0.0%">
                  <c:v>4.2999999999999997E-2</c:v>
                </c:pt>
              </c:numCache>
            </c:numRef>
          </c:val>
          <c:smooth val="0"/>
          <c:extLst>
            <c:ext xmlns:c16="http://schemas.microsoft.com/office/drawing/2014/chart" uri="{C3380CC4-5D6E-409C-BE32-E72D297353CC}">
              <c16:uniqueId val="{0000000B-7D77-4A78-A46D-F8F30A252545}"/>
            </c:ext>
          </c:extLst>
        </c:ser>
        <c:ser>
          <c:idx val="1"/>
          <c:order val="1"/>
          <c:tx>
            <c:strRef>
              <c:f>Sheet1!$A$31</c:f>
              <c:strCache>
                <c:ptCount val="1"/>
                <c:pt idx="0">
                  <c:v>Fresh fruit</c:v>
                </c:pt>
              </c:strCache>
            </c:strRef>
          </c:tx>
          <c:marker>
            <c:symbol val="none"/>
          </c:marker>
          <c:dLbls>
            <c:dLbl>
              <c:idx val="0"/>
              <c:layout>
                <c:manualLayout>
                  <c:x val="-6.4151356812203172E-2"/>
                  <c:y val="-4.999998425197379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77-4A78-A46D-F8F30A252545}"/>
                </c:ext>
              </c:extLst>
            </c:dLbl>
            <c:dLbl>
              <c:idx val="5"/>
              <c:layout>
                <c:manualLayout>
                  <c:x val="-2.5939110462519059E-2"/>
                  <c:y val="4.6999985196855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D77-4A78-A46D-F8F30A252545}"/>
                </c:ext>
              </c:extLst>
            </c:dLbl>
            <c:dLbl>
              <c:idx val="7"/>
              <c:layout>
                <c:manualLayout>
                  <c:x val="-2.0012859709561771E-2"/>
                  <c:y val="1.74945944815243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D77-4A78-A46D-F8F30A252545}"/>
                </c:ext>
              </c:extLst>
            </c:dLbl>
            <c:dLbl>
              <c:idx val="8"/>
              <c:layout>
                <c:manualLayout>
                  <c:x val="-1.5503347337317341E-2"/>
                  <c:y val="2.24353825316604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D77-4A78-A46D-F8F30A252545}"/>
                </c:ext>
              </c:extLst>
            </c:dLbl>
            <c:dLbl>
              <c:idx val="9"/>
              <c:layout>
                <c:manualLayout>
                  <c:x val="-2.1295823144015694E-2"/>
                  <c:y val="1.88159029388621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D77-4A78-A46D-F8F30A252545}"/>
                </c:ext>
              </c:extLst>
            </c:dLbl>
            <c:dLbl>
              <c:idx val="10"/>
              <c:layout>
                <c:manualLayout>
                  <c:x val="-3.6495922883192796E-3"/>
                  <c:y val="-3.423249242518602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D77-4A78-A46D-F8F30A252545}"/>
                </c:ext>
              </c:extLst>
            </c:dLbl>
            <c:dLbl>
              <c:idx val="11"/>
              <c:layout>
                <c:manualLayout>
                  <c:x val="-1.6288929183536787E-2"/>
                  <c:y val="-2.8111932055596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D77-4A78-A46D-F8F30A252545}"/>
                </c:ext>
              </c:extLst>
            </c:dLbl>
            <c:dLbl>
              <c:idx val="12"/>
              <c:layout>
                <c:manualLayout>
                  <c:x val="-2.6024411456978667E-2"/>
                  <c:y val="-1.67609970915972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D77-4A78-A46D-F8F30A252545}"/>
                </c:ext>
              </c:extLst>
            </c:dLbl>
            <c:spPr>
              <a:noFill/>
              <a:ln>
                <a:noFill/>
              </a:ln>
              <a:effectLst/>
            </c:spPr>
            <c:txPr>
              <a:bodyPr/>
              <a:lstStyle/>
              <a:p>
                <a:pPr>
                  <a:defRPr sz="900">
                    <a:solidFill>
                      <a:schemeClr val="accent2"/>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Sheet1!$B$31:$L$31</c:f>
              <c:numCache>
                <c:formatCode>0%</c:formatCode>
                <c:ptCount val="11"/>
                <c:pt idx="0">
                  <c:v>-2E-3</c:v>
                </c:pt>
                <c:pt idx="1">
                  <c:v>5.2999999999999999E-2</c:v>
                </c:pt>
                <c:pt idx="2">
                  <c:v>0.106</c:v>
                </c:pt>
                <c:pt idx="3">
                  <c:v>9.5000000000000001E-2</c:v>
                </c:pt>
                <c:pt idx="4">
                  <c:v>8.6999999999999994E-2</c:v>
                </c:pt>
                <c:pt idx="5">
                  <c:v>5.0999999999999997E-2</c:v>
                </c:pt>
                <c:pt idx="6">
                  <c:v>4.4999999999999998E-2</c:v>
                </c:pt>
                <c:pt idx="7">
                  <c:v>6.0999999999999999E-2</c:v>
                </c:pt>
                <c:pt idx="8">
                  <c:v>0.109</c:v>
                </c:pt>
                <c:pt idx="9">
                  <c:v>0.10199999999999999</c:v>
                </c:pt>
                <c:pt idx="10" formatCode="0.0%">
                  <c:v>6.0999999999999999E-2</c:v>
                </c:pt>
              </c:numCache>
            </c:numRef>
          </c:val>
          <c:smooth val="0"/>
          <c:extLst>
            <c:ext xmlns:c16="http://schemas.microsoft.com/office/drawing/2014/chart" uri="{C3380CC4-5D6E-409C-BE32-E72D297353CC}">
              <c16:uniqueId val="{00000014-7D77-4A78-A46D-F8F30A252545}"/>
            </c:ext>
          </c:extLst>
        </c:ser>
        <c:ser>
          <c:idx val="2"/>
          <c:order val="2"/>
          <c:tx>
            <c:strRef>
              <c:f>Sheet1!$A$32</c:f>
              <c:strCache>
                <c:ptCount val="1"/>
                <c:pt idx="0">
                  <c:v>Fresh vegetables</c:v>
                </c:pt>
              </c:strCache>
            </c:strRef>
          </c:tx>
          <c:marker>
            <c:symbol val="none"/>
          </c:marker>
          <c:dLbls>
            <c:dLbl>
              <c:idx val="0"/>
              <c:layout>
                <c:manualLayout>
                  <c:x val="-5.6586555146759317E-2"/>
                  <c:y val="-2.69999914960656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D77-4A78-A46D-F8F30A252545}"/>
                </c:ext>
              </c:extLst>
            </c:dLbl>
            <c:dLbl>
              <c:idx val="5"/>
              <c:layout>
                <c:manualLayout>
                  <c:x val="-2.277731918402871E-2"/>
                  <c:y val="-4.4261372788715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D77-4A78-A46D-F8F30A252545}"/>
                </c:ext>
              </c:extLst>
            </c:dLbl>
            <c:dLbl>
              <c:idx val="7"/>
              <c:layout>
                <c:manualLayout>
                  <c:x val="-2.3588523321920823E-2"/>
                  <c:y val="3.434124101928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7D77-4A78-A46D-F8F30A252545}"/>
                </c:ext>
              </c:extLst>
            </c:dLbl>
            <c:dLbl>
              <c:idx val="8"/>
              <c:layout>
                <c:manualLayout>
                  <c:x val="-1.239801252219018E-2"/>
                  <c:y val="-2.57611635122818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7D77-4A78-A46D-F8F30A252545}"/>
                </c:ext>
              </c:extLst>
            </c:dLbl>
            <c:dLbl>
              <c:idx val="9"/>
              <c:layout>
                <c:manualLayout>
                  <c:x val="-1.8515573724603138E-2"/>
                  <c:y val="-2.89685593694923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7D77-4A78-A46D-F8F30A252545}"/>
                </c:ext>
              </c:extLst>
            </c:dLbl>
            <c:dLbl>
              <c:idx val="10"/>
              <c:layout>
                <c:manualLayout>
                  <c:x val="-1.9504131115724841E-3"/>
                  <c:y val="-2.012331460231978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7D77-4A78-A46D-F8F30A252545}"/>
                </c:ext>
              </c:extLst>
            </c:dLbl>
            <c:dLbl>
              <c:idx val="11"/>
              <c:layout>
                <c:manualLayout>
                  <c:x val="-2.2165180456543882E-2"/>
                  <c:y val="3.6336780868286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7D77-4A78-A46D-F8F30A252545}"/>
                </c:ext>
              </c:extLst>
            </c:dLbl>
            <c:dLbl>
              <c:idx val="12"/>
              <c:layout>
                <c:manualLayout>
                  <c:x val="-2.4583776145535061E-2"/>
                  <c:y val="2.83001698427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7D77-4A78-A46D-F8F30A252545}"/>
                </c:ext>
              </c:extLst>
            </c:dLbl>
            <c:dLbl>
              <c:idx val="13"/>
              <c:layout>
                <c:manualLayout>
                  <c:x val="-2.1939062981788597E-2"/>
                  <c:y val="5.00616983027511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7D77-4A78-A46D-F8F30A252545}"/>
                </c:ext>
              </c:extLst>
            </c:dLbl>
            <c:spPr>
              <a:noFill/>
              <a:ln>
                <a:noFill/>
              </a:ln>
              <a:effectLst/>
            </c:spPr>
            <c:txPr>
              <a:bodyPr/>
              <a:lstStyle/>
              <a:p>
                <a:pPr>
                  <a:defRPr sz="900">
                    <a:solidFill>
                      <a:schemeClr val="accent3">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Sheet1!$B$32:$L$32</c:f>
              <c:numCache>
                <c:formatCode>0%</c:formatCode>
                <c:ptCount val="11"/>
                <c:pt idx="0">
                  <c:v>3.9E-2</c:v>
                </c:pt>
                <c:pt idx="1">
                  <c:v>8.4000000000000005E-2</c:v>
                </c:pt>
                <c:pt idx="2">
                  <c:v>0.20699999999999999</c:v>
                </c:pt>
                <c:pt idx="3">
                  <c:v>0.151</c:v>
                </c:pt>
                <c:pt idx="4">
                  <c:v>0.14799999999999999</c:v>
                </c:pt>
                <c:pt idx="5">
                  <c:v>4.7E-2</c:v>
                </c:pt>
                <c:pt idx="6">
                  <c:v>-7.0999999999999994E-2</c:v>
                </c:pt>
                <c:pt idx="7">
                  <c:v>-2.4E-2</c:v>
                </c:pt>
                <c:pt idx="8">
                  <c:v>1E-3</c:v>
                </c:pt>
                <c:pt idx="9">
                  <c:v>-4.0000000000000001E-3</c:v>
                </c:pt>
                <c:pt idx="10" formatCode="0.0%">
                  <c:v>2.4E-2</c:v>
                </c:pt>
              </c:numCache>
            </c:numRef>
          </c:val>
          <c:smooth val="0"/>
          <c:extLst>
            <c:ext xmlns:c16="http://schemas.microsoft.com/office/drawing/2014/chart" uri="{C3380CC4-5D6E-409C-BE32-E72D297353CC}">
              <c16:uniqueId val="{0000001E-7D77-4A78-A46D-F8F30A252545}"/>
            </c:ext>
          </c:extLst>
        </c:ser>
        <c:ser>
          <c:idx val="3"/>
          <c:order val="3"/>
          <c:tx>
            <c:strRef>
              <c:f>Sheet1!$A$33</c:f>
              <c:strCache>
                <c:ptCount val="1"/>
                <c:pt idx="0">
                  <c:v>Produce dpt vs. 2019</c:v>
                </c:pt>
              </c:strCache>
            </c:strRef>
          </c:tx>
          <c:spPr>
            <a:ln>
              <a:noFill/>
            </a:ln>
          </c:spPr>
          <c:marker>
            <c:spPr>
              <a:solidFill>
                <a:srgbClr val="7030A0"/>
              </a:solidFill>
              <a:ln>
                <a:noFill/>
              </a:ln>
            </c:spPr>
          </c:marker>
          <c:dLbls>
            <c:dLbl>
              <c:idx val="7"/>
              <c:layout>
                <c:manualLayout>
                  <c:x val="8.9521073276133262E-3"/>
                  <c:y val="-3.61947959279835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7D77-4A78-A46D-F8F30A252545}"/>
                </c:ext>
              </c:extLst>
            </c:dLbl>
            <c:dLbl>
              <c:idx val="11"/>
              <c:layout>
                <c:manualLayout>
                  <c:x val="0"/>
                  <c:y val="-1.37155337815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7D77-4A78-A46D-F8F30A252545}"/>
                </c:ext>
              </c:extLst>
            </c:dLbl>
            <c:spPr>
              <a:noFill/>
              <a:ln>
                <a:noFill/>
              </a:ln>
              <a:effectLst/>
            </c:spPr>
            <c:txPr>
              <a:bodyPr/>
              <a:lstStyle/>
              <a:p>
                <a:pPr>
                  <a:defRPr sz="900">
                    <a:solidFill>
                      <a:schemeClr val="accent4"/>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Sheet1!$B$33:$L$33</c:f>
              <c:numCache>
                <c:formatCode>General</c:formatCode>
                <c:ptCount val="11"/>
                <c:pt idx="5" formatCode="0%">
                  <c:v>0.12</c:v>
                </c:pt>
                <c:pt idx="6" formatCode="0%">
                  <c:v>0.13800000000000001</c:v>
                </c:pt>
                <c:pt idx="7" formatCode="0%">
                  <c:v>0.14399999999999999</c:v>
                </c:pt>
                <c:pt idx="8" formatCode="0%">
                  <c:v>0.17499999999999999</c:v>
                </c:pt>
                <c:pt idx="9" formatCode="0%">
                  <c:v>0.17199999999999999</c:v>
                </c:pt>
                <c:pt idx="10" formatCode="0.0%">
                  <c:v>0.16300000000000001</c:v>
                </c:pt>
              </c:numCache>
            </c:numRef>
          </c:val>
          <c:smooth val="0"/>
          <c:extLst>
            <c:ext xmlns:c16="http://schemas.microsoft.com/office/drawing/2014/chart" uri="{C3380CC4-5D6E-409C-BE32-E72D297353CC}">
              <c16:uniqueId val="{00000021-7D77-4A78-A46D-F8F30A252545}"/>
            </c:ext>
          </c:extLst>
        </c:ser>
        <c:ser>
          <c:idx val="4"/>
          <c:order val="4"/>
          <c:tx>
            <c:strRef>
              <c:f>Sheet1!$A$34</c:f>
              <c:strCache>
                <c:ptCount val="1"/>
                <c:pt idx="0">
                  <c:v>Fresh fruit vs. 2019</c:v>
                </c:pt>
              </c:strCache>
            </c:strRef>
          </c:tx>
          <c:spPr>
            <a:ln>
              <a:noFill/>
            </a:ln>
          </c:spPr>
          <c:marker>
            <c:spPr>
              <a:solidFill>
                <a:schemeClr val="accent5"/>
              </a:solidFill>
              <a:ln>
                <a:noFill/>
              </a:ln>
            </c:spPr>
          </c:marker>
          <c:dLbls>
            <c:dLbl>
              <c:idx val="7"/>
              <c:layout>
                <c:manualLayout>
                  <c:x val="3.9861921591190204E-3"/>
                  <c:y val="-2.20209267808502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7D77-4A78-A46D-F8F30A252545}"/>
                </c:ext>
              </c:extLst>
            </c:dLbl>
            <c:dLbl>
              <c:idx val="8"/>
              <c:layout>
                <c:manualLayout>
                  <c:x val="2.5723932915874053E-3"/>
                  <c:y val="-1.761760397567052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7D77-4A78-A46D-F8F30A252545}"/>
                </c:ext>
              </c:extLst>
            </c:dLbl>
            <c:dLbl>
              <c:idx val="9"/>
              <c:layout>
                <c:manualLayout>
                  <c:x val="2.5212729927190933E-3"/>
                  <c:y val="3.91296256722776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7D77-4A78-A46D-F8F30A252545}"/>
                </c:ext>
              </c:extLst>
            </c:dLbl>
            <c:dLbl>
              <c:idx val="11"/>
              <c:layout>
                <c:manualLayout>
                  <c:x val="-2.5193144132161509E-3"/>
                  <c:y val="-4.11466013447271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7D77-4A78-A46D-F8F30A252545}"/>
                </c:ext>
              </c:extLst>
            </c:dLbl>
            <c:dLbl>
              <c:idx val="12"/>
              <c:layout>
                <c:manualLayout>
                  <c:x val="-1.850662112055403E-16"/>
                  <c:y val="-1.37124002206940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7D77-4A78-A46D-F8F30A252545}"/>
                </c:ext>
              </c:extLst>
            </c:dLbl>
            <c:spPr>
              <a:noFill/>
              <a:ln>
                <a:noFill/>
              </a:ln>
              <a:effectLst/>
            </c:spPr>
            <c:txPr>
              <a:bodyPr/>
              <a:lstStyle/>
              <a:p>
                <a:pPr>
                  <a:defRPr sz="900">
                    <a:solidFill>
                      <a:schemeClr val="accent5">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Sheet1!$B$34:$L$34</c:f>
              <c:numCache>
                <c:formatCode>General</c:formatCode>
                <c:ptCount val="11"/>
                <c:pt idx="5" formatCode="0%">
                  <c:v>0.106</c:v>
                </c:pt>
                <c:pt idx="6" formatCode="0%">
                  <c:v>0.156</c:v>
                </c:pt>
                <c:pt idx="7" formatCode="0%">
                  <c:v>0.16300000000000001</c:v>
                </c:pt>
                <c:pt idx="8" formatCode="0%">
                  <c:v>0.20599999999999999</c:v>
                </c:pt>
                <c:pt idx="9" formatCode="0%">
                  <c:v>0.22</c:v>
                </c:pt>
                <c:pt idx="10" formatCode="0.0%">
                  <c:v>0.186</c:v>
                </c:pt>
              </c:numCache>
            </c:numRef>
          </c:val>
          <c:smooth val="0"/>
          <c:extLst>
            <c:ext xmlns:c16="http://schemas.microsoft.com/office/drawing/2014/chart" uri="{C3380CC4-5D6E-409C-BE32-E72D297353CC}">
              <c16:uniqueId val="{00000027-7D77-4A78-A46D-F8F30A252545}"/>
            </c:ext>
          </c:extLst>
        </c:ser>
        <c:ser>
          <c:idx val="5"/>
          <c:order val="5"/>
          <c:tx>
            <c:strRef>
              <c:f>Sheet1!$A$35</c:f>
              <c:strCache>
                <c:ptCount val="1"/>
                <c:pt idx="0">
                  <c:v>Fresh veg vs. 2019</c:v>
                </c:pt>
              </c:strCache>
            </c:strRef>
          </c:tx>
          <c:spPr>
            <a:ln>
              <a:noFill/>
            </a:ln>
          </c:spPr>
          <c:marker>
            <c:spPr>
              <a:ln>
                <a:noFill/>
              </a:ln>
            </c:spPr>
          </c:marker>
          <c:dLbls>
            <c:dLbl>
              <c:idx val="7"/>
              <c:layout>
                <c:manualLayout>
                  <c:x val="6.4308675159260378E-3"/>
                  <c:y val="-5.18358355008122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7D77-4A78-A46D-F8F30A252545}"/>
                </c:ext>
              </c:extLst>
            </c:dLbl>
            <c:dLbl>
              <c:idx val="8"/>
              <c:layout>
                <c:manualLayout>
                  <c:x val="3.8585403060229836E-3"/>
                  <c:y val="-4.30305125256425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7D77-4A78-A46D-F8F30A252545}"/>
                </c:ext>
              </c:extLst>
            </c:dLbl>
            <c:dLbl>
              <c:idx val="9"/>
              <c:layout>
                <c:manualLayout>
                  <c:x val="0"/>
                  <c:y val="4.74316789533461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7D77-4A78-A46D-F8F30A252545}"/>
                </c:ext>
              </c:extLst>
            </c:dLbl>
            <c:dLbl>
              <c:idx val="11"/>
              <c:layout>
                <c:manualLayout>
                  <c:x val="0"/>
                  <c:y val="1.64586405378907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7D77-4A78-A46D-F8F30A252545}"/>
                </c:ext>
              </c:extLst>
            </c:dLbl>
            <c:dLbl>
              <c:idx val="12"/>
              <c:layout>
                <c:manualLayout>
                  <c:x val="-1.850662112055403E-16"/>
                  <c:y val="1.919736030897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7D77-4A78-A46D-F8F30A252545}"/>
                </c:ext>
              </c:extLst>
            </c:dLbl>
            <c:spPr>
              <a:noFill/>
              <a:ln>
                <a:noFill/>
              </a:ln>
              <a:effectLst/>
            </c:spPr>
            <c:txPr>
              <a:bodyPr/>
              <a:lstStyle/>
              <a:p>
                <a:pPr>
                  <a:defRPr sz="900">
                    <a:solidFill>
                      <a:schemeClr val="accent6">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Sheet1!$B$29:$L$29</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Sheet1!$B$35:$L$35</c:f>
              <c:numCache>
                <c:formatCode>General</c:formatCode>
                <c:ptCount val="11"/>
                <c:pt idx="5" formatCode="0%">
                  <c:v>0.13500000000000001</c:v>
                </c:pt>
                <c:pt idx="6" formatCode="0%">
                  <c:v>0.121</c:v>
                </c:pt>
                <c:pt idx="7" formatCode="0%">
                  <c:v>0.125</c:v>
                </c:pt>
                <c:pt idx="8" formatCode="0%">
                  <c:v>0.151</c:v>
                </c:pt>
                <c:pt idx="9" formatCode="0%">
                  <c:v>0.13</c:v>
                </c:pt>
                <c:pt idx="10" formatCode="0.0%">
                  <c:v>0.14199999999999999</c:v>
                </c:pt>
              </c:numCache>
            </c:numRef>
          </c:val>
          <c:smooth val="0"/>
          <c:extLst>
            <c:ext xmlns:c16="http://schemas.microsoft.com/office/drawing/2014/chart" uri="{C3380CC4-5D6E-409C-BE32-E72D297353CC}">
              <c16:uniqueId val="{0000002D-7D77-4A78-A46D-F8F30A252545}"/>
            </c:ext>
          </c:extLst>
        </c:ser>
        <c:dLbls>
          <c:showLegendKey val="0"/>
          <c:showVal val="1"/>
          <c:showCatName val="0"/>
          <c:showSerName val="0"/>
          <c:showPercent val="0"/>
          <c:showBubbleSize val="0"/>
        </c:dLbls>
        <c:smooth val="0"/>
        <c:axId val="147893248"/>
        <c:axId val="147837696"/>
      </c:lineChart>
      <c:catAx>
        <c:axId val="147893248"/>
        <c:scaling>
          <c:orientation val="minMax"/>
        </c:scaling>
        <c:delete val="0"/>
        <c:axPos val="b"/>
        <c:numFmt formatCode="General" sourceLinked="0"/>
        <c:majorTickMark val="none"/>
        <c:minorTickMark val="none"/>
        <c:tickLblPos val="nextTo"/>
        <c:crossAx val="147837696"/>
        <c:crosses val="autoZero"/>
        <c:auto val="1"/>
        <c:lblAlgn val="ctr"/>
        <c:lblOffset val="100"/>
        <c:noMultiLvlLbl val="0"/>
      </c:catAx>
      <c:valAx>
        <c:axId val="147837696"/>
        <c:scaling>
          <c:orientation val="minMax"/>
        </c:scaling>
        <c:delete val="1"/>
        <c:axPos val="l"/>
        <c:numFmt formatCode="0%" sourceLinked="1"/>
        <c:majorTickMark val="none"/>
        <c:minorTickMark val="none"/>
        <c:tickLblPos val="none"/>
        <c:crossAx val="147893248"/>
        <c:crosses val="autoZero"/>
        <c:crossBetween val="between"/>
      </c:valAx>
    </c:plotArea>
    <c:legend>
      <c:legendPos val="t"/>
      <c:layout>
        <c:manualLayout>
          <c:xMode val="edge"/>
          <c:yMode val="edge"/>
          <c:x val="4.8713872069891723E-2"/>
          <c:y val="9.0110660973263104E-2"/>
          <c:w val="0.89999990885384662"/>
          <c:h val="0.10552403875547432"/>
        </c:manualLayout>
      </c:layout>
      <c:overlay val="0"/>
      <c:txPr>
        <a:bodyPr/>
        <a:lstStyle/>
        <a:p>
          <a:pPr>
            <a:defRPr sz="900"/>
          </a:pPr>
          <a:endParaRPr lang="en-US"/>
        </a:p>
      </c:txPr>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Share of dollars across temperature zones</a:t>
            </a:r>
          </a:p>
        </c:rich>
      </c:tx>
      <c:layout>
        <c:manualLayout>
          <c:xMode val="edge"/>
          <c:yMode val="edge"/>
          <c:x val="1.0460850088679821E-2"/>
          <c:y val="2.1621621621621651E-2"/>
        </c:manualLayout>
      </c:layout>
      <c:overlay val="0"/>
    </c:title>
    <c:autoTitleDeleted val="0"/>
    <c:plotArea>
      <c:layout/>
      <c:barChart>
        <c:barDir val="col"/>
        <c:grouping val="percentStacked"/>
        <c:varyColors val="0"/>
        <c:ser>
          <c:idx val="0"/>
          <c:order val="0"/>
          <c:tx>
            <c:strRef>
              <c:f>Sheet1!$A$102</c:f>
              <c:strCache>
                <c:ptCount val="1"/>
                <c:pt idx="0">
                  <c:v>Fresh</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Sheet1!$B$101:$G$101</c:f>
              <c:strCache>
                <c:ptCount val="6"/>
                <c:pt idx="0">
                  <c:v>2019</c:v>
                </c:pt>
                <c:pt idx="1">
                  <c:v>2020</c:v>
                </c:pt>
                <c:pt idx="2">
                  <c:v>2021</c:v>
                </c:pt>
                <c:pt idx="3">
                  <c:v>Q1 '22</c:v>
                </c:pt>
                <c:pt idx="4">
                  <c:v>Mar '22</c:v>
                </c:pt>
                <c:pt idx="5">
                  <c:v>Apr '22</c:v>
                </c:pt>
              </c:strCache>
            </c:strRef>
          </c:cat>
          <c:val>
            <c:numRef>
              <c:f>Sheet1!$B$102:$G$102</c:f>
              <c:numCache>
                <c:formatCode>0.0%</c:formatCode>
                <c:ptCount val="6"/>
                <c:pt idx="0">
                  <c:v>0.80800000000000005</c:v>
                </c:pt>
                <c:pt idx="1">
                  <c:v>0.79400000000000004</c:v>
                </c:pt>
                <c:pt idx="2">
                  <c:v>0.81</c:v>
                </c:pt>
                <c:pt idx="3">
                  <c:v>0.79600000000000004</c:v>
                </c:pt>
                <c:pt idx="4">
                  <c:v>0.80200000000000005</c:v>
                </c:pt>
                <c:pt idx="5">
                  <c:v>0.80600000000000005</c:v>
                </c:pt>
              </c:numCache>
            </c:numRef>
          </c:val>
          <c:extLst>
            <c:ext xmlns:c16="http://schemas.microsoft.com/office/drawing/2014/chart" uri="{C3380CC4-5D6E-409C-BE32-E72D297353CC}">
              <c16:uniqueId val="{00000000-9B41-46ED-ADC2-92E2D93090EA}"/>
            </c:ext>
          </c:extLst>
        </c:ser>
        <c:ser>
          <c:idx val="1"/>
          <c:order val="1"/>
          <c:tx>
            <c:strRef>
              <c:f>Sheet1!$A$103</c:f>
              <c:strCache>
                <c:ptCount val="1"/>
                <c:pt idx="0">
                  <c:v>Shelf stable</c:v>
                </c:pt>
              </c:strCache>
            </c:strRef>
          </c:tx>
          <c:spPr>
            <a:solidFill>
              <a:schemeClr val="bg1">
                <a:lumMod val="6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Sheet1!$B$101:$G$101</c:f>
              <c:strCache>
                <c:ptCount val="6"/>
                <c:pt idx="0">
                  <c:v>2019</c:v>
                </c:pt>
                <c:pt idx="1">
                  <c:v>2020</c:v>
                </c:pt>
                <c:pt idx="2">
                  <c:v>2021</c:v>
                </c:pt>
                <c:pt idx="3">
                  <c:v>Q1 '22</c:v>
                </c:pt>
                <c:pt idx="4">
                  <c:v>Mar '22</c:v>
                </c:pt>
                <c:pt idx="5">
                  <c:v>Apr '22</c:v>
                </c:pt>
              </c:strCache>
            </c:strRef>
          </c:cat>
          <c:val>
            <c:numRef>
              <c:f>Sheet1!$B$103:$G$103</c:f>
              <c:numCache>
                <c:formatCode>0.0%</c:formatCode>
                <c:ptCount val="6"/>
                <c:pt idx="0">
                  <c:v>0.115</c:v>
                </c:pt>
                <c:pt idx="1">
                  <c:v>0.121</c:v>
                </c:pt>
                <c:pt idx="2">
                  <c:v>0.111</c:v>
                </c:pt>
                <c:pt idx="3">
                  <c:v>0.121</c:v>
                </c:pt>
                <c:pt idx="4">
                  <c:v>0.11600000000000001</c:v>
                </c:pt>
                <c:pt idx="5">
                  <c:v>0.113</c:v>
                </c:pt>
              </c:numCache>
            </c:numRef>
          </c:val>
          <c:extLst>
            <c:ext xmlns:c16="http://schemas.microsoft.com/office/drawing/2014/chart" uri="{C3380CC4-5D6E-409C-BE32-E72D297353CC}">
              <c16:uniqueId val="{00000001-9B41-46ED-ADC2-92E2D93090EA}"/>
            </c:ext>
          </c:extLst>
        </c:ser>
        <c:ser>
          <c:idx val="2"/>
          <c:order val="2"/>
          <c:tx>
            <c:strRef>
              <c:f>Sheet1!$A$104</c:f>
              <c:strCache>
                <c:ptCount val="1"/>
                <c:pt idx="0">
                  <c:v>Frozen</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Sheet1!$B$101:$G$101</c:f>
              <c:strCache>
                <c:ptCount val="6"/>
                <c:pt idx="0">
                  <c:v>2019</c:v>
                </c:pt>
                <c:pt idx="1">
                  <c:v>2020</c:v>
                </c:pt>
                <c:pt idx="2">
                  <c:v>2021</c:v>
                </c:pt>
                <c:pt idx="3">
                  <c:v>Q1 '22</c:v>
                </c:pt>
                <c:pt idx="4">
                  <c:v>Mar '22</c:v>
                </c:pt>
                <c:pt idx="5">
                  <c:v>Apr '22</c:v>
                </c:pt>
              </c:strCache>
            </c:strRef>
          </c:cat>
          <c:val>
            <c:numRef>
              <c:f>Sheet1!$B$104:$G$104</c:f>
              <c:numCache>
                <c:formatCode>0.0%</c:formatCode>
                <c:ptCount val="6"/>
                <c:pt idx="0">
                  <c:v>7.6999999999999999E-2</c:v>
                </c:pt>
                <c:pt idx="1">
                  <c:v>8.4000000000000005E-2</c:v>
                </c:pt>
                <c:pt idx="2">
                  <c:v>7.9000000000000001E-2</c:v>
                </c:pt>
                <c:pt idx="3">
                  <c:v>8.3000000000000004E-2</c:v>
                </c:pt>
                <c:pt idx="4">
                  <c:v>8.2000000000000003E-2</c:v>
                </c:pt>
                <c:pt idx="5">
                  <c:v>8.2000000000000003E-2</c:v>
                </c:pt>
              </c:numCache>
            </c:numRef>
          </c:val>
          <c:extLst>
            <c:ext xmlns:c16="http://schemas.microsoft.com/office/drawing/2014/chart" uri="{C3380CC4-5D6E-409C-BE32-E72D297353CC}">
              <c16:uniqueId val="{00000002-9B41-46ED-ADC2-92E2D93090EA}"/>
            </c:ext>
          </c:extLst>
        </c:ser>
        <c:dLbls>
          <c:showLegendKey val="0"/>
          <c:showVal val="1"/>
          <c:showCatName val="0"/>
          <c:showSerName val="0"/>
          <c:showPercent val="0"/>
          <c:showBubbleSize val="0"/>
        </c:dLbls>
        <c:gapWidth val="95"/>
        <c:overlap val="100"/>
        <c:axId val="148140416"/>
        <c:axId val="148141952"/>
      </c:barChart>
      <c:catAx>
        <c:axId val="148140416"/>
        <c:scaling>
          <c:orientation val="minMax"/>
        </c:scaling>
        <c:delete val="0"/>
        <c:axPos val="b"/>
        <c:numFmt formatCode="General" sourceLinked="0"/>
        <c:majorTickMark val="none"/>
        <c:minorTickMark val="none"/>
        <c:tickLblPos val="nextTo"/>
        <c:crossAx val="148141952"/>
        <c:crosses val="autoZero"/>
        <c:auto val="1"/>
        <c:lblAlgn val="ctr"/>
        <c:lblOffset val="100"/>
        <c:noMultiLvlLbl val="0"/>
      </c:catAx>
      <c:valAx>
        <c:axId val="148141952"/>
        <c:scaling>
          <c:orientation val="minMax"/>
        </c:scaling>
        <c:delete val="1"/>
        <c:axPos val="l"/>
        <c:numFmt formatCode="0%" sourceLinked="1"/>
        <c:majorTickMark val="out"/>
        <c:minorTickMark val="none"/>
        <c:tickLblPos val="none"/>
        <c:crossAx val="148140416"/>
        <c:crosses val="autoZero"/>
        <c:crossBetween val="between"/>
      </c:valAx>
    </c:plotArea>
    <c:legend>
      <c:legendPos val="t"/>
      <c:layout>
        <c:manualLayout>
          <c:xMode val="edge"/>
          <c:yMode val="edge"/>
          <c:x val="0.80480347977490441"/>
          <c:y val="2.6413754334577013E-2"/>
          <c:w val="0.17084592476145441"/>
          <c:h val="0.17953664794233429"/>
        </c:manualLayout>
      </c:layout>
      <c:overlay val="0"/>
    </c:legend>
    <c:plotVisOnly val="1"/>
    <c:dispBlanksAs val="gap"/>
    <c:showDLblsOverMax val="0"/>
  </c:chart>
  <c:spPr>
    <a:ln>
      <a:noFill/>
    </a:ln>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000"/>
              <a:t>Dollar and volume growth total produce (fixed and random weight)</a:t>
            </a:r>
            <a:br>
              <a:rPr lang="en-US" sz="1000"/>
            </a:br>
            <a:r>
              <a:rPr lang="en-US" sz="1000"/>
              <a:t>versus the comparable period YA and 2/3YA</a:t>
            </a:r>
          </a:p>
        </c:rich>
      </c:tx>
      <c:overlay val="0"/>
    </c:title>
    <c:autoTitleDeleted val="0"/>
    <c:plotArea>
      <c:layout>
        <c:manualLayout>
          <c:layoutTarget val="inner"/>
          <c:xMode val="edge"/>
          <c:yMode val="edge"/>
          <c:x val="1.5534523839044542E-2"/>
          <c:y val="0.1738405967790867"/>
          <c:w val="0.96893095232191095"/>
          <c:h val="0.80986327937037239"/>
        </c:manualLayout>
      </c:layout>
      <c:lineChart>
        <c:grouping val="standard"/>
        <c:varyColors val="0"/>
        <c:ser>
          <c:idx val="0"/>
          <c:order val="0"/>
          <c:tx>
            <c:strRef>
              <c:f>Sheet1!$A$65</c:f>
              <c:strCache>
                <c:ptCount val="1"/>
                <c:pt idx="0">
                  <c:v>Dollar growth</c:v>
                </c:pt>
              </c:strCache>
            </c:strRef>
          </c:tx>
          <c:spPr>
            <a:ln>
              <a:solidFill>
                <a:schemeClr val="tx2">
                  <a:lumMod val="75000"/>
                </a:schemeClr>
              </a:solidFill>
            </a:ln>
          </c:spPr>
          <c:marker>
            <c:symbol val="none"/>
          </c:marker>
          <c:dLbls>
            <c:dLbl>
              <c:idx val="0"/>
              <c:layout>
                <c:manualLayout>
                  <c:x val="-3.4746457593163152E-2"/>
                  <c:y val="-6.05578874650588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D7-4CC8-B995-9E6E7649F441}"/>
                </c:ext>
              </c:extLst>
            </c:dLbl>
            <c:dLbl>
              <c:idx val="3"/>
              <c:layout>
                <c:manualLayout>
                  <c:x val="-2.3079483993763576E-2"/>
                  <c:y val="-3.6784734830657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1D7-4CC8-B995-9E6E7649F441}"/>
                </c:ext>
              </c:extLst>
            </c:dLbl>
            <c:dLbl>
              <c:idx val="4"/>
              <c:layout>
                <c:manualLayout>
                  <c:x val="-1.8940200502051956E-2"/>
                  <c:y val="-3.2712768697668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1D7-4CC8-B995-9E6E7649F441}"/>
                </c:ext>
              </c:extLst>
            </c:dLbl>
            <c:dLbl>
              <c:idx val="5"/>
              <c:layout>
                <c:manualLayout>
                  <c:x val="-2.2857501245362351E-2"/>
                  <c:y val="-2.95212790686278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D7-4CC8-B995-9E6E7649F441}"/>
                </c:ext>
              </c:extLst>
            </c:dLbl>
            <c:dLbl>
              <c:idx val="6"/>
              <c:layout>
                <c:manualLayout>
                  <c:x val="-2.0533236137664852E-2"/>
                  <c:y val="-2.63297894395869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D7-4CC8-B995-9E6E7649F441}"/>
                </c:ext>
              </c:extLst>
            </c:dLbl>
            <c:dLbl>
              <c:idx val="7"/>
              <c:layout>
                <c:manualLayout>
                  <c:x val="-2.4819779699024668E-2"/>
                  <c:y val="3.14516129032258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D7-4CC8-B995-9E6E7649F441}"/>
                </c:ext>
              </c:extLst>
            </c:dLbl>
            <c:dLbl>
              <c:idx val="8"/>
              <c:layout>
                <c:manualLayout>
                  <c:x val="-2.0943394110203416E-2"/>
                  <c:y val="3.2915342322617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D7-4CC8-B995-9E6E7649F441}"/>
                </c:ext>
              </c:extLst>
            </c:dLbl>
            <c:dLbl>
              <c:idx val="9"/>
              <c:layout>
                <c:manualLayout>
                  <c:x val="-3.5118686783167798E-2"/>
                  <c:y val="2.7388814408722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D7-4CC8-B995-9E6E7649F441}"/>
                </c:ext>
              </c:extLst>
            </c:dLbl>
            <c:dLbl>
              <c:idx val="10"/>
              <c:layout>
                <c:manualLayout>
                  <c:x val="-2.568672597757363E-2"/>
                  <c:y val="-2.24272099733755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D7-4CC8-B995-9E6E7649F441}"/>
                </c:ext>
              </c:extLst>
            </c:dLbl>
            <c:dLbl>
              <c:idx val="11"/>
              <c:layout>
                <c:manualLayout>
                  <c:x val="-2.6635130515179177E-2"/>
                  <c:y val="2.02205742019681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D7-4CC8-B995-9E6E7649F441}"/>
                </c:ext>
              </c:extLst>
            </c:dLbl>
            <c:dLbl>
              <c:idx val="12"/>
              <c:layout>
                <c:manualLayout>
                  <c:x val="-4.3507064647141533E-2"/>
                  <c:y val="-1.47794881744543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D7-4CC8-B995-9E6E7649F441}"/>
                </c:ext>
              </c:extLst>
            </c:dLbl>
            <c:dLbl>
              <c:idx val="13"/>
              <c:layout>
                <c:manualLayout>
                  <c:x val="-2.5774155342648455E-2"/>
                  <c:y val="-1.71442062823670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D7-4CC8-B995-9E6E7649F441}"/>
                </c:ext>
              </c:extLst>
            </c:dLbl>
            <c:spPr>
              <a:noFill/>
              <a:ln>
                <a:noFill/>
              </a:ln>
              <a:effectLst/>
            </c:spPr>
            <c:txPr>
              <a:bodyPr/>
              <a:lstStyle/>
              <a:p>
                <a:pPr>
                  <a:defRPr sz="900">
                    <a:solidFill>
                      <a:schemeClr val="tx2">
                        <a:lumMod val="75000"/>
                      </a:schemeClr>
                    </a:solidFill>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Sheet1!$B$64:$L$64</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Sheet1!$B$65:$L$65</c:f>
              <c:numCache>
                <c:formatCode>0%</c:formatCode>
                <c:ptCount val="11"/>
                <c:pt idx="0">
                  <c:v>1.7999999999999999E-2</c:v>
                </c:pt>
                <c:pt idx="1">
                  <c:v>6.8000000000000005E-2</c:v>
                </c:pt>
                <c:pt idx="2">
                  <c:v>0.151</c:v>
                </c:pt>
                <c:pt idx="3">
                  <c:v>0.121</c:v>
                </c:pt>
                <c:pt idx="4">
                  <c:v>0.11700000000000001</c:v>
                </c:pt>
                <c:pt idx="5">
                  <c:v>4.8000000000000001E-2</c:v>
                </c:pt>
                <c:pt idx="6">
                  <c:v>-1.0999999999999999E-2</c:v>
                </c:pt>
                <c:pt idx="7">
                  <c:v>2.1000000000000001E-2</c:v>
                </c:pt>
                <c:pt idx="8">
                  <c:v>5.0999999999999997E-2</c:v>
                </c:pt>
                <c:pt idx="9">
                  <c:v>4.7E-2</c:v>
                </c:pt>
                <c:pt idx="10" formatCode="0.0%">
                  <c:v>4.2999999999999997E-2</c:v>
                </c:pt>
              </c:numCache>
            </c:numRef>
          </c:val>
          <c:smooth val="0"/>
          <c:extLst>
            <c:ext xmlns:c16="http://schemas.microsoft.com/office/drawing/2014/chart" uri="{C3380CC4-5D6E-409C-BE32-E72D297353CC}">
              <c16:uniqueId val="{0000000C-61D7-4CC8-B995-9E6E7649F441}"/>
            </c:ext>
          </c:extLst>
        </c:ser>
        <c:ser>
          <c:idx val="1"/>
          <c:order val="1"/>
          <c:tx>
            <c:strRef>
              <c:f>Sheet1!$A$66</c:f>
              <c:strCache>
                <c:ptCount val="1"/>
                <c:pt idx="0">
                  <c:v>Volume growth</c:v>
                </c:pt>
              </c:strCache>
            </c:strRef>
          </c:tx>
          <c:spPr>
            <a:ln>
              <a:solidFill>
                <a:schemeClr val="accent5"/>
              </a:solidFill>
            </a:ln>
          </c:spPr>
          <c:marker>
            <c:symbol val="none"/>
          </c:marker>
          <c:dLbls>
            <c:dLbl>
              <c:idx val="0"/>
              <c:layout>
                <c:manualLayout>
                  <c:x val="-3.8663758336473515E-2"/>
                  <c:y val="-1.62846386567799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D7-4CC8-B995-9E6E7649F441}"/>
                </c:ext>
              </c:extLst>
            </c:dLbl>
            <c:dLbl>
              <c:idx val="3"/>
              <c:layout>
                <c:manualLayout>
                  <c:x val="-2.4672519793166498E-2"/>
                  <c:y val="3.35149806234880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1D7-4CC8-B995-9E6E7649F441}"/>
                </c:ext>
              </c:extLst>
            </c:dLbl>
            <c:dLbl>
              <c:idx val="4"/>
              <c:layout>
                <c:manualLayout>
                  <c:x val="-2.4163268159799151E-2"/>
                  <c:y val="3.2712768697668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D7-4CC8-B995-9E6E7649F441}"/>
                </c:ext>
              </c:extLst>
            </c:dLbl>
            <c:dLbl>
              <c:idx val="5"/>
              <c:layout>
                <c:manualLayout>
                  <c:x val="-2.1839003052101652E-2"/>
                  <c:y val="2.3138299810546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1D7-4CC8-B995-9E6E7649F441}"/>
                </c:ext>
              </c:extLst>
            </c:dLbl>
            <c:dLbl>
              <c:idx val="6"/>
              <c:layout>
                <c:manualLayout>
                  <c:x val="-2.0533236137664852E-2"/>
                  <c:y val="3.27127686976686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1D7-4CC8-B995-9E6E7649F441}"/>
                </c:ext>
              </c:extLst>
            </c:dLbl>
            <c:dLbl>
              <c:idx val="7"/>
              <c:layout>
                <c:manualLayout>
                  <c:x val="-3.1575961188850206E-2"/>
                  <c:y val="2.6612903225806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1D7-4CC8-B995-9E6E7649F441}"/>
                </c:ext>
              </c:extLst>
            </c:dLbl>
            <c:dLbl>
              <c:idx val="8"/>
              <c:layout>
                <c:manualLayout>
                  <c:x val="-1.992808089141105E-2"/>
                  <c:y val="3.42277806743913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1D7-4CC8-B995-9E6E7649F441}"/>
                </c:ext>
              </c:extLst>
            </c:dLbl>
            <c:dLbl>
              <c:idx val="9"/>
              <c:layout>
                <c:manualLayout>
                  <c:x val="-2.8589820939239265E-2"/>
                  <c:y val="3.90957479557504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1D7-4CC8-B995-9E6E7649F441}"/>
                </c:ext>
              </c:extLst>
            </c:dLbl>
            <c:dLbl>
              <c:idx val="10"/>
              <c:layout>
                <c:manualLayout>
                  <c:x val="-2.0347090283063852E-2"/>
                  <c:y val="2.10169442293336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1D7-4CC8-B995-9E6E7649F441}"/>
                </c:ext>
              </c:extLst>
            </c:dLbl>
            <c:dLbl>
              <c:idx val="11"/>
              <c:layout>
                <c:manualLayout>
                  <c:x val="-3.4819550194175992E-2"/>
                  <c:y val="2.17166773513443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1D7-4CC8-B995-9E6E7649F441}"/>
                </c:ext>
              </c:extLst>
            </c:dLbl>
            <c:dLbl>
              <c:idx val="12"/>
              <c:layout>
                <c:manualLayout>
                  <c:x val="-2.8045278100028978E-2"/>
                  <c:y val="1.9508924390279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1D7-4CC8-B995-9E6E7649F441}"/>
                </c:ext>
              </c:extLst>
            </c:dLbl>
            <c:dLbl>
              <c:idx val="13"/>
              <c:layout>
                <c:manualLayout>
                  <c:x val="-2.8232166423407545E-2"/>
                  <c:y val="3.13325149298433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1D7-4CC8-B995-9E6E7649F441}"/>
                </c:ext>
              </c:extLst>
            </c:dLbl>
            <c:dLbl>
              <c:idx val="14"/>
              <c:layout>
                <c:manualLayout>
                  <c:x val="-2.6888223658378608E-2"/>
                  <c:y val="2.72375128276056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1D7-4CC8-B995-9E6E7649F441}"/>
                </c:ext>
              </c:extLst>
            </c:dLbl>
            <c:dLbl>
              <c:idx val="15"/>
              <c:layout>
                <c:manualLayout>
                  <c:x val="-2.550151795139673E-2"/>
                  <c:y val="1.99741760735773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1D7-4CC8-B995-9E6E7649F441}"/>
                </c:ext>
              </c:extLst>
            </c:dLbl>
            <c:dLbl>
              <c:idx val="16"/>
              <c:layout>
                <c:manualLayout>
                  <c:x val="-2.1762107687852764E-2"/>
                  <c:y val="1.75530638222346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1D7-4CC8-B995-9E6E7649F441}"/>
                </c:ext>
              </c:extLst>
            </c:dLbl>
            <c:spPr>
              <a:noFill/>
              <a:ln>
                <a:noFill/>
              </a:ln>
              <a:effectLst/>
            </c:spPr>
            <c:txPr>
              <a:bodyPr/>
              <a:lstStyle/>
              <a:p>
                <a:pPr>
                  <a:defRPr sz="900">
                    <a:solidFill>
                      <a:schemeClr val="accent5">
                        <a:lumMod val="75000"/>
                      </a:schemeClr>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Sheet1!$B$64:$L$64</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Sheet1!$B$66:$L$66</c:f>
              <c:numCache>
                <c:formatCode>0%</c:formatCode>
                <c:ptCount val="11"/>
                <c:pt idx="0">
                  <c:v>5.0000000000000001E-3</c:v>
                </c:pt>
                <c:pt idx="1">
                  <c:v>9.7000000000000003E-2</c:v>
                </c:pt>
                <c:pt idx="2">
                  <c:v>0.153</c:v>
                </c:pt>
                <c:pt idx="3">
                  <c:v>9.7000000000000003E-2</c:v>
                </c:pt>
                <c:pt idx="4">
                  <c:v>0.1</c:v>
                </c:pt>
                <c:pt idx="5">
                  <c:v>0</c:v>
                </c:pt>
                <c:pt idx="6">
                  <c:v>-0.08</c:v>
                </c:pt>
                <c:pt idx="7">
                  <c:v>-2.5000000000000001E-2</c:v>
                </c:pt>
                <c:pt idx="8">
                  <c:v>-3.5999999999999997E-2</c:v>
                </c:pt>
                <c:pt idx="9">
                  <c:v>-4.8000000000000001E-2</c:v>
                </c:pt>
                <c:pt idx="10" formatCode="0.0%">
                  <c:v>-5.1999999999999998E-2</c:v>
                </c:pt>
              </c:numCache>
            </c:numRef>
          </c:val>
          <c:smooth val="0"/>
          <c:extLst>
            <c:ext xmlns:c16="http://schemas.microsoft.com/office/drawing/2014/chart" uri="{C3380CC4-5D6E-409C-BE32-E72D297353CC}">
              <c16:uniqueId val="{0000001C-61D7-4CC8-B995-9E6E7649F441}"/>
            </c:ext>
          </c:extLst>
        </c:ser>
        <c:ser>
          <c:idx val="2"/>
          <c:order val="2"/>
          <c:tx>
            <c:strRef>
              <c:f>Sheet1!$A$67</c:f>
              <c:strCache>
                <c:ptCount val="1"/>
                <c:pt idx="0">
                  <c:v>Dollars vs. 2019</c:v>
                </c:pt>
              </c:strCache>
            </c:strRef>
          </c:tx>
          <c:spPr>
            <a:ln>
              <a:noFill/>
            </a:ln>
          </c:spPr>
          <c:marker>
            <c:spPr>
              <a:ln>
                <a:noFill/>
              </a:ln>
            </c:spPr>
          </c:marker>
          <c:dLbls>
            <c:dLbl>
              <c:idx val="7"/>
              <c:layout>
                <c:manualLayout>
                  <c:x val="-2.4870184691729913E-2"/>
                  <c:y val="-2.11614742705351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1D7-4CC8-B995-9E6E7649F441}"/>
                </c:ext>
              </c:extLst>
            </c:dLbl>
            <c:dLbl>
              <c:idx val="8"/>
              <c:layout>
                <c:manualLayout>
                  <c:x val="-3.0424541590033889E-2"/>
                  <c:y val="-2.4718602892409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61D7-4CC8-B995-9E6E7649F441}"/>
                </c:ext>
              </c:extLst>
            </c:dLbl>
            <c:dLbl>
              <c:idx val="9"/>
              <c:layout>
                <c:manualLayout>
                  <c:x val="-2.9022767742298981E-2"/>
                  <c:y val="-2.37920985190609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61D7-4CC8-B995-9E6E7649F441}"/>
                </c:ext>
              </c:extLst>
            </c:dLbl>
            <c:dLbl>
              <c:idx val="10"/>
              <c:layout>
                <c:manualLayout>
                  <c:x val="-2.6268246098989385E-2"/>
                  <c:y val="-1.802336964302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61D7-4CC8-B995-9E6E7649F441}"/>
                </c:ext>
              </c:extLst>
            </c:dLbl>
            <c:dLbl>
              <c:idx val="11"/>
              <c:layout>
                <c:manualLayout>
                  <c:x val="-2.3030779625602561E-2"/>
                  <c:y val="-2.832015034535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61D7-4CC8-B995-9E6E7649F441}"/>
                </c:ext>
              </c:extLst>
            </c:dLbl>
            <c:dLbl>
              <c:idx val="12"/>
              <c:layout>
                <c:manualLayout>
                  <c:x val="-2.8577602453530172E-2"/>
                  <c:y val="-2.6011896239898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1D7-4CC8-B995-9E6E7649F441}"/>
                </c:ext>
              </c:extLst>
            </c:dLbl>
            <c:dLbl>
              <c:idx val="13"/>
              <c:layout>
                <c:manualLayout>
                  <c:x val="-2.1825119143991344E-2"/>
                  <c:y val="-1.8917744863301604E-2"/>
                </c:manualLayout>
              </c:layout>
              <c:showLegendKey val="0"/>
              <c:showVal val="1"/>
              <c:showCatName val="0"/>
              <c:showSerName val="0"/>
              <c:showPercent val="0"/>
              <c:showBubbleSize val="0"/>
              <c:extLst>
                <c:ext xmlns:c15="http://schemas.microsoft.com/office/drawing/2012/chart" uri="{CE6537A1-D6FC-4f65-9D91-7224C49458BB}">
                  <c15:layout>
                    <c:manualLayout>
                      <c:w val="3.606821543859863E-2"/>
                      <c:h val="3.5106127644469388E-2"/>
                    </c:manualLayout>
                  </c15:layout>
                </c:ext>
                <c:ext xmlns:c16="http://schemas.microsoft.com/office/drawing/2014/chart" uri="{C3380CC4-5D6E-409C-BE32-E72D297353CC}">
                  <c16:uniqueId val="{00000023-61D7-4CC8-B995-9E6E7649F441}"/>
                </c:ext>
              </c:extLst>
            </c:dLbl>
            <c:dLbl>
              <c:idx val="14"/>
              <c:layout>
                <c:manualLayout>
                  <c:x val="-2.7734114139637552E-2"/>
                  <c:y val="-2.4211122513427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61D7-4CC8-B995-9E6E7649F441}"/>
                </c:ext>
              </c:extLst>
            </c:dLbl>
            <c:dLbl>
              <c:idx val="15"/>
              <c:layout>
                <c:manualLayout>
                  <c:x val="-3.1894231260583286E-2"/>
                  <c:y val="-2.4211122513427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61D7-4CC8-B995-9E6E7649F441}"/>
                </c:ext>
              </c:extLst>
            </c:dLbl>
            <c:dLbl>
              <c:idx val="16"/>
              <c:layout>
                <c:manualLayout>
                  <c:x val="-2.3573997018691919E-2"/>
                  <c:y val="-2.6632234764769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61D7-4CC8-B995-9E6E7649F441}"/>
                </c:ext>
              </c:extLst>
            </c:dLbl>
            <c:spPr>
              <a:noFill/>
              <a:ln>
                <a:noFill/>
              </a:ln>
              <a:effectLst/>
            </c:spPr>
            <c:txPr>
              <a:bodyPr wrap="square" lIns="38100" tIns="19050" rIns="38100" bIns="19050" anchor="ctr">
                <a:spAutoFit/>
              </a:bodyPr>
              <a:lstStyle/>
              <a:p>
                <a:pPr>
                  <a:defRPr sz="900">
                    <a:solidFill>
                      <a:schemeClr val="accent3">
                        <a:lumMod val="50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Sheet1!$B$64:$L$64</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Sheet1!$B$67:$L$67</c:f>
              <c:numCache>
                <c:formatCode>General</c:formatCode>
                <c:ptCount val="11"/>
                <c:pt idx="5" formatCode="0%">
                  <c:v>0.12</c:v>
                </c:pt>
                <c:pt idx="6" formatCode="0%">
                  <c:v>0.13900000000000001</c:v>
                </c:pt>
                <c:pt idx="7" formatCode="0%">
                  <c:v>0.14499999999999999</c:v>
                </c:pt>
                <c:pt idx="8" formatCode="0%">
                  <c:v>0.17499999999999999</c:v>
                </c:pt>
                <c:pt idx="9" formatCode="0%">
                  <c:v>0.17199999999999999</c:v>
                </c:pt>
                <c:pt idx="10" formatCode="0.0%">
                  <c:v>0.16300000000000001</c:v>
                </c:pt>
              </c:numCache>
            </c:numRef>
          </c:val>
          <c:smooth val="0"/>
          <c:extLst>
            <c:ext xmlns:c16="http://schemas.microsoft.com/office/drawing/2014/chart" uri="{C3380CC4-5D6E-409C-BE32-E72D297353CC}">
              <c16:uniqueId val="{00000027-61D7-4CC8-B995-9E6E7649F441}"/>
            </c:ext>
          </c:extLst>
        </c:ser>
        <c:ser>
          <c:idx val="3"/>
          <c:order val="3"/>
          <c:tx>
            <c:strRef>
              <c:f>Sheet1!$A$68</c:f>
              <c:strCache>
                <c:ptCount val="1"/>
                <c:pt idx="0">
                  <c:v>Volume vs. 2019</c:v>
                </c:pt>
              </c:strCache>
            </c:strRef>
          </c:tx>
          <c:spPr>
            <a:ln>
              <a:noFill/>
            </a:ln>
          </c:spPr>
          <c:marker>
            <c:symbol val="square"/>
            <c:size val="5"/>
            <c:spPr>
              <a:solidFill>
                <a:srgbClr val="7030A0"/>
              </a:solidFill>
              <a:ln>
                <a:noFill/>
              </a:ln>
            </c:spPr>
          </c:marker>
          <c:dLbls>
            <c:dLbl>
              <c:idx val="7"/>
              <c:layout>
                <c:manualLayout>
                  <c:x val="-1.9342251634456464E-2"/>
                  <c:y val="-2.1370986267718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61D7-4CC8-B995-9E6E7649F441}"/>
                </c:ext>
              </c:extLst>
            </c:dLbl>
            <c:dLbl>
              <c:idx val="8"/>
              <c:layout>
                <c:manualLayout>
                  <c:x val="-1.9345964074931898E-2"/>
                  <c:y val="-2.13709862677182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61D7-4CC8-B995-9E6E7649F441}"/>
                </c:ext>
              </c:extLst>
            </c:dLbl>
            <c:dLbl>
              <c:idx val="9"/>
              <c:layout>
                <c:manualLayout>
                  <c:x val="-1.9334717564079999E-2"/>
                  <c:y val="-2.2297490641066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61D7-4CC8-B995-9E6E7649F441}"/>
                </c:ext>
              </c:extLst>
            </c:dLbl>
            <c:dLbl>
              <c:idx val="10"/>
              <c:layout>
                <c:manualLayout>
                  <c:x val="-2.0725135711537262E-2"/>
                  <c:y val="-2.4718602892409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61D7-4CC8-B995-9E6E7649F441}"/>
                </c:ext>
              </c:extLst>
            </c:dLbl>
            <c:dLbl>
              <c:idx val="11"/>
              <c:layout>
                <c:manualLayout>
                  <c:x val="-1.8961180538600863E-2"/>
                  <c:y val="-2.35343549156109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61D7-4CC8-B995-9E6E7649F441}"/>
                </c:ext>
              </c:extLst>
            </c:dLbl>
            <c:dLbl>
              <c:idx val="12"/>
              <c:layout>
                <c:manualLayout>
                  <c:x val="-2.0302572633897901E-2"/>
                  <c:y val="-2.3647213061500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61D7-4CC8-B995-9E6E7649F441}"/>
                </c:ext>
              </c:extLst>
            </c:dLbl>
            <c:dLbl>
              <c:idx val="13"/>
              <c:layout>
                <c:manualLayout>
                  <c:x val="-2.4553259036990436E-2"/>
                  <c:y val="-1.89177448633016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61D7-4CC8-B995-9E6E7649F441}"/>
                </c:ext>
              </c:extLst>
            </c:dLbl>
            <c:dLbl>
              <c:idx val="14"/>
              <c:layout>
                <c:manualLayout>
                  <c:x val="-2.3573997018692019E-2"/>
                  <c:y val="-1.9368898010741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F-61D7-4CC8-B995-9E6E7649F441}"/>
                </c:ext>
              </c:extLst>
            </c:dLbl>
            <c:dLbl>
              <c:idx val="15"/>
              <c:layout>
                <c:manualLayout>
                  <c:x val="-2.0800585604728163E-2"/>
                  <c:y val="-1.21055612567135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61D7-4CC8-B995-9E6E7649F441}"/>
                </c:ext>
              </c:extLst>
            </c:dLbl>
            <c:dLbl>
              <c:idx val="16"/>
              <c:layout>
                <c:manualLayout>
                  <c:x val="-2.3573997018691919E-2"/>
                  <c:y val="-2.4211122513427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61D7-4CC8-B995-9E6E7649F441}"/>
                </c:ext>
              </c:extLst>
            </c:dLbl>
            <c:spPr>
              <a:noFill/>
              <a:ln>
                <a:noFill/>
              </a:ln>
              <a:effectLst/>
            </c:spPr>
            <c:txPr>
              <a:bodyPr wrap="square" lIns="38100" tIns="19050" rIns="38100" bIns="19050" anchor="ctr">
                <a:spAutoFit/>
              </a:bodyPr>
              <a:lstStyle/>
              <a:p>
                <a:pPr>
                  <a:defRPr sz="900">
                    <a:solidFill>
                      <a:srgbClr val="7030A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Sheet1!$B$64:$L$64</c:f>
              <c:strCache>
                <c:ptCount val="11"/>
                <c:pt idx="0">
                  <c:v>2019</c:v>
                </c:pt>
                <c:pt idx="1">
                  <c:v>Q1 '20</c:v>
                </c:pt>
                <c:pt idx="2">
                  <c:v>Q2 '20</c:v>
                </c:pt>
                <c:pt idx="3">
                  <c:v>Q3 '20</c:v>
                </c:pt>
                <c:pt idx="4">
                  <c:v>Q4 '20</c:v>
                </c:pt>
                <c:pt idx="5">
                  <c:v>Q1 '21</c:v>
                </c:pt>
                <c:pt idx="6">
                  <c:v>Q2 '21</c:v>
                </c:pt>
                <c:pt idx="7">
                  <c:v>Q3 '21</c:v>
                </c:pt>
                <c:pt idx="8">
                  <c:v>Q4 '21</c:v>
                </c:pt>
                <c:pt idx="9">
                  <c:v>Q1 '22</c:v>
                </c:pt>
                <c:pt idx="10">
                  <c:v>Apr '22</c:v>
                </c:pt>
              </c:strCache>
            </c:strRef>
          </c:cat>
          <c:val>
            <c:numRef>
              <c:f>Sheet1!$B$68:$L$68</c:f>
              <c:numCache>
                <c:formatCode>General</c:formatCode>
                <c:ptCount val="11"/>
                <c:pt idx="5" formatCode="0%">
                  <c:v>9.5000000000000001E-2</c:v>
                </c:pt>
                <c:pt idx="6" formatCode="0%">
                  <c:v>6.0999999999999999E-2</c:v>
                </c:pt>
                <c:pt idx="7" formatCode="0%">
                  <c:v>6.9000000000000006E-2</c:v>
                </c:pt>
                <c:pt idx="8" formatCode="0%">
                  <c:v>6.0999999999999999E-2</c:v>
                </c:pt>
                <c:pt idx="9" formatCode="0%">
                  <c:v>4.3999999999999997E-2</c:v>
                </c:pt>
                <c:pt idx="10" formatCode="0.0%">
                  <c:v>7.0000000000000001E-3</c:v>
                </c:pt>
              </c:numCache>
            </c:numRef>
          </c:val>
          <c:smooth val="0"/>
          <c:extLst>
            <c:ext xmlns:c16="http://schemas.microsoft.com/office/drawing/2014/chart" uri="{C3380CC4-5D6E-409C-BE32-E72D297353CC}">
              <c16:uniqueId val="{00000032-61D7-4CC8-B995-9E6E7649F441}"/>
            </c:ext>
          </c:extLst>
        </c:ser>
        <c:dLbls>
          <c:showLegendKey val="0"/>
          <c:showVal val="1"/>
          <c:showCatName val="0"/>
          <c:showSerName val="0"/>
          <c:showPercent val="0"/>
          <c:showBubbleSize val="0"/>
        </c:dLbls>
        <c:smooth val="0"/>
        <c:axId val="147973248"/>
        <c:axId val="147974784"/>
      </c:lineChart>
      <c:catAx>
        <c:axId val="147973248"/>
        <c:scaling>
          <c:orientation val="minMax"/>
        </c:scaling>
        <c:delete val="0"/>
        <c:axPos val="b"/>
        <c:numFmt formatCode="General" sourceLinked="0"/>
        <c:majorTickMark val="none"/>
        <c:minorTickMark val="none"/>
        <c:tickLblPos val="nextTo"/>
        <c:crossAx val="147974784"/>
        <c:crosses val="autoZero"/>
        <c:auto val="1"/>
        <c:lblAlgn val="ctr"/>
        <c:lblOffset val="100"/>
        <c:noMultiLvlLbl val="0"/>
      </c:catAx>
      <c:valAx>
        <c:axId val="147974784"/>
        <c:scaling>
          <c:orientation val="minMax"/>
        </c:scaling>
        <c:delete val="1"/>
        <c:axPos val="l"/>
        <c:numFmt formatCode="0%" sourceLinked="1"/>
        <c:majorTickMark val="none"/>
        <c:minorTickMark val="none"/>
        <c:tickLblPos val="none"/>
        <c:crossAx val="147973248"/>
        <c:crosses val="autoZero"/>
        <c:crossBetween val="between"/>
      </c:valAx>
    </c:plotArea>
    <c:legend>
      <c:legendPos val="t"/>
      <c:overlay val="0"/>
      <c:txPr>
        <a:bodyPr/>
        <a:lstStyle/>
        <a:p>
          <a:pPr>
            <a:defRPr sz="900"/>
          </a:pPr>
          <a:endParaRPr lang="en-US"/>
        </a:p>
      </c:txPr>
    </c:legend>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BC50A1FC79394A9023C6A5DFA7A09D" ma:contentTypeVersion="13" ma:contentTypeDescription="Create a new document." ma:contentTypeScope="" ma:versionID="79705aaae5de6f9ed494cfeb67a4f3c7">
  <xsd:schema xmlns:xsd="http://www.w3.org/2001/XMLSchema" xmlns:xs="http://www.w3.org/2001/XMLSchema" xmlns:p="http://schemas.microsoft.com/office/2006/metadata/properties" xmlns:ns3="4f61ba3f-198b-401e-8f2f-b2c662dca9cb" xmlns:ns4="b9b95171-1552-4127-953a-44d049f6e73c" targetNamespace="http://schemas.microsoft.com/office/2006/metadata/properties" ma:root="true" ma:fieldsID="b556130ecffddc83dc8ca6d01a721ba0" ns3:_="" ns4:_="">
    <xsd:import namespace="4f61ba3f-198b-401e-8f2f-b2c662dca9cb"/>
    <xsd:import namespace="b9b95171-1552-4127-953a-44d049f6e7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61ba3f-198b-401e-8f2f-b2c662dca9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b95171-1552-4127-953a-44d049f6e7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3BEEF-BB43-4692-BD09-7A0D07B70B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12EC2-62BE-486D-9F59-FCA114384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61ba3f-198b-401e-8f2f-b2c662dca9cb"/>
    <ds:schemaRef ds:uri="b9b95171-1552-4127-953a-44d049f6e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89BB5F-1791-4D16-A7A4-E5D20A12264F}">
  <ds:schemaRefs>
    <ds:schemaRef ds:uri="http://schemas.openxmlformats.org/officeDocument/2006/bibliography"/>
  </ds:schemaRefs>
</ds:datastoreItem>
</file>

<file path=customXml/itemProps4.xml><?xml version="1.0" encoding="utf-8"?>
<ds:datastoreItem xmlns:ds="http://schemas.openxmlformats.org/officeDocument/2006/customXml" ds:itemID="{27FB094F-237B-42B9-A007-1B37B12C3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2875</Words>
  <Characters>16391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Anne-Marie Roerink</cp:lastModifiedBy>
  <cp:revision>19</cp:revision>
  <dcterms:created xsi:type="dcterms:W3CDTF">2022-04-11T13:27:00Z</dcterms:created>
  <dcterms:modified xsi:type="dcterms:W3CDTF">2022-05-06T17:13:00Z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0x010100F7BC50A1FC79394A9023C6A5DFA7A09D</vt:lpwstr>
  </property>
</Properties>
</file>