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E98" w14:textId="739030A9" w:rsidR="003935EB" w:rsidRPr="001D030C" w:rsidRDefault="005B1FDC"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 xml:space="preserve">Inflationary Levels in Fresh Produce </w:t>
      </w:r>
      <w:r w:rsidR="00A035B0">
        <w:rPr>
          <w:rFonts w:ascii="Arial" w:hAnsi="Arial" w:cs="Arial"/>
          <w:color w:val="595959" w:themeColor="text1" w:themeTint="A6"/>
          <w:szCs w:val="32"/>
        </w:rPr>
        <w:t>Stabilize in May 2022</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rPr>
        <w:drawing>
          <wp:anchor distT="0" distB="0" distL="114300" distR="114300" simplePos="0" relativeHeight="251659264" behindDoc="0" locked="1" layoutInCell="1" allowOverlap="1" wp14:anchorId="124ABB56" wp14:editId="58017E60">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6C9EE8E2" w14:textId="77777777" w:rsidR="005B1FDC" w:rsidRDefault="005B1FDC" w:rsidP="005B1FDC">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The May Marketplace</w:t>
      </w:r>
    </w:p>
    <w:p w14:paraId="27591D50" w14:textId="19C853A9" w:rsidR="005B1FDC" w:rsidRDefault="005B1FDC" w:rsidP="005B1FDC">
      <w:pPr>
        <w:pStyle w:val="NoSpacing"/>
        <w:rPr>
          <w:rFonts w:ascii="Arial" w:hAnsi="Arial" w:cs="Arial"/>
          <w:sz w:val="20"/>
          <w:szCs w:val="20"/>
        </w:rPr>
      </w:pPr>
      <w:r>
        <w:rPr>
          <w:rFonts w:ascii="Arial" w:hAnsi="Arial" w:cs="Arial"/>
          <w:sz w:val="20"/>
          <w:szCs w:val="20"/>
        </w:rPr>
        <w:t>The height, the widespread nature and the continued acceleration of inflation dominated the headlines in May. Whether in the grocery store, at the pump or at the movies, consumers were paying more. “But the focus on inflation is not limited to the media headlines,” said Jonna Parker, Team Lead</w:t>
      </w:r>
      <w:r w:rsidR="00676B67">
        <w:rPr>
          <w:rFonts w:ascii="Arial" w:hAnsi="Arial" w:cs="Arial"/>
          <w:sz w:val="20"/>
          <w:szCs w:val="20"/>
        </w:rPr>
        <w:t xml:space="preserve"> of the</w:t>
      </w:r>
      <w:r>
        <w:rPr>
          <w:rFonts w:ascii="Arial" w:hAnsi="Arial" w:cs="Arial"/>
          <w:sz w:val="20"/>
          <w:szCs w:val="20"/>
        </w:rPr>
        <w:t xml:space="preserve"> Fresh</w:t>
      </w:r>
      <w:r w:rsidR="00676B67">
        <w:rPr>
          <w:rFonts w:ascii="Arial" w:hAnsi="Arial" w:cs="Arial"/>
          <w:sz w:val="20"/>
          <w:szCs w:val="20"/>
        </w:rPr>
        <w:t xml:space="preserve"> Foods practice at</w:t>
      </w:r>
      <w:r>
        <w:rPr>
          <w:rFonts w:ascii="Arial" w:hAnsi="Arial" w:cs="Arial"/>
          <w:sz w:val="20"/>
          <w:szCs w:val="20"/>
        </w:rPr>
        <w:t xml:space="preserve"> IRI. “According to the May edition of the IRI monthly survey of primary shoppers, consumers are </w:t>
      </w:r>
      <w:r w:rsidR="00676B67">
        <w:rPr>
          <w:rFonts w:ascii="Arial" w:hAnsi="Arial" w:cs="Arial"/>
          <w:sz w:val="20"/>
          <w:szCs w:val="20"/>
        </w:rPr>
        <w:t>extremely aware</w:t>
      </w:r>
      <w:r>
        <w:rPr>
          <w:rFonts w:ascii="Arial" w:hAnsi="Arial" w:cs="Arial"/>
          <w:sz w:val="20"/>
          <w:szCs w:val="20"/>
        </w:rPr>
        <w:t xml:space="preserve"> and many are applying lessons learned during the Great Recession to tighten spending.”  </w:t>
      </w:r>
    </w:p>
    <w:p w14:paraId="20C65F9B" w14:textId="77777777" w:rsidR="005B1FDC" w:rsidRDefault="005B1FDC" w:rsidP="005B1FDC">
      <w:pPr>
        <w:pStyle w:val="NoSpacing"/>
        <w:numPr>
          <w:ilvl w:val="0"/>
          <w:numId w:val="24"/>
        </w:numPr>
        <w:rPr>
          <w:rFonts w:ascii="Arial" w:hAnsi="Arial" w:cs="Arial"/>
          <w:sz w:val="20"/>
          <w:szCs w:val="20"/>
        </w:rPr>
      </w:pPr>
      <w:r w:rsidRPr="00FA5EBA">
        <w:rPr>
          <w:rFonts w:ascii="Arial" w:hAnsi="Arial" w:cs="Arial"/>
          <w:sz w:val="20"/>
          <w:szCs w:val="20"/>
        </w:rPr>
        <w:t>Awareness of inflation has been extremely high since early fall of 2021. The difference</w:t>
      </w:r>
      <w:r>
        <w:rPr>
          <w:rFonts w:ascii="Arial" w:hAnsi="Arial" w:cs="Arial"/>
          <w:sz w:val="20"/>
          <w:szCs w:val="20"/>
        </w:rPr>
        <w:t xml:space="preserve"> between then and now is </w:t>
      </w:r>
      <w:r w:rsidRPr="00FA5EBA">
        <w:rPr>
          <w:rFonts w:ascii="Arial" w:hAnsi="Arial" w:cs="Arial"/>
          <w:sz w:val="20"/>
          <w:szCs w:val="20"/>
        </w:rPr>
        <w:t xml:space="preserve">the level of </w:t>
      </w:r>
      <w:r>
        <w:rPr>
          <w:rFonts w:ascii="Arial" w:hAnsi="Arial" w:cs="Arial"/>
          <w:sz w:val="20"/>
          <w:szCs w:val="20"/>
        </w:rPr>
        <w:t xml:space="preserve">consumer </w:t>
      </w:r>
      <w:r w:rsidRPr="00FA5EBA">
        <w:rPr>
          <w:rFonts w:ascii="Arial" w:hAnsi="Arial" w:cs="Arial"/>
          <w:sz w:val="20"/>
          <w:szCs w:val="20"/>
        </w:rPr>
        <w:t xml:space="preserve">concern </w:t>
      </w:r>
      <w:r>
        <w:rPr>
          <w:rFonts w:ascii="Arial" w:hAnsi="Arial" w:cs="Arial"/>
          <w:sz w:val="20"/>
          <w:szCs w:val="20"/>
        </w:rPr>
        <w:t xml:space="preserve">about inflation </w:t>
      </w:r>
      <w:r w:rsidRPr="00FA5EBA">
        <w:rPr>
          <w:rFonts w:ascii="Arial" w:hAnsi="Arial" w:cs="Arial"/>
          <w:sz w:val="20"/>
          <w:szCs w:val="20"/>
        </w:rPr>
        <w:t>and the subsequent reactions</w:t>
      </w:r>
      <w:r>
        <w:rPr>
          <w:rFonts w:ascii="Arial" w:hAnsi="Arial" w:cs="Arial"/>
          <w:sz w:val="20"/>
          <w:szCs w:val="20"/>
        </w:rPr>
        <w:t xml:space="preserve"> when buying groceries, which are intensifying by the month</w:t>
      </w:r>
      <w:r w:rsidRPr="00FA5EBA">
        <w:rPr>
          <w:rFonts w:ascii="Arial" w:hAnsi="Arial" w:cs="Arial"/>
          <w:sz w:val="20"/>
          <w:szCs w:val="20"/>
        </w:rPr>
        <w:t xml:space="preserve">. </w:t>
      </w:r>
      <w:r>
        <w:rPr>
          <w:rFonts w:ascii="Arial" w:hAnsi="Arial" w:cs="Arial"/>
          <w:sz w:val="20"/>
          <w:szCs w:val="20"/>
        </w:rPr>
        <w:t>In May, 95% of consumers were concerned over rising prices, of whom 48% were very concerned. Additionally, 92% of consumers were concerned about higher gas prices, of whom 55% were extremely worried. In contrast, only 23% of consumers had extreme concern over COVID-19 in May 2022.</w:t>
      </w:r>
    </w:p>
    <w:p w14:paraId="754E731B" w14:textId="77777777" w:rsidR="005B1FDC" w:rsidRDefault="005B1FDC" w:rsidP="005B1FDC">
      <w:pPr>
        <w:pStyle w:val="NoSpacing"/>
        <w:numPr>
          <w:ilvl w:val="0"/>
          <w:numId w:val="24"/>
        </w:numPr>
        <w:rPr>
          <w:rFonts w:ascii="Arial" w:hAnsi="Arial" w:cs="Arial"/>
          <w:sz w:val="20"/>
          <w:szCs w:val="20"/>
        </w:rPr>
      </w:pPr>
      <w:r>
        <w:rPr>
          <w:rFonts w:ascii="Arial" w:hAnsi="Arial" w:cs="Arial"/>
          <w:sz w:val="20"/>
          <w:szCs w:val="20"/>
        </w:rPr>
        <w:t>The widespread nature and height of inflation is pressuring spending for many consumers, including 38% who described their financial health as strained. Thirty percent of American households stated they struggle affording needed groceries.</w:t>
      </w:r>
    </w:p>
    <w:p w14:paraId="5DA2BCAE" w14:textId="340A361B" w:rsidR="005B1FDC" w:rsidRPr="007C654C" w:rsidRDefault="005B1FDC" w:rsidP="005B1FDC">
      <w:pPr>
        <w:pStyle w:val="NoSpacing"/>
        <w:numPr>
          <w:ilvl w:val="0"/>
          <w:numId w:val="23"/>
        </w:numPr>
        <w:rPr>
          <w:rFonts w:ascii="Arial" w:hAnsi="Arial" w:cs="Arial"/>
          <w:sz w:val="20"/>
          <w:szCs w:val="20"/>
        </w:rPr>
      </w:pPr>
      <w:r w:rsidRPr="007C654C">
        <w:rPr>
          <w:rFonts w:ascii="Arial" w:hAnsi="Arial" w:cs="Arial"/>
          <w:sz w:val="20"/>
          <w:szCs w:val="20"/>
        </w:rPr>
        <w:t xml:space="preserve">Whereas in the fall of 2021 less than 50% made changes to their grocery shopping patterns and choices, 77% of consumers chose differently when buying groceries in May. </w:t>
      </w:r>
      <w:r>
        <w:rPr>
          <w:rFonts w:ascii="Arial" w:hAnsi="Arial" w:cs="Arial"/>
          <w:sz w:val="20"/>
          <w:szCs w:val="20"/>
        </w:rPr>
        <w:t>“</w:t>
      </w:r>
      <w:r w:rsidRPr="007C654C">
        <w:rPr>
          <w:rFonts w:ascii="Arial" w:hAnsi="Arial" w:cs="Arial"/>
          <w:sz w:val="20"/>
          <w:szCs w:val="20"/>
        </w:rPr>
        <w:t>This was up another six points from the April survey when 71% of consumers bought differently</w:t>
      </w:r>
      <w:r>
        <w:rPr>
          <w:rFonts w:ascii="Arial" w:hAnsi="Arial" w:cs="Arial"/>
          <w:sz w:val="20"/>
          <w:szCs w:val="20"/>
        </w:rPr>
        <w:t>,” explained Parker</w:t>
      </w:r>
      <w:r w:rsidRPr="007C654C">
        <w:rPr>
          <w:rFonts w:ascii="Arial" w:hAnsi="Arial" w:cs="Arial"/>
          <w:sz w:val="20"/>
          <w:szCs w:val="20"/>
        </w:rPr>
        <w:t>.</w:t>
      </w:r>
      <w:r>
        <w:rPr>
          <w:rFonts w:ascii="Arial" w:hAnsi="Arial" w:cs="Arial"/>
          <w:sz w:val="20"/>
          <w:szCs w:val="20"/>
        </w:rPr>
        <w:t xml:space="preserve"> </w:t>
      </w:r>
      <w:r w:rsidRPr="007C654C">
        <w:rPr>
          <w:rFonts w:ascii="Arial" w:hAnsi="Arial" w:cs="Arial"/>
          <w:sz w:val="20"/>
          <w:szCs w:val="20"/>
        </w:rPr>
        <w:t xml:space="preserve">The measures to combat inflation’s impact on the grocery bill are widespread, including stocking up out of fear that items may cost more on future shopping trips (20%) or may simply not be available (16%) — further pressuring in-stock conditions. Another tactic is making a list and sticking to it, according to 39% of shoppers, which tends to impact items with an impulse nature. </w:t>
      </w:r>
    </w:p>
    <w:p w14:paraId="472D5260" w14:textId="24846146" w:rsidR="005B1FDC" w:rsidRPr="007C654C" w:rsidRDefault="005B1FDC" w:rsidP="005B1FDC">
      <w:pPr>
        <w:pStyle w:val="NoSpacing"/>
        <w:numPr>
          <w:ilvl w:val="0"/>
          <w:numId w:val="23"/>
        </w:numPr>
        <w:rPr>
          <w:rFonts w:ascii="Arial" w:hAnsi="Arial" w:cs="Arial"/>
          <w:sz w:val="20"/>
          <w:szCs w:val="20"/>
        </w:rPr>
      </w:pPr>
      <w:r w:rsidRPr="007C654C">
        <w:rPr>
          <w:rFonts w:ascii="Arial" w:hAnsi="Arial" w:cs="Arial"/>
          <w:sz w:val="20"/>
          <w:szCs w:val="20"/>
        </w:rPr>
        <w:t xml:space="preserve">At the same time that 45% of consumers looked for sales specials, 55% said that fewer of the items they want are on sale and 42% felt that items were not discounted as much, according to the May survey. </w:t>
      </w:r>
      <w:r>
        <w:rPr>
          <w:rFonts w:ascii="Arial" w:hAnsi="Arial" w:cs="Arial"/>
          <w:sz w:val="20"/>
          <w:szCs w:val="20"/>
        </w:rPr>
        <w:t>“</w:t>
      </w:r>
      <w:r w:rsidRPr="007C654C">
        <w:rPr>
          <w:rFonts w:ascii="Arial" w:hAnsi="Arial" w:cs="Arial"/>
          <w:sz w:val="20"/>
          <w:szCs w:val="20"/>
        </w:rPr>
        <w:t>This</w:t>
      </w:r>
      <w:r>
        <w:rPr>
          <w:rFonts w:ascii="Arial" w:hAnsi="Arial" w:cs="Arial"/>
          <w:sz w:val="20"/>
          <w:szCs w:val="20"/>
        </w:rPr>
        <w:t xml:space="preserve"> lack of promotions</w:t>
      </w:r>
      <w:r w:rsidRPr="007C654C">
        <w:rPr>
          <w:rFonts w:ascii="Arial" w:hAnsi="Arial" w:cs="Arial"/>
          <w:sz w:val="20"/>
          <w:szCs w:val="20"/>
        </w:rPr>
        <w:t xml:space="preserve"> is compounding the inflationary pressure</w:t>
      </w:r>
      <w:r>
        <w:rPr>
          <w:rFonts w:ascii="Arial" w:hAnsi="Arial" w:cs="Arial"/>
          <w:sz w:val="20"/>
          <w:szCs w:val="20"/>
        </w:rPr>
        <w:t>,” agreed Parker and she pointed out that c</w:t>
      </w:r>
      <w:r w:rsidRPr="007C654C">
        <w:rPr>
          <w:rFonts w:ascii="Arial" w:hAnsi="Arial" w:cs="Arial"/>
          <w:sz w:val="20"/>
          <w:szCs w:val="20"/>
        </w:rPr>
        <w:t xml:space="preserve">reative approaches such as shorter sales and cross-category promotions could be a much-needed answer. Other popular money-saving measures included cutting back on non-essentials (36%), looking for coupons (28%), buying more private brands (24%) and buying fewer items (23%). </w:t>
      </w:r>
    </w:p>
    <w:p w14:paraId="30BE0DAF" w14:textId="4D20E9A2" w:rsidR="005B1FDC" w:rsidRDefault="005B1FDC" w:rsidP="005B1FDC">
      <w:pPr>
        <w:pStyle w:val="NoSpacing"/>
        <w:numPr>
          <w:ilvl w:val="0"/>
          <w:numId w:val="23"/>
        </w:numPr>
        <w:rPr>
          <w:rFonts w:ascii="Arial" w:hAnsi="Arial" w:cs="Arial"/>
          <w:sz w:val="20"/>
          <w:szCs w:val="20"/>
        </w:rPr>
      </w:pPr>
      <w:r>
        <w:rPr>
          <w:rFonts w:ascii="Arial" w:hAnsi="Arial" w:cs="Arial"/>
          <w:sz w:val="20"/>
          <w:szCs w:val="20"/>
        </w:rPr>
        <w:t xml:space="preserve">Despite the high gas prices, 16% of consumers visited more stores in May than they normally do to capitalize on sales promotions or everyday low prices. An even higher 19% shopped value-focused retailers including dollar stores, ALDI, Lidl and others. “Switching stores is typically one of the very last measures consumers take, but this time around, it is already in the mix,” said Parker. “This is a telltale sign of consumers’ level of concern and true pressure on income in the light of the high gasoline prices.” </w:t>
      </w:r>
    </w:p>
    <w:p w14:paraId="061FC021" w14:textId="77777777" w:rsidR="005B1FDC" w:rsidRPr="00407293" w:rsidRDefault="005B1FDC" w:rsidP="005B1FDC">
      <w:pPr>
        <w:pStyle w:val="NoSpacing"/>
        <w:numPr>
          <w:ilvl w:val="0"/>
          <w:numId w:val="23"/>
        </w:numPr>
        <w:rPr>
          <w:rFonts w:ascii="Arial" w:hAnsi="Arial" w:cs="Arial"/>
          <w:sz w:val="20"/>
          <w:szCs w:val="20"/>
        </w:rPr>
      </w:pPr>
      <w:r w:rsidRPr="00407293">
        <w:rPr>
          <w:rFonts w:ascii="Arial" w:hAnsi="Arial" w:cs="Arial"/>
          <w:sz w:val="20"/>
          <w:szCs w:val="20"/>
        </w:rPr>
        <w:t>The share of home-prepared meals continued to average around 80%. Consumers would like to eat out more, but recognize home-cooked meals are cheaper. They have become more strategic in their restaurant choices and subsequent orders</w:t>
      </w:r>
      <w:r>
        <w:rPr>
          <w:rFonts w:ascii="Arial" w:hAnsi="Arial" w:cs="Arial"/>
          <w:sz w:val="20"/>
          <w:szCs w:val="20"/>
        </w:rPr>
        <w:t xml:space="preserve"> — opening the door for retailers to sell the sides, beverage or dessert</w:t>
      </w:r>
      <w:r w:rsidRPr="00407293">
        <w:rPr>
          <w:rFonts w:ascii="Arial" w:hAnsi="Arial" w:cs="Arial"/>
          <w:sz w:val="20"/>
          <w:szCs w:val="20"/>
        </w:rPr>
        <w:t>. Restaurant takeout remain</w:t>
      </w:r>
      <w:r>
        <w:rPr>
          <w:rFonts w:ascii="Arial" w:hAnsi="Arial" w:cs="Arial"/>
          <w:sz w:val="20"/>
          <w:szCs w:val="20"/>
        </w:rPr>
        <w:t>ed</w:t>
      </w:r>
      <w:r w:rsidRPr="00407293">
        <w:rPr>
          <w:rFonts w:ascii="Arial" w:hAnsi="Arial" w:cs="Arial"/>
          <w:sz w:val="20"/>
          <w:szCs w:val="20"/>
        </w:rPr>
        <w:t xml:space="preserve"> big</w:t>
      </w:r>
      <w:r>
        <w:rPr>
          <w:rFonts w:ascii="Arial" w:hAnsi="Arial" w:cs="Arial"/>
          <w:sz w:val="20"/>
          <w:szCs w:val="20"/>
        </w:rPr>
        <w:t xml:space="preserve"> in May</w:t>
      </w:r>
      <w:r w:rsidRPr="00407293">
        <w:rPr>
          <w:rFonts w:ascii="Arial" w:hAnsi="Arial" w:cs="Arial"/>
          <w:sz w:val="20"/>
          <w:szCs w:val="20"/>
        </w:rPr>
        <w:t>, at 5</w:t>
      </w:r>
      <w:r>
        <w:rPr>
          <w:rFonts w:ascii="Arial" w:hAnsi="Arial" w:cs="Arial"/>
          <w:sz w:val="20"/>
          <w:szCs w:val="20"/>
        </w:rPr>
        <w:t>4</w:t>
      </w:r>
      <w:r w:rsidRPr="00407293">
        <w:rPr>
          <w:rFonts w:ascii="Arial" w:hAnsi="Arial" w:cs="Arial"/>
          <w:sz w:val="20"/>
          <w:szCs w:val="20"/>
        </w:rPr>
        <w:t xml:space="preserve">% of consumers, which may also be a money-saving tactic versus eating on premise. </w:t>
      </w:r>
    </w:p>
    <w:p w14:paraId="57F748EA" w14:textId="77777777" w:rsidR="00625436" w:rsidRDefault="00625436" w:rsidP="00941D8A">
      <w:pPr>
        <w:pStyle w:val="NoSpacing"/>
        <w:rPr>
          <w:rFonts w:ascii="Arial" w:hAnsi="Arial" w:cs="Arial"/>
          <w:sz w:val="20"/>
          <w:szCs w:val="20"/>
        </w:rPr>
      </w:pPr>
    </w:p>
    <w:p w14:paraId="6826E2FD" w14:textId="5A6C5152" w:rsidR="00941D8A" w:rsidRDefault="00D65642" w:rsidP="00941D8A">
      <w:pPr>
        <w:pStyle w:val="NoSpacing"/>
        <w:rPr>
          <w:rFonts w:ascii="Arial" w:hAnsi="Arial" w:cs="Arial"/>
          <w:sz w:val="20"/>
          <w:szCs w:val="20"/>
        </w:rPr>
      </w:pPr>
      <w:r>
        <w:rPr>
          <w:rFonts w:ascii="Arial" w:hAnsi="Arial" w:cs="Arial"/>
          <w:sz w:val="20"/>
          <w:szCs w:val="20"/>
        </w:rPr>
        <w:t>“</w:t>
      </w:r>
      <w:r w:rsidR="005B1FDC">
        <w:rPr>
          <w:rFonts w:ascii="Arial" w:hAnsi="Arial" w:cs="Arial"/>
          <w:sz w:val="20"/>
          <w:szCs w:val="20"/>
        </w:rPr>
        <w:t>Compared with the fall of 2021, inflation is higher, more people are making changes and the supply chain challenges from labels to packaging to transportation and labor continue to be significant,” said</w:t>
      </w:r>
      <w:r w:rsidR="005B1FDC" w:rsidRPr="008B729A">
        <w:rPr>
          <w:rFonts w:ascii="Arial" w:hAnsi="Arial" w:cs="Arial"/>
          <w:sz w:val="20"/>
          <w:szCs w:val="20"/>
        </w:rPr>
        <w:t xml:space="preserve"> </w:t>
      </w:r>
      <w:r w:rsidR="005B1FDC">
        <w:rPr>
          <w:rFonts w:ascii="Arial" w:hAnsi="Arial" w:cs="Arial"/>
          <w:sz w:val="20"/>
          <w:szCs w:val="20"/>
        </w:rPr>
        <w:t xml:space="preserve">Joe Watson, VP, Retail, Foodservice &amp; Wholesale for IFPA. </w:t>
      </w:r>
      <w:r w:rsidR="00611545">
        <w:rPr>
          <w:rFonts w:ascii="Arial" w:hAnsi="Arial" w:cs="Arial"/>
          <w:sz w:val="20"/>
          <w:szCs w:val="20"/>
        </w:rPr>
        <w:t>“</w:t>
      </w:r>
      <w:r w:rsidR="008B729A">
        <w:rPr>
          <w:rFonts w:ascii="Arial" w:hAnsi="Arial" w:cs="Arial"/>
          <w:sz w:val="20"/>
          <w:szCs w:val="20"/>
        </w:rPr>
        <w:t>T</w:t>
      </w:r>
      <w:r w:rsidR="007352EE">
        <w:rPr>
          <w:rFonts w:ascii="Arial" w:hAnsi="Arial" w:cs="Arial"/>
          <w:sz w:val="20"/>
          <w:szCs w:val="20"/>
        </w:rPr>
        <w:t>he consumer</w:t>
      </w:r>
      <w:r w:rsidR="008B729A">
        <w:rPr>
          <w:rFonts w:ascii="Arial" w:hAnsi="Arial" w:cs="Arial"/>
          <w:sz w:val="20"/>
          <w:szCs w:val="20"/>
        </w:rPr>
        <w:t xml:space="preserve"> </w:t>
      </w:r>
      <w:r w:rsidR="00611545">
        <w:rPr>
          <w:rFonts w:ascii="Arial" w:hAnsi="Arial" w:cs="Arial"/>
          <w:sz w:val="20"/>
          <w:szCs w:val="20"/>
        </w:rPr>
        <w:t xml:space="preserve">reactions </w:t>
      </w:r>
      <w:r w:rsidR="007352EE">
        <w:rPr>
          <w:rFonts w:ascii="Arial" w:hAnsi="Arial" w:cs="Arial"/>
          <w:sz w:val="20"/>
          <w:szCs w:val="20"/>
        </w:rPr>
        <w:t xml:space="preserve">combined with </w:t>
      </w:r>
      <w:r w:rsidR="00611545">
        <w:rPr>
          <w:rFonts w:ascii="Arial" w:hAnsi="Arial" w:cs="Arial"/>
          <w:sz w:val="20"/>
          <w:szCs w:val="20"/>
        </w:rPr>
        <w:t xml:space="preserve">supply side </w:t>
      </w:r>
      <w:r w:rsidR="007352EE">
        <w:rPr>
          <w:rFonts w:ascii="Arial" w:hAnsi="Arial" w:cs="Arial"/>
          <w:sz w:val="20"/>
          <w:szCs w:val="20"/>
        </w:rPr>
        <w:t>volatility</w:t>
      </w:r>
      <w:r w:rsidR="008B729A">
        <w:rPr>
          <w:rFonts w:ascii="Arial" w:hAnsi="Arial" w:cs="Arial"/>
          <w:sz w:val="20"/>
          <w:szCs w:val="20"/>
        </w:rPr>
        <w:t xml:space="preserve"> are creating an environment of continued change and uncertainty</w:t>
      </w:r>
      <w:r w:rsidR="00611545">
        <w:rPr>
          <w:rFonts w:ascii="Arial" w:hAnsi="Arial" w:cs="Arial"/>
          <w:sz w:val="20"/>
          <w:szCs w:val="20"/>
        </w:rPr>
        <w:t xml:space="preserve"> and </w:t>
      </w:r>
      <w:r w:rsidR="00941D8A">
        <w:rPr>
          <w:rFonts w:ascii="Arial" w:hAnsi="Arial" w:cs="Arial"/>
          <w:sz w:val="20"/>
          <w:szCs w:val="20"/>
        </w:rPr>
        <w:t xml:space="preserve">IRI, 210 Analytics and </w:t>
      </w:r>
      <w:r>
        <w:rPr>
          <w:rFonts w:ascii="Arial" w:hAnsi="Arial" w:cs="Arial"/>
          <w:sz w:val="20"/>
          <w:szCs w:val="20"/>
        </w:rPr>
        <w:t xml:space="preserve">IFPA </w:t>
      </w:r>
      <w:r w:rsidR="00611545">
        <w:rPr>
          <w:rFonts w:ascii="Arial" w:hAnsi="Arial" w:cs="Arial"/>
          <w:sz w:val="20"/>
          <w:szCs w:val="20"/>
        </w:rPr>
        <w:t xml:space="preserve">are committed to </w:t>
      </w:r>
      <w:r w:rsidR="00941D8A">
        <w:rPr>
          <w:rFonts w:ascii="Arial" w:hAnsi="Arial" w:cs="Arial"/>
          <w:sz w:val="20"/>
          <w:szCs w:val="20"/>
        </w:rPr>
        <w:t>bring</w:t>
      </w:r>
      <w:r w:rsidR="00611545">
        <w:rPr>
          <w:rFonts w:ascii="Arial" w:hAnsi="Arial" w:cs="Arial"/>
          <w:sz w:val="20"/>
          <w:szCs w:val="20"/>
        </w:rPr>
        <w:t>ing</w:t>
      </w:r>
      <w:r w:rsidR="00941D8A">
        <w:rPr>
          <w:rFonts w:ascii="Arial" w:hAnsi="Arial" w:cs="Arial"/>
          <w:sz w:val="20"/>
          <w:szCs w:val="20"/>
        </w:rPr>
        <w:t xml:space="preserve"> the latest trends and analysis relative to the </w:t>
      </w:r>
      <w:r>
        <w:rPr>
          <w:rFonts w:ascii="Arial" w:hAnsi="Arial" w:cs="Arial"/>
          <w:sz w:val="20"/>
          <w:szCs w:val="20"/>
        </w:rPr>
        <w:t xml:space="preserve">produce </w:t>
      </w:r>
      <w:r w:rsidR="00941D8A">
        <w:rPr>
          <w:rFonts w:ascii="Arial" w:hAnsi="Arial" w:cs="Arial"/>
          <w:sz w:val="20"/>
          <w:szCs w:val="20"/>
        </w:rPr>
        <w:t>department.</w:t>
      </w:r>
      <w:r w:rsidR="00611545">
        <w:rPr>
          <w:rFonts w:ascii="Arial" w:hAnsi="Arial" w:cs="Arial"/>
          <w:sz w:val="20"/>
          <w:szCs w:val="20"/>
        </w:rPr>
        <w:t>”</w:t>
      </w:r>
      <w:r w:rsidR="00941D8A">
        <w:rPr>
          <w:rFonts w:ascii="Arial" w:hAnsi="Arial" w:cs="Arial"/>
          <w:sz w:val="20"/>
          <w:szCs w:val="20"/>
        </w:rPr>
        <w:t xml:space="preserve"> </w:t>
      </w:r>
    </w:p>
    <w:p w14:paraId="67004921" w14:textId="6F59550E" w:rsidR="0034772B" w:rsidRPr="0034772B" w:rsidRDefault="0034772B" w:rsidP="00941D8A">
      <w:pPr>
        <w:pStyle w:val="NoSpacing"/>
        <w:rPr>
          <w:rFonts w:ascii="Arial" w:hAnsi="Arial" w:cs="Arial"/>
          <w:color w:val="595959" w:themeColor="text1" w:themeTint="A6"/>
          <w:sz w:val="20"/>
          <w:szCs w:val="20"/>
        </w:rPr>
      </w:pPr>
    </w:p>
    <w:p w14:paraId="3599DE8F" w14:textId="77777777" w:rsidR="00611545" w:rsidRPr="00355721" w:rsidRDefault="00611545" w:rsidP="00611545">
      <w:pPr>
        <w:pStyle w:val="NoSpacing"/>
        <w:rPr>
          <w:rFonts w:ascii="Arial" w:hAnsi="Arial" w:cs="Arial"/>
          <w:b/>
          <w:color w:val="595959" w:themeColor="text1" w:themeTint="A6"/>
          <w:sz w:val="24"/>
          <w:szCs w:val="20"/>
        </w:rPr>
      </w:pPr>
      <w:bookmarkStart w:id="0" w:name="_Hlk105831357"/>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6AFBF58B" w14:textId="75EC3248" w:rsidR="00611545" w:rsidRDefault="00611545" w:rsidP="00611545">
      <w:pPr>
        <w:pStyle w:val="NoSpacing"/>
        <w:rPr>
          <w:rFonts w:ascii="Arial" w:hAnsi="Arial" w:cs="Arial"/>
          <w:color w:val="000000" w:themeColor="text1"/>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accelerated further to an increase of 11.8% in the five weeks ending May 29, 2022 (“May”) versus the same five weeks in 2021. Inflation was in the double digits in the center of the store (+13.7%) as well as in perishables (+11.7%) and compared to May 2019, prices across all foods and beverages were up </w:t>
      </w:r>
      <w:r w:rsidR="00676B67">
        <w:rPr>
          <w:rFonts w:ascii="Arial" w:hAnsi="Arial" w:cs="Arial"/>
          <w:sz w:val="20"/>
          <w:szCs w:val="20"/>
        </w:rPr>
        <w:t>+</w:t>
      </w:r>
      <w:r>
        <w:rPr>
          <w:rFonts w:ascii="Arial" w:hAnsi="Arial" w:cs="Arial"/>
          <w:sz w:val="20"/>
          <w:szCs w:val="20"/>
        </w:rPr>
        <w:t xml:space="preserve">22.8%. </w:t>
      </w:r>
    </w:p>
    <w:p w14:paraId="5F07B2B5" w14:textId="77777777" w:rsidR="00611545" w:rsidRDefault="00611545" w:rsidP="00611545">
      <w:pPr>
        <w:pStyle w:val="NoSpacing"/>
        <w:rPr>
          <w:rFonts w:ascii="Arial" w:hAnsi="Arial" w:cs="Arial"/>
          <w:b/>
          <w:color w:val="595959" w:themeColor="text1" w:themeTint="A6"/>
          <w:sz w:val="24"/>
          <w:szCs w:val="20"/>
        </w:rPr>
      </w:pPr>
    </w:p>
    <w:tbl>
      <w:tblPr>
        <w:tblStyle w:val="LightShading-Accent5"/>
        <w:tblW w:w="10386"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520"/>
        <w:gridCol w:w="990"/>
        <w:gridCol w:w="720"/>
        <w:gridCol w:w="720"/>
        <w:gridCol w:w="720"/>
        <w:gridCol w:w="943"/>
        <w:gridCol w:w="943"/>
        <w:gridCol w:w="943"/>
        <w:gridCol w:w="943"/>
        <w:gridCol w:w="944"/>
      </w:tblGrid>
      <w:tr w:rsidR="00611545" w:rsidRPr="00770F6B" w14:paraId="69633018" w14:textId="77777777" w:rsidTr="00611545">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20" w:type="dxa"/>
            <w:shd w:val="clear" w:color="auto" w:fill="17365D" w:themeFill="text2" w:themeFillShade="BF"/>
            <w:vAlign w:val="center"/>
          </w:tcPr>
          <w:p w14:paraId="455FA218" w14:textId="456D08E9" w:rsidR="00611545" w:rsidRPr="00C37EEB" w:rsidRDefault="00611545" w:rsidP="0062091B">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 xml:space="preserve">Average price/unit vs. </w:t>
            </w:r>
            <w:r>
              <w:rPr>
                <w:rFonts w:ascii="Arial" w:hAnsi="Arial" w:cs="Arial"/>
                <w:bCs w:val="0"/>
                <w:color w:val="F2F2F2" w:themeColor="background1" w:themeShade="F2"/>
                <w:sz w:val="18"/>
                <w:szCs w:val="18"/>
              </w:rPr>
              <w:t>Y</w:t>
            </w:r>
            <w:r w:rsidRPr="00C37EEB">
              <w:rPr>
                <w:rFonts w:ascii="Arial" w:hAnsi="Arial" w:cs="Arial"/>
                <w:bCs w:val="0"/>
                <w:color w:val="F2F2F2" w:themeColor="background1" w:themeShade="F2"/>
                <w:sz w:val="18"/>
                <w:szCs w:val="18"/>
              </w:rPr>
              <w:t>A</w:t>
            </w:r>
          </w:p>
        </w:tc>
        <w:tc>
          <w:tcPr>
            <w:tcW w:w="990" w:type="dxa"/>
            <w:shd w:val="clear" w:color="auto" w:fill="17365D" w:themeFill="text2" w:themeFillShade="BF"/>
            <w:vAlign w:val="center"/>
          </w:tcPr>
          <w:p w14:paraId="00DA527B" w14:textId="77777777" w:rsidR="00611545" w:rsidRPr="006C208B"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720" w:type="dxa"/>
            <w:shd w:val="clear" w:color="auto" w:fill="17365D" w:themeFill="text2" w:themeFillShade="BF"/>
            <w:vAlign w:val="center"/>
          </w:tcPr>
          <w:p w14:paraId="529AF167" w14:textId="77777777" w:rsidR="00611545" w:rsidRPr="006C208B"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720" w:type="dxa"/>
            <w:shd w:val="clear" w:color="auto" w:fill="17365D" w:themeFill="text2" w:themeFillShade="BF"/>
            <w:vAlign w:val="center"/>
          </w:tcPr>
          <w:p w14:paraId="1D2BE984" w14:textId="77777777" w:rsidR="00611545" w:rsidRPr="006C208B"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720" w:type="dxa"/>
            <w:shd w:val="clear" w:color="auto" w:fill="17365D" w:themeFill="text2" w:themeFillShade="BF"/>
            <w:vAlign w:val="center"/>
          </w:tcPr>
          <w:p w14:paraId="38AA3DE0" w14:textId="77777777" w:rsidR="00611545" w:rsidRPr="006C208B"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943" w:type="dxa"/>
            <w:shd w:val="clear" w:color="auto" w:fill="17365D" w:themeFill="text2" w:themeFillShade="BF"/>
            <w:vAlign w:val="center"/>
          </w:tcPr>
          <w:p w14:paraId="76149ACE" w14:textId="77777777" w:rsidR="00611545"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943" w:type="dxa"/>
            <w:shd w:val="clear" w:color="auto" w:fill="17365D" w:themeFill="text2" w:themeFillShade="BF"/>
            <w:vAlign w:val="center"/>
          </w:tcPr>
          <w:p w14:paraId="0F83C846" w14:textId="77777777" w:rsidR="00611545"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Feb 22</w:t>
            </w:r>
          </w:p>
        </w:tc>
        <w:tc>
          <w:tcPr>
            <w:tcW w:w="943" w:type="dxa"/>
            <w:shd w:val="clear" w:color="auto" w:fill="17365D" w:themeFill="text2" w:themeFillShade="BF"/>
            <w:vAlign w:val="center"/>
          </w:tcPr>
          <w:p w14:paraId="4DA6ED96" w14:textId="77777777" w:rsidR="00611545" w:rsidRPr="006C208B"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Mar 22</w:t>
            </w:r>
          </w:p>
        </w:tc>
        <w:tc>
          <w:tcPr>
            <w:tcW w:w="943" w:type="dxa"/>
            <w:shd w:val="clear" w:color="auto" w:fill="17365D" w:themeFill="text2" w:themeFillShade="BF"/>
            <w:vAlign w:val="center"/>
          </w:tcPr>
          <w:p w14:paraId="17F56A43" w14:textId="77777777" w:rsidR="00611545"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Apr 22</w:t>
            </w:r>
          </w:p>
        </w:tc>
        <w:tc>
          <w:tcPr>
            <w:tcW w:w="944" w:type="dxa"/>
            <w:shd w:val="clear" w:color="auto" w:fill="17365D" w:themeFill="text2" w:themeFillShade="BF"/>
            <w:vAlign w:val="center"/>
          </w:tcPr>
          <w:p w14:paraId="3CFA4CDB" w14:textId="77777777" w:rsidR="00611545" w:rsidRDefault="00611545" w:rsidP="0062091B">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May 22</w:t>
            </w:r>
          </w:p>
        </w:tc>
      </w:tr>
      <w:tr w:rsidR="00611545" w:rsidRPr="007F5087" w14:paraId="4DFD8784" w14:textId="77777777" w:rsidTr="0061154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520" w:type="dxa"/>
            <w:vAlign w:val="center"/>
          </w:tcPr>
          <w:p w14:paraId="1D38EDF3" w14:textId="77777777" w:rsidR="00611545" w:rsidRPr="007F5087" w:rsidRDefault="00611545" w:rsidP="0062091B">
            <w:pPr>
              <w:pStyle w:val="NoSpacing"/>
              <w:jc w:val="right"/>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Total food and beverages</w:t>
            </w:r>
          </w:p>
        </w:tc>
        <w:tc>
          <w:tcPr>
            <w:tcW w:w="990" w:type="dxa"/>
            <w:vAlign w:val="center"/>
          </w:tcPr>
          <w:p w14:paraId="2C0D45F7"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+5.5%</w:t>
            </w:r>
          </w:p>
        </w:tc>
        <w:tc>
          <w:tcPr>
            <w:tcW w:w="720" w:type="dxa"/>
            <w:vAlign w:val="center"/>
          </w:tcPr>
          <w:p w14:paraId="1441E189"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+2.7%</w:t>
            </w:r>
          </w:p>
        </w:tc>
        <w:tc>
          <w:tcPr>
            <w:tcW w:w="720" w:type="dxa"/>
            <w:vAlign w:val="center"/>
          </w:tcPr>
          <w:p w14:paraId="3E75FF37"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+5.0%</w:t>
            </w:r>
          </w:p>
        </w:tc>
        <w:tc>
          <w:tcPr>
            <w:tcW w:w="720" w:type="dxa"/>
            <w:vAlign w:val="center"/>
          </w:tcPr>
          <w:p w14:paraId="4FCCAE88"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+8.0%</w:t>
            </w:r>
          </w:p>
        </w:tc>
        <w:tc>
          <w:tcPr>
            <w:tcW w:w="943" w:type="dxa"/>
            <w:vAlign w:val="center"/>
          </w:tcPr>
          <w:p w14:paraId="7A50712B"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+9.9%</w:t>
            </w:r>
          </w:p>
        </w:tc>
        <w:tc>
          <w:tcPr>
            <w:tcW w:w="943" w:type="dxa"/>
            <w:vAlign w:val="center"/>
          </w:tcPr>
          <w:p w14:paraId="7B126FAF"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+10.3%</w:t>
            </w:r>
          </w:p>
        </w:tc>
        <w:tc>
          <w:tcPr>
            <w:tcW w:w="943" w:type="dxa"/>
            <w:vAlign w:val="center"/>
          </w:tcPr>
          <w:p w14:paraId="0D539087"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+10.3%</w:t>
            </w:r>
          </w:p>
        </w:tc>
        <w:tc>
          <w:tcPr>
            <w:tcW w:w="943" w:type="dxa"/>
            <w:vAlign w:val="center"/>
          </w:tcPr>
          <w:p w14:paraId="59DC3992"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10.7</w:t>
            </w:r>
            <w:r w:rsidRPr="007F5087">
              <w:rPr>
                <w:rFonts w:ascii="Arial" w:hAnsi="Arial" w:cs="Arial"/>
                <w:color w:val="215868" w:themeColor="accent5" w:themeShade="80"/>
                <w:sz w:val="18"/>
                <w:szCs w:val="18"/>
              </w:rPr>
              <w:t>%</w:t>
            </w:r>
          </w:p>
        </w:tc>
        <w:tc>
          <w:tcPr>
            <w:tcW w:w="944" w:type="dxa"/>
            <w:vAlign w:val="center"/>
          </w:tcPr>
          <w:p w14:paraId="70998E85" w14:textId="77777777" w:rsidR="00611545" w:rsidRPr="007F5087" w:rsidRDefault="00611545" w:rsidP="0062091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7F5087">
              <w:rPr>
                <w:rFonts w:ascii="Arial" w:hAnsi="Arial" w:cs="Arial"/>
                <w:color w:val="215868" w:themeColor="accent5" w:themeShade="80"/>
                <w:sz w:val="18"/>
                <w:szCs w:val="18"/>
              </w:rPr>
              <w:t>+</w:t>
            </w:r>
            <w:r>
              <w:rPr>
                <w:rFonts w:ascii="Arial" w:hAnsi="Arial" w:cs="Arial"/>
                <w:color w:val="215868" w:themeColor="accent5" w:themeShade="80"/>
                <w:sz w:val="18"/>
                <w:szCs w:val="18"/>
              </w:rPr>
              <w:t>11.8</w:t>
            </w:r>
            <w:r w:rsidRPr="007F5087">
              <w:rPr>
                <w:rFonts w:ascii="Arial" w:hAnsi="Arial" w:cs="Arial"/>
                <w:color w:val="215868" w:themeColor="accent5" w:themeShade="80"/>
                <w:sz w:val="18"/>
                <w:szCs w:val="18"/>
              </w:rPr>
              <w:t>%</w:t>
            </w:r>
          </w:p>
        </w:tc>
      </w:tr>
    </w:tbl>
    <w:p w14:paraId="1244AEE5" w14:textId="77777777" w:rsidR="00611545" w:rsidRDefault="00611545" w:rsidP="00611545">
      <w:pPr>
        <w:pStyle w:val="NoSpacing"/>
        <w:rPr>
          <w:rFonts w:ascii="Arial" w:hAnsi="Arial" w:cs="Arial"/>
          <w:sz w:val="16"/>
          <w:szCs w:val="16"/>
        </w:rPr>
      </w:pPr>
    </w:p>
    <w:p w14:paraId="6FF635CB" w14:textId="77777777" w:rsidR="00611545" w:rsidRPr="006879B2" w:rsidRDefault="00611545" w:rsidP="00611545">
      <w:pPr>
        <w:pStyle w:val="NoSpacing"/>
        <w:rPr>
          <w:rFonts w:ascii="Arial" w:hAnsi="Arial" w:cs="Arial"/>
          <w:sz w:val="16"/>
          <w:szCs w:val="16"/>
        </w:rPr>
      </w:pPr>
      <w:r>
        <w:rPr>
          <w:rFonts w:ascii="Arial" w:hAnsi="Arial" w:cs="Arial"/>
          <w:sz w:val="16"/>
          <w:szCs w:val="16"/>
        </w:rPr>
        <w:t xml:space="preserve">Source: IRI, Integrated Fresh, Total US, MULO, average price per unit and % gain versus YA </w:t>
      </w:r>
    </w:p>
    <w:bookmarkEnd w:id="0"/>
    <w:p w14:paraId="760CA1E0" w14:textId="0E6AE32D" w:rsidR="00CE2B8C" w:rsidRPr="006879B2" w:rsidRDefault="00CE2B8C" w:rsidP="00CE2B8C">
      <w:pPr>
        <w:pStyle w:val="NoSpacing"/>
        <w:rPr>
          <w:rFonts w:ascii="Arial" w:hAnsi="Arial" w:cs="Arial"/>
          <w:sz w:val="16"/>
          <w:szCs w:val="16"/>
        </w:rPr>
      </w:pPr>
    </w:p>
    <w:p w14:paraId="1AF11EDB" w14:textId="77777777" w:rsidR="009C02A0" w:rsidRDefault="009C02A0" w:rsidP="00D8582D">
      <w:pPr>
        <w:pStyle w:val="NoSpacing"/>
        <w:rPr>
          <w:rFonts w:ascii="Arial" w:hAnsi="Arial" w:cs="Arial"/>
          <w:sz w:val="20"/>
          <w:szCs w:val="20"/>
        </w:rPr>
      </w:pPr>
    </w:p>
    <w:p w14:paraId="33E52E4B" w14:textId="774952B4" w:rsidR="00354739" w:rsidRDefault="00DD3DF6" w:rsidP="00DD3DF6">
      <w:pPr>
        <w:pStyle w:val="NoSpacing"/>
        <w:rPr>
          <w:rFonts w:ascii="Arial" w:hAnsi="Arial" w:cs="Arial"/>
          <w:sz w:val="20"/>
          <w:szCs w:val="20"/>
        </w:rPr>
      </w:pPr>
      <w:r>
        <w:rPr>
          <w:rFonts w:ascii="Arial" w:hAnsi="Arial" w:cs="Arial"/>
          <w:sz w:val="20"/>
          <w:szCs w:val="20"/>
        </w:rPr>
        <w:t xml:space="preserve">Fresh produce prices </w:t>
      </w:r>
      <w:r w:rsidR="00BC7B47">
        <w:rPr>
          <w:rFonts w:ascii="Arial" w:hAnsi="Arial" w:cs="Arial"/>
          <w:sz w:val="20"/>
          <w:szCs w:val="20"/>
        </w:rPr>
        <w:t xml:space="preserve">were </w:t>
      </w:r>
      <w:r>
        <w:rPr>
          <w:rFonts w:ascii="Arial" w:hAnsi="Arial" w:cs="Arial"/>
          <w:sz w:val="20"/>
          <w:szCs w:val="20"/>
        </w:rPr>
        <w:t xml:space="preserve">also </w:t>
      </w:r>
      <w:r w:rsidR="00B1061E">
        <w:rPr>
          <w:rFonts w:ascii="Arial" w:hAnsi="Arial" w:cs="Arial"/>
          <w:sz w:val="20"/>
          <w:szCs w:val="20"/>
        </w:rPr>
        <w:t xml:space="preserve">up from </w:t>
      </w:r>
      <w:r>
        <w:rPr>
          <w:rFonts w:ascii="Arial" w:hAnsi="Arial" w:cs="Arial"/>
          <w:sz w:val="20"/>
          <w:szCs w:val="20"/>
        </w:rPr>
        <w:t>last year</w:t>
      </w:r>
      <w:r w:rsidR="005575F0">
        <w:rPr>
          <w:rFonts w:ascii="Arial" w:hAnsi="Arial" w:cs="Arial"/>
          <w:sz w:val="20"/>
          <w:szCs w:val="20"/>
        </w:rPr>
        <w:t xml:space="preserve">, at </w:t>
      </w:r>
      <w:r w:rsidR="00BC7B47">
        <w:rPr>
          <w:rFonts w:ascii="Arial" w:hAnsi="Arial" w:cs="Arial"/>
          <w:sz w:val="20"/>
          <w:szCs w:val="20"/>
        </w:rPr>
        <w:t>+</w:t>
      </w:r>
      <w:r w:rsidR="00A035B0">
        <w:rPr>
          <w:rFonts w:ascii="Arial" w:hAnsi="Arial" w:cs="Arial"/>
          <w:sz w:val="20"/>
          <w:szCs w:val="20"/>
        </w:rPr>
        <w:t>9.0</w:t>
      </w:r>
      <w:r w:rsidR="00BC7B47">
        <w:rPr>
          <w:rFonts w:ascii="Arial" w:hAnsi="Arial" w:cs="Arial"/>
          <w:sz w:val="20"/>
          <w:szCs w:val="20"/>
        </w:rPr>
        <w:t xml:space="preserve">% level on a per unit basis and </w:t>
      </w:r>
      <w:r w:rsidR="005575F0">
        <w:rPr>
          <w:rFonts w:ascii="Arial" w:hAnsi="Arial" w:cs="Arial"/>
          <w:sz w:val="20"/>
          <w:szCs w:val="20"/>
        </w:rPr>
        <w:t>+</w:t>
      </w:r>
      <w:r w:rsidR="00A035B0">
        <w:rPr>
          <w:rFonts w:ascii="Arial" w:hAnsi="Arial" w:cs="Arial"/>
          <w:sz w:val="20"/>
          <w:szCs w:val="20"/>
        </w:rPr>
        <w:t>9.6</w:t>
      </w:r>
      <w:r w:rsidR="005575F0">
        <w:rPr>
          <w:rFonts w:ascii="Arial" w:hAnsi="Arial" w:cs="Arial"/>
          <w:sz w:val="20"/>
          <w:szCs w:val="20"/>
        </w:rPr>
        <w:t>%</w:t>
      </w:r>
      <w:r w:rsidR="00BC7B47">
        <w:rPr>
          <w:rFonts w:ascii="Arial" w:hAnsi="Arial" w:cs="Arial"/>
          <w:sz w:val="20"/>
          <w:szCs w:val="20"/>
        </w:rPr>
        <w:t xml:space="preserve"> on a per pound basis. The increases are predominantly driven by fruit, that had double-digit inflation once more in both the four-week and 52-week view</w:t>
      </w:r>
      <w:r w:rsidR="003433C6">
        <w:rPr>
          <w:rFonts w:ascii="Arial" w:hAnsi="Arial" w:cs="Arial"/>
          <w:sz w:val="20"/>
          <w:szCs w:val="20"/>
        </w:rPr>
        <w:t xml:space="preserve">. </w:t>
      </w:r>
    </w:p>
    <w:p w14:paraId="4944409F" w14:textId="77777777" w:rsidR="00354739" w:rsidRDefault="00354739" w:rsidP="00DD3DF6">
      <w:pPr>
        <w:pStyle w:val="NoSpacing"/>
        <w:rPr>
          <w:rFonts w:ascii="Arial" w:hAnsi="Arial" w:cs="Arial"/>
          <w:sz w:val="20"/>
          <w:szCs w:val="20"/>
        </w:rPr>
      </w:pPr>
    </w:p>
    <w:p w14:paraId="64527A4B" w14:textId="7450D2B2" w:rsidR="00C616F0" w:rsidRDefault="00B1061E" w:rsidP="00DD3DF6">
      <w:pPr>
        <w:pStyle w:val="NoSpacing"/>
        <w:rPr>
          <w:rFonts w:ascii="Arial" w:hAnsi="Arial" w:cs="Arial"/>
          <w:sz w:val="20"/>
          <w:szCs w:val="20"/>
        </w:rPr>
      </w:pPr>
      <w:r>
        <w:rPr>
          <w:rFonts w:ascii="Arial" w:hAnsi="Arial" w:cs="Arial"/>
          <w:color w:val="000000" w:themeColor="text1"/>
          <w:sz w:val="20"/>
          <w:szCs w:val="20"/>
        </w:rPr>
        <w:t>“</w:t>
      </w:r>
      <w:r w:rsidR="00CE2B8C">
        <w:rPr>
          <w:rFonts w:ascii="Arial" w:hAnsi="Arial" w:cs="Arial"/>
          <w:color w:val="000000" w:themeColor="text1"/>
          <w:sz w:val="20"/>
          <w:szCs w:val="20"/>
        </w:rPr>
        <w:t>The average price per pound across</w:t>
      </w:r>
      <w:r w:rsidR="00CE2B8C" w:rsidRPr="00872B23">
        <w:rPr>
          <w:rFonts w:ascii="Arial" w:hAnsi="Arial" w:cs="Arial"/>
          <w:sz w:val="20"/>
          <w:szCs w:val="20"/>
        </w:rPr>
        <w:t xml:space="preserve"> fruits and vegetables was $1.</w:t>
      </w:r>
      <w:r w:rsidR="00A035B0">
        <w:rPr>
          <w:rFonts w:ascii="Arial" w:hAnsi="Arial" w:cs="Arial"/>
          <w:sz w:val="20"/>
          <w:szCs w:val="20"/>
        </w:rPr>
        <w:t>85</w:t>
      </w:r>
      <w:r w:rsidR="00CE2B8C">
        <w:rPr>
          <w:rFonts w:ascii="Arial" w:hAnsi="Arial" w:cs="Arial"/>
          <w:sz w:val="20"/>
          <w:szCs w:val="20"/>
        </w:rPr>
        <w:t xml:space="preserve">, </w:t>
      </w:r>
      <w:r w:rsidR="00676B67">
        <w:rPr>
          <w:rFonts w:ascii="Arial" w:hAnsi="Arial" w:cs="Arial"/>
          <w:sz w:val="20"/>
          <w:szCs w:val="20"/>
        </w:rPr>
        <w:t xml:space="preserve">actually </w:t>
      </w:r>
      <w:r w:rsidR="00A035B0">
        <w:rPr>
          <w:rFonts w:ascii="Arial" w:hAnsi="Arial" w:cs="Arial"/>
          <w:sz w:val="20"/>
          <w:szCs w:val="20"/>
        </w:rPr>
        <w:t>down four cents from April</w:t>
      </w:r>
      <w:r w:rsidR="00BC7B47">
        <w:rPr>
          <w:rFonts w:ascii="Arial" w:hAnsi="Arial" w:cs="Arial"/>
          <w:color w:val="000000" w:themeColor="text1"/>
          <w:sz w:val="20"/>
          <w:szCs w:val="20"/>
        </w:rPr>
        <w:t>,” said Watson. “</w:t>
      </w:r>
      <w:r w:rsidR="00A035B0">
        <w:rPr>
          <w:rFonts w:ascii="Arial" w:hAnsi="Arial" w:cs="Arial"/>
          <w:color w:val="000000" w:themeColor="text1"/>
          <w:sz w:val="20"/>
          <w:szCs w:val="20"/>
        </w:rPr>
        <w:t xml:space="preserve">While high, we are at least seeing more </w:t>
      </w:r>
      <w:r w:rsidR="00A81DD5">
        <w:rPr>
          <w:rFonts w:ascii="Arial" w:hAnsi="Arial" w:cs="Arial"/>
          <w:color w:val="000000" w:themeColor="text1"/>
          <w:sz w:val="20"/>
          <w:szCs w:val="20"/>
        </w:rPr>
        <w:t xml:space="preserve">price stability month-over-month. </w:t>
      </w:r>
      <w:r w:rsidR="00A035B0">
        <w:rPr>
          <w:rFonts w:ascii="Arial" w:hAnsi="Arial" w:cs="Arial"/>
          <w:sz w:val="20"/>
          <w:szCs w:val="20"/>
        </w:rPr>
        <w:t xml:space="preserve">Yet the continued high level of inflation is and has been impacting volume </w:t>
      </w:r>
      <w:r w:rsidR="006005FF">
        <w:rPr>
          <w:rFonts w:ascii="Arial" w:hAnsi="Arial" w:cs="Arial"/>
          <w:sz w:val="20"/>
          <w:szCs w:val="20"/>
        </w:rPr>
        <w:t>sales and net dollars</w:t>
      </w:r>
      <w:r w:rsidR="00676B67">
        <w:rPr>
          <w:rFonts w:ascii="Arial" w:hAnsi="Arial" w:cs="Arial"/>
          <w:sz w:val="20"/>
          <w:szCs w:val="20"/>
        </w:rPr>
        <w:t xml:space="preserve"> across the store</w:t>
      </w:r>
      <w:r w:rsidR="00872B23" w:rsidRPr="00872B23">
        <w:rPr>
          <w:rFonts w:ascii="Arial" w:hAnsi="Arial" w:cs="Arial"/>
          <w:sz w:val="20"/>
          <w:szCs w:val="20"/>
        </w:rPr>
        <w:t>.”</w:t>
      </w:r>
      <w:r w:rsidR="00C616F0">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374E1DE7"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r w:rsidR="00551D01">
              <w:rPr>
                <w:rFonts w:ascii="Arial" w:hAnsi="Arial" w:cs="Arial"/>
                <w:color w:val="FFFFFF" w:themeColor="background1"/>
                <w:sz w:val="18"/>
                <w:szCs w:val="18"/>
              </w:rPr>
              <w:t xml:space="preserve"> (</w:t>
            </w:r>
            <w:proofErr w:type="spellStart"/>
            <w:r w:rsidR="00551D01">
              <w:rPr>
                <w:rFonts w:ascii="Arial" w:hAnsi="Arial" w:cs="Arial"/>
                <w:color w:val="FFFFFF" w:themeColor="background1"/>
                <w:sz w:val="18"/>
                <w:szCs w:val="18"/>
              </w:rPr>
              <w:t>lb</w:t>
            </w:r>
            <w:proofErr w:type="spellEnd"/>
            <w:r w:rsidR="00551D01">
              <w:rPr>
                <w:rFonts w:ascii="Arial" w:hAnsi="Arial" w:cs="Arial"/>
                <w:color w:val="FFFFFF" w:themeColor="background1"/>
                <w:sz w:val="18"/>
                <w:szCs w:val="18"/>
              </w:rPr>
              <w:t>)</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38781D">
              <w:rPr>
                <w:rFonts w:ascii="Arial" w:hAnsi="Arial" w:cs="Arial"/>
                <w:color w:val="FFFFFF" w:themeColor="background1"/>
                <w:sz w:val="18"/>
                <w:szCs w:val="18"/>
              </w:rPr>
              <w:t>20</w:t>
            </w:r>
          </w:p>
        </w:tc>
      </w:tr>
      <w:tr w:rsidR="007F5087" w:rsidRPr="00B75D3A" w14:paraId="1434C87A"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2631EDF7" w:rsidR="00BF64A8" w:rsidRPr="00B75D3A" w:rsidRDefault="00BF64A8" w:rsidP="00BF64A8">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Total fresh produce </w:t>
            </w:r>
            <w:r w:rsidR="00EB6885">
              <w:rPr>
                <w:rFonts w:ascii="Arial" w:hAnsi="Arial" w:cs="Arial"/>
                <w:color w:val="215868" w:themeColor="accent5" w:themeShade="80"/>
                <w:sz w:val="18"/>
                <w:szCs w:val="18"/>
              </w:rPr>
              <w:t>May</w:t>
            </w:r>
            <w:r w:rsidR="002769A5" w:rsidRPr="00B75D3A">
              <w:rPr>
                <w:rFonts w:ascii="Arial" w:hAnsi="Arial" w:cs="Arial"/>
                <w:color w:val="215868" w:themeColor="accent5" w:themeShade="80"/>
                <w:sz w:val="18"/>
                <w:szCs w:val="18"/>
              </w:rPr>
              <w:t xml:space="preserve"> </w:t>
            </w:r>
            <w:r w:rsidRPr="00B75D3A">
              <w:rPr>
                <w:rFonts w:ascii="Arial" w:hAnsi="Arial" w:cs="Arial"/>
                <w:color w:val="215868" w:themeColor="accent5" w:themeShade="80"/>
                <w:sz w:val="18"/>
                <w:szCs w:val="18"/>
              </w:rPr>
              <w:t>2022</w:t>
            </w:r>
          </w:p>
        </w:tc>
        <w:tc>
          <w:tcPr>
            <w:tcW w:w="2130" w:type="dxa"/>
            <w:vAlign w:val="center"/>
          </w:tcPr>
          <w:p w14:paraId="6E97F861" w14:textId="62AB905C" w:rsidR="00BF64A8" w:rsidRPr="00B75D3A" w:rsidRDefault="00BF64A8" w:rsidP="00D6564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1.85</w:t>
            </w:r>
          </w:p>
        </w:tc>
        <w:tc>
          <w:tcPr>
            <w:tcW w:w="1702" w:type="dxa"/>
            <w:vAlign w:val="center"/>
          </w:tcPr>
          <w:p w14:paraId="5720898A" w14:textId="4FE7E52B"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9.6</w:t>
            </w:r>
            <w:r w:rsidRPr="00B75D3A">
              <w:rPr>
                <w:rFonts w:ascii="Arial" w:hAnsi="Arial" w:cs="Arial"/>
                <w:b/>
                <w:bCs/>
                <w:color w:val="215868" w:themeColor="accent5" w:themeShade="80"/>
                <w:sz w:val="18"/>
                <w:szCs w:val="18"/>
              </w:rPr>
              <w:t>%</w:t>
            </w:r>
          </w:p>
        </w:tc>
        <w:tc>
          <w:tcPr>
            <w:tcW w:w="1916" w:type="dxa"/>
            <w:vAlign w:val="center"/>
          </w:tcPr>
          <w:p w14:paraId="164946FB" w14:textId="6150FB61" w:rsidR="00BF64A8" w:rsidRPr="00B75D3A" w:rsidRDefault="00BF64A8" w:rsidP="00D65642">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19.6</w:t>
            </w:r>
            <w:r w:rsidRPr="00B75D3A">
              <w:rPr>
                <w:rFonts w:ascii="Arial" w:hAnsi="Arial" w:cs="Arial"/>
                <w:b/>
                <w:bCs/>
                <w:color w:val="215868" w:themeColor="accent5" w:themeShade="80"/>
                <w:sz w:val="18"/>
                <w:szCs w:val="18"/>
              </w:rPr>
              <w:t>%</w:t>
            </w:r>
          </w:p>
        </w:tc>
      </w:tr>
      <w:tr w:rsidR="007F5087" w:rsidRPr="007F5087" w14:paraId="5A66D034"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1E58BCDF"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1.75</w:t>
            </w:r>
          </w:p>
        </w:tc>
        <w:tc>
          <w:tcPr>
            <w:tcW w:w="1702" w:type="dxa"/>
            <w:vAlign w:val="center"/>
          </w:tcPr>
          <w:p w14:paraId="31810777" w14:textId="0EDBC9F5"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7.8</w:t>
            </w:r>
            <w:r w:rsidRPr="007F5087">
              <w:rPr>
                <w:rFonts w:ascii="Arial" w:hAnsi="Arial" w:cs="Arial"/>
                <w:color w:val="215868" w:themeColor="accent5" w:themeShade="80"/>
                <w:sz w:val="18"/>
                <w:szCs w:val="18"/>
              </w:rPr>
              <w:t>%</w:t>
            </w:r>
          </w:p>
        </w:tc>
        <w:tc>
          <w:tcPr>
            <w:tcW w:w="1916" w:type="dxa"/>
            <w:vAlign w:val="center"/>
          </w:tcPr>
          <w:p w14:paraId="3E082B02" w14:textId="37FA545F"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11.8</w:t>
            </w:r>
            <w:r w:rsidRPr="007F5087">
              <w:rPr>
                <w:rFonts w:ascii="Arial" w:hAnsi="Arial" w:cs="Arial"/>
                <w:color w:val="215868" w:themeColor="accent5" w:themeShade="80"/>
                <w:sz w:val="18"/>
                <w:szCs w:val="18"/>
              </w:rPr>
              <w:t>%</w:t>
            </w:r>
          </w:p>
        </w:tc>
      </w:tr>
      <w:tr w:rsidR="007F5087" w:rsidRPr="00B75D3A" w14:paraId="5B57AE54"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4E4CC111" w:rsidR="002769A5" w:rsidRPr="00B75D3A" w:rsidRDefault="002769A5" w:rsidP="002769A5">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fruit </w:t>
            </w:r>
            <w:r w:rsidR="00EB6885">
              <w:rPr>
                <w:rFonts w:ascii="Arial" w:hAnsi="Arial" w:cs="Arial"/>
                <w:color w:val="215868" w:themeColor="accent5" w:themeShade="80"/>
                <w:sz w:val="18"/>
                <w:szCs w:val="18"/>
              </w:rPr>
              <w:t>May</w:t>
            </w:r>
            <w:r w:rsidRPr="00B75D3A">
              <w:rPr>
                <w:rFonts w:ascii="Arial" w:hAnsi="Arial" w:cs="Arial"/>
                <w:color w:val="215868" w:themeColor="accent5" w:themeShade="80"/>
                <w:sz w:val="18"/>
                <w:szCs w:val="18"/>
              </w:rPr>
              <w:t xml:space="preserve"> 2022</w:t>
            </w:r>
          </w:p>
        </w:tc>
        <w:tc>
          <w:tcPr>
            <w:tcW w:w="2130" w:type="dxa"/>
            <w:vAlign w:val="center"/>
          </w:tcPr>
          <w:p w14:paraId="2E070CA6" w14:textId="03851EB7"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1.69</w:t>
            </w:r>
          </w:p>
        </w:tc>
        <w:tc>
          <w:tcPr>
            <w:tcW w:w="1702" w:type="dxa"/>
            <w:vAlign w:val="center"/>
          </w:tcPr>
          <w:p w14:paraId="5F7D0FB3" w14:textId="5E17A00F"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10.5</w:t>
            </w:r>
            <w:r w:rsidRPr="00B75D3A">
              <w:rPr>
                <w:rFonts w:ascii="Arial" w:hAnsi="Arial" w:cs="Arial"/>
                <w:b/>
                <w:bCs/>
                <w:color w:val="215868" w:themeColor="accent5" w:themeShade="80"/>
                <w:sz w:val="18"/>
                <w:szCs w:val="18"/>
              </w:rPr>
              <w:t>%</w:t>
            </w:r>
          </w:p>
        </w:tc>
        <w:tc>
          <w:tcPr>
            <w:tcW w:w="1916" w:type="dxa"/>
            <w:vAlign w:val="center"/>
          </w:tcPr>
          <w:p w14:paraId="5BD0263C" w14:textId="10C1932C"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24.4</w:t>
            </w:r>
            <w:r w:rsidRPr="00B75D3A">
              <w:rPr>
                <w:rFonts w:ascii="Arial" w:hAnsi="Arial" w:cs="Arial"/>
                <w:b/>
                <w:bCs/>
                <w:color w:val="215868" w:themeColor="accent5" w:themeShade="80"/>
                <w:sz w:val="18"/>
                <w:szCs w:val="18"/>
              </w:rPr>
              <w:t>%</w:t>
            </w:r>
          </w:p>
        </w:tc>
      </w:tr>
      <w:tr w:rsidR="007F5087" w:rsidRPr="007F5087" w14:paraId="1144520F"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7081DC2B"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1.62</w:t>
            </w:r>
          </w:p>
        </w:tc>
        <w:tc>
          <w:tcPr>
            <w:tcW w:w="1702" w:type="dxa"/>
            <w:vAlign w:val="center"/>
          </w:tcPr>
          <w:p w14:paraId="4038274E" w14:textId="0287D504"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10.7</w:t>
            </w:r>
            <w:r w:rsidRPr="007F5087">
              <w:rPr>
                <w:rFonts w:ascii="Arial" w:hAnsi="Arial" w:cs="Arial"/>
                <w:color w:val="215868" w:themeColor="accent5" w:themeShade="80"/>
                <w:sz w:val="18"/>
                <w:szCs w:val="18"/>
              </w:rPr>
              <w:t>%</w:t>
            </w:r>
          </w:p>
        </w:tc>
        <w:tc>
          <w:tcPr>
            <w:tcW w:w="1916" w:type="dxa"/>
            <w:vAlign w:val="center"/>
          </w:tcPr>
          <w:p w14:paraId="4548B493" w14:textId="1C83E39D"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15.0</w:t>
            </w:r>
            <w:r w:rsidRPr="007F5087">
              <w:rPr>
                <w:rFonts w:ascii="Arial" w:hAnsi="Arial" w:cs="Arial"/>
                <w:color w:val="215868" w:themeColor="accent5" w:themeShade="80"/>
                <w:sz w:val="18"/>
                <w:szCs w:val="18"/>
              </w:rPr>
              <w:t>%</w:t>
            </w:r>
          </w:p>
        </w:tc>
      </w:tr>
      <w:tr w:rsidR="007F5087" w:rsidRPr="00B75D3A" w14:paraId="49DE74F5"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25C4EBA4" w:rsidR="002769A5" w:rsidRPr="00B75D3A" w:rsidRDefault="002769A5" w:rsidP="002769A5">
            <w:pPr>
              <w:pStyle w:val="NoSpacing"/>
              <w:jc w:val="right"/>
              <w:rPr>
                <w:rFonts w:ascii="Arial" w:hAnsi="Arial" w:cs="Arial"/>
                <w:color w:val="215868" w:themeColor="accent5" w:themeShade="80"/>
                <w:sz w:val="18"/>
                <w:szCs w:val="18"/>
              </w:rPr>
            </w:pPr>
            <w:r w:rsidRPr="00B75D3A">
              <w:rPr>
                <w:rFonts w:ascii="Arial" w:hAnsi="Arial" w:cs="Arial"/>
                <w:color w:val="215868" w:themeColor="accent5" w:themeShade="80"/>
                <w:sz w:val="18"/>
                <w:szCs w:val="18"/>
              </w:rPr>
              <w:t xml:space="preserve">Fresh vegetables </w:t>
            </w:r>
            <w:r w:rsidR="00EB6885">
              <w:rPr>
                <w:rFonts w:ascii="Arial" w:hAnsi="Arial" w:cs="Arial"/>
                <w:color w:val="215868" w:themeColor="accent5" w:themeShade="80"/>
                <w:sz w:val="18"/>
                <w:szCs w:val="18"/>
              </w:rPr>
              <w:t>May</w:t>
            </w:r>
            <w:r w:rsidRPr="00B75D3A">
              <w:rPr>
                <w:rFonts w:ascii="Arial" w:hAnsi="Arial" w:cs="Arial"/>
                <w:color w:val="215868" w:themeColor="accent5" w:themeShade="80"/>
                <w:sz w:val="18"/>
                <w:szCs w:val="18"/>
              </w:rPr>
              <w:t xml:space="preserve"> 2022</w:t>
            </w:r>
          </w:p>
        </w:tc>
        <w:tc>
          <w:tcPr>
            <w:tcW w:w="2130" w:type="dxa"/>
            <w:vAlign w:val="center"/>
          </w:tcPr>
          <w:p w14:paraId="179F7533" w14:textId="1B3FB89E"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2.01</w:t>
            </w:r>
          </w:p>
        </w:tc>
        <w:tc>
          <w:tcPr>
            <w:tcW w:w="1702" w:type="dxa"/>
            <w:vAlign w:val="center"/>
          </w:tcPr>
          <w:p w14:paraId="5B5FDC39" w14:textId="3277F4C4"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8.5</w:t>
            </w:r>
            <w:r w:rsidRPr="00B75D3A">
              <w:rPr>
                <w:rFonts w:ascii="Arial" w:hAnsi="Arial" w:cs="Arial"/>
                <w:b/>
                <w:bCs/>
                <w:color w:val="215868" w:themeColor="accent5" w:themeShade="80"/>
                <w:sz w:val="18"/>
                <w:szCs w:val="18"/>
              </w:rPr>
              <w:t>%</w:t>
            </w:r>
          </w:p>
        </w:tc>
        <w:tc>
          <w:tcPr>
            <w:tcW w:w="1916" w:type="dxa"/>
            <w:vAlign w:val="center"/>
          </w:tcPr>
          <w:p w14:paraId="0790677A" w14:textId="4FE7F52D" w:rsidR="002769A5" w:rsidRPr="00B75D3A" w:rsidRDefault="002769A5" w:rsidP="002769A5">
            <w:pPr>
              <w:jc w:val="right"/>
              <w:cnfStyle w:val="000000100000" w:firstRow="0" w:lastRow="0" w:firstColumn="0" w:lastColumn="0" w:oddVBand="0" w:evenVBand="0" w:oddHBand="1" w:evenHBand="0" w:firstRowFirstColumn="0" w:firstRowLastColumn="0" w:lastRowFirstColumn="0" w:lastRowLastColumn="0"/>
              <w:rPr>
                <w:b/>
                <w:bCs/>
                <w:color w:val="215868" w:themeColor="accent5" w:themeShade="80"/>
              </w:rPr>
            </w:pPr>
            <w:r w:rsidRPr="00B75D3A">
              <w:rPr>
                <w:rFonts w:ascii="Arial" w:hAnsi="Arial" w:cs="Arial"/>
                <w:b/>
                <w:bCs/>
                <w:color w:val="215868" w:themeColor="accent5" w:themeShade="80"/>
                <w:sz w:val="18"/>
                <w:szCs w:val="18"/>
              </w:rPr>
              <w:t>+</w:t>
            </w:r>
            <w:r w:rsidR="00A035B0">
              <w:rPr>
                <w:rFonts w:ascii="Arial" w:hAnsi="Arial" w:cs="Arial"/>
                <w:b/>
                <w:bCs/>
                <w:color w:val="215868" w:themeColor="accent5" w:themeShade="80"/>
                <w:sz w:val="18"/>
                <w:szCs w:val="18"/>
              </w:rPr>
              <w:t>14.9</w:t>
            </w:r>
            <w:r w:rsidRPr="00B75D3A">
              <w:rPr>
                <w:rFonts w:ascii="Arial" w:hAnsi="Arial" w:cs="Arial"/>
                <w:b/>
                <w:bCs/>
                <w:color w:val="215868" w:themeColor="accent5" w:themeShade="80"/>
                <w:sz w:val="18"/>
                <w:szCs w:val="18"/>
              </w:rPr>
              <w:t>%</w:t>
            </w:r>
          </w:p>
        </w:tc>
      </w:tr>
      <w:tr w:rsidR="007F5087" w:rsidRPr="007F5087" w14:paraId="0E7328F7"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2769A5" w:rsidRPr="007F5087" w:rsidRDefault="002769A5" w:rsidP="002769A5">
            <w:pPr>
              <w:pStyle w:val="NoSpacing"/>
              <w:jc w:val="right"/>
              <w:rPr>
                <w:rFonts w:ascii="Arial" w:hAnsi="Arial" w:cs="Arial"/>
                <w:b w:val="0"/>
                <w:bCs w:val="0"/>
                <w:color w:val="215868" w:themeColor="accent5" w:themeShade="80"/>
                <w:sz w:val="18"/>
                <w:szCs w:val="18"/>
              </w:rPr>
            </w:pPr>
            <w:r w:rsidRPr="007F5087">
              <w:rPr>
                <w:rFonts w:ascii="Arial" w:hAnsi="Arial" w:cs="Arial"/>
                <w:b w:val="0"/>
                <w:bCs w:val="0"/>
                <w:color w:val="215868" w:themeColor="accent5" w:themeShade="80"/>
                <w:sz w:val="18"/>
                <w:szCs w:val="18"/>
              </w:rPr>
              <w:t>Fresh vegetables latest 52 weeks</w:t>
            </w:r>
          </w:p>
        </w:tc>
        <w:tc>
          <w:tcPr>
            <w:tcW w:w="2130" w:type="dxa"/>
            <w:vAlign w:val="center"/>
          </w:tcPr>
          <w:p w14:paraId="1F880C62" w14:textId="009F7652"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1.85</w:t>
            </w:r>
          </w:p>
        </w:tc>
        <w:tc>
          <w:tcPr>
            <w:tcW w:w="1702" w:type="dxa"/>
            <w:vAlign w:val="center"/>
          </w:tcPr>
          <w:p w14:paraId="414FD40F" w14:textId="561B3298"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5.1</w:t>
            </w:r>
            <w:r w:rsidRPr="007F5087">
              <w:rPr>
                <w:rFonts w:ascii="Arial" w:hAnsi="Arial" w:cs="Arial"/>
                <w:color w:val="215868" w:themeColor="accent5" w:themeShade="80"/>
                <w:sz w:val="18"/>
                <w:szCs w:val="18"/>
              </w:rPr>
              <w:t>%</w:t>
            </w:r>
          </w:p>
        </w:tc>
        <w:tc>
          <w:tcPr>
            <w:tcW w:w="1916" w:type="dxa"/>
            <w:vAlign w:val="center"/>
          </w:tcPr>
          <w:p w14:paraId="2E870FBA" w14:textId="44A39743" w:rsidR="002769A5" w:rsidRPr="007F5087" w:rsidRDefault="002769A5" w:rsidP="002769A5">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7F5087">
              <w:rPr>
                <w:rFonts w:ascii="Arial" w:hAnsi="Arial" w:cs="Arial"/>
                <w:color w:val="215868" w:themeColor="accent5" w:themeShade="80"/>
                <w:sz w:val="18"/>
                <w:szCs w:val="18"/>
              </w:rPr>
              <w:t>+</w:t>
            </w:r>
            <w:r w:rsidR="00A035B0">
              <w:rPr>
                <w:rFonts w:ascii="Arial" w:hAnsi="Arial" w:cs="Arial"/>
                <w:color w:val="215868" w:themeColor="accent5" w:themeShade="80"/>
                <w:sz w:val="18"/>
                <w:szCs w:val="18"/>
              </w:rPr>
              <w:t>8.9</w:t>
            </w:r>
            <w:r w:rsidRPr="007F5087">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4C18FB86" w14:textId="55F2548B" w:rsidR="00D8582D" w:rsidRDefault="00D8582D" w:rsidP="001210D2">
      <w:pPr>
        <w:pStyle w:val="NoSpacing"/>
        <w:rPr>
          <w:rFonts w:ascii="Arial" w:hAnsi="Arial" w:cs="Arial"/>
          <w:sz w:val="20"/>
          <w:szCs w:val="20"/>
        </w:rPr>
      </w:pPr>
    </w:p>
    <w:p w14:paraId="4CA242BE" w14:textId="07E76298" w:rsidR="00C616F0" w:rsidRDefault="00C616F0" w:rsidP="001210D2">
      <w:pPr>
        <w:pStyle w:val="NoSpacing"/>
        <w:rPr>
          <w:rFonts w:ascii="Arial" w:hAnsi="Arial" w:cs="Arial"/>
          <w:sz w:val="20"/>
          <w:szCs w:val="20"/>
        </w:rPr>
      </w:pPr>
    </w:p>
    <w:p w14:paraId="7171B038" w14:textId="77777777" w:rsidR="006005FF" w:rsidRPr="00CF43CE" w:rsidRDefault="006005FF" w:rsidP="006005FF">
      <w:pPr>
        <w:pStyle w:val="NoSpacing"/>
        <w:rPr>
          <w:rFonts w:ascii="Arial" w:hAnsi="Arial" w:cs="Arial"/>
          <w:b/>
          <w:bCs/>
          <w:color w:val="595959" w:themeColor="text1" w:themeTint="A6"/>
          <w:sz w:val="24"/>
          <w:szCs w:val="24"/>
        </w:rPr>
      </w:pPr>
      <w:r>
        <w:rPr>
          <w:rFonts w:ascii="Arial" w:hAnsi="Arial" w:cs="Arial"/>
          <w:b/>
          <w:bCs/>
          <w:color w:val="595959" w:themeColor="text1" w:themeTint="A6"/>
          <w:sz w:val="24"/>
          <w:szCs w:val="24"/>
        </w:rPr>
        <w:t>May 2022 Sales</w:t>
      </w:r>
    </w:p>
    <w:p w14:paraId="31824616" w14:textId="4E082E13" w:rsidR="006005FF" w:rsidRDefault="006005FF" w:rsidP="006005FF">
      <w:pPr>
        <w:pStyle w:val="NoSpacing"/>
        <w:rPr>
          <w:rFonts w:ascii="Arial" w:hAnsi="Arial" w:cs="Arial"/>
          <w:sz w:val="20"/>
          <w:szCs w:val="20"/>
        </w:rPr>
      </w:pPr>
      <w:r>
        <w:rPr>
          <w:rFonts w:ascii="Arial" w:hAnsi="Arial" w:cs="Arial"/>
          <w:sz w:val="20"/>
          <w:szCs w:val="20"/>
        </w:rPr>
        <w:t xml:space="preserve">The five May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Pr>
          <w:rFonts w:ascii="Arial" w:hAnsi="Arial" w:cs="Arial"/>
          <w:sz w:val="20"/>
          <w:szCs w:val="20"/>
        </w:rPr>
        <w:t xml:space="preserve">70.6 billion in total food and beverage sales, which was up </w:t>
      </w:r>
      <w:r w:rsidR="00676B67">
        <w:rPr>
          <w:rFonts w:ascii="Arial" w:hAnsi="Arial" w:cs="Arial"/>
          <w:sz w:val="20"/>
          <w:szCs w:val="20"/>
        </w:rPr>
        <w:t>+</w:t>
      </w:r>
      <w:r>
        <w:rPr>
          <w:rFonts w:ascii="Arial" w:hAnsi="Arial" w:cs="Arial"/>
          <w:sz w:val="20"/>
          <w:szCs w:val="20"/>
        </w:rPr>
        <w:t xml:space="preserve">6.5% versus year ago and compared with pre-pandemic, May sales were up </w:t>
      </w:r>
      <w:r w:rsidR="00676B67">
        <w:rPr>
          <w:rFonts w:ascii="Arial" w:hAnsi="Arial" w:cs="Arial"/>
          <w:sz w:val="20"/>
          <w:szCs w:val="20"/>
        </w:rPr>
        <w:t>+</w:t>
      </w:r>
      <w:r>
        <w:rPr>
          <w:rFonts w:ascii="Arial" w:hAnsi="Arial" w:cs="Arial"/>
          <w:sz w:val="20"/>
          <w:szCs w:val="20"/>
        </w:rPr>
        <w:t xml:space="preserve">23.1%. Inflation played a significant role with year-on-year unit sales down </w:t>
      </w:r>
      <w:r w:rsidR="00676B67">
        <w:rPr>
          <w:rFonts w:ascii="Arial" w:hAnsi="Arial" w:cs="Arial"/>
          <w:sz w:val="20"/>
          <w:szCs w:val="20"/>
        </w:rPr>
        <w:t>-</w:t>
      </w:r>
      <w:r>
        <w:rPr>
          <w:rFonts w:ascii="Arial" w:hAnsi="Arial" w:cs="Arial"/>
          <w:sz w:val="20"/>
          <w:szCs w:val="20"/>
        </w:rPr>
        <w:t xml:space="preserve">4.8%, which was a sharp downward turn from the -2.4% unit decline measured in April 2022. Much like seen in the surveys, consumers are compensating for the inflationary levels by buying fewer items. Perishables, including produce, seafood, meat, bakery and deli, had average dollar and unit performance, but center-store items did better than average in both dollars and units. Frozen foods had the highest increase versus pre-pandemic, at +30.7%. </w:t>
      </w:r>
    </w:p>
    <w:p w14:paraId="6DC789A3" w14:textId="77777777" w:rsidR="006005FF" w:rsidRDefault="006005FF" w:rsidP="006005FF">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269"/>
        <w:gridCol w:w="929"/>
      </w:tblGrid>
      <w:tr w:rsidR="006005FF" w:rsidRPr="00706DE2" w14:paraId="40F91C31" w14:textId="77777777" w:rsidTr="0062091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1AF835A4" w14:textId="77777777" w:rsidR="006005FF" w:rsidRPr="00706DE2" w:rsidRDefault="006005FF" w:rsidP="0062091B">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May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3F2E9F22" w14:textId="77777777" w:rsidR="006005FF" w:rsidRPr="00706DE2" w:rsidRDefault="006005FF" w:rsidP="0062091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7A9BAAEC" w14:textId="77777777" w:rsidR="006005FF" w:rsidRPr="00706DE2" w:rsidRDefault="006005FF" w:rsidP="0062091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6005FF" w:rsidRPr="00706DE2" w14:paraId="27A9382F" w14:textId="77777777" w:rsidTr="0062091B">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2FBB5267" w14:textId="77777777" w:rsidR="006005FF" w:rsidRPr="00706DE2" w:rsidRDefault="006005FF" w:rsidP="0062091B">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405501A6"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182D1B0B" w14:textId="77777777" w:rsidR="006005FF" w:rsidRPr="00706DE2"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15733164"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7F3A8C3C" w14:textId="77777777" w:rsidR="006005FF" w:rsidRPr="00706DE2"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0422E1DF"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493FD618"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31052565" w14:textId="77777777" w:rsidR="006005FF" w:rsidRPr="00706DE2"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269" w:type="dxa"/>
            <w:tcBorders>
              <w:left w:val="none" w:sz="0" w:space="0" w:color="auto"/>
              <w:right w:val="none" w:sz="0" w:space="0" w:color="auto"/>
            </w:tcBorders>
            <w:shd w:val="clear" w:color="auto" w:fill="17365D" w:themeFill="text2" w:themeFillShade="BF"/>
          </w:tcPr>
          <w:p w14:paraId="2D7862E4"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929" w:type="dxa"/>
            <w:tcBorders>
              <w:left w:val="none" w:sz="0" w:space="0" w:color="auto"/>
              <w:right w:val="none" w:sz="0" w:space="0" w:color="auto"/>
            </w:tcBorders>
            <w:shd w:val="clear" w:color="auto" w:fill="17365D" w:themeFill="text2" w:themeFillShade="BF"/>
          </w:tcPr>
          <w:p w14:paraId="7E769E70"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6005FF" w:rsidRPr="00295B72" w14:paraId="6C839AB2" w14:textId="77777777" w:rsidTr="0062091B">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1DD228A" w14:textId="77777777" w:rsidR="006005FF" w:rsidRPr="002F5F30" w:rsidRDefault="006005FF" w:rsidP="0062091B">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food and beverages</w:t>
            </w:r>
          </w:p>
        </w:tc>
        <w:tc>
          <w:tcPr>
            <w:tcW w:w="1006" w:type="dxa"/>
            <w:gridSpan w:val="2"/>
          </w:tcPr>
          <w:p w14:paraId="3B82DC34" w14:textId="77777777" w:rsidR="006005FF" w:rsidRPr="002F5F30" w:rsidRDefault="006005FF" w:rsidP="0062091B">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70.6</w:t>
            </w:r>
            <w:r w:rsidRPr="002F5F30">
              <w:rPr>
                <w:rFonts w:ascii="Arial" w:eastAsia="Times New Roman" w:hAnsi="Arial" w:cs="Arial"/>
                <w:color w:val="215868" w:themeColor="accent5" w:themeShade="80"/>
                <w:sz w:val="18"/>
                <w:szCs w:val="18"/>
              </w:rPr>
              <w:t>B</w:t>
            </w:r>
          </w:p>
        </w:tc>
        <w:tc>
          <w:tcPr>
            <w:tcW w:w="1269" w:type="dxa"/>
          </w:tcPr>
          <w:p w14:paraId="26468917" w14:textId="77777777" w:rsidR="006005FF" w:rsidRPr="002F5F30"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+6.5</w:t>
            </w:r>
            <w:r w:rsidRPr="002F5F30">
              <w:rPr>
                <w:rFonts w:ascii="Arial" w:eastAsia="Times New Roman" w:hAnsi="Arial" w:cs="Arial"/>
                <w:color w:val="215868" w:themeColor="accent5" w:themeShade="80"/>
                <w:sz w:val="18"/>
                <w:szCs w:val="18"/>
              </w:rPr>
              <w:t>%</w:t>
            </w:r>
          </w:p>
        </w:tc>
        <w:tc>
          <w:tcPr>
            <w:tcW w:w="1269" w:type="dxa"/>
          </w:tcPr>
          <w:p w14:paraId="7B05F4CB" w14:textId="77777777" w:rsidR="006005FF" w:rsidRPr="002F5F30"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+2.7</w:t>
            </w:r>
            <w:r w:rsidRPr="002F5F30">
              <w:rPr>
                <w:rFonts w:ascii="Arial" w:eastAsia="Times New Roman" w:hAnsi="Arial" w:cs="Arial"/>
                <w:color w:val="215868" w:themeColor="accent5" w:themeShade="80"/>
                <w:sz w:val="18"/>
                <w:szCs w:val="18"/>
              </w:rPr>
              <w:t>%</w:t>
            </w:r>
          </w:p>
        </w:tc>
        <w:tc>
          <w:tcPr>
            <w:tcW w:w="1269" w:type="dxa"/>
          </w:tcPr>
          <w:p w14:paraId="2E8D0DDA" w14:textId="77777777" w:rsidR="006005FF"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+23.1%</w:t>
            </w:r>
          </w:p>
        </w:tc>
        <w:tc>
          <w:tcPr>
            <w:tcW w:w="1269" w:type="dxa"/>
          </w:tcPr>
          <w:p w14:paraId="745932A4" w14:textId="77777777" w:rsidR="006005FF" w:rsidRPr="002F5F30" w:rsidRDefault="006005FF" w:rsidP="0062091B">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-4.8</w:t>
            </w:r>
            <w:r w:rsidRPr="002F5F30">
              <w:rPr>
                <w:rFonts w:ascii="Arial" w:eastAsia="Times New Roman" w:hAnsi="Arial" w:cs="Arial"/>
                <w:color w:val="215868" w:themeColor="accent5" w:themeShade="80"/>
                <w:sz w:val="18"/>
                <w:szCs w:val="18"/>
              </w:rPr>
              <w:t>%</w:t>
            </w:r>
          </w:p>
        </w:tc>
        <w:tc>
          <w:tcPr>
            <w:tcW w:w="1269" w:type="dxa"/>
          </w:tcPr>
          <w:p w14:paraId="1CF8C49A" w14:textId="77777777" w:rsidR="006005FF" w:rsidRPr="002F5F30"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-10.1%</w:t>
            </w:r>
          </w:p>
        </w:tc>
        <w:tc>
          <w:tcPr>
            <w:tcW w:w="929" w:type="dxa"/>
          </w:tcPr>
          <w:p w14:paraId="0E9B07B6" w14:textId="77777777" w:rsidR="006005FF"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+0.2%</w:t>
            </w:r>
          </w:p>
        </w:tc>
      </w:tr>
      <w:tr w:rsidR="006005FF" w:rsidRPr="00295B72" w14:paraId="5AF0A010" w14:textId="77777777" w:rsidTr="006209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noWrap/>
          </w:tcPr>
          <w:p w14:paraId="0FD286BE" w14:textId="77777777" w:rsidR="006005FF" w:rsidRPr="002F5F30" w:rsidRDefault="006005FF" w:rsidP="0062091B">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perishables</w:t>
            </w:r>
          </w:p>
        </w:tc>
        <w:tc>
          <w:tcPr>
            <w:tcW w:w="1006" w:type="dxa"/>
            <w:gridSpan w:val="2"/>
            <w:tcBorders>
              <w:left w:val="none" w:sz="0" w:space="0" w:color="auto"/>
              <w:right w:val="none" w:sz="0" w:space="0" w:color="auto"/>
            </w:tcBorders>
          </w:tcPr>
          <w:p w14:paraId="1A87E60A"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31.7</w:t>
            </w:r>
            <w:r w:rsidRPr="002F5F30">
              <w:rPr>
                <w:rFonts w:ascii="Arial" w:eastAsia="Times New Roman" w:hAnsi="Arial" w:cs="Arial"/>
                <w:color w:val="215868" w:themeColor="accent5" w:themeShade="80"/>
                <w:sz w:val="18"/>
                <w:szCs w:val="18"/>
              </w:rPr>
              <w:t>B</w:t>
            </w:r>
          </w:p>
        </w:tc>
        <w:tc>
          <w:tcPr>
            <w:tcW w:w="1269" w:type="dxa"/>
            <w:tcBorders>
              <w:left w:val="none" w:sz="0" w:space="0" w:color="auto"/>
              <w:right w:val="none" w:sz="0" w:space="0" w:color="auto"/>
            </w:tcBorders>
          </w:tcPr>
          <w:p w14:paraId="6A90DE41"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+6.3</w:t>
            </w:r>
            <w:r w:rsidRPr="002F5F30">
              <w:rPr>
                <w:rFonts w:ascii="Arial" w:eastAsia="Times New Roman" w:hAnsi="Arial" w:cs="Arial"/>
                <w:color w:val="215868" w:themeColor="accent5" w:themeShade="80"/>
                <w:sz w:val="18"/>
                <w:szCs w:val="18"/>
              </w:rPr>
              <w:t>%</w:t>
            </w:r>
          </w:p>
        </w:tc>
        <w:tc>
          <w:tcPr>
            <w:tcW w:w="1269" w:type="dxa"/>
            <w:tcBorders>
              <w:left w:val="none" w:sz="0" w:space="0" w:color="auto"/>
              <w:right w:val="none" w:sz="0" w:space="0" w:color="auto"/>
            </w:tcBorders>
          </w:tcPr>
          <w:p w14:paraId="52AB4E89"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+2.5</w:t>
            </w:r>
            <w:r w:rsidRPr="002F5F30">
              <w:rPr>
                <w:rFonts w:ascii="Arial" w:eastAsia="Times New Roman" w:hAnsi="Arial" w:cs="Arial"/>
                <w:color w:val="215868" w:themeColor="accent5" w:themeShade="80"/>
                <w:sz w:val="18"/>
                <w:szCs w:val="18"/>
              </w:rPr>
              <w:t>%</w:t>
            </w:r>
          </w:p>
        </w:tc>
        <w:tc>
          <w:tcPr>
            <w:tcW w:w="1269" w:type="dxa"/>
            <w:tcBorders>
              <w:left w:val="none" w:sz="0" w:space="0" w:color="auto"/>
              <w:right w:val="none" w:sz="0" w:space="0" w:color="auto"/>
            </w:tcBorders>
          </w:tcPr>
          <w:p w14:paraId="10F0BF54"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+21.3%</w:t>
            </w:r>
          </w:p>
        </w:tc>
        <w:tc>
          <w:tcPr>
            <w:tcW w:w="1269" w:type="dxa"/>
            <w:tcBorders>
              <w:left w:val="none" w:sz="0" w:space="0" w:color="auto"/>
              <w:right w:val="none" w:sz="0" w:space="0" w:color="auto"/>
            </w:tcBorders>
          </w:tcPr>
          <w:p w14:paraId="7EE8C005"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-4.9</w:t>
            </w:r>
            <w:r w:rsidRPr="002F5F30">
              <w:rPr>
                <w:rFonts w:ascii="Arial" w:eastAsia="Times New Roman" w:hAnsi="Arial" w:cs="Arial"/>
                <w:color w:val="215868" w:themeColor="accent5" w:themeShade="80"/>
                <w:sz w:val="18"/>
                <w:szCs w:val="18"/>
              </w:rPr>
              <w:t>%</w:t>
            </w:r>
          </w:p>
        </w:tc>
        <w:tc>
          <w:tcPr>
            <w:tcW w:w="1269" w:type="dxa"/>
            <w:tcBorders>
              <w:left w:val="none" w:sz="0" w:space="0" w:color="auto"/>
              <w:right w:val="none" w:sz="0" w:space="0" w:color="auto"/>
            </w:tcBorders>
          </w:tcPr>
          <w:p w14:paraId="421B7D19"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-10.0%</w:t>
            </w:r>
          </w:p>
        </w:tc>
        <w:tc>
          <w:tcPr>
            <w:tcW w:w="929" w:type="dxa"/>
            <w:tcBorders>
              <w:left w:val="none" w:sz="0" w:space="0" w:color="auto"/>
              <w:right w:val="none" w:sz="0" w:space="0" w:color="auto"/>
            </w:tcBorders>
          </w:tcPr>
          <w:p w14:paraId="339AF688"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-0.3%</w:t>
            </w:r>
          </w:p>
        </w:tc>
      </w:tr>
      <w:tr w:rsidR="006005FF" w:rsidRPr="007C654C" w14:paraId="3BAD3FDA" w14:textId="77777777" w:rsidTr="0062091B">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5C396BCA" w14:textId="77777777" w:rsidR="006005FF" w:rsidRPr="007C654C" w:rsidRDefault="006005FF" w:rsidP="0062091B">
            <w:pPr>
              <w:rPr>
                <w:rFonts w:ascii="Arial" w:eastAsia="Times New Roman" w:hAnsi="Arial" w:cs="Arial"/>
                <w:b w:val="0"/>
                <w:bCs w:val="0"/>
                <w:color w:val="215868" w:themeColor="accent5" w:themeShade="80"/>
                <w:sz w:val="18"/>
                <w:szCs w:val="18"/>
              </w:rPr>
            </w:pPr>
            <w:r w:rsidRPr="007C654C">
              <w:rPr>
                <w:rFonts w:ascii="Arial" w:eastAsia="Times New Roman" w:hAnsi="Arial" w:cs="Arial"/>
                <w:b w:val="0"/>
                <w:bCs w:val="0"/>
                <w:color w:val="215868" w:themeColor="accent5" w:themeShade="80"/>
                <w:sz w:val="18"/>
                <w:szCs w:val="18"/>
              </w:rPr>
              <w:t>Total grocery (center store)</w:t>
            </w:r>
          </w:p>
        </w:tc>
        <w:tc>
          <w:tcPr>
            <w:tcW w:w="1006" w:type="dxa"/>
            <w:gridSpan w:val="2"/>
          </w:tcPr>
          <w:p w14:paraId="21E90664"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33.5</w:t>
            </w:r>
            <w:r w:rsidRPr="002F5F30">
              <w:rPr>
                <w:rFonts w:ascii="Arial" w:eastAsia="Times New Roman" w:hAnsi="Arial" w:cs="Arial"/>
                <w:color w:val="215868" w:themeColor="accent5" w:themeShade="80"/>
                <w:sz w:val="18"/>
                <w:szCs w:val="18"/>
              </w:rPr>
              <w:t>B</w:t>
            </w:r>
          </w:p>
        </w:tc>
        <w:tc>
          <w:tcPr>
            <w:tcW w:w="1269" w:type="dxa"/>
          </w:tcPr>
          <w:p w14:paraId="03A6F449"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+8.6</w:t>
            </w:r>
            <w:r w:rsidRPr="002F5F30">
              <w:rPr>
                <w:rFonts w:ascii="Arial" w:eastAsia="Times New Roman" w:hAnsi="Arial" w:cs="Arial"/>
                <w:color w:val="215868" w:themeColor="accent5" w:themeShade="80"/>
                <w:sz w:val="18"/>
                <w:szCs w:val="18"/>
              </w:rPr>
              <w:t>%</w:t>
            </w:r>
          </w:p>
        </w:tc>
        <w:tc>
          <w:tcPr>
            <w:tcW w:w="1269" w:type="dxa"/>
          </w:tcPr>
          <w:p w14:paraId="36F652B6"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+5.1</w:t>
            </w:r>
            <w:r w:rsidRPr="002F5F30">
              <w:rPr>
                <w:rFonts w:ascii="Arial" w:eastAsia="Times New Roman" w:hAnsi="Arial" w:cs="Arial"/>
                <w:color w:val="215868" w:themeColor="accent5" w:themeShade="80"/>
                <w:sz w:val="18"/>
                <w:szCs w:val="18"/>
              </w:rPr>
              <w:t>%</w:t>
            </w:r>
          </w:p>
        </w:tc>
        <w:tc>
          <w:tcPr>
            <w:tcW w:w="1269" w:type="dxa"/>
          </w:tcPr>
          <w:p w14:paraId="22CFE0D1"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+26.6%</w:t>
            </w:r>
          </w:p>
        </w:tc>
        <w:tc>
          <w:tcPr>
            <w:tcW w:w="1269" w:type="dxa"/>
          </w:tcPr>
          <w:p w14:paraId="1BF07D75"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-4.5</w:t>
            </w:r>
            <w:r w:rsidRPr="002F5F30">
              <w:rPr>
                <w:rFonts w:ascii="Arial" w:eastAsia="Times New Roman" w:hAnsi="Arial" w:cs="Arial"/>
                <w:color w:val="215868" w:themeColor="accent5" w:themeShade="80"/>
                <w:sz w:val="18"/>
                <w:szCs w:val="18"/>
              </w:rPr>
              <w:t>%</w:t>
            </w:r>
          </w:p>
        </w:tc>
        <w:tc>
          <w:tcPr>
            <w:tcW w:w="1269" w:type="dxa"/>
          </w:tcPr>
          <w:p w14:paraId="7409A893"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-9.9%</w:t>
            </w:r>
          </w:p>
        </w:tc>
        <w:tc>
          <w:tcPr>
            <w:tcW w:w="929" w:type="dxa"/>
          </w:tcPr>
          <w:p w14:paraId="3194FCA6" w14:textId="77777777" w:rsidR="006005FF" w:rsidRPr="007C654C" w:rsidRDefault="006005FF" w:rsidP="0062091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+0.8%</w:t>
            </w:r>
          </w:p>
        </w:tc>
      </w:tr>
      <w:tr w:rsidR="006005FF" w:rsidRPr="00A30CAC" w14:paraId="591BB466" w14:textId="77777777" w:rsidTr="0062091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007755FB" w14:textId="77777777" w:rsidR="006005FF" w:rsidRPr="002F5F30" w:rsidRDefault="006005FF" w:rsidP="0062091B">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frozen</w:t>
            </w:r>
          </w:p>
        </w:tc>
        <w:tc>
          <w:tcPr>
            <w:tcW w:w="1006" w:type="dxa"/>
            <w:gridSpan w:val="2"/>
          </w:tcPr>
          <w:p w14:paraId="7D2A321B"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6.7</w:t>
            </w:r>
            <w:r w:rsidRPr="002F5F30">
              <w:rPr>
                <w:rFonts w:ascii="Arial" w:eastAsia="Times New Roman" w:hAnsi="Arial" w:cs="Arial"/>
                <w:color w:val="215868" w:themeColor="accent5" w:themeShade="80"/>
                <w:sz w:val="18"/>
                <w:szCs w:val="18"/>
              </w:rPr>
              <w:t>B</w:t>
            </w:r>
          </w:p>
        </w:tc>
        <w:tc>
          <w:tcPr>
            <w:tcW w:w="1269" w:type="dxa"/>
          </w:tcPr>
          <w:p w14:paraId="56D1314A"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+6.1</w:t>
            </w:r>
            <w:r w:rsidRPr="002F5F30">
              <w:rPr>
                <w:rFonts w:ascii="Arial" w:eastAsia="Times New Roman" w:hAnsi="Arial" w:cs="Arial"/>
                <w:color w:val="215868" w:themeColor="accent5" w:themeShade="80"/>
                <w:sz w:val="18"/>
                <w:szCs w:val="18"/>
              </w:rPr>
              <w:t>%</w:t>
            </w:r>
          </w:p>
        </w:tc>
        <w:tc>
          <w:tcPr>
            <w:tcW w:w="1269" w:type="dxa"/>
          </w:tcPr>
          <w:p w14:paraId="325CD673"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-2.0</w:t>
            </w:r>
            <w:r w:rsidRPr="002F5F30">
              <w:rPr>
                <w:rFonts w:ascii="Arial" w:eastAsia="Times New Roman" w:hAnsi="Arial" w:cs="Arial"/>
                <w:color w:val="215868" w:themeColor="accent5" w:themeShade="80"/>
                <w:sz w:val="18"/>
                <w:szCs w:val="18"/>
              </w:rPr>
              <w:t>%</w:t>
            </w:r>
          </w:p>
        </w:tc>
        <w:tc>
          <w:tcPr>
            <w:tcW w:w="1269" w:type="dxa"/>
          </w:tcPr>
          <w:p w14:paraId="2E9BC934"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+30.7%</w:t>
            </w:r>
          </w:p>
        </w:tc>
        <w:tc>
          <w:tcPr>
            <w:tcW w:w="1269" w:type="dxa"/>
          </w:tcPr>
          <w:p w14:paraId="2982980C" w14:textId="77777777" w:rsidR="006005FF" w:rsidRPr="002F5F30" w:rsidRDefault="006005FF" w:rsidP="0062091B">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-4.9</w:t>
            </w:r>
            <w:r w:rsidRPr="002F5F30">
              <w:rPr>
                <w:rFonts w:ascii="Arial" w:eastAsia="Times New Roman" w:hAnsi="Arial" w:cs="Arial"/>
                <w:color w:val="215868" w:themeColor="accent5" w:themeShade="80"/>
                <w:sz w:val="18"/>
                <w:szCs w:val="18"/>
              </w:rPr>
              <w:t>%</w:t>
            </w:r>
          </w:p>
        </w:tc>
        <w:tc>
          <w:tcPr>
            <w:tcW w:w="1269" w:type="dxa"/>
          </w:tcPr>
          <w:p w14:paraId="120FDB21"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-10.0%</w:t>
            </w:r>
          </w:p>
        </w:tc>
        <w:tc>
          <w:tcPr>
            <w:tcW w:w="929" w:type="dxa"/>
          </w:tcPr>
          <w:p w14:paraId="05564181" w14:textId="77777777" w:rsidR="006005FF" w:rsidRDefault="006005FF" w:rsidP="0062091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-0.3%</w:t>
            </w:r>
          </w:p>
        </w:tc>
      </w:tr>
    </w:tbl>
    <w:p w14:paraId="16E49249" w14:textId="77777777" w:rsidR="006005FF" w:rsidRPr="00B64ECF" w:rsidRDefault="006005FF" w:rsidP="006005FF">
      <w:pPr>
        <w:pStyle w:val="NoSpacing"/>
        <w:rPr>
          <w:rFonts w:ascii="Arial" w:hAnsi="Arial" w:cs="Arial"/>
          <w:sz w:val="12"/>
          <w:szCs w:val="16"/>
        </w:rPr>
      </w:pPr>
    </w:p>
    <w:p w14:paraId="59CCBD34" w14:textId="77777777" w:rsidR="006005FF" w:rsidRDefault="006005FF" w:rsidP="006005FF">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p w14:paraId="52BE2674" w14:textId="463A50BE" w:rsidR="00C616F0" w:rsidRDefault="00C616F0" w:rsidP="001210D2">
      <w:pPr>
        <w:pStyle w:val="NoSpacing"/>
        <w:rPr>
          <w:rFonts w:ascii="Arial" w:hAnsi="Arial" w:cs="Arial"/>
          <w:sz w:val="20"/>
          <w:szCs w:val="20"/>
        </w:rPr>
      </w:pPr>
    </w:p>
    <w:p w14:paraId="5C40F56A" w14:textId="1FFB2727" w:rsidR="001C641C" w:rsidRDefault="006005FF" w:rsidP="00CF43CE">
      <w:pPr>
        <w:pStyle w:val="NoSpacing"/>
        <w:rPr>
          <w:rFonts w:ascii="Arial" w:hAnsi="Arial" w:cs="Arial"/>
          <w:sz w:val="20"/>
          <w:szCs w:val="20"/>
        </w:rPr>
      </w:pPr>
      <w:r>
        <w:rPr>
          <w:rFonts w:ascii="Arial" w:hAnsi="Arial" w:cs="Arial"/>
          <w:sz w:val="20"/>
          <w:szCs w:val="20"/>
        </w:rPr>
        <w:t xml:space="preserve">May </w:t>
      </w:r>
      <w:r w:rsidR="00647DD6">
        <w:rPr>
          <w:rFonts w:ascii="Arial" w:hAnsi="Arial" w:cs="Arial"/>
          <w:sz w:val="20"/>
          <w:szCs w:val="20"/>
        </w:rPr>
        <w:t xml:space="preserve">2022 </w:t>
      </w:r>
      <w:r w:rsidR="00A96063">
        <w:rPr>
          <w:rFonts w:ascii="Arial" w:hAnsi="Arial" w:cs="Arial"/>
          <w:sz w:val="20"/>
          <w:szCs w:val="20"/>
        </w:rPr>
        <w:t xml:space="preserve">fresh </w:t>
      </w:r>
      <w:r w:rsidR="00891C7E">
        <w:rPr>
          <w:rFonts w:ascii="Arial" w:hAnsi="Arial" w:cs="Arial"/>
          <w:sz w:val="20"/>
          <w:szCs w:val="20"/>
        </w:rPr>
        <w:t xml:space="preserve">produce sales </w:t>
      </w:r>
      <w:r w:rsidR="00D046CF">
        <w:rPr>
          <w:rFonts w:ascii="Arial" w:hAnsi="Arial" w:cs="Arial"/>
          <w:sz w:val="20"/>
          <w:szCs w:val="20"/>
        </w:rPr>
        <w:t>reached $</w:t>
      </w:r>
      <w:r>
        <w:rPr>
          <w:rFonts w:ascii="Arial" w:hAnsi="Arial" w:cs="Arial"/>
          <w:sz w:val="20"/>
          <w:szCs w:val="20"/>
        </w:rPr>
        <w:t>7.5</w:t>
      </w:r>
      <w:r w:rsidR="00D046CF">
        <w:rPr>
          <w:rFonts w:ascii="Arial" w:hAnsi="Arial" w:cs="Arial"/>
          <w:sz w:val="20"/>
          <w:szCs w:val="20"/>
        </w:rPr>
        <w:t xml:space="preserve"> billion</w:t>
      </w:r>
      <w:r w:rsidR="001C641C">
        <w:rPr>
          <w:rFonts w:ascii="Arial" w:hAnsi="Arial" w:cs="Arial"/>
          <w:sz w:val="20"/>
          <w:szCs w:val="20"/>
        </w:rPr>
        <w:t xml:space="preserve">, surpassing the record set in </w:t>
      </w:r>
      <w:r w:rsidR="002741C9">
        <w:rPr>
          <w:rFonts w:ascii="Arial" w:hAnsi="Arial" w:cs="Arial"/>
          <w:sz w:val="20"/>
          <w:szCs w:val="20"/>
        </w:rPr>
        <w:t>2021</w:t>
      </w:r>
      <w:r w:rsidR="00576505">
        <w:rPr>
          <w:rFonts w:ascii="Arial" w:hAnsi="Arial" w:cs="Arial"/>
          <w:sz w:val="20"/>
          <w:szCs w:val="20"/>
        </w:rPr>
        <w:t xml:space="preserve"> by </w:t>
      </w:r>
      <w:r w:rsidR="00676B67">
        <w:rPr>
          <w:rFonts w:ascii="Arial" w:hAnsi="Arial" w:cs="Arial"/>
          <w:sz w:val="20"/>
          <w:szCs w:val="20"/>
        </w:rPr>
        <w:t>+</w:t>
      </w:r>
      <w:r>
        <w:rPr>
          <w:rFonts w:ascii="Arial" w:hAnsi="Arial" w:cs="Arial"/>
          <w:sz w:val="20"/>
          <w:szCs w:val="20"/>
        </w:rPr>
        <w:t>3.2</w:t>
      </w:r>
      <w:r w:rsidR="00576505">
        <w:rPr>
          <w:rFonts w:ascii="Arial" w:hAnsi="Arial" w:cs="Arial"/>
          <w:sz w:val="20"/>
          <w:szCs w:val="20"/>
        </w:rPr>
        <w:t>%</w:t>
      </w:r>
      <w:r w:rsidR="001C641C">
        <w:rPr>
          <w:rFonts w:ascii="Arial" w:hAnsi="Arial" w:cs="Arial"/>
          <w:sz w:val="20"/>
          <w:szCs w:val="20"/>
        </w:rPr>
        <w:t xml:space="preserve">. </w:t>
      </w:r>
      <w:r w:rsidR="00A96063">
        <w:rPr>
          <w:rFonts w:ascii="Arial" w:hAnsi="Arial" w:cs="Arial"/>
          <w:sz w:val="20"/>
          <w:szCs w:val="20"/>
        </w:rPr>
        <w:t>However, looking beyond dollars that were highly affected by inflation</w:t>
      </w:r>
      <w:r>
        <w:rPr>
          <w:rFonts w:ascii="Arial" w:hAnsi="Arial" w:cs="Arial"/>
          <w:sz w:val="20"/>
          <w:szCs w:val="20"/>
        </w:rPr>
        <w:t>,</w:t>
      </w:r>
      <w:r w:rsidR="00A96063">
        <w:rPr>
          <w:rFonts w:ascii="Arial" w:hAnsi="Arial" w:cs="Arial"/>
          <w:sz w:val="20"/>
          <w:szCs w:val="20"/>
        </w:rPr>
        <w:t xml:space="preserve"> </w:t>
      </w:r>
      <w:r w:rsidR="001C641C">
        <w:rPr>
          <w:rFonts w:ascii="Arial" w:hAnsi="Arial" w:cs="Arial"/>
          <w:sz w:val="20"/>
          <w:szCs w:val="20"/>
        </w:rPr>
        <w:t>unit and volume decline</w:t>
      </w:r>
      <w:r w:rsidR="00676B67">
        <w:rPr>
          <w:rFonts w:ascii="Arial" w:hAnsi="Arial" w:cs="Arial"/>
          <w:sz w:val="20"/>
          <w:szCs w:val="20"/>
        </w:rPr>
        <w:t>d</w:t>
      </w:r>
      <w:r w:rsidR="001C641C">
        <w:rPr>
          <w:rFonts w:ascii="Arial" w:hAnsi="Arial" w:cs="Arial"/>
          <w:sz w:val="20"/>
          <w:szCs w:val="20"/>
        </w:rPr>
        <w:t xml:space="preserve">. </w:t>
      </w:r>
      <w:r w:rsidR="00667BC4">
        <w:rPr>
          <w:rFonts w:ascii="Arial" w:hAnsi="Arial" w:cs="Arial"/>
          <w:sz w:val="20"/>
          <w:szCs w:val="20"/>
        </w:rPr>
        <w:t>“</w:t>
      </w:r>
      <w:r w:rsidR="00A96063">
        <w:rPr>
          <w:rFonts w:ascii="Arial" w:hAnsi="Arial" w:cs="Arial"/>
          <w:sz w:val="20"/>
          <w:szCs w:val="20"/>
        </w:rPr>
        <w:t>There are many forces at play relative to the volume pressure,” said Watson. “</w:t>
      </w:r>
      <w:r w:rsidR="00800D6D">
        <w:rPr>
          <w:rFonts w:ascii="Arial" w:hAnsi="Arial" w:cs="Arial"/>
          <w:sz w:val="20"/>
          <w:szCs w:val="20"/>
        </w:rPr>
        <w:t xml:space="preserve">Consumers are hyper focused on saving money, </w:t>
      </w:r>
      <w:r w:rsidR="00A81DD5">
        <w:rPr>
          <w:rFonts w:ascii="Arial" w:hAnsi="Arial" w:cs="Arial"/>
          <w:sz w:val="20"/>
          <w:szCs w:val="20"/>
        </w:rPr>
        <w:t>frozen and shelf-stable play a role</w:t>
      </w:r>
      <w:r w:rsidR="00A96063">
        <w:rPr>
          <w:rFonts w:ascii="Arial" w:hAnsi="Arial" w:cs="Arial"/>
          <w:sz w:val="20"/>
          <w:szCs w:val="20"/>
        </w:rPr>
        <w:t xml:space="preserve">, and there is the impact of </w:t>
      </w:r>
      <w:r w:rsidR="002741C9">
        <w:rPr>
          <w:rFonts w:ascii="Arial" w:hAnsi="Arial" w:cs="Arial"/>
          <w:sz w:val="20"/>
          <w:szCs w:val="20"/>
        </w:rPr>
        <w:t>supply chain disruption</w:t>
      </w:r>
      <w:r w:rsidR="0000075A">
        <w:rPr>
          <w:rFonts w:ascii="Arial" w:hAnsi="Arial" w:cs="Arial"/>
          <w:sz w:val="20"/>
          <w:szCs w:val="20"/>
        </w:rPr>
        <w:t xml:space="preserve"> and out-of-stocks.</w:t>
      </w:r>
      <w:r w:rsidR="00800D6D">
        <w:rPr>
          <w:rFonts w:ascii="Arial" w:hAnsi="Arial" w:cs="Arial"/>
          <w:sz w:val="20"/>
          <w:szCs w:val="20"/>
        </w:rPr>
        <w:t xml:space="preserve"> Opportunities for the summer months lie in the increase in outdoor entertaining where fresh produce plays an important role.</w:t>
      </w:r>
      <w:r w:rsidR="00A84CAB">
        <w:rPr>
          <w:rFonts w:ascii="Arial" w:hAnsi="Arial" w:cs="Arial"/>
          <w:sz w:val="20"/>
          <w:szCs w:val="20"/>
        </w:rPr>
        <w:t>”</w:t>
      </w:r>
      <w:r w:rsidR="001C641C">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2FFDBE89" w:rsidR="001729EA" w:rsidRPr="001729EA" w:rsidRDefault="001162B9" w:rsidP="00E97D52">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May</w:t>
            </w:r>
            <w:r w:rsidR="00B75D3A">
              <w:rPr>
                <w:rFonts w:ascii="Arial" w:eastAsia="Times New Roman" w:hAnsi="Arial" w:cs="Arial"/>
                <w:color w:val="FFFFFF" w:themeColor="background1"/>
                <w:sz w:val="18"/>
                <w:szCs w:val="20"/>
              </w:rPr>
              <w:t xml:space="preserve">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38781D">
              <w:rPr>
                <w:rFonts w:ascii="Arial" w:eastAsia="Times New Roman" w:hAnsi="Arial" w:cs="Arial"/>
                <w:color w:val="FFFFFF" w:themeColor="background1"/>
                <w:sz w:val="18"/>
                <w:szCs w:val="20"/>
              </w:rPr>
              <w:t>20</w:t>
            </w:r>
          </w:p>
        </w:tc>
      </w:tr>
      <w:tr w:rsidR="001729EA" w:rsidRPr="000A733E" w14:paraId="4C79F54A"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6B74DB7C"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7.5</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5E22CF9C"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3.2</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314B3C49" w:rsidR="001729EA" w:rsidRPr="00E97D52" w:rsidRDefault="00B75D3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0.7</w:t>
            </w:r>
            <w:r w:rsidR="001729EA"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0A6F99A3"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5.3</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1BFE8C57"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13.0</w:t>
            </w:r>
            <w:r w:rsidR="001729EA"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1FC53C13"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5.8</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5E33EDFE"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15.8</w:t>
            </w:r>
            <w:r w:rsidR="001729EA" w:rsidRPr="00560673">
              <w:rPr>
                <w:rFonts w:ascii="Arial" w:eastAsia="Times New Roman" w:hAnsi="Arial" w:cs="Arial"/>
                <w:color w:val="17365D" w:themeColor="text2" w:themeShade="BF"/>
                <w:sz w:val="18"/>
                <w:szCs w:val="18"/>
              </w:rPr>
              <w:t>%</w:t>
            </w:r>
          </w:p>
        </w:tc>
      </w:tr>
      <w:tr w:rsidR="00B75D3A" w:rsidRPr="000A733E" w14:paraId="00EC79C9" w14:textId="77777777" w:rsidTr="006E6284">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321CEE46"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3.8</w:t>
            </w:r>
            <w:r w:rsidRPr="00E97D52">
              <w:rPr>
                <w:rFonts w:ascii="Arial" w:eastAsia="Times New Roman" w:hAnsi="Arial" w:cs="Arial"/>
                <w:color w:val="17365D" w:themeColor="text2" w:themeShade="BF"/>
                <w:sz w:val="18"/>
                <w:szCs w:val="18"/>
              </w:rPr>
              <w:t>B</w:t>
            </w:r>
          </w:p>
        </w:tc>
        <w:tc>
          <w:tcPr>
            <w:tcW w:w="1265" w:type="dxa"/>
          </w:tcPr>
          <w:p w14:paraId="57664D8C" w14:textId="7DC1E9A1"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3.9</w:t>
            </w:r>
            <w:r w:rsidRPr="00591300">
              <w:rPr>
                <w:rFonts w:ascii="Arial" w:eastAsia="Times New Roman" w:hAnsi="Arial" w:cs="Arial"/>
                <w:color w:val="17365D" w:themeColor="text2" w:themeShade="BF"/>
                <w:sz w:val="18"/>
                <w:szCs w:val="18"/>
              </w:rPr>
              <w:t>%</w:t>
            </w:r>
          </w:p>
        </w:tc>
        <w:tc>
          <w:tcPr>
            <w:tcW w:w="1265" w:type="dxa"/>
          </w:tcPr>
          <w:p w14:paraId="0AB9E5AE" w14:textId="0C380A99"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6.7</w:t>
            </w:r>
            <w:r w:rsidRPr="00591300">
              <w:rPr>
                <w:rFonts w:ascii="Arial" w:eastAsia="Times New Roman" w:hAnsi="Arial" w:cs="Arial"/>
                <w:color w:val="17365D" w:themeColor="text2" w:themeShade="BF"/>
                <w:sz w:val="18"/>
                <w:szCs w:val="18"/>
              </w:rPr>
              <w:t>%</w:t>
            </w:r>
          </w:p>
        </w:tc>
        <w:tc>
          <w:tcPr>
            <w:tcW w:w="1265" w:type="dxa"/>
          </w:tcPr>
          <w:p w14:paraId="18ACF451" w14:textId="3B57B0F2"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3.9</w:t>
            </w:r>
            <w:r w:rsidRPr="000A0500">
              <w:rPr>
                <w:rFonts w:ascii="Arial" w:eastAsia="Times New Roman" w:hAnsi="Arial" w:cs="Arial"/>
                <w:color w:val="17365D" w:themeColor="text2" w:themeShade="BF"/>
                <w:sz w:val="18"/>
                <w:szCs w:val="18"/>
              </w:rPr>
              <w:t>%</w:t>
            </w:r>
          </w:p>
        </w:tc>
        <w:tc>
          <w:tcPr>
            <w:tcW w:w="1265" w:type="dxa"/>
          </w:tcPr>
          <w:p w14:paraId="3E25926E" w14:textId="6DC55B30"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8.9</w:t>
            </w:r>
            <w:r w:rsidRPr="007650CC">
              <w:rPr>
                <w:rFonts w:ascii="Arial" w:eastAsia="Times New Roman" w:hAnsi="Arial" w:cs="Arial"/>
                <w:color w:val="17365D" w:themeColor="text2" w:themeShade="BF"/>
                <w:sz w:val="18"/>
                <w:szCs w:val="18"/>
              </w:rPr>
              <w:t>%</w:t>
            </w:r>
          </w:p>
        </w:tc>
        <w:tc>
          <w:tcPr>
            <w:tcW w:w="1265" w:type="dxa"/>
          </w:tcPr>
          <w:p w14:paraId="426F58FB" w14:textId="0A006A09"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5.9</w:t>
            </w:r>
            <w:r w:rsidRPr="00E87888">
              <w:rPr>
                <w:rFonts w:ascii="Arial" w:eastAsia="Times New Roman" w:hAnsi="Arial" w:cs="Arial"/>
                <w:color w:val="17365D" w:themeColor="text2" w:themeShade="BF"/>
                <w:sz w:val="18"/>
                <w:szCs w:val="18"/>
              </w:rPr>
              <w:t>%</w:t>
            </w:r>
          </w:p>
        </w:tc>
        <w:tc>
          <w:tcPr>
            <w:tcW w:w="1266" w:type="dxa"/>
          </w:tcPr>
          <w:p w14:paraId="44B578EA" w14:textId="1AD39D62" w:rsidR="00B75D3A" w:rsidRPr="00E97D52" w:rsidRDefault="00B75D3A" w:rsidP="00B75D3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14.2</w:t>
            </w:r>
            <w:r w:rsidRPr="00560673">
              <w:rPr>
                <w:rFonts w:ascii="Arial" w:eastAsia="Times New Roman" w:hAnsi="Arial" w:cs="Arial"/>
                <w:color w:val="17365D" w:themeColor="text2" w:themeShade="BF"/>
                <w:sz w:val="18"/>
                <w:szCs w:val="18"/>
              </w:rPr>
              <w:t>%</w:t>
            </w:r>
          </w:p>
        </w:tc>
      </w:tr>
      <w:tr w:rsidR="00B75D3A" w:rsidRPr="000A733E" w14:paraId="52DE1385"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B75D3A" w:rsidRPr="000A733E" w:rsidRDefault="00B75D3A" w:rsidP="00B75D3A">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1E32233A"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3.5</w:t>
            </w:r>
            <w:r w:rsidRPr="00E97D52">
              <w:rPr>
                <w:rFonts w:ascii="Arial" w:eastAsia="Times New Roman" w:hAnsi="Arial" w:cs="Arial"/>
                <w:color w:val="17365D" w:themeColor="text2" w:themeShade="BF"/>
                <w:sz w:val="18"/>
                <w:szCs w:val="18"/>
              </w:rPr>
              <w:t>B</w:t>
            </w:r>
          </w:p>
        </w:tc>
        <w:tc>
          <w:tcPr>
            <w:tcW w:w="1265" w:type="dxa"/>
          </w:tcPr>
          <w:p w14:paraId="62E753B2" w14:textId="4B40A2BD"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3.2</w:t>
            </w:r>
            <w:r w:rsidRPr="00591300">
              <w:rPr>
                <w:rFonts w:ascii="Arial" w:eastAsia="Times New Roman" w:hAnsi="Arial" w:cs="Arial"/>
                <w:color w:val="17365D" w:themeColor="text2" w:themeShade="BF"/>
                <w:sz w:val="18"/>
                <w:szCs w:val="18"/>
              </w:rPr>
              <w:t>%</w:t>
            </w:r>
          </w:p>
        </w:tc>
        <w:tc>
          <w:tcPr>
            <w:tcW w:w="1265" w:type="dxa"/>
          </w:tcPr>
          <w:p w14:paraId="5F82C4A8" w14:textId="6FCEBB06"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6.0</w:t>
            </w:r>
            <w:r w:rsidRPr="00591300">
              <w:rPr>
                <w:rFonts w:ascii="Arial" w:eastAsia="Times New Roman" w:hAnsi="Arial" w:cs="Arial"/>
                <w:color w:val="17365D" w:themeColor="text2" w:themeShade="BF"/>
                <w:sz w:val="18"/>
                <w:szCs w:val="18"/>
              </w:rPr>
              <w:t>%</w:t>
            </w:r>
          </w:p>
        </w:tc>
        <w:tc>
          <w:tcPr>
            <w:tcW w:w="1265" w:type="dxa"/>
          </w:tcPr>
          <w:p w14:paraId="36BF3793" w14:textId="7963FCD3"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6.5</w:t>
            </w:r>
            <w:r w:rsidRPr="000A0500">
              <w:rPr>
                <w:rFonts w:ascii="Arial" w:eastAsia="Times New Roman" w:hAnsi="Arial" w:cs="Arial"/>
                <w:color w:val="17365D" w:themeColor="text2" w:themeShade="BF"/>
                <w:sz w:val="18"/>
                <w:szCs w:val="18"/>
              </w:rPr>
              <w:t>%</w:t>
            </w:r>
          </w:p>
        </w:tc>
        <w:tc>
          <w:tcPr>
            <w:tcW w:w="1265" w:type="dxa"/>
          </w:tcPr>
          <w:p w14:paraId="60C3D45F" w14:textId="48B549B2"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16.3</w:t>
            </w:r>
            <w:r w:rsidRPr="007650CC">
              <w:rPr>
                <w:rFonts w:ascii="Arial" w:eastAsia="Times New Roman" w:hAnsi="Arial" w:cs="Arial"/>
                <w:color w:val="17365D" w:themeColor="text2" w:themeShade="BF"/>
                <w:sz w:val="18"/>
                <w:szCs w:val="18"/>
              </w:rPr>
              <w:t>%</w:t>
            </w:r>
          </w:p>
        </w:tc>
        <w:tc>
          <w:tcPr>
            <w:tcW w:w="1265" w:type="dxa"/>
          </w:tcPr>
          <w:p w14:paraId="53B735C6" w14:textId="4AAC4A3B"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5.8</w:t>
            </w:r>
            <w:r w:rsidRPr="00E87888">
              <w:rPr>
                <w:rFonts w:ascii="Arial" w:eastAsia="Times New Roman" w:hAnsi="Arial" w:cs="Arial"/>
                <w:color w:val="17365D" w:themeColor="text2" w:themeShade="BF"/>
                <w:sz w:val="18"/>
                <w:szCs w:val="18"/>
              </w:rPr>
              <w:t>%</w:t>
            </w:r>
          </w:p>
        </w:tc>
        <w:tc>
          <w:tcPr>
            <w:tcW w:w="1266" w:type="dxa"/>
          </w:tcPr>
          <w:p w14:paraId="3696D109" w14:textId="497E3C1F" w:rsidR="00B75D3A" w:rsidRPr="00E97D52" w:rsidRDefault="00B75D3A" w:rsidP="00B75D3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6005FF">
              <w:rPr>
                <w:rFonts w:ascii="Arial" w:eastAsia="Times New Roman" w:hAnsi="Arial" w:cs="Arial"/>
                <w:color w:val="17365D" w:themeColor="text2" w:themeShade="BF"/>
                <w:sz w:val="18"/>
                <w:szCs w:val="18"/>
              </w:rPr>
              <w:t>18.1</w:t>
            </w:r>
            <w:r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6F77542A" w14:textId="2CA580ED" w:rsidR="00800D6D" w:rsidRDefault="00800D6D">
      <w:pPr>
        <w:rPr>
          <w:rFonts w:ascii="Arial" w:hAnsi="Arial" w:cs="Arial"/>
          <w:color w:val="595959" w:themeColor="text1" w:themeTint="A6"/>
          <w:sz w:val="24"/>
        </w:rPr>
      </w:pPr>
      <w:r>
        <w:rPr>
          <w:rFonts w:ascii="Arial" w:hAnsi="Arial" w:cs="Arial"/>
          <w:color w:val="595959" w:themeColor="text1" w:themeTint="A6"/>
          <w:sz w:val="24"/>
        </w:rPr>
        <w:br w:type="page"/>
      </w:r>
    </w:p>
    <w:p w14:paraId="644FC7D5"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89E18F0" w14:textId="77777777" w:rsidTr="009D788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2B589CF"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97495A7"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F6EDA89"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789DFE22" w14:textId="5D3683E5"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vs. </w:t>
            </w:r>
            <w:r w:rsidR="009D7889">
              <w:rPr>
                <w:rFonts w:ascii="Arial" w:hAnsi="Arial" w:cs="Arial"/>
                <w:color w:val="FFFFFF" w:themeColor="background1"/>
                <w:sz w:val="18"/>
                <w:szCs w:val="20"/>
              </w:rPr>
              <w:t>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0F40F68"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proofErr w:type="spellStart"/>
            <w:r>
              <w:rPr>
                <w:rFonts w:ascii="Arial" w:hAnsi="Arial" w:cs="Arial"/>
                <w:color w:val="FFFFFF" w:themeColor="background1"/>
                <w:sz w:val="18"/>
                <w:szCs w:val="20"/>
              </w:rPr>
              <w:t>Lbs</w:t>
            </w:r>
            <w:proofErr w:type="spellEnd"/>
            <w:r>
              <w:rPr>
                <w:rFonts w:ascii="Arial" w:hAnsi="Arial" w:cs="Arial"/>
                <w:color w:val="FFFFFF" w:themeColor="background1"/>
                <w:sz w:val="18"/>
                <w:szCs w:val="20"/>
              </w:rPr>
              <w:t xml:space="preserve"> </w:t>
            </w:r>
          </w:p>
          <w:p w14:paraId="602B4FB7" w14:textId="2AC2744A" w:rsidR="00A225AD" w:rsidRPr="00DE633B"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A225AD" w:rsidRPr="00361BCC" w14:paraId="2B024870"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2F99E2" w14:textId="3A4533A2" w:rsidR="00A225AD" w:rsidRPr="00361BCC" w:rsidRDefault="007271CC" w:rsidP="00AF4FDD">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May</w:t>
            </w:r>
            <w:r w:rsidR="00A96063">
              <w:rPr>
                <w:rFonts w:ascii="Arial" w:hAnsi="Arial" w:cs="Arial"/>
                <w:color w:val="215868" w:themeColor="accent5" w:themeShade="80"/>
                <w:sz w:val="18"/>
                <w:szCs w:val="18"/>
              </w:rPr>
              <w:t xml:space="preserve"> </w:t>
            </w:r>
            <w:r w:rsidR="00112E9A">
              <w:rPr>
                <w:rFonts w:ascii="Arial" w:hAnsi="Arial" w:cs="Arial"/>
                <w:color w:val="215868" w:themeColor="accent5" w:themeShade="80"/>
                <w:sz w:val="18"/>
                <w:szCs w:val="18"/>
              </w:rPr>
              <w:t>2022</w:t>
            </w:r>
          </w:p>
        </w:tc>
        <w:tc>
          <w:tcPr>
            <w:tcW w:w="1276" w:type="dxa"/>
            <w:tcBorders>
              <w:left w:val="none" w:sz="0" w:space="0" w:color="auto"/>
              <w:right w:val="none" w:sz="0" w:space="0" w:color="auto"/>
            </w:tcBorders>
            <w:vAlign w:val="center"/>
          </w:tcPr>
          <w:p w14:paraId="112F661F" w14:textId="2AFAC5D4"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2C4F5A">
              <w:rPr>
                <w:rFonts w:ascii="Arial" w:hAnsi="Arial" w:cs="Arial"/>
                <w:b/>
                <w:bCs/>
                <w:color w:val="215868" w:themeColor="accent5" w:themeShade="80"/>
                <w:sz w:val="18"/>
                <w:szCs w:val="20"/>
              </w:rPr>
              <w:t>7.465</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626D5FC4" w14:textId="6A3A168B"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2C4F5A">
              <w:rPr>
                <w:rFonts w:ascii="Arial" w:hAnsi="Arial" w:cs="Arial"/>
                <w:b/>
                <w:bCs/>
                <w:color w:val="215868" w:themeColor="accent5" w:themeShade="80"/>
                <w:sz w:val="18"/>
                <w:szCs w:val="20"/>
              </w:rPr>
              <w:t>3.2</w:t>
            </w:r>
            <w:r w:rsidR="00A225AD"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18FFDE5D" w14:textId="6C1FEB8D" w:rsidR="00A225AD" w:rsidRPr="00361BCC" w:rsidRDefault="009D7889"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2C4F5A">
              <w:rPr>
                <w:rFonts w:ascii="Arial" w:hAnsi="Arial" w:cs="Arial"/>
                <w:b/>
                <w:bCs/>
                <w:color w:val="215868" w:themeColor="accent5" w:themeShade="80"/>
                <w:sz w:val="18"/>
                <w:szCs w:val="20"/>
              </w:rPr>
              <w:t>5.8</w:t>
            </w:r>
            <w:r w:rsidR="00A225AD" w:rsidRPr="00361BCC">
              <w:rPr>
                <w:rFonts w:ascii="Arial" w:hAnsi="Arial" w:cs="Arial"/>
                <w:b/>
                <w:bCs/>
                <w:color w:val="215868" w:themeColor="accent5" w:themeShade="80"/>
                <w:sz w:val="18"/>
                <w:szCs w:val="20"/>
              </w:rPr>
              <w:t>%</w:t>
            </w:r>
          </w:p>
        </w:tc>
      </w:tr>
      <w:tr w:rsidR="005B198A" w:rsidRPr="00E736B9" w14:paraId="0E6C1C11"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A1C270" w14:textId="118FB900" w:rsidR="005B198A" w:rsidRPr="00E736B9" w:rsidRDefault="005B198A" w:rsidP="005B198A">
            <w:pPr>
              <w:pStyle w:val="NoSpacing"/>
              <w:rPr>
                <w:rFonts w:ascii="Arial" w:hAnsi="Arial" w:cs="Arial"/>
                <w:b w:val="0"/>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xml:space="preserve">. </w:t>
            </w:r>
            <w:r w:rsidR="007271CC">
              <w:rPr>
                <w:rFonts w:ascii="Arial" w:hAnsi="Arial" w:cs="Arial"/>
                <w:b w:val="0"/>
                <w:color w:val="215868" w:themeColor="accent5" w:themeShade="80"/>
                <w:sz w:val="18"/>
                <w:szCs w:val="18"/>
              </w:rPr>
              <w:t>5/1</w:t>
            </w:r>
            <w:r>
              <w:rPr>
                <w:rFonts w:ascii="Arial" w:hAnsi="Arial" w:cs="Arial"/>
                <w:b w:val="0"/>
                <w:color w:val="215868" w:themeColor="accent5" w:themeShade="80"/>
                <w:sz w:val="18"/>
                <w:szCs w:val="18"/>
              </w:rPr>
              <w:t>/2022</w:t>
            </w:r>
          </w:p>
        </w:tc>
        <w:tc>
          <w:tcPr>
            <w:tcW w:w="1276" w:type="dxa"/>
            <w:vAlign w:val="center"/>
          </w:tcPr>
          <w:p w14:paraId="05ACFCB0" w14:textId="3431916C"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1.415</w:t>
            </w:r>
            <w:r w:rsidRPr="005B198A">
              <w:rPr>
                <w:rFonts w:ascii="Arial" w:hAnsi="Arial" w:cs="Arial"/>
                <w:color w:val="215868" w:themeColor="accent5" w:themeShade="80"/>
                <w:sz w:val="18"/>
                <w:szCs w:val="20"/>
              </w:rPr>
              <w:t>B</w:t>
            </w:r>
          </w:p>
        </w:tc>
        <w:tc>
          <w:tcPr>
            <w:tcW w:w="1291" w:type="dxa"/>
            <w:vAlign w:val="center"/>
          </w:tcPr>
          <w:p w14:paraId="58668FAD" w14:textId="76BE0953" w:rsidR="005B198A" w:rsidRPr="005B198A" w:rsidRDefault="002C4F5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+2.5</w:t>
            </w:r>
            <w:r w:rsidR="005B198A" w:rsidRPr="005B198A">
              <w:rPr>
                <w:rFonts w:ascii="Arial" w:hAnsi="Arial" w:cs="Arial"/>
                <w:color w:val="215868" w:themeColor="accent5" w:themeShade="80"/>
                <w:sz w:val="18"/>
                <w:szCs w:val="20"/>
              </w:rPr>
              <w:t>%</w:t>
            </w:r>
          </w:p>
        </w:tc>
        <w:tc>
          <w:tcPr>
            <w:tcW w:w="1291" w:type="dxa"/>
            <w:vAlign w:val="center"/>
          </w:tcPr>
          <w:p w14:paraId="71A2D256" w14:textId="0B293DA5"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7.6</w:t>
            </w:r>
            <w:r w:rsidRPr="005B198A">
              <w:rPr>
                <w:rFonts w:ascii="Arial" w:hAnsi="Arial" w:cs="Arial"/>
                <w:color w:val="215868" w:themeColor="accent5" w:themeShade="80"/>
                <w:sz w:val="18"/>
                <w:szCs w:val="20"/>
              </w:rPr>
              <w:t>%</w:t>
            </w:r>
          </w:p>
        </w:tc>
      </w:tr>
      <w:tr w:rsidR="005B198A" w:rsidRPr="00E736B9" w14:paraId="6851F49E"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7D5E2A" w14:textId="23F53A48" w:rsidR="005B198A" w:rsidRPr="00E736B9" w:rsidRDefault="005B198A" w:rsidP="005B198A">
            <w:pPr>
              <w:rPr>
                <w:color w:val="215868" w:themeColor="accent5" w:themeShade="80"/>
              </w:rPr>
            </w:pPr>
            <w:proofErr w:type="spellStart"/>
            <w:r w:rsidRPr="00E736B9">
              <w:rPr>
                <w:rFonts w:ascii="Arial" w:hAnsi="Arial" w:cs="Arial"/>
                <w:b w:val="0"/>
                <w:color w:val="215868" w:themeColor="accent5" w:themeShade="80"/>
                <w:sz w:val="18"/>
                <w:szCs w:val="18"/>
              </w:rPr>
              <w:t>w.e</w:t>
            </w:r>
            <w:proofErr w:type="spellEnd"/>
            <w:r w:rsidRPr="00E736B9">
              <w:rPr>
                <w:rFonts w:ascii="Arial" w:hAnsi="Arial" w:cs="Arial"/>
                <w:b w:val="0"/>
                <w:color w:val="215868" w:themeColor="accent5" w:themeShade="80"/>
                <w:sz w:val="18"/>
                <w:szCs w:val="18"/>
              </w:rPr>
              <w:t xml:space="preserve">. </w:t>
            </w:r>
            <w:r w:rsidR="007271CC">
              <w:rPr>
                <w:rFonts w:ascii="Arial" w:hAnsi="Arial" w:cs="Arial"/>
                <w:b w:val="0"/>
                <w:color w:val="215868" w:themeColor="accent5" w:themeShade="80"/>
                <w:sz w:val="18"/>
                <w:szCs w:val="18"/>
              </w:rPr>
              <w:t>5/8</w:t>
            </w:r>
            <w:r>
              <w:rPr>
                <w:rFonts w:ascii="Arial" w:hAnsi="Arial" w:cs="Arial"/>
                <w:b w:val="0"/>
                <w:color w:val="215868" w:themeColor="accent5" w:themeShade="80"/>
                <w:sz w:val="18"/>
                <w:szCs w:val="18"/>
              </w:rPr>
              <w:t>/2022</w:t>
            </w:r>
          </w:p>
        </w:tc>
        <w:tc>
          <w:tcPr>
            <w:tcW w:w="1276" w:type="dxa"/>
            <w:tcBorders>
              <w:left w:val="none" w:sz="0" w:space="0" w:color="auto"/>
              <w:right w:val="none" w:sz="0" w:space="0" w:color="auto"/>
            </w:tcBorders>
            <w:vAlign w:val="center"/>
          </w:tcPr>
          <w:p w14:paraId="38924E9F" w14:textId="0B76CD7B"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1.486</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5FDEE9AD" w14:textId="27A33070"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2.7</w:t>
            </w:r>
            <w:r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05B7695E" w14:textId="420B546B"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7.4</w:t>
            </w:r>
            <w:r w:rsidRPr="005B198A">
              <w:rPr>
                <w:rFonts w:ascii="Arial" w:hAnsi="Arial" w:cs="Arial"/>
                <w:color w:val="215868" w:themeColor="accent5" w:themeShade="80"/>
                <w:sz w:val="18"/>
                <w:szCs w:val="20"/>
              </w:rPr>
              <w:t>%</w:t>
            </w:r>
          </w:p>
        </w:tc>
      </w:tr>
      <w:tr w:rsidR="005B198A" w:rsidRPr="00E736B9" w14:paraId="0D2847A6"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223774" w14:textId="416EA0DF" w:rsidR="005B198A" w:rsidRPr="00E736B9" w:rsidRDefault="005B198A" w:rsidP="005B198A">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xml:space="preserve">. </w:t>
            </w:r>
            <w:r w:rsidR="007271CC">
              <w:rPr>
                <w:rFonts w:ascii="Arial" w:hAnsi="Arial" w:cs="Arial"/>
                <w:b w:val="0"/>
                <w:color w:val="215868" w:themeColor="accent5" w:themeShade="80"/>
                <w:sz w:val="18"/>
                <w:szCs w:val="18"/>
              </w:rPr>
              <w:t>5/15</w:t>
            </w:r>
            <w:r>
              <w:rPr>
                <w:rFonts w:ascii="Arial" w:hAnsi="Arial" w:cs="Arial"/>
                <w:b w:val="0"/>
                <w:color w:val="215868" w:themeColor="accent5" w:themeShade="80"/>
                <w:sz w:val="18"/>
                <w:szCs w:val="18"/>
              </w:rPr>
              <w:t>/2022</w:t>
            </w:r>
          </w:p>
        </w:tc>
        <w:tc>
          <w:tcPr>
            <w:tcW w:w="1276" w:type="dxa"/>
            <w:vAlign w:val="center"/>
          </w:tcPr>
          <w:p w14:paraId="5AB61FC0" w14:textId="400730E3"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1.467</w:t>
            </w:r>
            <w:r w:rsidRPr="005B198A">
              <w:rPr>
                <w:rFonts w:ascii="Arial" w:hAnsi="Arial" w:cs="Arial"/>
                <w:color w:val="215868" w:themeColor="accent5" w:themeShade="80"/>
                <w:sz w:val="18"/>
                <w:szCs w:val="20"/>
              </w:rPr>
              <w:t>B</w:t>
            </w:r>
          </w:p>
        </w:tc>
        <w:tc>
          <w:tcPr>
            <w:tcW w:w="1291" w:type="dxa"/>
            <w:vAlign w:val="center"/>
          </w:tcPr>
          <w:p w14:paraId="17ECF4F3" w14:textId="56959A0C" w:rsidR="005B198A" w:rsidRPr="005B198A" w:rsidRDefault="005B198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5.0</w:t>
            </w:r>
            <w:r w:rsidRPr="005B198A">
              <w:rPr>
                <w:rFonts w:ascii="Arial" w:hAnsi="Arial" w:cs="Arial"/>
                <w:color w:val="215868" w:themeColor="accent5" w:themeShade="80"/>
                <w:sz w:val="18"/>
                <w:szCs w:val="20"/>
              </w:rPr>
              <w:t>%</w:t>
            </w:r>
          </w:p>
        </w:tc>
        <w:tc>
          <w:tcPr>
            <w:tcW w:w="1291" w:type="dxa"/>
            <w:vAlign w:val="center"/>
          </w:tcPr>
          <w:p w14:paraId="787DCCD7" w14:textId="27BD4F6A" w:rsidR="005B198A" w:rsidRPr="005B198A" w:rsidRDefault="002C4F5A" w:rsidP="005B19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-4.5</w:t>
            </w:r>
            <w:r w:rsidR="005B198A" w:rsidRPr="005B198A">
              <w:rPr>
                <w:rFonts w:ascii="Arial" w:hAnsi="Arial" w:cs="Arial"/>
                <w:color w:val="215868" w:themeColor="accent5" w:themeShade="80"/>
                <w:sz w:val="18"/>
                <w:szCs w:val="20"/>
              </w:rPr>
              <w:t>%</w:t>
            </w:r>
          </w:p>
        </w:tc>
      </w:tr>
      <w:tr w:rsidR="005B198A" w:rsidRPr="00E736B9" w14:paraId="480D89B1"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5D516260" w14:textId="22D66A84" w:rsidR="005B198A" w:rsidRPr="00E736B9" w:rsidRDefault="005B198A" w:rsidP="005B198A">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xml:space="preserve">. </w:t>
            </w:r>
            <w:r w:rsidR="007271CC">
              <w:rPr>
                <w:rFonts w:ascii="Arial" w:hAnsi="Arial" w:cs="Arial"/>
                <w:b w:val="0"/>
                <w:color w:val="215868" w:themeColor="accent5" w:themeShade="80"/>
                <w:sz w:val="18"/>
                <w:szCs w:val="18"/>
              </w:rPr>
              <w:t>5/22</w:t>
            </w:r>
            <w:r>
              <w:rPr>
                <w:rFonts w:ascii="Arial" w:hAnsi="Arial" w:cs="Arial"/>
                <w:b w:val="0"/>
                <w:color w:val="215868" w:themeColor="accent5" w:themeShade="80"/>
                <w:sz w:val="18"/>
                <w:szCs w:val="18"/>
              </w:rPr>
              <w:t>/2022</w:t>
            </w:r>
          </w:p>
        </w:tc>
        <w:tc>
          <w:tcPr>
            <w:tcW w:w="1276" w:type="dxa"/>
            <w:tcBorders>
              <w:left w:val="none" w:sz="0" w:space="0" w:color="auto"/>
              <w:right w:val="none" w:sz="0" w:space="0" w:color="auto"/>
            </w:tcBorders>
            <w:vAlign w:val="center"/>
          </w:tcPr>
          <w:p w14:paraId="1637EA20" w14:textId="33CC1879"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1.511</w:t>
            </w:r>
            <w:r w:rsidRPr="005B198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7A1D7AA7" w14:textId="7C46AC71" w:rsidR="005B198A" w:rsidRPr="005B198A" w:rsidRDefault="002C4F5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+4.2</w:t>
            </w:r>
            <w:r w:rsidR="005B198A" w:rsidRPr="005B198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57F75F3D" w14:textId="2862403C" w:rsidR="005B198A" w:rsidRPr="005B198A" w:rsidRDefault="005B198A" w:rsidP="005B198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4.3</w:t>
            </w:r>
            <w:r w:rsidRPr="005B198A">
              <w:rPr>
                <w:rFonts w:ascii="Arial" w:hAnsi="Arial" w:cs="Arial"/>
                <w:color w:val="215868" w:themeColor="accent5" w:themeShade="80"/>
                <w:sz w:val="18"/>
                <w:szCs w:val="20"/>
              </w:rPr>
              <w:t>%</w:t>
            </w:r>
          </w:p>
        </w:tc>
      </w:tr>
      <w:tr w:rsidR="007271CC" w:rsidRPr="00E736B9" w14:paraId="1F1EE9FB"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B26E399" w14:textId="212E9FAB" w:rsidR="007271CC" w:rsidRDefault="007271CC" w:rsidP="007271CC">
            <w:pPr>
              <w:rPr>
                <w:rFonts w:ascii="Arial" w:hAnsi="Arial" w:cs="Arial"/>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5/29/2022</w:t>
            </w:r>
          </w:p>
        </w:tc>
        <w:tc>
          <w:tcPr>
            <w:tcW w:w="1276" w:type="dxa"/>
            <w:vAlign w:val="center"/>
          </w:tcPr>
          <w:p w14:paraId="7DF64C94" w14:textId="7C422B80" w:rsidR="007271CC" w:rsidRPr="005B198A" w:rsidRDefault="007271CC" w:rsidP="00727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1.587</w:t>
            </w:r>
            <w:r w:rsidRPr="005B198A">
              <w:rPr>
                <w:rFonts w:ascii="Arial" w:hAnsi="Arial" w:cs="Arial"/>
                <w:color w:val="215868" w:themeColor="accent5" w:themeShade="80"/>
                <w:sz w:val="18"/>
                <w:szCs w:val="20"/>
              </w:rPr>
              <w:t>B</w:t>
            </w:r>
          </w:p>
        </w:tc>
        <w:tc>
          <w:tcPr>
            <w:tcW w:w="1291" w:type="dxa"/>
            <w:vAlign w:val="center"/>
          </w:tcPr>
          <w:p w14:paraId="6CE4CE76" w14:textId="4E408AA4" w:rsidR="007271CC" w:rsidRDefault="002C4F5A" w:rsidP="00727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+1.8</w:t>
            </w:r>
            <w:r w:rsidR="007271CC" w:rsidRPr="005B198A">
              <w:rPr>
                <w:rFonts w:ascii="Arial" w:hAnsi="Arial" w:cs="Arial"/>
                <w:color w:val="215868" w:themeColor="accent5" w:themeShade="80"/>
                <w:sz w:val="18"/>
                <w:szCs w:val="20"/>
              </w:rPr>
              <w:t>%</w:t>
            </w:r>
          </w:p>
        </w:tc>
        <w:tc>
          <w:tcPr>
            <w:tcW w:w="1291" w:type="dxa"/>
            <w:vAlign w:val="center"/>
          </w:tcPr>
          <w:p w14:paraId="20D17915" w14:textId="3980F539" w:rsidR="007271CC" w:rsidRPr="005B198A" w:rsidRDefault="007271CC" w:rsidP="00727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5B198A">
              <w:rPr>
                <w:rFonts w:ascii="Arial" w:hAnsi="Arial" w:cs="Arial"/>
                <w:color w:val="215868" w:themeColor="accent5" w:themeShade="80"/>
                <w:sz w:val="18"/>
                <w:szCs w:val="20"/>
              </w:rPr>
              <w:t>-</w:t>
            </w:r>
            <w:r w:rsidR="002C4F5A">
              <w:rPr>
                <w:rFonts w:ascii="Arial" w:hAnsi="Arial" w:cs="Arial"/>
                <w:color w:val="215868" w:themeColor="accent5" w:themeShade="80"/>
                <w:sz w:val="18"/>
                <w:szCs w:val="20"/>
              </w:rPr>
              <w:t>5.5</w:t>
            </w:r>
            <w:r w:rsidRPr="005B198A">
              <w:rPr>
                <w:rFonts w:ascii="Arial" w:hAnsi="Arial" w:cs="Arial"/>
                <w:color w:val="215868" w:themeColor="accent5" w:themeShade="80"/>
                <w:sz w:val="18"/>
                <w:szCs w:val="20"/>
              </w:rPr>
              <w:t>%</w:t>
            </w:r>
          </w:p>
        </w:tc>
      </w:tr>
    </w:tbl>
    <w:p w14:paraId="2E1C73C4" w14:textId="44C0E451" w:rsidR="00253765" w:rsidRDefault="002C4F5A" w:rsidP="00D4285A">
      <w:pPr>
        <w:spacing w:after="0" w:line="240" w:lineRule="auto"/>
        <w:rPr>
          <w:rFonts w:ascii="Arial" w:hAnsi="Arial" w:cs="Arial"/>
          <w:sz w:val="20"/>
          <w:szCs w:val="20"/>
        </w:rPr>
      </w:pPr>
      <w:r>
        <w:rPr>
          <w:rFonts w:ascii="Arial" w:hAnsi="Arial" w:cs="Arial"/>
          <w:sz w:val="20"/>
          <w:szCs w:val="20"/>
        </w:rPr>
        <w:t>Each of the May weeks generated between $1.4 and $1.6 billion in fresh produce sales. The last week, which was the week leading up to the Memorial Day weekend, was the strongest, at $1.6 billion</w:t>
      </w:r>
      <w:r w:rsidR="002F2661">
        <w:rPr>
          <w:rFonts w:ascii="Arial" w:hAnsi="Arial" w:cs="Arial"/>
          <w:sz w:val="20"/>
          <w:szCs w:val="20"/>
        </w:rPr>
        <w:t>.</w:t>
      </w:r>
      <w:r>
        <w:rPr>
          <w:rFonts w:ascii="Arial" w:hAnsi="Arial" w:cs="Arial"/>
          <w:sz w:val="20"/>
          <w:szCs w:val="20"/>
        </w:rPr>
        <w:t xml:space="preserve"> Dollars increased for each of the May weeks, but volume was down consistently, whether an everyday or holiday week.</w:t>
      </w:r>
      <w:r w:rsidR="002F2661">
        <w:rPr>
          <w:rFonts w:ascii="Arial" w:hAnsi="Arial" w:cs="Arial"/>
          <w:sz w:val="20"/>
          <w:szCs w:val="20"/>
        </w:rPr>
        <w:t xml:space="preserve"> </w:t>
      </w:r>
    </w:p>
    <w:p w14:paraId="3D60D6F7" w14:textId="7608788F" w:rsidR="00253765" w:rsidRDefault="00253765" w:rsidP="00D4285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21DE452" wp14:editId="46536706">
                <wp:simplePos x="0" y="0"/>
                <wp:positionH relativeFrom="column">
                  <wp:posOffset>3100126</wp:posOffset>
                </wp:positionH>
                <wp:positionV relativeFrom="paragraph">
                  <wp:posOffset>2346</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4.1pt;margin-top:.2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" stroked="f">
                <v:textbo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v:textbox>
                <w10:wrap type="square"/>
              </v:shape>
            </w:pict>
          </mc:Fallback>
        </mc:AlternateContent>
      </w:r>
    </w:p>
    <w:p w14:paraId="03B014E3" w14:textId="0119D226" w:rsidR="005567F4" w:rsidRDefault="00824EAC" w:rsidP="00D4285A">
      <w:pPr>
        <w:spacing w:after="0" w:line="240" w:lineRule="auto"/>
        <w:rPr>
          <w:rFonts w:ascii="Arial" w:hAnsi="Arial" w:cs="Arial"/>
          <w:sz w:val="20"/>
          <w:szCs w:val="20"/>
        </w:rPr>
      </w:pPr>
      <w:r>
        <w:rPr>
          <w:rFonts w:ascii="Arial" w:hAnsi="Arial" w:cs="Arial"/>
          <w:sz w:val="20"/>
          <w:szCs w:val="20"/>
        </w:rPr>
        <w:t>May</w:t>
      </w:r>
      <w:r w:rsidR="00253765">
        <w:rPr>
          <w:rFonts w:ascii="Arial" w:hAnsi="Arial" w:cs="Arial"/>
          <w:sz w:val="20"/>
          <w:szCs w:val="20"/>
        </w:rPr>
        <w:t xml:space="preserve"> was the </w:t>
      </w:r>
      <w:r>
        <w:rPr>
          <w:rFonts w:ascii="Arial" w:hAnsi="Arial" w:cs="Arial"/>
          <w:sz w:val="20"/>
          <w:szCs w:val="20"/>
        </w:rPr>
        <w:t xml:space="preserve">second </w:t>
      </w:r>
      <w:r w:rsidR="00253765">
        <w:rPr>
          <w:rFonts w:ascii="Arial" w:hAnsi="Arial" w:cs="Arial"/>
          <w:sz w:val="20"/>
          <w:szCs w:val="20"/>
        </w:rPr>
        <w:t>time vegetable sales were decidedly above year-ago levels since the second quarter of 2021.</w:t>
      </w:r>
      <w:r>
        <w:rPr>
          <w:rFonts w:ascii="Arial" w:hAnsi="Arial" w:cs="Arial"/>
          <w:sz w:val="20"/>
          <w:szCs w:val="20"/>
        </w:rPr>
        <w:t xml:space="preserve"> Vegetable dollars increased </w:t>
      </w:r>
      <w:r w:rsidR="00676B67">
        <w:rPr>
          <w:rFonts w:ascii="Arial" w:hAnsi="Arial" w:cs="Arial"/>
          <w:sz w:val="20"/>
          <w:szCs w:val="20"/>
        </w:rPr>
        <w:t>+</w:t>
      </w:r>
      <w:r>
        <w:rPr>
          <w:rFonts w:ascii="Arial" w:hAnsi="Arial" w:cs="Arial"/>
          <w:sz w:val="20"/>
          <w:szCs w:val="20"/>
        </w:rPr>
        <w:t>2.3%. At the same time, year-on-year fruit gains have been slowing since the fourth quarter of 2021, to +3.9% in May 2022.</w:t>
      </w:r>
      <w:r w:rsidR="00253765">
        <w:rPr>
          <w:rFonts w:ascii="Arial" w:hAnsi="Arial" w:cs="Arial"/>
          <w:sz w:val="20"/>
          <w:szCs w:val="20"/>
        </w:rPr>
        <w:t xml:space="preserve"> </w:t>
      </w:r>
    </w:p>
    <w:p w14:paraId="7AF020BD" w14:textId="7E6319D5" w:rsidR="00824EAC" w:rsidRDefault="00824EAC" w:rsidP="00D4285A">
      <w:pPr>
        <w:spacing w:after="0" w:line="240" w:lineRule="auto"/>
        <w:rPr>
          <w:rFonts w:ascii="Arial" w:hAnsi="Arial" w:cs="Arial"/>
          <w:sz w:val="20"/>
          <w:szCs w:val="20"/>
        </w:rPr>
      </w:pPr>
    </w:p>
    <w:p w14:paraId="3AE2F20C" w14:textId="4FF82E30" w:rsidR="00824EAC" w:rsidRDefault="00824EAC" w:rsidP="00D4285A">
      <w:pPr>
        <w:spacing w:after="0" w:line="240" w:lineRule="auto"/>
        <w:rPr>
          <w:rFonts w:ascii="Arial" w:hAnsi="Arial" w:cs="Arial"/>
          <w:sz w:val="20"/>
          <w:szCs w:val="20"/>
        </w:rPr>
      </w:pPr>
      <w:r>
        <w:rPr>
          <w:noProof/>
        </w:rPr>
        <w:drawing>
          <wp:inline distT="0" distB="0" distL="0" distR="0" wp14:anchorId="7F10C5EB" wp14:editId="7554D1F1">
            <wp:extent cx="6750685" cy="3102610"/>
            <wp:effectExtent l="0" t="0" r="0" b="2540"/>
            <wp:docPr id="9" name="Chart 9">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F75E50" w14:textId="3703D8AF" w:rsidR="00AF4FDD" w:rsidRDefault="00AF4FDD" w:rsidP="00D4285A">
      <w:pPr>
        <w:spacing w:after="0" w:line="240" w:lineRule="auto"/>
        <w:rPr>
          <w:noProof/>
        </w:rPr>
      </w:pP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07B56574" w:rsidR="00AC0CDA" w:rsidRDefault="00770809" w:rsidP="00AC0CDA">
      <w:pPr>
        <w:pStyle w:val="NoSpacing"/>
        <w:rPr>
          <w:rFonts w:ascii="Arial" w:hAnsi="Arial" w:cs="Arial"/>
          <w:sz w:val="20"/>
          <w:szCs w:val="20"/>
        </w:rPr>
      </w:pPr>
      <w:r>
        <w:rPr>
          <w:rFonts w:ascii="Arial" w:hAnsi="Arial" w:cs="Arial"/>
          <w:sz w:val="20"/>
          <w:szCs w:val="20"/>
        </w:rPr>
        <w:t>Shelf-stable fruits</w:t>
      </w:r>
      <w:r w:rsidR="00135BE7">
        <w:rPr>
          <w:rFonts w:ascii="Arial" w:hAnsi="Arial" w:cs="Arial"/>
          <w:sz w:val="20"/>
          <w:szCs w:val="20"/>
        </w:rPr>
        <w:t xml:space="preserve"> and vegetables</w:t>
      </w:r>
      <w:r w:rsidR="00551D01">
        <w:rPr>
          <w:rFonts w:ascii="Arial" w:hAnsi="Arial" w:cs="Arial"/>
          <w:sz w:val="20"/>
          <w:szCs w:val="20"/>
        </w:rPr>
        <w:t xml:space="preserve"> </w:t>
      </w:r>
      <w:r>
        <w:rPr>
          <w:rFonts w:ascii="Arial" w:hAnsi="Arial" w:cs="Arial"/>
          <w:sz w:val="20"/>
          <w:szCs w:val="20"/>
        </w:rPr>
        <w:t xml:space="preserve">had </w:t>
      </w:r>
      <w:r w:rsidR="00E33D11">
        <w:rPr>
          <w:rFonts w:ascii="Arial" w:hAnsi="Arial" w:cs="Arial"/>
          <w:sz w:val="20"/>
          <w:szCs w:val="20"/>
        </w:rPr>
        <w:t xml:space="preserve">double-digit inflation in </w:t>
      </w:r>
      <w:r w:rsidR="00E90227">
        <w:rPr>
          <w:rFonts w:ascii="Arial" w:hAnsi="Arial" w:cs="Arial"/>
          <w:sz w:val="20"/>
          <w:szCs w:val="20"/>
        </w:rPr>
        <w:t xml:space="preserve">May </w:t>
      </w:r>
      <w:r w:rsidR="00E33D11">
        <w:rPr>
          <w:rFonts w:ascii="Arial" w:hAnsi="Arial" w:cs="Arial"/>
          <w:sz w:val="20"/>
          <w:szCs w:val="20"/>
        </w:rPr>
        <w:t xml:space="preserve">2022 compared with </w:t>
      </w:r>
      <w:r w:rsidR="00E90227">
        <w:rPr>
          <w:rFonts w:ascii="Arial" w:hAnsi="Arial" w:cs="Arial"/>
          <w:sz w:val="20"/>
          <w:szCs w:val="20"/>
        </w:rPr>
        <w:t xml:space="preserve">May </w:t>
      </w:r>
      <w:r w:rsidR="00E33D11">
        <w:rPr>
          <w:rFonts w:ascii="Arial" w:hAnsi="Arial" w:cs="Arial"/>
          <w:sz w:val="20"/>
          <w:szCs w:val="20"/>
        </w:rPr>
        <w:t>2021. This resulted in above average dollar gains.</w:t>
      </w:r>
      <w:r>
        <w:rPr>
          <w:rFonts w:ascii="Arial" w:hAnsi="Arial" w:cs="Arial"/>
          <w:sz w:val="20"/>
          <w:szCs w:val="20"/>
        </w:rPr>
        <w:t xml:space="preserve"> </w:t>
      </w:r>
      <w:r w:rsidR="00334F5C">
        <w:rPr>
          <w:rFonts w:ascii="Arial" w:hAnsi="Arial" w:cs="Arial"/>
          <w:sz w:val="20"/>
          <w:szCs w:val="20"/>
        </w:rPr>
        <w:t>Both frozen and shelf-stable are heavily impacted by supply chain disruptions</w:t>
      </w:r>
      <w:r w:rsidR="00E33D11">
        <w:rPr>
          <w:rFonts w:ascii="Arial" w:hAnsi="Arial" w:cs="Arial"/>
          <w:sz w:val="20"/>
          <w:szCs w:val="20"/>
        </w:rPr>
        <w:t>.</w:t>
      </w:r>
      <w:r w:rsidR="00334F5C">
        <w:rPr>
          <w:rFonts w:ascii="Arial" w:hAnsi="Arial" w:cs="Arial"/>
          <w:sz w:val="20"/>
          <w:szCs w:val="20"/>
        </w:rPr>
        <w:t xml:space="preserve"> </w:t>
      </w:r>
      <w:r w:rsidR="00E33D11">
        <w:rPr>
          <w:rFonts w:ascii="Arial" w:hAnsi="Arial" w:cs="Arial"/>
          <w:sz w:val="20"/>
          <w:szCs w:val="20"/>
        </w:rPr>
        <w:t xml:space="preserve">Both </w:t>
      </w:r>
      <w:r w:rsidR="00334F5C">
        <w:rPr>
          <w:rFonts w:ascii="Arial" w:hAnsi="Arial" w:cs="Arial"/>
          <w:sz w:val="20"/>
          <w:szCs w:val="20"/>
        </w:rPr>
        <w:t>assortment</w:t>
      </w:r>
      <w:r w:rsidR="00891C7E">
        <w:rPr>
          <w:rFonts w:ascii="Arial" w:hAnsi="Arial" w:cs="Arial"/>
          <w:sz w:val="20"/>
          <w:szCs w:val="20"/>
        </w:rPr>
        <w:t xml:space="preserve"> and</w:t>
      </w:r>
      <w:r w:rsidR="00334F5C">
        <w:rPr>
          <w:rFonts w:ascii="Arial" w:hAnsi="Arial" w:cs="Arial"/>
          <w:sz w:val="20"/>
          <w:szCs w:val="20"/>
        </w:rPr>
        <w:t xml:space="preserve"> inventory levels have been down significantly over recent months.</w:t>
      </w:r>
      <w:r w:rsidR="00135BE7">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04BCB87C" w:rsidR="00770809" w:rsidRPr="00B265F0" w:rsidRDefault="007271CC"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May</w:t>
            </w:r>
            <w:r w:rsidR="00253765">
              <w:rPr>
                <w:rFonts w:ascii="Arial" w:hAnsi="Arial" w:cs="Arial"/>
                <w:color w:val="FFFFFF" w:themeColor="background1"/>
                <w:sz w:val="18"/>
                <w:szCs w:val="20"/>
              </w:rPr>
              <w:t xml:space="preserve">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112E9A">
              <w:rPr>
                <w:rFonts w:ascii="Arial" w:hAnsi="Arial" w:cs="Arial"/>
                <w:color w:val="FFFFFF" w:themeColor="background1"/>
                <w:sz w:val="18"/>
                <w:szCs w:val="20"/>
              </w:rPr>
              <w:t>20</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70809" w:rsidRPr="00E43E81" w14:paraId="5658F64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7D622E5E" w14:textId="77777777" w:rsidR="00770809" w:rsidRPr="000D5031" w:rsidRDefault="00770809" w:rsidP="001F29DC">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584" w:type="dxa"/>
            <w:tcBorders>
              <w:left w:val="none" w:sz="0" w:space="0" w:color="auto"/>
              <w:right w:val="none" w:sz="0" w:space="0" w:color="auto"/>
            </w:tcBorders>
            <w:vAlign w:val="center"/>
          </w:tcPr>
          <w:p w14:paraId="3A99D57E" w14:textId="0306AEE4" w:rsidR="00770809" w:rsidRPr="000D5031" w:rsidRDefault="006D4E7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3A00AA">
              <w:rPr>
                <w:rFonts w:ascii="Arial" w:hAnsi="Arial" w:cs="Arial"/>
                <w:b/>
                <w:bCs/>
                <w:color w:val="215868" w:themeColor="accent5" w:themeShade="80"/>
                <w:sz w:val="18"/>
                <w:szCs w:val="20"/>
              </w:rPr>
              <w:t>7.5</w:t>
            </w:r>
            <w:r w:rsidR="00770809" w:rsidRPr="00361BCC">
              <w:rPr>
                <w:rFonts w:ascii="Arial" w:hAnsi="Arial" w:cs="Arial"/>
                <w:b/>
                <w:bCs/>
                <w:color w:val="215868" w:themeColor="accent5" w:themeShade="80"/>
                <w:sz w:val="18"/>
                <w:szCs w:val="20"/>
              </w:rPr>
              <w:t>B</w:t>
            </w:r>
          </w:p>
        </w:tc>
        <w:tc>
          <w:tcPr>
            <w:tcW w:w="1584" w:type="dxa"/>
            <w:tcBorders>
              <w:left w:val="none" w:sz="0" w:space="0" w:color="auto"/>
              <w:right w:val="none" w:sz="0" w:space="0" w:color="auto"/>
            </w:tcBorders>
            <w:vAlign w:val="center"/>
          </w:tcPr>
          <w:p w14:paraId="3AA01AAA" w14:textId="4D75B475"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3A00AA">
              <w:rPr>
                <w:rFonts w:ascii="Arial" w:hAnsi="Arial" w:cs="Arial"/>
                <w:b/>
                <w:bCs/>
                <w:color w:val="215868" w:themeColor="accent5" w:themeShade="80"/>
                <w:sz w:val="18"/>
                <w:szCs w:val="20"/>
              </w:rPr>
              <w:t>3.2</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vAlign w:val="center"/>
          </w:tcPr>
          <w:p w14:paraId="2B2BC812" w14:textId="6CD454E0" w:rsidR="00770809" w:rsidRPr="000D5031" w:rsidRDefault="00253765"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Pr>
                <w:rFonts w:ascii="Arial" w:hAnsi="Arial" w:cs="Arial"/>
                <w:b/>
                <w:bCs/>
                <w:color w:val="215868" w:themeColor="accent5" w:themeShade="80"/>
                <w:sz w:val="18"/>
                <w:szCs w:val="20"/>
              </w:rPr>
              <w:t>+</w:t>
            </w:r>
            <w:r w:rsidR="003A00AA">
              <w:rPr>
                <w:rFonts w:ascii="Arial" w:hAnsi="Arial" w:cs="Arial"/>
                <w:b/>
                <w:bCs/>
                <w:color w:val="215868" w:themeColor="accent5" w:themeShade="80"/>
                <w:sz w:val="18"/>
                <w:szCs w:val="20"/>
              </w:rPr>
              <w:t>0.7</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tcPr>
          <w:p w14:paraId="49A72BFC" w14:textId="080C3FD6"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E90227">
              <w:rPr>
                <w:rFonts w:ascii="Arial" w:hAnsi="Arial" w:cs="Arial"/>
                <w:b/>
                <w:bCs/>
                <w:color w:val="215868" w:themeColor="accent5" w:themeShade="80"/>
                <w:sz w:val="18"/>
                <w:szCs w:val="20"/>
              </w:rPr>
              <w:t>2.63</w:t>
            </w:r>
          </w:p>
        </w:tc>
        <w:tc>
          <w:tcPr>
            <w:tcW w:w="1584" w:type="dxa"/>
            <w:tcBorders>
              <w:left w:val="none" w:sz="0" w:space="0" w:color="auto"/>
              <w:right w:val="none" w:sz="0" w:space="0" w:color="auto"/>
            </w:tcBorders>
          </w:tcPr>
          <w:p w14:paraId="2D4F4D65" w14:textId="69CB54CA" w:rsidR="00770809" w:rsidRPr="00361BCC"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E90227">
              <w:rPr>
                <w:rFonts w:ascii="Arial" w:hAnsi="Arial" w:cs="Arial"/>
                <w:b/>
                <w:bCs/>
                <w:color w:val="215868" w:themeColor="accent5" w:themeShade="80"/>
                <w:sz w:val="18"/>
                <w:szCs w:val="20"/>
              </w:rPr>
              <w:t>9.0</w:t>
            </w:r>
            <w:r w:rsidR="00770809">
              <w:rPr>
                <w:rFonts w:ascii="Arial" w:hAnsi="Arial" w:cs="Arial"/>
                <w:b/>
                <w:bCs/>
                <w:color w:val="215868" w:themeColor="accent5" w:themeShade="80"/>
                <w:sz w:val="18"/>
                <w:szCs w:val="20"/>
              </w:rPr>
              <w:t>%</w:t>
            </w:r>
          </w:p>
        </w:tc>
      </w:tr>
      <w:tr w:rsidR="00770809" w:rsidRPr="00E43E81" w14:paraId="6436AB32"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tcPr>
          <w:p w14:paraId="762ADF8F" w14:textId="013AAA51"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3A00AA">
              <w:rPr>
                <w:rFonts w:ascii="Arial" w:hAnsi="Arial" w:cs="Arial"/>
                <w:color w:val="215868" w:themeColor="accent5" w:themeShade="80"/>
                <w:sz w:val="18"/>
                <w:szCs w:val="20"/>
              </w:rPr>
              <w:t>414.6</w:t>
            </w:r>
            <w:r w:rsidR="006D4E7C">
              <w:rPr>
                <w:rFonts w:ascii="Arial" w:hAnsi="Arial" w:cs="Arial"/>
                <w:color w:val="215868" w:themeColor="accent5" w:themeShade="80"/>
                <w:sz w:val="18"/>
                <w:szCs w:val="20"/>
              </w:rPr>
              <w:t>M</w:t>
            </w:r>
          </w:p>
        </w:tc>
        <w:tc>
          <w:tcPr>
            <w:tcW w:w="1584" w:type="dxa"/>
          </w:tcPr>
          <w:p w14:paraId="65CF6948" w14:textId="008920AD"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3A00AA">
              <w:rPr>
                <w:rFonts w:ascii="Arial" w:hAnsi="Arial" w:cs="Arial"/>
                <w:color w:val="215868" w:themeColor="accent5" w:themeShade="80"/>
                <w:sz w:val="18"/>
                <w:szCs w:val="20"/>
              </w:rPr>
              <w:t>9.5</w:t>
            </w:r>
            <w:r w:rsidR="00770809" w:rsidRPr="000D5031">
              <w:rPr>
                <w:rFonts w:ascii="Arial" w:hAnsi="Arial" w:cs="Arial"/>
                <w:color w:val="215868" w:themeColor="accent5" w:themeShade="80"/>
                <w:sz w:val="18"/>
                <w:szCs w:val="20"/>
              </w:rPr>
              <w:t>%</w:t>
            </w:r>
          </w:p>
        </w:tc>
        <w:tc>
          <w:tcPr>
            <w:tcW w:w="1584" w:type="dxa"/>
          </w:tcPr>
          <w:p w14:paraId="6106E491" w14:textId="7D1B1E97" w:rsidR="00770809" w:rsidRPr="000D5031" w:rsidRDefault="00E33D11"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4.9</w:t>
            </w:r>
            <w:r w:rsidR="00770809" w:rsidRPr="000D5031">
              <w:rPr>
                <w:rFonts w:ascii="Arial" w:hAnsi="Arial" w:cs="Arial"/>
                <w:color w:val="215868" w:themeColor="accent5" w:themeShade="80"/>
                <w:sz w:val="18"/>
                <w:szCs w:val="20"/>
              </w:rPr>
              <w:t>%</w:t>
            </w:r>
          </w:p>
        </w:tc>
        <w:tc>
          <w:tcPr>
            <w:tcW w:w="1584" w:type="dxa"/>
          </w:tcPr>
          <w:p w14:paraId="607B80B7" w14:textId="00324812"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3.06</w:t>
            </w:r>
          </w:p>
        </w:tc>
        <w:tc>
          <w:tcPr>
            <w:tcW w:w="1584" w:type="dxa"/>
          </w:tcPr>
          <w:p w14:paraId="7D05D7D9" w14:textId="67FD0F43"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13.8</w:t>
            </w:r>
            <w:r w:rsidR="00E33D11">
              <w:rPr>
                <w:rFonts w:ascii="Arial" w:hAnsi="Arial" w:cs="Arial"/>
                <w:color w:val="215868" w:themeColor="accent5" w:themeShade="80"/>
                <w:sz w:val="18"/>
                <w:szCs w:val="20"/>
              </w:rPr>
              <w:t>%</w:t>
            </w:r>
          </w:p>
        </w:tc>
      </w:tr>
      <w:tr w:rsidR="00253765" w:rsidRPr="00E43E81" w14:paraId="136DBAD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205297AD"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tcBorders>
              <w:left w:val="none" w:sz="0" w:space="0" w:color="auto"/>
              <w:right w:val="none" w:sz="0" w:space="0" w:color="auto"/>
            </w:tcBorders>
          </w:tcPr>
          <w:p w14:paraId="1B917AA7" w14:textId="7CC1EFA2" w:rsidR="00253765" w:rsidRPr="000D5031"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3A00AA">
              <w:rPr>
                <w:rFonts w:ascii="Arial" w:hAnsi="Arial" w:cs="Arial"/>
                <w:color w:val="215868" w:themeColor="accent5" w:themeShade="80"/>
                <w:sz w:val="18"/>
                <w:szCs w:val="20"/>
              </w:rPr>
              <w:t>314.1</w:t>
            </w:r>
            <w:r>
              <w:rPr>
                <w:rFonts w:ascii="Arial" w:hAnsi="Arial" w:cs="Arial"/>
                <w:color w:val="215868" w:themeColor="accent5" w:themeShade="80"/>
                <w:sz w:val="18"/>
                <w:szCs w:val="20"/>
              </w:rPr>
              <w:t>M</w:t>
            </w:r>
          </w:p>
        </w:tc>
        <w:tc>
          <w:tcPr>
            <w:tcW w:w="1584" w:type="dxa"/>
            <w:tcBorders>
              <w:left w:val="none" w:sz="0" w:space="0" w:color="auto"/>
              <w:right w:val="none" w:sz="0" w:space="0" w:color="auto"/>
            </w:tcBorders>
          </w:tcPr>
          <w:p w14:paraId="371B11FD" w14:textId="0159191A" w:rsidR="00253765" w:rsidRPr="000D5031"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11.6</w:t>
            </w:r>
            <w:r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248DEF07" w14:textId="5D9AB4EF" w:rsidR="00253765" w:rsidRPr="000D5031" w:rsidRDefault="00E90227"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-8.3</w:t>
            </w:r>
            <w:r w:rsidR="00253765"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7417AA65" w14:textId="1462275B" w:rsidR="00253765"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1.35</w:t>
            </w:r>
          </w:p>
        </w:tc>
        <w:tc>
          <w:tcPr>
            <w:tcW w:w="1584" w:type="dxa"/>
            <w:tcBorders>
              <w:left w:val="none" w:sz="0" w:space="0" w:color="auto"/>
              <w:right w:val="none" w:sz="0" w:space="0" w:color="auto"/>
            </w:tcBorders>
          </w:tcPr>
          <w:p w14:paraId="4AF0D023" w14:textId="0BE1B166" w:rsidR="00253765" w:rsidRDefault="00253765" w:rsidP="0025376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13.3</w:t>
            </w:r>
            <w:r w:rsidR="00E33D11">
              <w:rPr>
                <w:rFonts w:ascii="Arial" w:hAnsi="Arial" w:cs="Arial"/>
                <w:color w:val="215868" w:themeColor="accent5" w:themeShade="80"/>
                <w:sz w:val="18"/>
                <w:szCs w:val="20"/>
              </w:rPr>
              <w:t>%</w:t>
            </w:r>
          </w:p>
        </w:tc>
      </w:tr>
      <w:tr w:rsidR="00253765" w:rsidRPr="00E43E81" w14:paraId="5F847BCF"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73A581B3" w14:textId="77777777" w:rsidR="00253765" w:rsidRPr="000D5031" w:rsidRDefault="00253765" w:rsidP="00253765">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tcPr>
          <w:p w14:paraId="2F6DA7B0" w14:textId="605C630E"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3A00AA">
              <w:rPr>
                <w:rFonts w:ascii="Arial" w:hAnsi="Arial" w:cs="Arial"/>
                <w:color w:val="215868" w:themeColor="accent5" w:themeShade="80"/>
                <w:sz w:val="18"/>
                <w:szCs w:val="20"/>
              </w:rPr>
              <w:t>698.2</w:t>
            </w:r>
            <w:r>
              <w:rPr>
                <w:rFonts w:ascii="Arial" w:hAnsi="Arial" w:cs="Arial"/>
                <w:color w:val="215868" w:themeColor="accent5" w:themeShade="80"/>
                <w:sz w:val="18"/>
                <w:szCs w:val="20"/>
              </w:rPr>
              <w:t>M</w:t>
            </w:r>
          </w:p>
        </w:tc>
        <w:tc>
          <w:tcPr>
            <w:tcW w:w="1584" w:type="dxa"/>
          </w:tcPr>
          <w:p w14:paraId="1CC6E7ED" w14:textId="1CC33FA9"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6.1</w:t>
            </w:r>
            <w:r w:rsidRPr="000D5031">
              <w:rPr>
                <w:rFonts w:ascii="Arial" w:hAnsi="Arial" w:cs="Arial"/>
                <w:color w:val="215868" w:themeColor="accent5" w:themeShade="80"/>
                <w:sz w:val="18"/>
                <w:szCs w:val="20"/>
              </w:rPr>
              <w:t>%</w:t>
            </w:r>
          </w:p>
        </w:tc>
        <w:tc>
          <w:tcPr>
            <w:tcW w:w="1584" w:type="dxa"/>
          </w:tcPr>
          <w:p w14:paraId="15BC3289" w14:textId="5A168569"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7.6</w:t>
            </w:r>
            <w:r w:rsidRPr="000D5031">
              <w:rPr>
                <w:rFonts w:ascii="Arial" w:hAnsi="Arial" w:cs="Arial"/>
                <w:color w:val="215868" w:themeColor="accent5" w:themeShade="80"/>
                <w:sz w:val="18"/>
                <w:szCs w:val="20"/>
              </w:rPr>
              <w:t>%</w:t>
            </w:r>
          </w:p>
        </w:tc>
        <w:tc>
          <w:tcPr>
            <w:tcW w:w="1584" w:type="dxa"/>
          </w:tcPr>
          <w:p w14:paraId="6FEB7786" w14:textId="19BD55BB"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2.91</w:t>
            </w:r>
          </w:p>
        </w:tc>
        <w:tc>
          <w:tcPr>
            <w:tcW w:w="1584" w:type="dxa"/>
          </w:tcPr>
          <w:p w14:paraId="37555401" w14:textId="368AA752" w:rsidR="00253765" w:rsidRPr="000D5031" w:rsidRDefault="00253765" w:rsidP="0025376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E90227">
              <w:rPr>
                <w:rFonts w:ascii="Arial" w:hAnsi="Arial" w:cs="Arial"/>
                <w:color w:val="215868" w:themeColor="accent5" w:themeShade="80"/>
                <w:sz w:val="18"/>
                <w:szCs w:val="20"/>
              </w:rPr>
              <w:t>12.1</w:t>
            </w:r>
            <w:r w:rsidR="00E33D11">
              <w:rPr>
                <w:rFonts w:ascii="Arial" w:hAnsi="Arial" w:cs="Arial"/>
                <w:color w:val="215868" w:themeColor="accent5" w:themeShade="80"/>
                <w:sz w:val="18"/>
                <w:szCs w:val="20"/>
              </w:rPr>
              <w:t>%</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5B6B997C" w:rsidR="00770809" w:rsidRDefault="00770809" w:rsidP="00770809">
      <w:pPr>
        <w:pStyle w:val="NoSpacing"/>
        <w:rPr>
          <w:rFonts w:ascii="Arial" w:hAnsi="Arial" w:cs="Arial"/>
          <w:sz w:val="20"/>
          <w:szCs w:val="20"/>
        </w:rPr>
      </w:pPr>
    </w:p>
    <w:p w14:paraId="51699900" w14:textId="51353049" w:rsidR="00632D4B" w:rsidRDefault="00632D4B" w:rsidP="00770809">
      <w:pPr>
        <w:pStyle w:val="NoSpacing"/>
        <w:rPr>
          <w:rFonts w:ascii="Arial" w:hAnsi="Arial" w:cs="Arial"/>
          <w:sz w:val="20"/>
          <w:szCs w:val="20"/>
        </w:rPr>
      </w:pPr>
    </w:p>
    <w:p w14:paraId="262053E3" w14:textId="77777777" w:rsidR="00E90227" w:rsidRDefault="00E46A69" w:rsidP="00770809">
      <w:pPr>
        <w:pStyle w:val="NoSpacing"/>
        <w:rPr>
          <w:rFonts w:ascii="Arial" w:hAnsi="Arial" w:cs="Arial"/>
          <w:sz w:val="20"/>
          <w:szCs w:val="20"/>
        </w:rPr>
      </w:pPr>
      <w:r>
        <w:rPr>
          <w:rFonts w:ascii="Arial" w:hAnsi="Arial" w:cs="Arial"/>
          <w:sz w:val="20"/>
          <w:szCs w:val="20"/>
        </w:rPr>
        <w:t>In the first quarter of 2022, just under 80% of total fruit and vegetable dollars were generated by the fresh produce department.</w:t>
      </w:r>
      <w:r w:rsidR="00A81DD5">
        <w:rPr>
          <w:rFonts w:ascii="Arial" w:hAnsi="Arial" w:cs="Arial"/>
          <w:sz w:val="20"/>
          <w:szCs w:val="20"/>
        </w:rPr>
        <w:t xml:space="preserve"> </w:t>
      </w:r>
      <w:r w:rsidR="00215410">
        <w:rPr>
          <w:rFonts w:ascii="Arial" w:hAnsi="Arial" w:cs="Arial"/>
          <w:sz w:val="20"/>
          <w:szCs w:val="20"/>
        </w:rPr>
        <w:t>March and April 2022 brought some recovery to the fresh share</w:t>
      </w:r>
      <w:r w:rsidR="00E90227">
        <w:rPr>
          <w:rFonts w:ascii="Arial" w:hAnsi="Arial" w:cs="Arial"/>
          <w:sz w:val="20"/>
          <w:szCs w:val="20"/>
        </w:rPr>
        <w:t xml:space="preserve"> and May reached the highest share in many months, at 84.0%</w:t>
      </w:r>
      <w:r w:rsidR="00215410">
        <w:rPr>
          <w:rFonts w:ascii="Arial" w:hAnsi="Arial" w:cs="Arial"/>
          <w:sz w:val="20"/>
          <w:szCs w:val="20"/>
        </w:rPr>
        <w:t xml:space="preserve">. </w:t>
      </w:r>
      <w:r w:rsidR="00A81DD5">
        <w:rPr>
          <w:rFonts w:ascii="Arial" w:hAnsi="Arial" w:cs="Arial"/>
          <w:sz w:val="20"/>
          <w:szCs w:val="20"/>
        </w:rPr>
        <w:t xml:space="preserve">Frozen </w:t>
      </w:r>
      <w:r w:rsidR="00E90227">
        <w:rPr>
          <w:rFonts w:ascii="Arial" w:hAnsi="Arial" w:cs="Arial"/>
          <w:sz w:val="20"/>
          <w:szCs w:val="20"/>
        </w:rPr>
        <w:t xml:space="preserve">fruit and vegetable sales dropped to 7.9%. </w:t>
      </w:r>
    </w:p>
    <w:p w14:paraId="283184BA" w14:textId="77777777" w:rsidR="00E90227" w:rsidRDefault="00E90227" w:rsidP="00770809">
      <w:pPr>
        <w:pStyle w:val="NoSpacing"/>
        <w:rPr>
          <w:rFonts w:ascii="Arial" w:hAnsi="Arial" w:cs="Arial"/>
          <w:sz w:val="20"/>
          <w:szCs w:val="20"/>
        </w:rPr>
      </w:pPr>
    </w:p>
    <w:p w14:paraId="1C005A59" w14:textId="77777777" w:rsidR="00E90227" w:rsidRDefault="00E90227" w:rsidP="00770809">
      <w:pPr>
        <w:pStyle w:val="NoSpacing"/>
        <w:rPr>
          <w:rFonts w:ascii="Arial" w:hAnsi="Arial" w:cs="Arial"/>
          <w:sz w:val="20"/>
          <w:szCs w:val="20"/>
        </w:rPr>
      </w:pPr>
    </w:p>
    <w:p w14:paraId="6D01AD83" w14:textId="14BA1590" w:rsidR="00C05AA1" w:rsidRDefault="007A36E0" w:rsidP="00770809">
      <w:pPr>
        <w:pStyle w:val="NoSpacing"/>
        <w:rPr>
          <w:rFonts w:ascii="Arial" w:hAnsi="Arial" w:cs="Arial"/>
          <w:sz w:val="20"/>
          <w:szCs w:val="20"/>
        </w:rPr>
      </w:pPr>
      <w:r>
        <w:rPr>
          <w:rFonts w:ascii="Arial" w:hAnsi="Arial" w:cs="Arial"/>
          <w:sz w:val="20"/>
          <w:szCs w:val="20"/>
        </w:rPr>
        <w:t xml:space="preserve">As a share of total </w:t>
      </w:r>
      <w:r w:rsidR="00EA277C">
        <w:rPr>
          <w:rFonts w:ascii="Arial" w:hAnsi="Arial" w:cs="Arial"/>
          <w:sz w:val="20"/>
          <w:szCs w:val="20"/>
        </w:rPr>
        <w:t xml:space="preserve">pounds </w:t>
      </w:r>
      <w:r>
        <w:rPr>
          <w:rFonts w:ascii="Arial" w:hAnsi="Arial" w:cs="Arial"/>
          <w:sz w:val="20"/>
          <w:szCs w:val="20"/>
        </w:rPr>
        <w:t xml:space="preserve">sold across </w:t>
      </w:r>
      <w:r w:rsidR="00A81DD5">
        <w:rPr>
          <w:rFonts w:ascii="Arial" w:hAnsi="Arial" w:cs="Arial"/>
          <w:sz w:val="20"/>
          <w:szCs w:val="20"/>
        </w:rPr>
        <w:t>the three areas</w:t>
      </w:r>
      <w:r>
        <w:rPr>
          <w:rFonts w:ascii="Arial" w:hAnsi="Arial" w:cs="Arial"/>
          <w:sz w:val="20"/>
          <w:szCs w:val="20"/>
        </w:rPr>
        <w:t xml:space="preserve">, fresh produce made up </w:t>
      </w:r>
      <w:r w:rsidR="00E90227">
        <w:rPr>
          <w:rFonts w:ascii="Arial" w:hAnsi="Arial" w:cs="Arial"/>
          <w:sz w:val="20"/>
          <w:szCs w:val="20"/>
        </w:rPr>
        <w:t>83.7</w:t>
      </w:r>
      <w:r w:rsidR="00215410">
        <w:rPr>
          <w:rFonts w:ascii="Arial" w:hAnsi="Arial" w:cs="Arial"/>
          <w:sz w:val="20"/>
          <w:szCs w:val="20"/>
        </w:rPr>
        <w:t xml:space="preserve">%, which was up from </w:t>
      </w:r>
      <w:r w:rsidR="00EA277C">
        <w:rPr>
          <w:rFonts w:ascii="Arial" w:hAnsi="Arial" w:cs="Arial"/>
          <w:sz w:val="20"/>
          <w:szCs w:val="20"/>
        </w:rPr>
        <w:t>77.2% in the first quarter</w:t>
      </w:r>
      <w:r>
        <w:rPr>
          <w:rFonts w:ascii="Arial" w:hAnsi="Arial" w:cs="Arial"/>
          <w:sz w:val="20"/>
          <w:szCs w:val="20"/>
        </w:rPr>
        <w:t xml:space="preserve">. Shelf-stable fruits and vegetables represented </w:t>
      </w:r>
      <w:r w:rsidR="00E90227">
        <w:rPr>
          <w:rFonts w:ascii="Arial" w:hAnsi="Arial" w:cs="Arial"/>
          <w:sz w:val="20"/>
          <w:szCs w:val="20"/>
        </w:rPr>
        <w:t>8.8</w:t>
      </w:r>
      <w:r>
        <w:rPr>
          <w:rFonts w:ascii="Arial" w:hAnsi="Arial" w:cs="Arial"/>
          <w:sz w:val="20"/>
          <w:szCs w:val="20"/>
        </w:rPr>
        <w:t>% of pounds</w:t>
      </w:r>
      <w:r w:rsidR="00EA277C">
        <w:rPr>
          <w:rFonts w:ascii="Arial" w:hAnsi="Arial" w:cs="Arial"/>
          <w:sz w:val="20"/>
          <w:szCs w:val="20"/>
        </w:rPr>
        <w:t xml:space="preserve"> in</w:t>
      </w:r>
      <w:r w:rsidR="00E90227">
        <w:rPr>
          <w:rFonts w:ascii="Arial" w:hAnsi="Arial" w:cs="Arial"/>
          <w:sz w:val="20"/>
          <w:szCs w:val="20"/>
        </w:rPr>
        <w:t xml:space="preserve"> May 2022</w:t>
      </w:r>
      <w:r w:rsidR="00C05AA1">
        <w:rPr>
          <w:rFonts w:ascii="Arial" w:hAnsi="Arial" w:cs="Arial"/>
          <w:sz w:val="20"/>
          <w:szCs w:val="20"/>
        </w:rPr>
        <w:t xml:space="preserve">. </w:t>
      </w:r>
    </w:p>
    <w:p w14:paraId="53C7F7C1" w14:textId="39788B12" w:rsidR="00E33D11" w:rsidRDefault="00E33D11" w:rsidP="00770809">
      <w:pPr>
        <w:pStyle w:val="NoSpacing"/>
        <w:rPr>
          <w:rFonts w:ascii="Arial" w:hAnsi="Arial" w:cs="Arial"/>
          <w:sz w:val="20"/>
          <w:szCs w:val="20"/>
        </w:rPr>
      </w:pPr>
    </w:p>
    <w:p w14:paraId="607BFC51" w14:textId="152EFE46" w:rsidR="00E33D11" w:rsidRDefault="00BA5935" w:rsidP="00770809">
      <w:pPr>
        <w:pStyle w:val="NoSpacing"/>
        <w:rPr>
          <w:rFonts w:ascii="Arial" w:hAnsi="Arial" w:cs="Arial"/>
          <w:sz w:val="20"/>
          <w:szCs w:val="20"/>
        </w:rPr>
      </w:pPr>
      <w:r>
        <w:rPr>
          <w:noProof/>
        </w:rPr>
        <w:drawing>
          <wp:inline distT="0" distB="0" distL="0" distR="0" wp14:anchorId="46DD9374" wp14:editId="3D6EA2AE">
            <wp:extent cx="6394240" cy="2635039"/>
            <wp:effectExtent l="0" t="0" r="6985" b="0"/>
            <wp:docPr id="10" name="Chart 10">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311572" w14:textId="411D5E8D" w:rsidR="003508FD" w:rsidRPr="00983F3F" w:rsidRDefault="003508FD" w:rsidP="00983F3F">
      <w:pPr>
        <w:spacing w:after="0" w:line="240" w:lineRule="auto"/>
        <w:rPr>
          <w:rFonts w:ascii="Arial" w:hAnsi="Arial" w:cs="Arial"/>
          <w:color w:val="000000" w:themeColor="text1"/>
          <w:sz w:val="10"/>
          <w:szCs w:val="10"/>
          <w:shd w:val="clear" w:color="auto" w:fill="FFFFFF"/>
        </w:rPr>
      </w:pP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32DB7BC7" w:rsidR="008111C0" w:rsidRDefault="008111C0" w:rsidP="0053257C">
      <w:pPr>
        <w:spacing w:after="0" w:line="240" w:lineRule="auto"/>
        <w:rPr>
          <w:rFonts w:ascii="Arial" w:hAnsi="Arial" w:cs="Arial"/>
          <w:sz w:val="20"/>
          <w:shd w:val="clear" w:color="auto" w:fill="FFFFFF"/>
        </w:rPr>
      </w:pPr>
    </w:p>
    <w:p w14:paraId="29284688" w14:textId="77777777" w:rsidR="00215410" w:rsidRDefault="0021541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0CB7AB49" w14:textId="365E09EB" w:rsidR="0005157F" w:rsidRDefault="00223410" w:rsidP="006069A6">
      <w:pPr>
        <w:pStyle w:val="NoSpacing"/>
        <w:rPr>
          <w:rFonts w:ascii="Arial" w:hAnsi="Arial" w:cs="Arial"/>
          <w:sz w:val="20"/>
          <w:szCs w:val="20"/>
        </w:rPr>
      </w:pPr>
      <w:r>
        <w:rPr>
          <w:rFonts w:ascii="Arial" w:hAnsi="Arial" w:cs="Arial"/>
          <w:sz w:val="20"/>
          <w:szCs w:val="20"/>
        </w:rPr>
        <w:t>Fresh produce pound sales trailed behind year ago levels all throughout 2021</w:t>
      </w:r>
      <w:r w:rsidR="001A0E90">
        <w:rPr>
          <w:rFonts w:ascii="Arial" w:hAnsi="Arial" w:cs="Arial"/>
          <w:sz w:val="20"/>
          <w:szCs w:val="20"/>
        </w:rPr>
        <w:t xml:space="preserve"> and the first quarter of 2022</w:t>
      </w:r>
      <w:r>
        <w:rPr>
          <w:rFonts w:ascii="Arial" w:hAnsi="Arial" w:cs="Arial"/>
          <w:sz w:val="20"/>
          <w:szCs w:val="20"/>
        </w:rPr>
        <w:t xml:space="preserve">. In </w:t>
      </w:r>
      <w:r w:rsidR="00CC1AFF">
        <w:rPr>
          <w:rFonts w:ascii="Arial" w:hAnsi="Arial" w:cs="Arial"/>
          <w:sz w:val="20"/>
          <w:szCs w:val="20"/>
        </w:rPr>
        <w:t xml:space="preserve">May </w:t>
      </w:r>
      <w:r>
        <w:rPr>
          <w:rFonts w:ascii="Arial" w:hAnsi="Arial" w:cs="Arial"/>
          <w:sz w:val="20"/>
          <w:szCs w:val="20"/>
        </w:rPr>
        <w:t xml:space="preserve">2022, pound </w:t>
      </w:r>
      <w:r w:rsidR="001A0E90">
        <w:rPr>
          <w:rFonts w:ascii="Arial" w:hAnsi="Arial" w:cs="Arial"/>
          <w:sz w:val="20"/>
          <w:szCs w:val="20"/>
        </w:rPr>
        <w:t xml:space="preserve">sales were down </w:t>
      </w:r>
      <w:r w:rsidR="00676B67">
        <w:rPr>
          <w:rFonts w:ascii="Arial" w:hAnsi="Arial" w:cs="Arial"/>
          <w:sz w:val="20"/>
          <w:szCs w:val="20"/>
        </w:rPr>
        <w:t>-</w:t>
      </w:r>
      <w:r w:rsidR="00F700E5">
        <w:rPr>
          <w:rFonts w:ascii="Arial" w:hAnsi="Arial" w:cs="Arial"/>
          <w:sz w:val="20"/>
          <w:szCs w:val="20"/>
        </w:rPr>
        <w:t>5.8</w:t>
      </w:r>
      <w:r w:rsidR="001A0E90">
        <w:rPr>
          <w:rFonts w:ascii="Arial" w:hAnsi="Arial" w:cs="Arial"/>
          <w:sz w:val="20"/>
          <w:szCs w:val="20"/>
        </w:rPr>
        <w:t>%</w:t>
      </w:r>
      <w:r w:rsidR="00135BE7">
        <w:rPr>
          <w:rFonts w:ascii="Arial" w:hAnsi="Arial" w:cs="Arial"/>
          <w:sz w:val="20"/>
          <w:szCs w:val="20"/>
        </w:rPr>
        <w:t xml:space="preserve"> year-on-year</w:t>
      </w:r>
      <w:r w:rsidR="00E6448D">
        <w:rPr>
          <w:rFonts w:ascii="Arial" w:hAnsi="Arial" w:cs="Arial"/>
          <w:sz w:val="20"/>
          <w:szCs w:val="20"/>
        </w:rPr>
        <w:t xml:space="preserve"> — its lowest level since the second quarter of 2021</w:t>
      </w:r>
      <w:r>
        <w:rPr>
          <w:rFonts w:ascii="Arial" w:hAnsi="Arial" w:cs="Arial"/>
          <w:sz w:val="20"/>
          <w:szCs w:val="20"/>
        </w:rPr>
        <w:t xml:space="preserve">. </w:t>
      </w:r>
      <w:r w:rsidR="001A0E90">
        <w:rPr>
          <w:rFonts w:ascii="Arial" w:hAnsi="Arial" w:cs="Arial"/>
          <w:sz w:val="20"/>
          <w:szCs w:val="20"/>
        </w:rPr>
        <w:t xml:space="preserve">Importantly, compared with 2019, the pre-pandemic normal, dollars remain </w:t>
      </w:r>
      <w:r w:rsidR="00676B67">
        <w:rPr>
          <w:rFonts w:ascii="Arial" w:hAnsi="Arial" w:cs="Arial"/>
          <w:sz w:val="20"/>
          <w:szCs w:val="20"/>
        </w:rPr>
        <w:t>+</w:t>
      </w:r>
      <w:r w:rsidR="00F700E5">
        <w:rPr>
          <w:rFonts w:ascii="Arial" w:hAnsi="Arial" w:cs="Arial"/>
          <w:sz w:val="20"/>
          <w:szCs w:val="20"/>
        </w:rPr>
        <w:t>17.7</w:t>
      </w:r>
      <w:r w:rsidR="001A0E90">
        <w:rPr>
          <w:rFonts w:ascii="Arial" w:hAnsi="Arial" w:cs="Arial"/>
          <w:sz w:val="20"/>
          <w:szCs w:val="20"/>
        </w:rPr>
        <w:t xml:space="preserve">% ahead </w:t>
      </w:r>
      <w:r w:rsidR="00E648E4">
        <w:rPr>
          <w:rFonts w:ascii="Arial" w:hAnsi="Arial" w:cs="Arial"/>
          <w:sz w:val="20"/>
          <w:szCs w:val="20"/>
        </w:rPr>
        <w:t xml:space="preserve">(green triangles) </w:t>
      </w:r>
      <w:r w:rsidR="00E6448D">
        <w:rPr>
          <w:rFonts w:ascii="Arial" w:hAnsi="Arial" w:cs="Arial"/>
          <w:sz w:val="20"/>
          <w:szCs w:val="20"/>
        </w:rPr>
        <w:t xml:space="preserve">but </w:t>
      </w:r>
      <w:r w:rsidR="00E648E4">
        <w:rPr>
          <w:rFonts w:ascii="Arial" w:hAnsi="Arial" w:cs="Arial"/>
          <w:sz w:val="20"/>
          <w:szCs w:val="20"/>
        </w:rPr>
        <w:t xml:space="preserve">pound sales </w:t>
      </w:r>
      <w:r w:rsidR="00F700E5">
        <w:rPr>
          <w:rFonts w:ascii="Arial" w:hAnsi="Arial" w:cs="Arial"/>
          <w:sz w:val="20"/>
          <w:szCs w:val="20"/>
        </w:rPr>
        <w:t xml:space="preserve">dipped below 2019 levels by </w:t>
      </w:r>
      <w:r w:rsidR="00676B67">
        <w:rPr>
          <w:rFonts w:ascii="Arial" w:hAnsi="Arial" w:cs="Arial"/>
          <w:sz w:val="20"/>
          <w:szCs w:val="20"/>
        </w:rPr>
        <w:t>-</w:t>
      </w:r>
      <w:r w:rsidR="00F700E5">
        <w:rPr>
          <w:rFonts w:ascii="Arial" w:hAnsi="Arial" w:cs="Arial"/>
          <w:sz w:val="20"/>
          <w:szCs w:val="20"/>
        </w:rPr>
        <w:t>1.4%</w:t>
      </w:r>
      <w:r w:rsidR="00F122CD">
        <w:rPr>
          <w:rFonts w:ascii="Arial" w:hAnsi="Arial" w:cs="Arial"/>
          <w:sz w:val="20"/>
          <w:szCs w:val="20"/>
        </w:rPr>
        <w:t xml:space="preserve"> (purple squares)</w:t>
      </w:r>
      <w:r w:rsidR="00E648E4">
        <w:rPr>
          <w:rFonts w:ascii="Arial" w:hAnsi="Arial" w:cs="Arial"/>
          <w:sz w:val="20"/>
          <w:szCs w:val="20"/>
        </w:rPr>
        <w:t>.</w:t>
      </w:r>
      <w:r w:rsidR="00F122CD">
        <w:rPr>
          <w:rFonts w:ascii="Arial" w:hAnsi="Arial" w:cs="Arial"/>
          <w:sz w:val="20"/>
          <w:szCs w:val="20"/>
        </w:rPr>
        <w:t xml:space="preserve"> </w:t>
      </w:r>
      <w:r w:rsidR="00F700E5">
        <w:rPr>
          <w:rFonts w:ascii="Arial" w:hAnsi="Arial" w:cs="Arial"/>
          <w:sz w:val="20"/>
          <w:szCs w:val="20"/>
        </w:rPr>
        <w:t xml:space="preserve">“This marks the first time that volume was unable to hold the line versus pre-pandemic levels,” said Watson.  </w:t>
      </w:r>
    </w:p>
    <w:p w14:paraId="21AE6872" w14:textId="52842E4B" w:rsidR="00AC478B" w:rsidRDefault="00AC478B" w:rsidP="009D1A60">
      <w:pPr>
        <w:pStyle w:val="NoSpacing"/>
        <w:rPr>
          <w:noProof/>
        </w:rPr>
      </w:pPr>
    </w:p>
    <w:p w14:paraId="33F0DBEC" w14:textId="160C9149" w:rsidR="00BA5935" w:rsidRDefault="00BA5935" w:rsidP="009D1A60">
      <w:pPr>
        <w:pStyle w:val="NoSpacing"/>
        <w:rPr>
          <w:noProof/>
        </w:rPr>
      </w:pPr>
      <w:r>
        <w:rPr>
          <w:noProof/>
        </w:rPr>
        <w:drawing>
          <wp:inline distT="0" distB="0" distL="0" distR="0" wp14:anchorId="7B2E5749" wp14:editId="6AE5C5B0">
            <wp:extent cx="6750685" cy="2931795"/>
            <wp:effectExtent l="0" t="0" r="0" b="1905"/>
            <wp:docPr id="11" name="Chart 11">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962AB8" w14:textId="77777777" w:rsidR="00BA5935" w:rsidRPr="009D1A60" w:rsidRDefault="00BA5935" w:rsidP="009D1A60">
      <w:pPr>
        <w:pStyle w:val="NoSpacing"/>
      </w:pP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50AF547C" w:rsidR="00EF524A" w:rsidRDefault="00E6448D"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lastRenderedPageBreak/>
        <w:t xml:space="preserve">“The volume pressure came from the fruit side,” explained Parker. “Fruit pound sales were down </w:t>
      </w:r>
      <w:r w:rsidR="00F700E5">
        <w:rPr>
          <w:rFonts w:ascii="Arial" w:hAnsi="Arial" w:cs="Arial"/>
          <w:color w:val="000000" w:themeColor="text1"/>
          <w:sz w:val="20"/>
          <w:szCs w:val="18"/>
          <w:shd w:val="clear" w:color="auto" w:fill="FFFFFF"/>
        </w:rPr>
        <w:t>2.9% in May 2022 versus May 2019</w:t>
      </w:r>
      <w:r w:rsidR="00991296">
        <w:rPr>
          <w:rFonts w:ascii="Arial" w:hAnsi="Arial" w:cs="Arial"/>
          <w:color w:val="000000" w:themeColor="text1"/>
          <w:sz w:val="20"/>
          <w:szCs w:val="18"/>
          <w:shd w:val="clear" w:color="auto" w:fill="FFFFFF"/>
        </w:rPr>
        <w:t>.</w:t>
      </w:r>
      <w:r>
        <w:rPr>
          <w:rFonts w:ascii="Arial" w:hAnsi="Arial" w:cs="Arial"/>
          <w:color w:val="000000" w:themeColor="text1"/>
          <w:sz w:val="20"/>
          <w:szCs w:val="18"/>
          <w:shd w:val="clear" w:color="auto" w:fill="FFFFFF"/>
        </w:rPr>
        <w:t xml:space="preserve"> Vegetables, on the other hand, did still sell </w:t>
      </w:r>
      <w:r w:rsidR="00676B67">
        <w:rPr>
          <w:rFonts w:ascii="Arial" w:hAnsi="Arial" w:cs="Arial"/>
          <w:color w:val="000000" w:themeColor="text1"/>
          <w:sz w:val="20"/>
          <w:szCs w:val="18"/>
          <w:shd w:val="clear" w:color="auto" w:fill="FFFFFF"/>
        </w:rPr>
        <w:t>+</w:t>
      </w:r>
      <w:r w:rsidR="00F700E5">
        <w:rPr>
          <w:rFonts w:ascii="Arial" w:hAnsi="Arial" w:cs="Arial"/>
          <w:color w:val="000000" w:themeColor="text1"/>
          <w:sz w:val="20"/>
          <w:szCs w:val="18"/>
          <w:shd w:val="clear" w:color="auto" w:fill="FFFFFF"/>
        </w:rPr>
        <w:t>0.6% more in pounds in May 2022 versus May 2019, but this growth is down substantially from +</w:t>
      </w:r>
      <w:r>
        <w:rPr>
          <w:rFonts w:ascii="Arial" w:hAnsi="Arial" w:cs="Arial"/>
          <w:color w:val="000000" w:themeColor="text1"/>
          <w:sz w:val="20"/>
          <w:szCs w:val="18"/>
          <w:shd w:val="clear" w:color="auto" w:fill="FFFFFF"/>
        </w:rPr>
        <w:t xml:space="preserve">3.2% </w:t>
      </w:r>
      <w:r w:rsidR="00F700E5">
        <w:rPr>
          <w:rFonts w:ascii="Arial" w:hAnsi="Arial" w:cs="Arial"/>
          <w:color w:val="000000" w:themeColor="text1"/>
          <w:sz w:val="20"/>
          <w:szCs w:val="18"/>
          <w:shd w:val="clear" w:color="auto" w:fill="FFFFFF"/>
        </w:rPr>
        <w:t xml:space="preserve">when comparing April 2022 to </w:t>
      </w:r>
      <w:r>
        <w:rPr>
          <w:rFonts w:ascii="Arial" w:hAnsi="Arial" w:cs="Arial"/>
          <w:color w:val="000000" w:themeColor="text1"/>
          <w:sz w:val="20"/>
          <w:szCs w:val="18"/>
          <w:shd w:val="clear" w:color="auto" w:fill="FFFFFF"/>
        </w:rPr>
        <w:t>April 2019.”</w:t>
      </w:r>
      <w:r w:rsidR="00991296">
        <w:rPr>
          <w:rFonts w:ascii="Arial" w:hAnsi="Arial" w:cs="Arial"/>
          <w:color w:val="000000" w:themeColor="text1"/>
          <w:sz w:val="20"/>
          <w:szCs w:val="18"/>
          <w:shd w:val="clear" w:color="auto" w:fill="FFFFFF"/>
        </w:rPr>
        <w:t xml:space="preserve"> </w:t>
      </w:r>
    </w:p>
    <w:p w14:paraId="32003095" w14:textId="77777777" w:rsidR="00F700E5" w:rsidRDefault="00F700E5" w:rsidP="007C430F">
      <w:pPr>
        <w:pStyle w:val="NoSpacing"/>
        <w:rPr>
          <w:rFonts w:ascii="Arial" w:hAnsi="Arial" w:cs="Arial"/>
          <w:color w:val="000000" w:themeColor="text1"/>
          <w:sz w:val="20"/>
          <w:szCs w:val="18"/>
          <w:shd w:val="clear" w:color="auto" w:fill="FFFFFF"/>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93"/>
        <w:gridCol w:w="355"/>
        <w:gridCol w:w="912"/>
        <w:gridCol w:w="943"/>
        <w:gridCol w:w="944"/>
        <w:gridCol w:w="913"/>
        <w:gridCol w:w="914"/>
        <w:gridCol w:w="944"/>
        <w:gridCol w:w="944"/>
        <w:gridCol w:w="868"/>
        <w:gridCol w:w="832"/>
        <w:gridCol w:w="1069"/>
      </w:tblGrid>
      <w:tr w:rsidR="00D44AC8" w:rsidRPr="00CF309B" w14:paraId="54D27BD5" w14:textId="77777777" w:rsidTr="004E6B5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D44AC8" w:rsidRPr="00CF309B" w:rsidRDefault="00D44AC8" w:rsidP="00EC62BA">
            <w:pPr>
              <w:pStyle w:val="NoSpacing"/>
              <w:jc w:val="center"/>
              <w:rPr>
                <w:rFonts w:ascii="Arial" w:hAnsi="Arial" w:cs="Arial"/>
                <w:color w:val="FFFFFF" w:themeColor="background1"/>
                <w:sz w:val="18"/>
                <w:szCs w:val="18"/>
              </w:rPr>
            </w:pPr>
          </w:p>
        </w:tc>
        <w:tc>
          <w:tcPr>
            <w:tcW w:w="9638" w:type="dxa"/>
            <w:gridSpan w:val="11"/>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3F2D2461" w:rsidR="00D44AC8" w:rsidRPr="00CF309B" w:rsidRDefault="00D44AC8"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D44AC8" w:rsidRPr="00CF309B" w14:paraId="2188E4FF" w14:textId="77777777" w:rsidTr="004E6B5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shd w:val="clear" w:color="auto" w:fill="17365D" w:themeFill="text2" w:themeFillShade="BF"/>
            <w:vAlign w:val="center"/>
          </w:tcPr>
          <w:p w14:paraId="29E5768B" w14:textId="77777777" w:rsidR="00D44AC8" w:rsidRPr="00CF309B" w:rsidRDefault="00D44AC8" w:rsidP="00D44AC8">
            <w:pPr>
              <w:pStyle w:val="NoSpacing"/>
              <w:jc w:val="right"/>
              <w:rPr>
                <w:rFonts w:ascii="Arial" w:hAnsi="Arial" w:cs="Arial"/>
                <w:color w:val="FFFFFF" w:themeColor="background1"/>
                <w:sz w:val="18"/>
                <w:szCs w:val="18"/>
              </w:rPr>
            </w:pPr>
          </w:p>
        </w:tc>
        <w:tc>
          <w:tcPr>
            <w:tcW w:w="912" w:type="dxa"/>
            <w:tcBorders>
              <w:left w:val="none" w:sz="0" w:space="0" w:color="auto"/>
              <w:right w:val="none" w:sz="0" w:space="0" w:color="auto"/>
            </w:tcBorders>
            <w:shd w:val="clear" w:color="auto" w:fill="17365D" w:themeFill="text2" w:themeFillShade="BF"/>
            <w:vAlign w:val="center"/>
          </w:tcPr>
          <w:p w14:paraId="63017601" w14:textId="77777777" w:rsidR="00D44AC8" w:rsidRPr="003C245B"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43" w:type="dxa"/>
            <w:tcBorders>
              <w:left w:val="none" w:sz="0" w:space="0" w:color="auto"/>
              <w:right w:val="none" w:sz="0" w:space="0" w:color="auto"/>
            </w:tcBorders>
            <w:shd w:val="clear" w:color="auto" w:fill="17365D" w:themeFill="text2" w:themeFillShade="BF"/>
            <w:vAlign w:val="center"/>
          </w:tcPr>
          <w:p w14:paraId="4A18F774" w14:textId="77777777" w:rsidR="00D44AC8" w:rsidRPr="003C245B"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944" w:type="dxa"/>
            <w:tcBorders>
              <w:left w:val="none" w:sz="0" w:space="0" w:color="auto"/>
              <w:right w:val="none" w:sz="0" w:space="0" w:color="auto"/>
            </w:tcBorders>
            <w:shd w:val="clear" w:color="auto" w:fill="17365D" w:themeFill="text2" w:themeFillShade="BF"/>
            <w:vAlign w:val="center"/>
          </w:tcPr>
          <w:p w14:paraId="3AD9F6FB" w14:textId="345B94E0"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913" w:type="dxa"/>
            <w:tcBorders>
              <w:left w:val="none" w:sz="0" w:space="0" w:color="auto"/>
              <w:right w:val="none" w:sz="0" w:space="0" w:color="auto"/>
            </w:tcBorders>
            <w:shd w:val="clear" w:color="auto" w:fill="17365D" w:themeFill="text2" w:themeFillShade="BF"/>
            <w:vAlign w:val="center"/>
          </w:tcPr>
          <w:p w14:paraId="56E4CCDB" w14:textId="79790FAF"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914" w:type="dxa"/>
            <w:tcBorders>
              <w:left w:val="none" w:sz="0" w:space="0" w:color="auto"/>
              <w:right w:val="none" w:sz="0" w:space="0" w:color="auto"/>
            </w:tcBorders>
            <w:shd w:val="clear" w:color="auto" w:fill="17365D" w:themeFill="text2" w:themeFillShade="BF"/>
            <w:vAlign w:val="center"/>
          </w:tcPr>
          <w:p w14:paraId="2293C6F3" w14:textId="1E5D39A4"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44" w:type="dxa"/>
            <w:tcBorders>
              <w:left w:val="none" w:sz="0" w:space="0" w:color="auto"/>
              <w:right w:val="none" w:sz="0" w:space="0" w:color="auto"/>
            </w:tcBorders>
            <w:shd w:val="clear" w:color="auto" w:fill="17365D" w:themeFill="text2" w:themeFillShade="BF"/>
            <w:vAlign w:val="center"/>
          </w:tcPr>
          <w:p w14:paraId="1A442681" w14:textId="5AB2F491"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44" w:type="dxa"/>
            <w:tcBorders>
              <w:left w:val="none" w:sz="0" w:space="0" w:color="auto"/>
              <w:right w:val="none" w:sz="0" w:space="0" w:color="auto"/>
            </w:tcBorders>
            <w:shd w:val="clear" w:color="auto" w:fill="17365D" w:themeFill="text2" w:themeFillShade="BF"/>
            <w:vAlign w:val="center"/>
          </w:tcPr>
          <w:p w14:paraId="4385EE9E" w14:textId="22D4D9C4" w:rsidR="00D44AC8" w:rsidRDefault="008F2E15"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68" w:type="dxa"/>
            <w:tcBorders>
              <w:left w:val="none" w:sz="0" w:space="0" w:color="auto"/>
              <w:right w:val="none" w:sz="0" w:space="0" w:color="auto"/>
            </w:tcBorders>
            <w:shd w:val="clear" w:color="auto" w:fill="17365D" w:themeFill="text2" w:themeFillShade="BF"/>
            <w:vAlign w:val="center"/>
          </w:tcPr>
          <w:p w14:paraId="7DD4E35E" w14:textId="25CC1F2D" w:rsidR="00D44AC8" w:rsidRDefault="007271CC"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May</w:t>
            </w:r>
            <w:r w:rsidR="00D44AC8">
              <w:rPr>
                <w:rFonts w:ascii="Arial" w:hAnsi="Arial" w:cs="Arial"/>
                <w:b/>
                <w:color w:val="FFFFFF" w:themeColor="background1"/>
                <w:sz w:val="18"/>
                <w:szCs w:val="18"/>
              </w:rPr>
              <w:t xml:space="preserve"> 22</w:t>
            </w:r>
          </w:p>
        </w:tc>
        <w:tc>
          <w:tcPr>
            <w:tcW w:w="832" w:type="dxa"/>
            <w:tcBorders>
              <w:left w:val="none" w:sz="0" w:space="0" w:color="auto"/>
              <w:right w:val="none" w:sz="0" w:space="0" w:color="auto"/>
            </w:tcBorders>
            <w:shd w:val="clear" w:color="auto" w:fill="17365D" w:themeFill="text2" w:themeFillShade="BF"/>
            <w:vAlign w:val="center"/>
          </w:tcPr>
          <w:p w14:paraId="041FEF61" w14:textId="4E21B2CB"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1069" w:type="dxa"/>
            <w:tcBorders>
              <w:left w:val="none" w:sz="0" w:space="0" w:color="auto"/>
              <w:right w:val="none" w:sz="0" w:space="0" w:color="auto"/>
            </w:tcBorders>
            <w:shd w:val="clear" w:color="auto" w:fill="17365D" w:themeFill="text2" w:themeFillShade="BF"/>
            <w:vAlign w:val="center"/>
          </w:tcPr>
          <w:p w14:paraId="582F16C2" w14:textId="6B977E41"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Vs </w:t>
            </w:r>
            <w:r w:rsidR="008F2E15">
              <w:rPr>
                <w:rFonts w:ascii="Arial" w:hAnsi="Arial" w:cs="Arial"/>
                <w:b/>
                <w:color w:val="FFFFFF" w:themeColor="background1"/>
                <w:sz w:val="18"/>
                <w:szCs w:val="18"/>
              </w:rPr>
              <w:t>2019</w:t>
            </w:r>
          </w:p>
        </w:tc>
      </w:tr>
      <w:tr w:rsidR="00D44AC8" w:rsidRPr="00E43E81" w14:paraId="63E25688"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1BC5E048" w14:textId="77777777" w:rsidR="00D44AC8" w:rsidRPr="00E43E81" w:rsidRDefault="00D44AC8"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912" w:type="dxa"/>
            <w:vAlign w:val="center"/>
          </w:tcPr>
          <w:p w14:paraId="1139F53D"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3" w:type="dxa"/>
            <w:vAlign w:val="center"/>
          </w:tcPr>
          <w:p w14:paraId="7781D8C8"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vAlign w:val="center"/>
          </w:tcPr>
          <w:p w14:paraId="4B6676A1"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3" w:type="dxa"/>
          </w:tcPr>
          <w:p w14:paraId="34E1CFA3"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4" w:type="dxa"/>
          </w:tcPr>
          <w:p w14:paraId="55E76F30"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2AA16F83"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0E3FBDB9"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68" w:type="dxa"/>
          </w:tcPr>
          <w:p w14:paraId="4EFAFB8B"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32" w:type="dxa"/>
          </w:tcPr>
          <w:p w14:paraId="3E5E2079" w14:textId="6B23943E"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1069" w:type="dxa"/>
          </w:tcPr>
          <w:p w14:paraId="3C1099A0"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D44AC8" w:rsidRPr="00EF524A" w14:paraId="5AEC7600" w14:textId="77777777" w:rsidTr="004E6B52">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vAlign w:val="center"/>
          </w:tcPr>
          <w:p w14:paraId="7D1E7D37" w14:textId="77777777" w:rsidR="00D44AC8" w:rsidRPr="00EF524A" w:rsidRDefault="00D44AC8" w:rsidP="00D44AC8">
            <w:pPr>
              <w:pStyle w:val="NoSpacing"/>
              <w:jc w:val="right"/>
              <w:rPr>
                <w:rFonts w:ascii="Arial" w:hAnsi="Arial" w:cs="Arial"/>
                <w:b w:val="0"/>
                <w:color w:val="215868" w:themeColor="accent5" w:themeShade="80"/>
                <w:sz w:val="18"/>
                <w:szCs w:val="18"/>
              </w:rPr>
            </w:pPr>
            <w:r w:rsidRPr="00EF524A">
              <w:rPr>
                <w:rFonts w:ascii="Arial" w:hAnsi="Arial" w:cs="Arial"/>
                <w:b w:val="0"/>
                <w:color w:val="215868" w:themeColor="accent5" w:themeShade="80"/>
                <w:sz w:val="18"/>
                <w:szCs w:val="18"/>
              </w:rPr>
              <w:t xml:space="preserve">   Dollars</w:t>
            </w:r>
          </w:p>
        </w:tc>
        <w:tc>
          <w:tcPr>
            <w:tcW w:w="912" w:type="dxa"/>
            <w:tcBorders>
              <w:left w:val="none" w:sz="0" w:space="0" w:color="auto"/>
              <w:right w:val="none" w:sz="0" w:space="0" w:color="auto"/>
            </w:tcBorders>
            <w:vAlign w:val="bottom"/>
          </w:tcPr>
          <w:p w14:paraId="15B690B5" w14:textId="2D5E8518"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-0.2</w:t>
            </w:r>
            <w:r w:rsidRPr="00EF524A">
              <w:rPr>
                <w:rFonts w:ascii="Arial" w:hAnsi="Arial" w:cs="Arial"/>
                <w:bCs/>
                <w:color w:val="215868"/>
                <w:sz w:val="18"/>
                <w:szCs w:val="18"/>
              </w:rPr>
              <w:t>%</w:t>
            </w:r>
          </w:p>
        </w:tc>
        <w:tc>
          <w:tcPr>
            <w:tcW w:w="943" w:type="dxa"/>
            <w:tcBorders>
              <w:left w:val="none" w:sz="0" w:space="0" w:color="auto"/>
              <w:right w:val="none" w:sz="0" w:space="0" w:color="auto"/>
            </w:tcBorders>
            <w:vAlign w:val="bottom"/>
          </w:tcPr>
          <w:p w14:paraId="17DA2E9F" w14:textId="31E8E4EC"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Pr>
                <w:rFonts w:ascii="Arial" w:hAnsi="Arial" w:cs="Arial"/>
                <w:bCs/>
                <w:color w:val="215868"/>
                <w:sz w:val="18"/>
                <w:szCs w:val="18"/>
              </w:rPr>
              <w:t>8.7</w:t>
            </w:r>
            <w:r w:rsidRPr="00EF524A">
              <w:rPr>
                <w:rFonts w:ascii="Arial" w:hAnsi="Arial" w:cs="Arial"/>
                <w:bCs/>
                <w:color w:val="215868"/>
                <w:sz w:val="18"/>
                <w:szCs w:val="18"/>
              </w:rPr>
              <w:t>%</w:t>
            </w:r>
          </w:p>
        </w:tc>
        <w:tc>
          <w:tcPr>
            <w:tcW w:w="944" w:type="dxa"/>
            <w:tcBorders>
              <w:left w:val="none" w:sz="0" w:space="0" w:color="auto"/>
              <w:right w:val="none" w:sz="0" w:space="0" w:color="auto"/>
            </w:tcBorders>
            <w:vAlign w:val="bottom"/>
          </w:tcPr>
          <w:p w14:paraId="283B4C73" w14:textId="4E5BDF02"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+5.1</w:t>
            </w:r>
            <w:r w:rsidRPr="00EF524A">
              <w:rPr>
                <w:rFonts w:ascii="Arial" w:hAnsi="Arial" w:cs="Arial"/>
                <w:bCs/>
                <w:color w:val="215868"/>
                <w:sz w:val="18"/>
                <w:szCs w:val="18"/>
              </w:rPr>
              <w:t>%</w:t>
            </w:r>
          </w:p>
        </w:tc>
        <w:tc>
          <w:tcPr>
            <w:tcW w:w="913" w:type="dxa"/>
            <w:tcBorders>
              <w:left w:val="none" w:sz="0" w:space="0" w:color="auto"/>
              <w:right w:val="none" w:sz="0" w:space="0" w:color="auto"/>
            </w:tcBorders>
          </w:tcPr>
          <w:p w14:paraId="05F0A495" w14:textId="76FC154B"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+4.5</w:t>
            </w:r>
            <w:r w:rsidRPr="00EF524A">
              <w:rPr>
                <w:rFonts w:ascii="Arial" w:hAnsi="Arial" w:cs="Arial"/>
                <w:bCs/>
                <w:color w:val="215868"/>
                <w:sz w:val="18"/>
                <w:szCs w:val="18"/>
              </w:rPr>
              <w:t>%</w:t>
            </w:r>
          </w:p>
        </w:tc>
        <w:tc>
          <w:tcPr>
            <w:tcW w:w="914" w:type="dxa"/>
            <w:tcBorders>
              <w:left w:val="none" w:sz="0" w:space="0" w:color="auto"/>
              <w:right w:val="none" w:sz="0" w:space="0" w:color="auto"/>
            </w:tcBorders>
          </w:tcPr>
          <w:p w14:paraId="7BE6A292" w14:textId="269A829D"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+6.2</w:t>
            </w:r>
            <w:r w:rsidRPr="00EF524A">
              <w:rPr>
                <w:rFonts w:ascii="Arial" w:hAnsi="Arial" w:cs="Arial"/>
                <w:bCs/>
                <w:color w:val="215868"/>
                <w:sz w:val="18"/>
                <w:szCs w:val="18"/>
              </w:rPr>
              <w:t>%</w:t>
            </w:r>
          </w:p>
        </w:tc>
        <w:tc>
          <w:tcPr>
            <w:tcW w:w="944" w:type="dxa"/>
            <w:tcBorders>
              <w:left w:val="none" w:sz="0" w:space="0" w:color="auto"/>
              <w:right w:val="none" w:sz="0" w:space="0" w:color="auto"/>
            </w:tcBorders>
          </w:tcPr>
          <w:p w14:paraId="59F7AEF4" w14:textId="14B767C5"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10.9</w:t>
            </w:r>
            <w:r w:rsidRPr="00EF524A">
              <w:rPr>
                <w:rFonts w:ascii="Arial" w:hAnsi="Arial" w:cs="Arial"/>
                <w:bCs/>
                <w:color w:val="215868" w:themeColor="accent5" w:themeShade="80"/>
                <w:sz w:val="18"/>
                <w:szCs w:val="18"/>
              </w:rPr>
              <w:t>%</w:t>
            </w:r>
          </w:p>
        </w:tc>
        <w:tc>
          <w:tcPr>
            <w:tcW w:w="944" w:type="dxa"/>
            <w:tcBorders>
              <w:left w:val="none" w:sz="0" w:space="0" w:color="auto"/>
              <w:right w:val="none" w:sz="0" w:space="0" w:color="auto"/>
            </w:tcBorders>
          </w:tcPr>
          <w:p w14:paraId="0DFFA07C" w14:textId="30F90A73"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10.2</w:t>
            </w:r>
            <w:r w:rsidRPr="00EF524A">
              <w:rPr>
                <w:rFonts w:ascii="Arial" w:hAnsi="Arial" w:cs="Arial"/>
                <w:bCs/>
                <w:color w:val="215868" w:themeColor="accent5" w:themeShade="80"/>
                <w:sz w:val="18"/>
                <w:szCs w:val="18"/>
              </w:rPr>
              <w:t>%</w:t>
            </w:r>
          </w:p>
        </w:tc>
        <w:tc>
          <w:tcPr>
            <w:tcW w:w="868" w:type="dxa"/>
            <w:tcBorders>
              <w:left w:val="none" w:sz="0" w:space="0" w:color="auto"/>
              <w:right w:val="none" w:sz="0" w:space="0" w:color="auto"/>
            </w:tcBorders>
          </w:tcPr>
          <w:p w14:paraId="0B316AC7" w14:textId="6FECDD39"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3.8</w:t>
            </w:r>
            <w:r w:rsidR="00AF0D02">
              <w:rPr>
                <w:rFonts w:ascii="Arial" w:hAnsi="Arial" w:cs="Arial"/>
                <w:bCs/>
                <w:color w:val="215868" w:themeColor="accent5" w:themeShade="80"/>
                <w:sz w:val="18"/>
                <w:szCs w:val="18"/>
              </w:rPr>
              <w:t>B</w:t>
            </w:r>
          </w:p>
        </w:tc>
        <w:tc>
          <w:tcPr>
            <w:tcW w:w="832" w:type="dxa"/>
            <w:tcBorders>
              <w:left w:val="none" w:sz="0" w:space="0" w:color="auto"/>
              <w:right w:val="none" w:sz="0" w:space="0" w:color="auto"/>
            </w:tcBorders>
          </w:tcPr>
          <w:p w14:paraId="22BC605C" w14:textId="72FDAB89"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3.9</w:t>
            </w:r>
            <w:r w:rsidRPr="00EF524A">
              <w:rPr>
                <w:rFonts w:ascii="Arial" w:hAnsi="Arial" w:cs="Arial"/>
                <w:bCs/>
                <w:color w:val="215868" w:themeColor="accent5" w:themeShade="80"/>
                <w:sz w:val="18"/>
                <w:szCs w:val="18"/>
              </w:rPr>
              <w:t>%</w:t>
            </w:r>
          </w:p>
        </w:tc>
        <w:tc>
          <w:tcPr>
            <w:tcW w:w="1069" w:type="dxa"/>
            <w:tcBorders>
              <w:left w:val="none" w:sz="0" w:space="0" w:color="auto"/>
              <w:right w:val="none" w:sz="0" w:space="0" w:color="auto"/>
            </w:tcBorders>
          </w:tcPr>
          <w:p w14:paraId="2FC95C73" w14:textId="266D242B"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20.1</w:t>
            </w:r>
            <w:r w:rsidRPr="00EF524A">
              <w:rPr>
                <w:rFonts w:ascii="Arial" w:hAnsi="Arial" w:cs="Arial"/>
                <w:bCs/>
                <w:color w:val="215868" w:themeColor="accent5" w:themeShade="80"/>
                <w:sz w:val="18"/>
                <w:szCs w:val="18"/>
              </w:rPr>
              <w:t>%</w:t>
            </w:r>
          </w:p>
        </w:tc>
      </w:tr>
      <w:tr w:rsidR="00D44AC8" w:rsidRPr="00E43E81" w14:paraId="3476271B"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3C77D01E"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12" w:type="dxa"/>
            <w:vAlign w:val="bottom"/>
          </w:tcPr>
          <w:p w14:paraId="5B77DAE0" w14:textId="4B2A03E1" w:rsidR="00D44AC8" w:rsidRPr="00EF524A"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r w:rsidRPr="00EF524A">
              <w:rPr>
                <w:rFonts w:ascii="Arial" w:hAnsi="Arial" w:cs="Arial"/>
                <w:color w:val="215868"/>
                <w:sz w:val="18"/>
                <w:szCs w:val="18"/>
              </w:rPr>
              <w:t>%</w:t>
            </w:r>
          </w:p>
        </w:tc>
        <w:tc>
          <w:tcPr>
            <w:tcW w:w="943" w:type="dxa"/>
            <w:vAlign w:val="bottom"/>
          </w:tcPr>
          <w:p w14:paraId="2014A442" w14:textId="08B1A478"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+8.8%</w:t>
            </w:r>
          </w:p>
        </w:tc>
        <w:tc>
          <w:tcPr>
            <w:tcW w:w="944" w:type="dxa"/>
            <w:vAlign w:val="bottom"/>
          </w:tcPr>
          <w:p w14:paraId="52EE4C7F" w14:textId="31CCBE58"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-0.5%</w:t>
            </w:r>
          </w:p>
        </w:tc>
        <w:tc>
          <w:tcPr>
            <w:tcW w:w="913" w:type="dxa"/>
          </w:tcPr>
          <w:p w14:paraId="1AF979C8" w14:textId="3295E93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14" w:type="dxa"/>
          </w:tcPr>
          <w:p w14:paraId="6FC1B8BB" w14:textId="0D832A70"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p>
        </w:tc>
        <w:tc>
          <w:tcPr>
            <w:tcW w:w="944" w:type="dxa"/>
          </w:tcPr>
          <w:p w14:paraId="75D8DE48" w14:textId="3904B9C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p>
        </w:tc>
        <w:tc>
          <w:tcPr>
            <w:tcW w:w="944" w:type="dxa"/>
          </w:tcPr>
          <w:p w14:paraId="1BD47635" w14:textId="083E156A"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4E6B52">
              <w:rPr>
                <w:rFonts w:ascii="Arial" w:hAnsi="Arial" w:cs="Arial"/>
                <w:color w:val="215868" w:themeColor="accent5" w:themeShade="80"/>
                <w:sz w:val="18"/>
                <w:szCs w:val="18"/>
              </w:rPr>
              <w:t>3.7</w:t>
            </w:r>
            <w:r w:rsidRPr="00E43E81">
              <w:rPr>
                <w:rFonts w:ascii="Arial" w:hAnsi="Arial" w:cs="Arial"/>
                <w:color w:val="215868" w:themeColor="accent5" w:themeShade="80"/>
                <w:sz w:val="18"/>
                <w:szCs w:val="18"/>
              </w:rPr>
              <w:t>%</w:t>
            </w:r>
          </w:p>
        </w:tc>
        <w:tc>
          <w:tcPr>
            <w:tcW w:w="868" w:type="dxa"/>
          </w:tcPr>
          <w:p w14:paraId="24ED1C4B" w14:textId="7B57BECD" w:rsidR="00D44AC8" w:rsidRDefault="00F700E5"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2.3</w:t>
            </w:r>
            <w:r w:rsidR="00AF0D02">
              <w:rPr>
                <w:rFonts w:ascii="Arial" w:hAnsi="Arial" w:cs="Arial"/>
                <w:color w:val="215868" w:themeColor="accent5" w:themeShade="80"/>
                <w:sz w:val="18"/>
                <w:szCs w:val="18"/>
              </w:rPr>
              <w:t>B</w:t>
            </w:r>
          </w:p>
        </w:tc>
        <w:tc>
          <w:tcPr>
            <w:tcW w:w="832" w:type="dxa"/>
          </w:tcPr>
          <w:p w14:paraId="40C78115" w14:textId="5AD094BA" w:rsidR="00D44AC8" w:rsidRPr="00E43E81" w:rsidRDefault="00AF0D0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5.9</w:t>
            </w:r>
            <w:r w:rsidR="00D44AC8" w:rsidRPr="00EF524A">
              <w:rPr>
                <w:rFonts w:ascii="Arial" w:hAnsi="Arial" w:cs="Arial"/>
                <w:bCs/>
                <w:color w:val="215868" w:themeColor="accent5" w:themeShade="80"/>
                <w:sz w:val="18"/>
                <w:szCs w:val="18"/>
              </w:rPr>
              <w:t>%</w:t>
            </w:r>
          </w:p>
        </w:tc>
        <w:tc>
          <w:tcPr>
            <w:tcW w:w="1069" w:type="dxa"/>
          </w:tcPr>
          <w:p w14:paraId="40AFD473" w14:textId="2448745A" w:rsidR="00D44AC8" w:rsidRPr="00E43E81" w:rsidRDefault="00E6448D"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2.9</w:t>
            </w:r>
            <w:r w:rsidR="00D44AC8" w:rsidRPr="00EF524A">
              <w:rPr>
                <w:rFonts w:ascii="Arial" w:hAnsi="Arial" w:cs="Arial"/>
                <w:bCs/>
                <w:color w:val="215868" w:themeColor="accent5" w:themeShade="80"/>
                <w:sz w:val="18"/>
                <w:szCs w:val="18"/>
              </w:rPr>
              <w:t>%</w:t>
            </w:r>
          </w:p>
        </w:tc>
      </w:tr>
      <w:tr w:rsidR="00D44AC8" w:rsidRPr="00E43E81" w14:paraId="086B8DCB" w14:textId="77777777" w:rsidTr="009912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vAlign w:val="center"/>
          </w:tcPr>
          <w:p w14:paraId="33C6FCCB" w14:textId="77777777" w:rsidR="00D44AC8" w:rsidRPr="00E43E81" w:rsidRDefault="00D44AC8" w:rsidP="00D44AC8">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912" w:type="dxa"/>
            <w:tcBorders>
              <w:left w:val="none" w:sz="0" w:space="0" w:color="auto"/>
              <w:right w:val="none" w:sz="0" w:space="0" w:color="auto"/>
            </w:tcBorders>
            <w:vAlign w:val="bottom"/>
          </w:tcPr>
          <w:p w14:paraId="73DCC43F" w14:textId="77777777"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3" w:type="dxa"/>
            <w:tcBorders>
              <w:left w:val="none" w:sz="0" w:space="0" w:color="auto"/>
              <w:right w:val="none" w:sz="0" w:space="0" w:color="auto"/>
            </w:tcBorders>
            <w:vAlign w:val="bottom"/>
          </w:tcPr>
          <w:p w14:paraId="7761902E"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4" w:type="dxa"/>
            <w:tcBorders>
              <w:left w:val="none" w:sz="0" w:space="0" w:color="auto"/>
              <w:right w:val="none" w:sz="0" w:space="0" w:color="auto"/>
            </w:tcBorders>
            <w:vAlign w:val="bottom"/>
          </w:tcPr>
          <w:p w14:paraId="74E5391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13" w:type="dxa"/>
            <w:tcBorders>
              <w:left w:val="none" w:sz="0" w:space="0" w:color="auto"/>
              <w:right w:val="none" w:sz="0" w:space="0" w:color="auto"/>
            </w:tcBorders>
          </w:tcPr>
          <w:p w14:paraId="18CCBF84" w14:textId="77777777" w:rsidR="00D44AC8" w:rsidRDefault="00D44AC8" w:rsidP="00D44A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14" w:type="dxa"/>
            <w:tcBorders>
              <w:left w:val="none" w:sz="0" w:space="0" w:color="auto"/>
              <w:right w:val="none" w:sz="0" w:space="0" w:color="auto"/>
            </w:tcBorders>
          </w:tcPr>
          <w:p w14:paraId="01DBE46D" w14:textId="77777777" w:rsidR="00D44AC8"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4" w:type="dxa"/>
            <w:tcBorders>
              <w:left w:val="none" w:sz="0" w:space="0" w:color="auto"/>
              <w:right w:val="none" w:sz="0" w:space="0" w:color="auto"/>
            </w:tcBorders>
          </w:tcPr>
          <w:p w14:paraId="6BD6E949"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44" w:type="dxa"/>
            <w:tcBorders>
              <w:left w:val="none" w:sz="0" w:space="0" w:color="auto"/>
              <w:right w:val="none" w:sz="0" w:space="0" w:color="auto"/>
            </w:tcBorders>
          </w:tcPr>
          <w:p w14:paraId="2EC07E7F"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68" w:type="dxa"/>
            <w:tcBorders>
              <w:left w:val="none" w:sz="0" w:space="0" w:color="auto"/>
              <w:right w:val="none" w:sz="0" w:space="0" w:color="auto"/>
            </w:tcBorders>
          </w:tcPr>
          <w:p w14:paraId="7096CAC7"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32" w:type="dxa"/>
            <w:tcBorders>
              <w:left w:val="none" w:sz="0" w:space="0" w:color="auto"/>
              <w:right w:val="none" w:sz="0" w:space="0" w:color="auto"/>
            </w:tcBorders>
          </w:tcPr>
          <w:p w14:paraId="29C1AAF9" w14:textId="37631E86"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069" w:type="dxa"/>
            <w:tcBorders>
              <w:left w:val="none" w:sz="0" w:space="0" w:color="auto"/>
              <w:right w:val="none" w:sz="0" w:space="0" w:color="auto"/>
            </w:tcBorders>
          </w:tcPr>
          <w:p w14:paraId="05C8EE53"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E6448D" w:rsidRPr="00E43E81" w14:paraId="21073A7E"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212B5B99" w14:textId="77777777" w:rsidR="00E6448D" w:rsidRPr="00E43E81" w:rsidRDefault="00E6448D" w:rsidP="00E6448D">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912" w:type="dxa"/>
            <w:vAlign w:val="bottom"/>
          </w:tcPr>
          <w:p w14:paraId="1765AE90" w14:textId="72591C81" w:rsidR="00E6448D" w:rsidRPr="00EF524A"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Pr>
                <w:rFonts w:ascii="Arial" w:hAnsi="Arial" w:cs="Arial"/>
                <w:color w:val="215868"/>
                <w:sz w:val="18"/>
                <w:szCs w:val="18"/>
              </w:rPr>
              <w:t>3.9</w:t>
            </w:r>
            <w:r w:rsidRPr="00EF524A">
              <w:rPr>
                <w:rFonts w:ascii="Arial" w:hAnsi="Arial" w:cs="Arial"/>
                <w:color w:val="215868"/>
                <w:sz w:val="18"/>
                <w:szCs w:val="18"/>
              </w:rPr>
              <w:t>%</w:t>
            </w:r>
          </w:p>
        </w:tc>
        <w:tc>
          <w:tcPr>
            <w:tcW w:w="943" w:type="dxa"/>
            <w:vAlign w:val="bottom"/>
          </w:tcPr>
          <w:p w14:paraId="32E683B5" w14:textId="21A20A32"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944" w:type="dxa"/>
            <w:vAlign w:val="bottom"/>
          </w:tcPr>
          <w:p w14:paraId="505795D6" w14:textId="430CA0F4"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913" w:type="dxa"/>
          </w:tcPr>
          <w:p w14:paraId="4B1C1FD6" w14:textId="16BEDA07"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-7.1%</w:t>
            </w:r>
          </w:p>
        </w:tc>
        <w:tc>
          <w:tcPr>
            <w:tcW w:w="914" w:type="dxa"/>
          </w:tcPr>
          <w:p w14:paraId="10FE4091" w14:textId="07896E09"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-2.3%</w:t>
            </w:r>
          </w:p>
        </w:tc>
        <w:tc>
          <w:tcPr>
            <w:tcW w:w="944" w:type="dxa"/>
          </w:tcPr>
          <w:p w14:paraId="04FFBCC4" w14:textId="7AC5FC90"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p>
        </w:tc>
        <w:tc>
          <w:tcPr>
            <w:tcW w:w="944" w:type="dxa"/>
          </w:tcPr>
          <w:p w14:paraId="61F9669F" w14:textId="289A7C87"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-0.4</w:t>
            </w:r>
            <w:r w:rsidRPr="00E43E81">
              <w:rPr>
                <w:rFonts w:ascii="Arial" w:hAnsi="Arial" w:cs="Arial"/>
                <w:color w:val="215868" w:themeColor="accent5" w:themeShade="80"/>
                <w:sz w:val="18"/>
              </w:rPr>
              <w:t>%</w:t>
            </w:r>
          </w:p>
        </w:tc>
        <w:tc>
          <w:tcPr>
            <w:tcW w:w="868" w:type="dxa"/>
          </w:tcPr>
          <w:p w14:paraId="3FA0D484" w14:textId="17FDE88F" w:rsidR="00E6448D"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3.5</w:t>
            </w:r>
            <w:r>
              <w:rPr>
                <w:rFonts w:ascii="Arial" w:hAnsi="Arial" w:cs="Arial"/>
                <w:bCs/>
                <w:color w:val="215868" w:themeColor="accent5" w:themeShade="80"/>
                <w:sz w:val="18"/>
                <w:szCs w:val="18"/>
              </w:rPr>
              <w:t>B</w:t>
            </w:r>
          </w:p>
        </w:tc>
        <w:tc>
          <w:tcPr>
            <w:tcW w:w="832" w:type="dxa"/>
          </w:tcPr>
          <w:p w14:paraId="37E2BD2D" w14:textId="164D5A24" w:rsidR="00E6448D" w:rsidRPr="00E43E81"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sidRPr="00EF524A">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2.3</w:t>
            </w:r>
            <w:r w:rsidRPr="00EF524A">
              <w:rPr>
                <w:rFonts w:ascii="Arial" w:hAnsi="Arial" w:cs="Arial"/>
                <w:bCs/>
                <w:color w:val="215868" w:themeColor="accent5" w:themeShade="80"/>
                <w:sz w:val="18"/>
                <w:szCs w:val="18"/>
              </w:rPr>
              <w:t>%</w:t>
            </w:r>
          </w:p>
        </w:tc>
        <w:tc>
          <w:tcPr>
            <w:tcW w:w="1069" w:type="dxa"/>
          </w:tcPr>
          <w:p w14:paraId="108031E8" w14:textId="5601E868" w:rsidR="00E6448D" w:rsidRPr="00E43E81" w:rsidRDefault="00E6448D" w:rsidP="00E6448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15.2</w:t>
            </w:r>
            <w:r w:rsidRPr="00EF524A">
              <w:rPr>
                <w:rFonts w:ascii="Arial" w:hAnsi="Arial" w:cs="Arial"/>
                <w:bCs/>
                <w:color w:val="215868" w:themeColor="accent5" w:themeShade="80"/>
                <w:sz w:val="18"/>
                <w:szCs w:val="18"/>
              </w:rPr>
              <w:t>%</w:t>
            </w:r>
          </w:p>
        </w:tc>
      </w:tr>
      <w:tr w:rsidR="00E6448D" w:rsidRPr="00E43E81" w14:paraId="43A744ED" w14:textId="77777777" w:rsidTr="004E6B5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vAlign w:val="center"/>
          </w:tcPr>
          <w:p w14:paraId="2D5BC9DE" w14:textId="77777777" w:rsidR="00E6448D" w:rsidRPr="00E43E81" w:rsidRDefault="00E6448D" w:rsidP="00E6448D">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12" w:type="dxa"/>
            <w:tcBorders>
              <w:left w:val="none" w:sz="0" w:space="0" w:color="auto"/>
              <w:right w:val="none" w:sz="0" w:space="0" w:color="auto"/>
            </w:tcBorders>
            <w:vAlign w:val="bottom"/>
          </w:tcPr>
          <w:p w14:paraId="355C182D" w14:textId="3C9BCCA6" w:rsidR="00E6448D" w:rsidRPr="00EF524A"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r w:rsidRPr="00EF524A">
              <w:rPr>
                <w:rFonts w:ascii="Arial" w:hAnsi="Arial" w:cs="Arial"/>
                <w:color w:val="215868"/>
                <w:sz w:val="18"/>
                <w:szCs w:val="18"/>
              </w:rPr>
              <w:t>%</w:t>
            </w:r>
          </w:p>
        </w:tc>
        <w:tc>
          <w:tcPr>
            <w:tcW w:w="943" w:type="dxa"/>
            <w:tcBorders>
              <w:left w:val="none" w:sz="0" w:space="0" w:color="auto"/>
              <w:right w:val="none" w:sz="0" w:space="0" w:color="auto"/>
            </w:tcBorders>
            <w:vAlign w:val="bottom"/>
          </w:tcPr>
          <w:p w14:paraId="2918379D" w14:textId="51CBC7BE" w:rsidR="00E6448D"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+14.2%</w:t>
            </w:r>
          </w:p>
        </w:tc>
        <w:tc>
          <w:tcPr>
            <w:tcW w:w="944" w:type="dxa"/>
            <w:tcBorders>
              <w:left w:val="none" w:sz="0" w:space="0" w:color="auto"/>
              <w:right w:val="none" w:sz="0" w:space="0" w:color="auto"/>
            </w:tcBorders>
            <w:vAlign w:val="bottom"/>
          </w:tcPr>
          <w:p w14:paraId="211A3D88" w14:textId="2EC2143F" w:rsidR="00E6448D"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+13.5%</w:t>
            </w:r>
          </w:p>
        </w:tc>
        <w:tc>
          <w:tcPr>
            <w:tcW w:w="913" w:type="dxa"/>
            <w:tcBorders>
              <w:left w:val="none" w:sz="0" w:space="0" w:color="auto"/>
              <w:right w:val="none" w:sz="0" w:space="0" w:color="auto"/>
            </w:tcBorders>
          </w:tcPr>
          <w:p w14:paraId="06B7466D" w14:textId="6D80E197" w:rsidR="00E6448D"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-11.7%</w:t>
            </w:r>
          </w:p>
        </w:tc>
        <w:tc>
          <w:tcPr>
            <w:tcW w:w="914" w:type="dxa"/>
            <w:tcBorders>
              <w:left w:val="none" w:sz="0" w:space="0" w:color="auto"/>
              <w:right w:val="none" w:sz="0" w:space="0" w:color="auto"/>
            </w:tcBorders>
          </w:tcPr>
          <w:p w14:paraId="40158A08" w14:textId="77463885" w:rsidR="00E6448D"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44" w:type="dxa"/>
            <w:tcBorders>
              <w:left w:val="none" w:sz="0" w:space="0" w:color="auto"/>
              <w:right w:val="none" w:sz="0" w:space="0" w:color="auto"/>
            </w:tcBorders>
          </w:tcPr>
          <w:p w14:paraId="155D24DC" w14:textId="6F0E25FC" w:rsidR="00E6448D"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-5.7%</w:t>
            </w:r>
          </w:p>
        </w:tc>
        <w:tc>
          <w:tcPr>
            <w:tcW w:w="944" w:type="dxa"/>
            <w:tcBorders>
              <w:left w:val="none" w:sz="0" w:space="0" w:color="auto"/>
              <w:right w:val="none" w:sz="0" w:space="0" w:color="auto"/>
            </w:tcBorders>
          </w:tcPr>
          <w:p w14:paraId="315BB821" w14:textId="016F5A2B" w:rsidR="00E6448D"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-6.0</w:t>
            </w:r>
            <w:r w:rsidRPr="00E43E81">
              <w:rPr>
                <w:rFonts w:ascii="Arial" w:hAnsi="Arial" w:cs="Arial"/>
                <w:color w:val="215868" w:themeColor="accent5" w:themeShade="80"/>
                <w:sz w:val="18"/>
              </w:rPr>
              <w:t>%</w:t>
            </w:r>
          </w:p>
        </w:tc>
        <w:tc>
          <w:tcPr>
            <w:tcW w:w="868" w:type="dxa"/>
            <w:tcBorders>
              <w:left w:val="none" w:sz="0" w:space="0" w:color="auto"/>
              <w:right w:val="none" w:sz="0" w:space="0" w:color="auto"/>
            </w:tcBorders>
          </w:tcPr>
          <w:p w14:paraId="286BF450" w14:textId="57376989" w:rsidR="00E6448D" w:rsidRDefault="00F700E5"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szCs w:val="18"/>
              </w:rPr>
              <w:t>1.7</w:t>
            </w:r>
            <w:r w:rsidR="00E6448D">
              <w:rPr>
                <w:rFonts w:ascii="Arial" w:hAnsi="Arial" w:cs="Arial"/>
                <w:color w:val="215868" w:themeColor="accent5" w:themeShade="80"/>
                <w:sz w:val="18"/>
                <w:szCs w:val="18"/>
              </w:rPr>
              <w:t>B</w:t>
            </w:r>
          </w:p>
        </w:tc>
        <w:tc>
          <w:tcPr>
            <w:tcW w:w="832" w:type="dxa"/>
            <w:tcBorders>
              <w:left w:val="none" w:sz="0" w:space="0" w:color="auto"/>
              <w:right w:val="none" w:sz="0" w:space="0" w:color="auto"/>
            </w:tcBorders>
          </w:tcPr>
          <w:p w14:paraId="26B3AA46" w14:textId="284BAB28" w:rsidR="00E6448D" w:rsidRPr="00E43E81"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5.8</w:t>
            </w:r>
            <w:r w:rsidRPr="00EF524A">
              <w:rPr>
                <w:rFonts w:ascii="Arial" w:hAnsi="Arial" w:cs="Arial"/>
                <w:bCs/>
                <w:color w:val="215868" w:themeColor="accent5" w:themeShade="80"/>
                <w:sz w:val="18"/>
                <w:szCs w:val="18"/>
              </w:rPr>
              <w:t>%</w:t>
            </w:r>
          </w:p>
        </w:tc>
        <w:tc>
          <w:tcPr>
            <w:tcW w:w="1069" w:type="dxa"/>
            <w:tcBorders>
              <w:left w:val="none" w:sz="0" w:space="0" w:color="auto"/>
              <w:right w:val="none" w:sz="0" w:space="0" w:color="auto"/>
            </w:tcBorders>
          </w:tcPr>
          <w:p w14:paraId="55980290" w14:textId="30353D73" w:rsidR="00E6448D" w:rsidRPr="00E43E81" w:rsidRDefault="00E6448D" w:rsidP="00E6448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F700E5">
              <w:rPr>
                <w:rFonts w:ascii="Arial" w:hAnsi="Arial" w:cs="Arial"/>
                <w:bCs/>
                <w:color w:val="215868" w:themeColor="accent5" w:themeShade="80"/>
                <w:sz w:val="18"/>
                <w:szCs w:val="18"/>
              </w:rPr>
              <w:t>0.6</w:t>
            </w:r>
            <w:r w:rsidRPr="00EF524A">
              <w:rPr>
                <w:rFonts w:ascii="Arial" w:hAnsi="Arial" w:cs="Arial"/>
                <w:bCs/>
                <w:color w:val="215868" w:themeColor="accent5" w:themeShade="80"/>
                <w:sz w:val="18"/>
                <w:szCs w:val="18"/>
              </w:rPr>
              <w:t>%</w:t>
            </w:r>
          </w:p>
        </w:tc>
      </w:tr>
    </w:tbl>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2E6BDC07"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680A72">
        <w:rPr>
          <w:rFonts w:ascii="Arial" w:hAnsi="Arial" w:cs="Arial"/>
          <w:b/>
          <w:color w:val="595959" w:themeColor="text1" w:themeTint="A6"/>
          <w:sz w:val="24"/>
          <w:szCs w:val="24"/>
        </w:rPr>
        <w:t>May</w:t>
      </w:r>
    </w:p>
    <w:p w14:paraId="0A2BF398" w14:textId="27E5C2B4" w:rsidR="00BB3051" w:rsidRDefault="00CB6454" w:rsidP="00CB6454">
      <w:pPr>
        <w:pStyle w:val="NoSpacing"/>
        <w:rPr>
          <w:rFonts w:ascii="Arial" w:hAnsi="Arial" w:cs="Arial"/>
          <w:sz w:val="20"/>
          <w:szCs w:val="20"/>
        </w:rPr>
      </w:pPr>
      <w:r>
        <w:rPr>
          <w:rFonts w:ascii="Arial" w:hAnsi="Arial" w:cs="Arial"/>
          <w:sz w:val="20"/>
          <w:szCs w:val="20"/>
        </w:rPr>
        <w:t>“</w:t>
      </w:r>
      <w:r w:rsidR="002839FE">
        <w:rPr>
          <w:rFonts w:ascii="Arial" w:hAnsi="Arial" w:cs="Arial"/>
          <w:sz w:val="20"/>
          <w:szCs w:val="20"/>
        </w:rPr>
        <w:t>In May 2022</w:t>
      </w:r>
      <w:r w:rsidR="00731950">
        <w:rPr>
          <w:rFonts w:ascii="Arial" w:hAnsi="Arial" w:cs="Arial"/>
          <w:sz w:val="20"/>
          <w:szCs w:val="20"/>
        </w:rPr>
        <w:t xml:space="preserve">, </w:t>
      </w:r>
      <w:r w:rsidR="002839FE">
        <w:rPr>
          <w:rFonts w:ascii="Arial" w:hAnsi="Arial" w:cs="Arial"/>
          <w:sz w:val="20"/>
          <w:szCs w:val="20"/>
        </w:rPr>
        <w:t>berries sales continued to be more than double that of the number two seller, melons,</w:t>
      </w:r>
      <w:r w:rsidRPr="00B35CE9">
        <w:rPr>
          <w:rFonts w:ascii="Arial" w:hAnsi="Arial" w:cs="Arial"/>
          <w:sz w:val="20"/>
          <w:szCs w:val="20"/>
        </w:rPr>
        <w:t>” said</w:t>
      </w:r>
      <w:r w:rsidR="00EB33CE">
        <w:rPr>
          <w:rFonts w:ascii="Arial" w:hAnsi="Arial" w:cs="Arial"/>
          <w:sz w:val="20"/>
          <w:szCs w:val="20"/>
        </w:rPr>
        <w:t xml:space="preserve"> Parker</w:t>
      </w:r>
      <w:r w:rsidRPr="00B35CE9">
        <w:rPr>
          <w:rFonts w:ascii="Arial" w:hAnsi="Arial" w:cs="Arial"/>
          <w:sz w:val="20"/>
          <w:szCs w:val="20"/>
        </w:rPr>
        <w:t>. “</w:t>
      </w:r>
      <w:r w:rsidR="00731950">
        <w:rPr>
          <w:rFonts w:ascii="Arial" w:hAnsi="Arial" w:cs="Arial"/>
          <w:sz w:val="20"/>
          <w:szCs w:val="20"/>
        </w:rPr>
        <w:t>Pineapples</w:t>
      </w:r>
      <w:r w:rsidR="002839FE">
        <w:rPr>
          <w:rFonts w:ascii="Arial" w:hAnsi="Arial" w:cs="Arial"/>
          <w:sz w:val="20"/>
          <w:szCs w:val="20"/>
        </w:rPr>
        <w:t xml:space="preserve"> dropped out of the top 10, and cherries made their inroads. Volume sales were a mix with increases for berries</w:t>
      </w:r>
      <w:r w:rsidR="009B4A81">
        <w:rPr>
          <w:rFonts w:ascii="Arial" w:hAnsi="Arial" w:cs="Arial"/>
          <w:sz w:val="20"/>
          <w:szCs w:val="20"/>
        </w:rPr>
        <w:t xml:space="preserve"> and </w:t>
      </w:r>
      <w:r w:rsidR="002839FE">
        <w:rPr>
          <w:rFonts w:ascii="Arial" w:hAnsi="Arial" w:cs="Arial"/>
          <w:sz w:val="20"/>
          <w:szCs w:val="20"/>
        </w:rPr>
        <w:t>grapes</w:t>
      </w:r>
      <w:r w:rsidR="009B4A81">
        <w:rPr>
          <w:rFonts w:ascii="Arial" w:hAnsi="Arial" w:cs="Arial"/>
          <w:sz w:val="20"/>
          <w:szCs w:val="20"/>
        </w:rPr>
        <w:t xml:space="preserve"> but down results for all other top 10 sellers</w:t>
      </w:r>
      <w:r w:rsidR="00F33BE2">
        <w:rPr>
          <w:rFonts w:ascii="Arial" w:hAnsi="Arial" w:cs="Arial"/>
          <w:sz w:val="20"/>
          <w:szCs w:val="20"/>
        </w:rPr>
        <w:t>.</w:t>
      </w:r>
      <w:r w:rsidR="00365D81">
        <w:rPr>
          <w:rFonts w:ascii="Arial" w:hAnsi="Arial" w:cs="Arial"/>
          <w:sz w:val="20"/>
          <w:szCs w:val="20"/>
        </w:rPr>
        <w:t>”</w:t>
      </w:r>
      <w:r w:rsidR="00BB3051">
        <w:rPr>
          <w:rFonts w:ascii="Arial" w:hAnsi="Arial" w:cs="Arial"/>
          <w:sz w:val="20"/>
          <w:szCs w:val="20"/>
        </w:rPr>
        <w:t xml:space="preserve"> </w:t>
      </w:r>
    </w:p>
    <w:p w14:paraId="114F402F" w14:textId="77777777" w:rsidR="005E2F61" w:rsidRDefault="005E2F61" w:rsidP="00CB6454">
      <w:pPr>
        <w:pStyle w:val="NoSpacing"/>
        <w:rPr>
          <w:rFonts w:ascii="Arial" w:hAnsi="Arial" w:cs="Arial"/>
          <w:sz w:val="20"/>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472"/>
        <w:gridCol w:w="786"/>
        <w:gridCol w:w="129"/>
        <w:gridCol w:w="792"/>
        <w:gridCol w:w="124"/>
        <w:gridCol w:w="916"/>
        <w:gridCol w:w="916"/>
        <w:gridCol w:w="916"/>
        <w:gridCol w:w="916"/>
        <w:gridCol w:w="916"/>
        <w:gridCol w:w="916"/>
        <w:gridCol w:w="916"/>
        <w:gridCol w:w="916"/>
      </w:tblGrid>
      <w:tr w:rsidR="00AF0D02" w:rsidRPr="0003007F" w14:paraId="3DFD75C2" w14:textId="77777777" w:rsidTr="0000248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58"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85E05F8" w14:textId="77777777" w:rsidR="00AF0D02" w:rsidRPr="00AB1306" w:rsidRDefault="00AF0D02"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92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68BD2C0" w14:textId="77777777" w:rsidR="00AF0D02" w:rsidRPr="00AB1306" w:rsidRDefault="00AF0D02"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452" w:type="dxa"/>
            <w:gridSpan w:val="9"/>
            <w:tcBorders>
              <w:top w:val="none" w:sz="0" w:space="0" w:color="auto"/>
              <w:left w:val="none" w:sz="0" w:space="0" w:color="auto"/>
              <w:bottom w:val="none" w:sz="0" w:space="0" w:color="auto"/>
              <w:right w:val="none" w:sz="0" w:space="0" w:color="auto"/>
            </w:tcBorders>
            <w:shd w:val="clear" w:color="auto" w:fill="17365D" w:themeFill="text2" w:themeFillShade="BF"/>
          </w:tcPr>
          <w:p w14:paraId="3A17CC18" w14:textId="2040871B" w:rsidR="00AF0D02" w:rsidRPr="0003007F" w:rsidRDefault="00AF0D02"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AF0D02" w:rsidRPr="0003007F" w14:paraId="74BF3700" w14:textId="77777777" w:rsidTr="0000248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17365D" w:themeFill="text2" w:themeFillShade="BF"/>
          </w:tcPr>
          <w:p w14:paraId="3F9B606E" w14:textId="77777777" w:rsidR="00AF0D02" w:rsidRPr="000F7932" w:rsidRDefault="00AF0D02" w:rsidP="00F103B9">
            <w:pPr>
              <w:pStyle w:val="NoSpacing"/>
              <w:rPr>
                <w:rFonts w:ascii="Arial" w:hAnsi="Arial" w:cs="Arial"/>
                <w:color w:val="FFFFFF" w:themeColor="background1"/>
                <w:sz w:val="18"/>
                <w:szCs w:val="18"/>
              </w:rPr>
            </w:pPr>
          </w:p>
        </w:tc>
        <w:tc>
          <w:tcPr>
            <w:tcW w:w="915" w:type="dxa"/>
            <w:gridSpan w:val="2"/>
            <w:tcBorders>
              <w:left w:val="none" w:sz="0" w:space="0" w:color="auto"/>
              <w:right w:val="none" w:sz="0" w:space="0" w:color="auto"/>
            </w:tcBorders>
            <w:shd w:val="clear" w:color="auto" w:fill="17365D" w:themeFill="text2" w:themeFillShade="BF"/>
            <w:vAlign w:val="bottom"/>
          </w:tcPr>
          <w:p w14:paraId="46CF2457" w14:textId="77777777" w:rsidR="00AF0D02" w:rsidRPr="000F7932" w:rsidRDefault="00AF0D02"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6" w:type="dxa"/>
            <w:gridSpan w:val="2"/>
            <w:tcBorders>
              <w:left w:val="none" w:sz="0" w:space="0" w:color="auto"/>
              <w:right w:val="none" w:sz="0" w:space="0" w:color="auto"/>
            </w:tcBorders>
            <w:shd w:val="clear" w:color="auto" w:fill="17365D" w:themeFill="text2" w:themeFillShade="BF"/>
            <w:vAlign w:val="bottom"/>
          </w:tcPr>
          <w:p w14:paraId="13B20948" w14:textId="77777777" w:rsidR="00AF0D02" w:rsidRPr="000F7932" w:rsidRDefault="00AF0D02"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916" w:type="dxa"/>
            <w:tcBorders>
              <w:left w:val="none" w:sz="0" w:space="0" w:color="auto"/>
              <w:right w:val="none" w:sz="0" w:space="0" w:color="auto"/>
            </w:tcBorders>
            <w:shd w:val="clear" w:color="auto" w:fill="17365D" w:themeFill="text2" w:themeFillShade="BF"/>
            <w:vAlign w:val="bottom"/>
          </w:tcPr>
          <w:p w14:paraId="301AC34F" w14:textId="08B3D72B" w:rsidR="00AF0D02" w:rsidRPr="000F793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916" w:type="dxa"/>
            <w:tcBorders>
              <w:left w:val="none" w:sz="0" w:space="0" w:color="auto"/>
              <w:right w:val="none" w:sz="0" w:space="0" w:color="auto"/>
            </w:tcBorders>
            <w:shd w:val="clear" w:color="auto" w:fill="17365D" w:themeFill="text2" w:themeFillShade="BF"/>
            <w:vAlign w:val="bottom"/>
          </w:tcPr>
          <w:p w14:paraId="0DC3715D" w14:textId="76524617" w:rsidR="00AF0D02" w:rsidRPr="000F793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916" w:type="dxa"/>
            <w:tcBorders>
              <w:left w:val="none" w:sz="0" w:space="0" w:color="auto"/>
              <w:right w:val="none" w:sz="0" w:space="0" w:color="auto"/>
            </w:tcBorders>
            <w:shd w:val="clear" w:color="auto" w:fill="17365D" w:themeFill="text2" w:themeFillShade="BF"/>
            <w:vAlign w:val="bottom"/>
          </w:tcPr>
          <w:p w14:paraId="1DE0B116" w14:textId="4D57C668" w:rsidR="00AF0D0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6" w:type="dxa"/>
            <w:tcBorders>
              <w:left w:val="none" w:sz="0" w:space="0" w:color="auto"/>
              <w:right w:val="none" w:sz="0" w:space="0" w:color="auto"/>
            </w:tcBorders>
            <w:shd w:val="clear" w:color="auto" w:fill="17365D" w:themeFill="text2" w:themeFillShade="BF"/>
            <w:vAlign w:val="bottom"/>
          </w:tcPr>
          <w:p w14:paraId="4FF66A97" w14:textId="27B4D369" w:rsidR="00AF0D0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w:t>
            </w:r>
            <w:r w:rsidR="00FB3F66">
              <w:rPr>
                <w:rFonts w:ascii="Arial" w:hAnsi="Arial" w:cs="Arial"/>
                <w:b/>
                <w:color w:val="FFFFFF" w:themeColor="background1"/>
                <w:sz w:val="18"/>
                <w:szCs w:val="18"/>
              </w:rPr>
              <w:t xml:space="preserve"> </w:t>
            </w:r>
            <w:r>
              <w:rPr>
                <w:rFonts w:ascii="Arial" w:hAnsi="Arial" w:cs="Arial"/>
                <w:b/>
                <w:color w:val="FFFFFF" w:themeColor="background1"/>
                <w:sz w:val="18"/>
                <w:szCs w:val="18"/>
              </w:rPr>
              <w:t>21</w:t>
            </w:r>
          </w:p>
        </w:tc>
        <w:tc>
          <w:tcPr>
            <w:tcW w:w="916" w:type="dxa"/>
            <w:tcBorders>
              <w:left w:val="none" w:sz="0" w:space="0" w:color="auto"/>
              <w:right w:val="none" w:sz="0" w:space="0" w:color="auto"/>
            </w:tcBorders>
            <w:shd w:val="clear" w:color="auto" w:fill="17365D" w:themeFill="text2" w:themeFillShade="BF"/>
          </w:tcPr>
          <w:p w14:paraId="049C0CDE" w14:textId="77777777" w:rsidR="00AF0D0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147A02D7" w14:textId="5F1F3125" w:rsidR="00AF0D02" w:rsidRDefault="00991296"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w:t>
            </w:r>
            <w:r w:rsidR="00AF0D02">
              <w:rPr>
                <w:rFonts w:ascii="Arial" w:hAnsi="Arial" w:cs="Arial"/>
                <w:b/>
                <w:color w:val="FFFFFF" w:themeColor="background1"/>
                <w:sz w:val="18"/>
                <w:szCs w:val="18"/>
              </w:rPr>
              <w:t xml:space="preserve"> 22</w:t>
            </w:r>
          </w:p>
        </w:tc>
        <w:tc>
          <w:tcPr>
            <w:tcW w:w="916" w:type="dxa"/>
            <w:tcBorders>
              <w:left w:val="none" w:sz="0" w:space="0" w:color="auto"/>
              <w:right w:val="none" w:sz="0" w:space="0" w:color="auto"/>
            </w:tcBorders>
            <w:shd w:val="clear" w:color="auto" w:fill="17365D" w:themeFill="text2" w:themeFillShade="BF"/>
            <w:vAlign w:val="bottom"/>
          </w:tcPr>
          <w:p w14:paraId="3B63F547" w14:textId="4AAD35A7" w:rsidR="00AF0D02" w:rsidRPr="000F7932" w:rsidRDefault="00FB3F66"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May</w:t>
            </w:r>
            <w:r w:rsidR="00AF0D02">
              <w:rPr>
                <w:rFonts w:ascii="Arial" w:hAnsi="Arial" w:cs="Arial"/>
                <w:b/>
                <w:color w:val="FFFFFF" w:themeColor="background1"/>
                <w:sz w:val="18"/>
                <w:szCs w:val="18"/>
              </w:rPr>
              <w:t xml:space="preserve"> 22</w:t>
            </w:r>
          </w:p>
        </w:tc>
        <w:tc>
          <w:tcPr>
            <w:tcW w:w="916" w:type="dxa"/>
            <w:tcBorders>
              <w:left w:val="none" w:sz="0" w:space="0" w:color="auto"/>
              <w:right w:val="none" w:sz="0" w:space="0" w:color="auto"/>
            </w:tcBorders>
            <w:shd w:val="clear" w:color="auto" w:fill="17365D" w:themeFill="text2" w:themeFillShade="BF"/>
            <w:vAlign w:val="bottom"/>
          </w:tcPr>
          <w:p w14:paraId="04C57725" w14:textId="5C847B3A"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916" w:type="dxa"/>
            <w:tcBorders>
              <w:left w:val="none" w:sz="0" w:space="0" w:color="auto"/>
              <w:right w:val="none" w:sz="0" w:space="0" w:color="auto"/>
            </w:tcBorders>
            <w:shd w:val="clear" w:color="auto" w:fill="17365D" w:themeFill="text2" w:themeFillShade="BF"/>
            <w:vAlign w:val="bottom"/>
          </w:tcPr>
          <w:p w14:paraId="26786B75" w14:textId="46025FBA"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9B4A81" w:rsidRPr="00091E61" w14:paraId="0CA2F74A" w14:textId="77777777" w:rsidTr="009B4A81">
        <w:trPr>
          <w:trHeight w:val="298"/>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66ADF07C" w14:textId="77777777" w:rsidR="009B4A81" w:rsidRPr="00091E61" w:rsidRDefault="009B4A81" w:rsidP="009B4A81">
            <w:pPr>
              <w:pStyle w:val="NoSpacing"/>
              <w:jc w:val="right"/>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915" w:type="dxa"/>
            <w:gridSpan w:val="2"/>
            <w:vAlign w:val="center"/>
          </w:tcPr>
          <w:p w14:paraId="39EFBE0F" w14:textId="79A27A34"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916" w:type="dxa"/>
            <w:gridSpan w:val="2"/>
            <w:vAlign w:val="center"/>
          </w:tcPr>
          <w:p w14:paraId="3D5B0656" w14:textId="639FCB0F"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+8.7</w:t>
            </w:r>
            <w:r w:rsidRPr="00091E61">
              <w:rPr>
                <w:rFonts w:ascii="Arial" w:hAnsi="Arial" w:cs="Arial"/>
                <w:b/>
                <w:bCs/>
                <w:color w:val="17365D" w:themeColor="text2" w:themeShade="BF"/>
                <w:sz w:val="18"/>
                <w:szCs w:val="18"/>
              </w:rPr>
              <w:t>%</w:t>
            </w:r>
          </w:p>
        </w:tc>
        <w:tc>
          <w:tcPr>
            <w:tcW w:w="916" w:type="dxa"/>
            <w:vAlign w:val="center"/>
          </w:tcPr>
          <w:p w14:paraId="680EF69E" w14:textId="6178A30E"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+5.1</w:t>
            </w:r>
            <w:r w:rsidRPr="00091E61">
              <w:rPr>
                <w:rFonts w:ascii="Arial" w:hAnsi="Arial" w:cs="Arial"/>
                <w:b/>
                <w:bCs/>
                <w:color w:val="17365D" w:themeColor="text2" w:themeShade="BF"/>
                <w:sz w:val="18"/>
                <w:szCs w:val="18"/>
              </w:rPr>
              <w:t>%</w:t>
            </w:r>
          </w:p>
        </w:tc>
        <w:tc>
          <w:tcPr>
            <w:tcW w:w="916" w:type="dxa"/>
            <w:vAlign w:val="center"/>
          </w:tcPr>
          <w:p w14:paraId="21180263" w14:textId="2CD779D7"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+4.5</w:t>
            </w:r>
            <w:r w:rsidRPr="00091E61">
              <w:rPr>
                <w:rFonts w:ascii="Arial" w:hAnsi="Arial" w:cs="Arial"/>
                <w:b/>
                <w:bCs/>
                <w:color w:val="17365D" w:themeColor="text2" w:themeShade="BF"/>
                <w:sz w:val="18"/>
                <w:szCs w:val="18"/>
              </w:rPr>
              <w:t>%</w:t>
            </w:r>
          </w:p>
        </w:tc>
        <w:tc>
          <w:tcPr>
            <w:tcW w:w="916" w:type="dxa"/>
            <w:vAlign w:val="center"/>
          </w:tcPr>
          <w:p w14:paraId="31205487" w14:textId="3715B793"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r>
              <w:rPr>
                <w:rFonts w:ascii="Arial" w:hAnsi="Arial" w:cs="Arial"/>
                <w:b/>
                <w:bCs/>
                <w:color w:val="17365D" w:themeColor="text2" w:themeShade="BF"/>
                <w:sz w:val="18"/>
                <w:szCs w:val="18"/>
              </w:rPr>
              <w:t>.2</w:t>
            </w:r>
            <w:r w:rsidRPr="00091E61">
              <w:rPr>
                <w:rFonts w:ascii="Arial" w:hAnsi="Arial" w:cs="Arial"/>
                <w:b/>
                <w:bCs/>
                <w:color w:val="17365D" w:themeColor="text2" w:themeShade="BF"/>
                <w:sz w:val="18"/>
                <w:szCs w:val="18"/>
              </w:rPr>
              <w:t>%</w:t>
            </w:r>
          </w:p>
        </w:tc>
        <w:tc>
          <w:tcPr>
            <w:tcW w:w="916" w:type="dxa"/>
            <w:vAlign w:val="center"/>
          </w:tcPr>
          <w:p w14:paraId="40577A3D" w14:textId="764C7CD0"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+10.</w:t>
            </w:r>
            <w:r>
              <w:rPr>
                <w:rFonts w:ascii="Arial" w:hAnsi="Arial" w:cs="Arial"/>
                <w:b/>
                <w:bCs/>
                <w:color w:val="17365D" w:themeColor="text2" w:themeShade="BF"/>
                <w:sz w:val="18"/>
                <w:szCs w:val="18"/>
              </w:rPr>
              <w:t>9</w:t>
            </w:r>
            <w:r w:rsidRPr="00091E61">
              <w:rPr>
                <w:rFonts w:ascii="Arial" w:hAnsi="Arial" w:cs="Arial"/>
                <w:b/>
                <w:bCs/>
                <w:color w:val="17365D" w:themeColor="text2" w:themeShade="BF"/>
                <w:sz w:val="18"/>
                <w:szCs w:val="18"/>
              </w:rPr>
              <w:t>%</w:t>
            </w:r>
          </w:p>
        </w:tc>
        <w:tc>
          <w:tcPr>
            <w:tcW w:w="916" w:type="dxa"/>
            <w:vAlign w:val="center"/>
          </w:tcPr>
          <w:p w14:paraId="4976E3FE" w14:textId="590242C0"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Pr>
                <w:rFonts w:ascii="Arial" w:hAnsi="Arial" w:cs="Arial"/>
                <w:b/>
                <w:bCs/>
                <w:color w:val="17365D" w:themeColor="text2" w:themeShade="BF"/>
                <w:sz w:val="18"/>
                <w:szCs w:val="18"/>
              </w:rPr>
              <w:t>10.2</w:t>
            </w:r>
            <w:r w:rsidRPr="00091E61">
              <w:rPr>
                <w:rFonts w:ascii="Arial" w:hAnsi="Arial" w:cs="Arial"/>
                <w:b/>
                <w:bCs/>
                <w:color w:val="17365D" w:themeColor="text2" w:themeShade="BF"/>
                <w:sz w:val="18"/>
                <w:szCs w:val="18"/>
              </w:rPr>
              <w:t>%</w:t>
            </w:r>
          </w:p>
        </w:tc>
        <w:tc>
          <w:tcPr>
            <w:tcW w:w="916" w:type="dxa"/>
            <w:vAlign w:val="center"/>
          </w:tcPr>
          <w:p w14:paraId="76F93CAA" w14:textId="7393A51D"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$3.8</w:t>
            </w:r>
            <w:r w:rsidRPr="00091E61">
              <w:rPr>
                <w:rFonts w:ascii="Arial" w:hAnsi="Arial" w:cs="Arial"/>
                <w:b/>
                <w:bCs/>
                <w:color w:val="17365D" w:themeColor="text2" w:themeShade="BF"/>
                <w:sz w:val="18"/>
                <w:szCs w:val="18"/>
              </w:rPr>
              <w:t>B</w:t>
            </w:r>
          </w:p>
        </w:tc>
        <w:tc>
          <w:tcPr>
            <w:tcW w:w="916" w:type="dxa"/>
            <w:vAlign w:val="center"/>
          </w:tcPr>
          <w:p w14:paraId="52994309" w14:textId="7BCBC88F" w:rsidR="009B4A81" w:rsidRPr="00A052A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18"/>
                <w:szCs w:val="18"/>
              </w:rPr>
            </w:pPr>
            <w:r w:rsidRPr="00A052A1">
              <w:rPr>
                <w:rFonts w:ascii="Arial" w:hAnsi="Arial" w:cs="Arial"/>
                <w:b/>
                <w:color w:val="17365D" w:themeColor="text2" w:themeShade="BF"/>
                <w:sz w:val="18"/>
                <w:szCs w:val="18"/>
              </w:rPr>
              <w:t>+</w:t>
            </w:r>
            <w:r>
              <w:rPr>
                <w:rFonts w:ascii="Arial" w:hAnsi="Arial" w:cs="Arial"/>
                <w:b/>
                <w:color w:val="17365D" w:themeColor="text2" w:themeShade="BF"/>
                <w:sz w:val="18"/>
                <w:szCs w:val="18"/>
              </w:rPr>
              <w:t>3.9</w:t>
            </w:r>
            <w:r w:rsidRPr="00A052A1">
              <w:rPr>
                <w:rFonts w:ascii="Arial" w:hAnsi="Arial" w:cs="Arial"/>
                <w:b/>
                <w:color w:val="17365D" w:themeColor="text2" w:themeShade="BF"/>
                <w:sz w:val="18"/>
                <w:szCs w:val="18"/>
              </w:rPr>
              <w:t>%</w:t>
            </w:r>
          </w:p>
        </w:tc>
        <w:tc>
          <w:tcPr>
            <w:tcW w:w="916" w:type="dxa"/>
            <w:vAlign w:val="center"/>
          </w:tcPr>
          <w:p w14:paraId="5CADA515" w14:textId="3C71A5A9" w:rsidR="009B4A81" w:rsidRPr="009B4A8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9B4A81">
              <w:rPr>
                <w:rFonts w:ascii="Arial" w:hAnsi="Arial" w:cs="Arial"/>
                <w:b/>
                <w:bCs/>
                <w:color w:val="215868" w:themeColor="accent5" w:themeShade="80"/>
                <w:sz w:val="18"/>
                <w:szCs w:val="18"/>
              </w:rPr>
              <w:t>-5.9%</w:t>
            </w:r>
          </w:p>
        </w:tc>
      </w:tr>
      <w:tr w:rsidR="009B4A81" w:rsidRPr="00E407FC" w14:paraId="5BEE13FC" w14:textId="77777777" w:rsidTr="009B4A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tcBorders>
              <w:left w:val="none" w:sz="0" w:space="0" w:color="auto"/>
              <w:right w:val="none" w:sz="0" w:space="0" w:color="auto"/>
            </w:tcBorders>
            <w:vAlign w:val="center"/>
          </w:tcPr>
          <w:p w14:paraId="62F5917F"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915" w:type="dxa"/>
            <w:gridSpan w:val="2"/>
            <w:tcBorders>
              <w:left w:val="none" w:sz="0" w:space="0" w:color="auto"/>
              <w:right w:val="none" w:sz="0" w:space="0" w:color="auto"/>
            </w:tcBorders>
            <w:vAlign w:val="center"/>
          </w:tcPr>
          <w:p w14:paraId="01DB9726" w14:textId="56BD2298" w:rsidR="009B4A81" w:rsidRPr="00091E6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+4.4</w:t>
            </w:r>
            <w:r w:rsidRPr="00091E61">
              <w:rPr>
                <w:rFonts w:ascii="Arial" w:hAnsi="Arial" w:cs="Arial"/>
                <w:color w:val="17365D" w:themeColor="text2" w:themeShade="BF"/>
                <w:sz w:val="18"/>
                <w:szCs w:val="18"/>
              </w:rPr>
              <w:t>%</w:t>
            </w:r>
          </w:p>
        </w:tc>
        <w:tc>
          <w:tcPr>
            <w:tcW w:w="916" w:type="dxa"/>
            <w:gridSpan w:val="2"/>
            <w:tcBorders>
              <w:left w:val="none" w:sz="0" w:space="0" w:color="auto"/>
              <w:right w:val="none" w:sz="0" w:space="0" w:color="auto"/>
            </w:tcBorders>
            <w:vAlign w:val="center"/>
          </w:tcPr>
          <w:p w14:paraId="60423065" w14:textId="60466D34"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6647773F" w14:textId="5F9ECFE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+10.9</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5EB69396" w14:textId="308C31B0"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1D48CA52" w14:textId="11267B6E"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0C8663B0" w14:textId="6F63B899"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+16.</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5BEAEAD4" w14:textId="01B29678"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14.7</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1AAB1DBF" w14:textId="23952EE6"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969</w:t>
            </w:r>
            <w:r w:rsidRPr="00E407FC">
              <w:rPr>
                <w:rFonts w:ascii="Arial" w:hAnsi="Arial" w:cs="Arial"/>
                <w:bCs/>
                <w:color w:val="17365D" w:themeColor="text2" w:themeShade="BF"/>
                <w:sz w:val="18"/>
                <w:szCs w:val="18"/>
              </w:rPr>
              <w:t>M</w:t>
            </w:r>
          </w:p>
        </w:tc>
        <w:tc>
          <w:tcPr>
            <w:tcW w:w="916" w:type="dxa"/>
            <w:tcBorders>
              <w:left w:val="none" w:sz="0" w:space="0" w:color="auto"/>
              <w:right w:val="none" w:sz="0" w:space="0" w:color="auto"/>
            </w:tcBorders>
            <w:vAlign w:val="center"/>
          </w:tcPr>
          <w:p w14:paraId="31A0F4D1" w14:textId="124A188B"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0.9</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06DCB3E5" w14:textId="16D02669" w:rsidR="009B4A81" w:rsidRPr="009B4A8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Pr="009B4A81">
              <w:rPr>
                <w:rFonts w:ascii="Arial" w:hAnsi="Arial" w:cs="Arial"/>
                <w:color w:val="215868" w:themeColor="accent5" w:themeShade="80"/>
                <w:sz w:val="18"/>
                <w:szCs w:val="18"/>
              </w:rPr>
              <w:t>2.4%</w:t>
            </w:r>
          </w:p>
        </w:tc>
      </w:tr>
      <w:tr w:rsidR="009B4A81" w:rsidRPr="00E407FC" w14:paraId="5E0FA04D" w14:textId="77777777" w:rsidTr="009B4A81">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0450ED95"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Melons</w:t>
            </w:r>
          </w:p>
        </w:tc>
        <w:tc>
          <w:tcPr>
            <w:tcW w:w="915" w:type="dxa"/>
            <w:gridSpan w:val="2"/>
            <w:vAlign w:val="center"/>
          </w:tcPr>
          <w:p w14:paraId="2FB712D2" w14:textId="77777777"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916" w:type="dxa"/>
            <w:gridSpan w:val="2"/>
            <w:vAlign w:val="center"/>
          </w:tcPr>
          <w:p w14:paraId="1D59C3C7"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+9.5</w:t>
            </w:r>
            <w:r w:rsidRPr="00E407FC">
              <w:rPr>
                <w:rFonts w:ascii="Arial" w:hAnsi="Arial" w:cs="Arial"/>
                <w:color w:val="17365D" w:themeColor="text2" w:themeShade="BF"/>
                <w:sz w:val="18"/>
                <w:szCs w:val="18"/>
              </w:rPr>
              <w:t>%</w:t>
            </w:r>
          </w:p>
        </w:tc>
        <w:tc>
          <w:tcPr>
            <w:tcW w:w="916" w:type="dxa"/>
            <w:vAlign w:val="center"/>
          </w:tcPr>
          <w:p w14:paraId="17B879B2"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916" w:type="dxa"/>
            <w:vAlign w:val="center"/>
          </w:tcPr>
          <w:p w14:paraId="1B215152"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+14.1</w:t>
            </w:r>
            <w:r w:rsidRPr="00E407FC">
              <w:rPr>
                <w:rFonts w:ascii="Arial" w:hAnsi="Arial" w:cs="Arial"/>
                <w:color w:val="17365D" w:themeColor="text2" w:themeShade="BF"/>
                <w:sz w:val="18"/>
                <w:szCs w:val="18"/>
              </w:rPr>
              <w:t>%</w:t>
            </w:r>
          </w:p>
        </w:tc>
        <w:tc>
          <w:tcPr>
            <w:tcW w:w="916" w:type="dxa"/>
            <w:vAlign w:val="center"/>
          </w:tcPr>
          <w:p w14:paraId="68397E58"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+5.8</w:t>
            </w:r>
            <w:r w:rsidRPr="00E407FC">
              <w:rPr>
                <w:rFonts w:ascii="Arial" w:hAnsi="Arial" w:cs="Arial"/>
                <w:color w:val="17365D" w:themeColor="text2" w:themeShade="BF"/>
                <w:sz w:val="18"/>
                <w:szCs w:val="18"/>
              </w:rPr>
              <w:t>%</w:t>
            </w:r>
          </w:p>
        </w:tc>
        <w:tc>
          <w:tcPr>
            <w:tcW w:w="916" w:type="dxa"/>
            <w:vAlign w:val="center"/>
          </w:tcPr>
          <w:p w14:paraId="00B0E1B8"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+23.</w:t>
            </w:r>
            <w:r>
              <w:rPr>
                <w:rFonts w:ascii="Arial" w:hAnsi="Arial" w:cs="Arial"/>
                <w:bCs/>
                <w:color w:val="17365D" w:themeColor="text2" w:themeShade="BF"/>
                <w:sz w:val="18"/>
                <w:szCs w:val="18"/>
              </w:rPr>
              <w:t>2</w:t>
            </w:r>
            <w:r w:rsidRPr="00E407FC">
              <w:rPr>
                <w:rFonts w:ascii="Arial" w:hAnsi="Arial" w:cs="Arial"/>
                <w:bCs/>
                <w:color w:val="17365D" w:themeColor="text2" w:themeShade="BF"/>
                <w:sz w:val="18"/>
                <w:szCs w:val="18"/>
              </w:rPr>
              <w:t>%</w:t>
            </w:r>
          </w:p>
        </w:tc>
        <w:tc>
          <w:tcPr>
            <w:tcW w:w="916" w:type="dxa"/>
          </w:tcPr>
          <w:p w14:paraId="1CD00AF7"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27.7</w:t>
            </w:r>
            <w:r w:rsidRPr="00C7349C">
              <w:rPr>
                <w:rFonts w:ascii="Arial" w:hAnsi="Arial" w:cs="Arial"/>
                <w:bCs/>
                <w:color w:val="17365D" w:themeColor="text2" w:themeShade="BF"/>
                <w:sz w:val="18"/>
                <w:szCs w:val="18"/>
              </w:rPr>
              <w:t>%</w:t>
            </w:r>
          </w:p>
        </w:tc>
        <w:tc>
          <w:tcPr>
            <w:tcW w:w="916" w:type="dxa"/>
            <w:vAlign w:val="center"/>
          </w:tcPr>
          <w:p w14:paraId="74416545" w14:textId="61561E4D"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415</w:t>
            </w:r>
            <w:r w:rsidRPr="00E407FC">
              <w:rPr>
                <w:rFonts w:ascii="Arial" w:hAnsi="Arial" w:cs="Arial"/>
                <w:bCs/>
                <w:color w:val="17365D" w:themeColor="text2" w:themeShade="BF"/>
                <w:sz w:val="18"/>
                <w:szCs w:val="18"/>
              </w:rPr>
              <w:t>M</w:t>
            </w:r>
          </w:p>
        </w:tc>
        <w:tc>
          <w:tcPr>
            <w:tcW w:w="916" w:type="dxa"/>
            <w:vAlign w:val="center"/>
          </w:tcPr>
          <w:p w14:paraId="0BD6EE9C" w14:textId="40394892" w:rsidR="009B4A81" w:rsidRDefault="009B4A81" w:rsidP="009B4A81">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4.5</w:t>
            </w:r>
            <w:r w:rsidRPr="00E407FC">
              <w:rPr>
                <w:rFonts w:ascii="Arial" w:hAnsi="Arial" w:cs="Arial"/>
                <w:bCs/>
                <w:color w:val="17365D" w:themeColor="text2" w:themeShade="BF"/>
                <w:sz w:val="18"/>
                <w:szCs w:val="18"/>
              </w:rPr>
              <w:t>%</w:t>
            </w:r>
          </w:p>
        </w:tc>
        <w:tc>
          <w:tcPr>
            <w:tcW w:w="916" w:type="dxa"/>
            <w:vAlign w:val="center"/>
          </w:tcPr>
          <w:p w14:paraId="4F8C8D25" w14:textId="7A7BCA08" w:rsidR="009B4A81" w:rsidRPr="009B4A8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-9.5%</w:t>
            </w:r>
          </w:p>
        </w:tc>
      </w:tr>
      <w:tr w:rsidR="009B4A81" w:rsidRPr="00E407FC" w14:paraId="16006628" w14:textId="77777777" w:rsidTr="009B4A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57818270"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Apples</w:t>
            </w:r>
          </w:p>
        </w:tc>
        <w:tc>
          <w:tcPr>
            <w:tcW w:w="915" w:type="dxa"/>
            <w:gridSpan w:val="2"/>
            <w:vAlign w:val="center"/>
          </w:tcPr>
          <w:p w14:paraId="1E75DF00" w14:textId="5FDD376F" w:rsidR="009B4A81" w:rsidRPr="00091E6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+0.0</w:t>
            </w:r>
            <w:r w:rsidRPr="00091E61">
              <w:rPr>
                <w:rFonts w:ascii="Arial" w:hAnsi="Arial" w:cs="Arial"/>
                <w:color w:val="17365D" w:themeColor="text2" w:themeShade="BF"/>
                <w:sz w:val="18"/>
                <w:szCs w:val="18"/>
              </w:rPr>
              <w:t>%</w:t>
            </w:r>
          </w:p>
        </w:tc>
        <w:tc>
          <w:tcPr>
            <w:tcW w:w="916" w:type="dxa"/>
            <w:gridSpan w:val="2"/>
            <w:vAlign w:val="center"/>
          </w:tcPr>
          <w:p w14:paraId="2AF8D473" w14:textId="0867F618"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916" w:type="dxa"/>
            <w:vAlign w:val="center"/>
          </w:tcPr>
          <w:p w14:paraId="26FB0443" w14:textId="49782033"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916" w:type="dxa"/>
            <w:vAlign w:val="center"/>
          </w:tcPr>
          <w:p w14:paraId="06DF58EF" w14:textId="1438F8E5"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r w:rsidRPr="00E407FC">
              <w:rPr>
                <w:rFonts w:ascii="Arial" w:hAnsi="Arial" w:cs="Arial"/>
                <w:color w:val="17365D" w:themeColor="text2" w:themeShade="BF"/>
                <w:sz w:val="18"/>
                <w:szCs w:val="18"/>
              </w:rPr>
              <w:t>%</w:t>
            </w:r>
          </w:p>
        </w:tc>
        <w:tc>
          <w:tcPr>
            <w:tcW w:w="916" w:type="dxa"/>
            <w:vAlign w:val="center"/>
          </w:tcPr>
          <w:p w14:paraId="41636D17" w14:textId="12FA8D32"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+8.9</w:t>
            </w:r>
            <w:r w:rsidRPr="00E407FC">
              <w:rPr>
                <w:rFonts w:ascii="Arial" w:hAnsi="Arial" w:cs="Arial"/>
                <w:color w:val="17365D" w:themeColor="text2" w:themeShade="BF"/>
                <w:sz w:val="18"/>
                <w:szCs w:val="18"/>
              </w:rPr>
              <w:t>%</w:t>
            </w:r>
          </w:p>
        </w:tc>
        <w:tc>
          <w:tcPr>
            <w:tcW w:w="916" w:type="dxa"/>
            <w:vAlign w:val="center"/>
          </w:tcPr>
          <w:p w14:paraId="1E5CE1E6" w14:textId="02F7D9BF"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+7.</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Pr>
          <w:p w14:paraId="4A0AC33B" w14:textId="1FFDA15D"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7.8</w:t>
            </w:r>
            <w:r w:rsidRPr="00C7349C">
              <w:rPr>
                <w:rFonts w:ascii="Arial" w:hAnsi="Arial" w:cs="Arial"/>
                <w:bCs/>
                <w:color w:val="17365D" w:themeColor="text2" w:themeShade="BF"/>
                <w:sz w:val="18"/>
                <w:szCs w:val="18"/>
              </w:rPr>
              <w:t>%</w:t>
            </w:r>
          </w:p>
        </w:tc>
        <w:tc>
          <w:tcPr>
            <w:tcW w:w="916" w:type="dxa"/>
            <w:vAlign w:val="center"/>
          </w:tcPr>
          <w:p w14:paraId="6C530686" w14:textId="09EE0ED9"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409</w:t>
            </w:r>
            <w:r w:rsidRPr="00E407FC">
              <w:rPr>
                <w:rFonts w:ascii="Arial" w:hAnsi="Arial" w:cs="Arial"/>
                <w:bCs/>
                <w:color w:val="17365D" w:themeColor="text2" w:themeShade="BF"/>
                <w:sz w:val="18"/>
                <w:szCs w:val="18"/>
              </w:rPr>
              <w:t>M</w:t>
            </w:r>
          </w:p>
        </w:tc>
        <w:tc>
          <w:tcPr>
            <w:tcW w:w="916" w:type="dxa"/>
            <w:vAlign w:val="center"/>
          </w:tcPr>
          <w:p w14:paraId="482E37F1" w14:textId="3F60447F" w:rsidR="009B4A81" w:rsidRDefault="009B4A81" w:rsidP="009B4A81">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6.2</w:t>
            </w:r>
            <w:r w:rsidRPr="00E407FC">
              <w:rPr>
                <w:rFonts w:ascii="Arial" w:hAnsi="Arial" w:cs="Arial"/>
                <w:bCs/>
                <w:color w:val="17365D" w:themeColor="text2" w:themeShade="BF"/>
                <w:sz w:val="18"/>
                <w:szCs w:val="18"/>
              </w:rPr>
              <w:t>%</w:t>
            </w:r>
          </w:p>
        </w:tc>
        <w:tc>
          <w:tcPr>
            <w:tcW w:w="916" w:type="dxa"/>
            <w:vAlign w:val="center"/>
          </w:tcPr>
          <w:p w14:paraId="3024FCBB" w14:textId="4ECBF42E" w:rsidR="009B4A81" w:rsidRPr="009B4A8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-3.1%</w:t>
            </w:r>
          </w:p>
        </w:tc>
      </w:tr>
      <w:tr w:rsidR="009B4A81" w:rsidRPr="00E407FC" w14:paraId="3D106DB7" w14:textId="77777777" w:rsidTr="009B4A81">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4B2F5E67"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Bananas</w:t>
            </w:r>
          </w:p>
        </w:tc>
        <w:tc>
          <w:tcPr>
            <w:tcW w:w="915" w:type="dxa"/>
            <w:gridSpan w:val="2"/>
            <w:vAlign w:val="center"/>
          </w:tcPr>
          <w:p w14:paraId="73456118" w14:textId="77777777"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r w:rsidRPr="00091E61">
              <w:rPr>
                <w:rFonts w:ascii="Arial" w:hAnsi="Arial" w:cs="Arial"/>
                <w:color w:val="17365D" w:themeColor="text2" w:themeShade="BF"/>
                <w:sz w:val="18"/>
                <w:szCs w:val="18"/>
              </w:rPr>
              <w:t>%</w:t>
            </w:r>
          </w:p>
        </w:tc>
        <w:tc>
          <w:tcPr>
            <w:tcW w:w="916" w:type="dxa"/>
            <w:gridSpan w:val="2"/>
            <w:vAlign w:val="center"/>
          </w:tcPr>
          <w:p w14:paraId="47AAC117"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+3.6</w:t>
            </w:r>
            <w:r w:rsidRPr="00E407FC">
              <w:rPr>
                <w:rFonts w:ascii="Arial" w:hAnsi="Arial" w:cs="Arial"/>
                <w:color w:val="17365D" w:themeColor="text2" w:themeShade="BF"/>
                <w:sz w:val="18"/>
                <w:szCs w:val="18"/>
              </w:rPr>
              <w:t>%</w:t>
            </w:r>
          </w:p>
        </w:tc>
        <w:tc>
          <w:tcPr>
            <w:tcW w:w="916" w:type="dxa"/>
            <w:vAlign w:val="center"/>
          </w:tcPr>
          <w:p w14:paraId="7CBE746E"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0.6</w:t>
            </w:r>
            <w:r w:rsidRPr="00E407FC">
              <w:rPr>
                <w:rFonts w:ascii="Arial" w:hAnsi="Arial" w:cs="Arial"/>
                <w:color w:val="17365D" w:themeColor="text2" w:themeShade="BF"/>
                <w:sz w:val="18"/>
                <w:szCs w:val="18"/>
              </w:rPr>
              <w:t>%</w:t>
            </w:r>
          </w:p>
        </w:tc>
        <w:tc>
          <w:tcPr>
            <w:tcW w:w="916" w:type="dxa"/>
            <w:vAlign w:val="center"/>
          </w:tcPr>
          <w:p w14:paraId="3185A170"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916" w:type="dxa"/>
            <w:vAlign w:val="center"/>
          </w:tcPr>
          <w:p w14:paraId="6E8F1ABB"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916" w:type="dxa"/>
            <w:vAlign w:val="center"/>
          </w:tcPr>
          <w:p w14:paraId="030157FF"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+3.0%</w:t>
            </w:r>
          </w:p>
        </w:tc>
        <w:tc>
          <w:tcPr>
            <w:tcW w:w="916" w:type="dxa"/>
          </w:tcPr>
          <w:p w14:paraId="65998004"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-0.8</w:t>
            </w:r>
            <w:r w:rsidRPr="00C7349C">
              <w:rPr>
                <w:rFonts w:ascii="Arial" w:hAnsi="Arial" w:cs="Arial"/>
                <w:bCs/>
                <w:color w:val="17365D" w:themeColor="text2" w:themeShade="BF"/>
                <w:sz w:val="18"/>
                <w:szCs w:val="18"/>
              </w:rPr>
              <w:t>%</w:t>
            </w:r>
          </w:p>
        </w:tc>
        <w:tc>
          <w:tcPr>
            <w:tcW w:w="916" w:type="dxa"/>
            <w:vAlign w:val="center"/>
          </w:tcPr>
          <w:p w14:paraId="4CD10401" w14:textId="68D79D0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328</w:t>
            </w:r>
            <w:r w:rsidRPr="00E407FC">
              <w:rPr>
                <w:rFonts w:ascii="Arial" w:hAnsi="Arial" w:cs="Arial"/>
                <w:bCs/>
                <w:color w:val="17365D" w:themeColor="text2" w:themeShade="BF"/>
                <w:sz w:val="18"/>
                <w:szCs w:val="18"/>
              </w:rPr>
              <w:t>M</w:t>
            </w:r>
          </w:p>
        </w:tc>
        <w:tc>
          <w:tcPr>
            <w:tcW w:w="916" w:type="dxa"/>
            <w:vAlign w:val="center"/>
          </w:tcPr>
          <w:p w14:paraId="09937016" w14:textId="74575A76" w:rsidR="009B4A81" w:rsidRDefault="009B4A81" w:rsidP="009B4A81">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1.1</w:t>
            </w:r>
            <w:r w:rsidRPr="00E407FC">
              <w:rPr>
                <w:rFonts w:ascii="Arial" w:hAnsi="Arial" w:cs="Arial"/>
                <w:bCs/>
                <w:color w:val="17365D" w:themeColor="text2" w:themeShade="BF"/>
                <w:sz w:val="18"/>
                <w:szCs w:val="18"/>
              </w:rPr>
              <w:t>%</w:t>
            </w:r>
          </w:p>
        </w:tc>
        <w:tc>
          <w:tcPr>
            <w:tcW w:w="916" w:type="dxa"/>
            <w:vAlign w:val="center"/>
          </w:tcPr>
          <w:p w14:paraId="783FA7AC" w14:textId="5BE856FB" w:rsidR="009B4A81" w:rsidRPr="009B4A8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-5.2%</w:t>
            </w:r>
          </w:p>
        </w:tc>
      </w:tr>
      <w:tr w:rsidR="009B4A81" w:rsidRPr="00E407FC" w14:paraId="70C57CCA" w14:textId="77777777" w:rsidTr="009B4A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38BB67DB"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Grapes</w:t>
            </w:r>
          </w:p>
        </w:tc>
        <w:tc>
          <w:tcPr>
            <w:tcW w:w="915" w:type="dxa"/>
            <w:gridSpan w:val="2"/>
            <w:vAlign w:val="center"/>
          </w:tcPr>
          <w:p w14:paraId="088C0AB6" w14:textId="77777777" w:rsidR="009B4A81" w:rsidRPr="00091E6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w:t>
            </w:r>
            <w:r w:rsidRPr="00091E61">
              <w:rPr>
                <w:rFonts w:ascii="Arial" w:hAnsi="Arial" w:cs="Arial"/>
                <w:color w:val="17365D" w:themeColor="text2" w:themeShade="BF"/>
                <w:sz w:val="18"/>
                <w:szCs w:val="18"/>
              </w:rPr>
              <w:t>%</w:t>
            </w:r>
          </w:p>
        </w:tc>
        <w:tc>
          <w:tcPr>
            <w:tcW w:w="916" w:type="dxa"/>
            <w:gridSpan w:val="2"/>
            <w:vAlign w:val="center"/>
          </w:tcPr>
          <w:p w14:paraId="7F83ACE6"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r w:rsidRPr="00E407FC">
              <w:rPr>
                <w:rFonts w:ascii="Arial" w:hAnsi="Arial" w:cs="Arial"/>
                <w:color w:val="17365D" w:themeColor="text2" w:themeShade="BF"/>
                <w:sz w:val="18"/>
                <w:szCs w:val="18"/>
              </w:rPr>
              <w:t>%</w:t>
            </w:r>
          </w:p>
        </w:tc>
        <w:tc>
          <w:tcPr>
            <w:tcW w:w="916" w:type="dxa"/>
            <w:vAlign w:val="center"/>
          </w:tcPr>
          <w:p w14:paraId="798CEA03"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r w:rsidRPr="00E407FC">
              <w:rPr>
                <w:rFonts w:ascii="Arial" w:hAnsi="Arial" w:cs="Arial"/>
                <w:color w:val="17365D" w:themeColor="text2" w:themeShade="BF"/>
                <w:sz w:val="18"/>
                <w:szCs w:val="18"/>
              </w:rPr>
              <w:t>%</w:t>
            </w:r>
          </w:p>
        </w:tc>
        <w:tc>
          <w:tcPr>
            <w:tcW w:w="916" w:type="dxa"/>
            <w:vAlign w:val="center"/>
          </w:tcPr>
          <w:p w14:paraId="2DFA7C0A"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+3.5</w:t>
            </w:r>
            <w:r w:rsidRPr="00E407FC">
              <w:rPr>
                <w:rFonts w:ascii="Arial" w:hAnsi="Arial" w:cs="Arial"/>
                <w:color w:val="17365D" w:themeColor="text2" w:themeShade="BF"/>
                <w:sz w:val="18"/>
                <w:szCs w:val="18"/>
              </w:rPr>
              <w:t>%</w:t>
            </w:r>
          </w:p>
        </w:tc>
        <w:tc>
          <w:tcPr>
            <w:tcW w:w="916" w:type="dxa"/>
            <w:vAlign w:val="center"/>
          </w:tcPr>
          <w:p w14:paraId="7D75445A"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+6.9</w:t>
            </w:r>
            <w:r w:rsidRPr="00E407FC">
              <w:rPr>
                <w:rFonts w:ascii="Arial" w:hAnsi="Arial" w:cs="Arial"/>
                <w:color w:val="17365D" w:themeColor="text2" w:themeShade="BF"/>
                <w:sz w:val="18"/>
                <w:szCs w:val="18"/>
              </w:rPr>
              <w:t>%</w:t>
            </w:r>
          </w:p>
        </w:tc>
        <w:tc>
          <w:tcPr>
            <w:tcW w:w="916" w:type="dxa"/>
            <w:vAlign w:val="center"/>
          </w:tcPr>
          <w:p w14:paraId="16CC1DCB"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w:t>
            </w: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916" w:type="dxa"/>
          </w:tcPr>
          <w:p w14:paraId="2F9FBA35" w14:textId="10211878"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4.8</w:t>
            </w:r>
            <w:r w:rsidRPr="00C7349C">
              <w:rPr>
                <w:rFonts w:ascii="Arial" w:hAnsi="Arial" w:cs="Arial"/>
                <w:bCs/>
                <w:color w:val="17365D" w:themeColor="text2" w:themeShade="BF"/>
                <w:sz w:val="18"/>
                <w:szCs w:val="18"/>
              </w:rPr>
              <w:t>%</w:t>
            </w:r>
          </w:p>
        </w:tc>
        <w:tc>
          <w:tcPr>
            <w:tcW w:w="916" w:type="dxa"/>
            <w:vAlign w:val="center"/>
          </w:tcPr>
          <w:p w14:paraId="1DB74558" w14:textId="3038036B"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322</w:t>
            </w:r>
            <w:r w:rsidRPr="00E407FC">
              <w:rPr>
                <w:rFonts w:ascii="Arial" w:hAnsi="Arial" w:cs="Arial"/>
                <w:bCs/>
                <w:color w:val="17365D" w:themeColor="text2" w:themeShade="BF"/>
                <w:sz w:val="18"/>
                <w:szCs w:val="18"/>
              </w:rPr>
              <w:t>M</w:t>
            </w:r>
          </w:p>
        </w:tc>
        <w:tc>
          <w:tcPr>
            <w:tcW w:w="916" w:type="dxa"/>
            <w:vAlign w:val="center"/>
          </w:tcPr>
          <w:p w14:paraId="1AEBFC64" w14:textId="62CC5BF6" w:rsidR="009B4A81" w:rsidRDefault="009B4A81" w:rsidP="009B4A81">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8.1</w:t>
            </w:r>
            <w:r w:rsidRPr="00E407FC">
              <w:rPr>
                <w:rFonts w:ascii="Arial" w:hAnsi="Arial" w:cs="Arial"/>
                <w:bCs/>
                <w:color w:val="17365D" w:themeColor="text2" w:themeShade="BF"/>
                <w:sz w:val="18"/>
                <w:szCs w:val="18"/>
              </w:rPr>
              <w:t>%</w:t>
            </w:r>
          </w:p>
        </w:tc>
        <w:tc>
          <w:tcPr>
            <w:tcW w:w="916" w:type="dxa"/>
            <w:vAlign w:val="center"/>
          </w:tcPr>
          <w:p w14:paraId="6A3E3D60" w14:textId="4A5E5812" w:rsidR="009B4A81" w:rsidRPr="009B4A8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Pr="009B4A81">
              <w:rPr>
                <w:rFonts w:ascii="Arial" w:hAnsi="Arial" w:cs="Arial"/>
                <w:color w:val="215868" w:themeColor="accent5" w:themeShade="80"/>
                <w:sz w:val="18"/>
                <w:szCs w:val="18"/>
              </w:rPr>
              <w:t>22.8%</w:t>
            </w:r>
          </w:p>
        </w:tc>
      </w:tr>
      <w:tr w:rsidR="009B4A81" w:rsidRPr="00E407FC" w14:paraId="1B4B40CE" w14:textId="77777777" w:rsidTr="009B4A81">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764E69AF"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Avocados</w:t>
            </w:r>
          </w:p>
        </w:tc>
        <w:tc>
          <w:tcPr>
            <w:tcW w:w="915" w:type="dxa"/>
            <w:gridSpan w:val="2"/>
            <w:vAlign w:val="center"/>
          </w:tcPr>
          <w:p w14:paraId="39394D3E" w14:textId="77777777"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+6.8</w:t>
            </w:r>
            <w:r w:rsidRPr="00091E61">
              <w:rPr>
                <w:rFonts w:ascii="Arial" w:hAnsi="Arial" w:cs="Arial"/>
                <w:color w:val="17365D" w:themeColor="text2" w:themeShade="BF"/>
                <w:sz w:val="18"/>
                <w:szCs w:val="18"/>
              </w:rPr>
              <w:t>%</w:t>
            </w:r>
          </w:p>
        </w:tc>
        <w:tc>
          <w:tcPr>
            <w:tcW w:w="916" w:type="dxa"/>
            <w:gridSpan w:val="2"/>
            <w:vAlign w:val="center"/>
          </w:tcPr>
          <w:p w14:paraId="6655284D"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r w:rsidRPr="00E407FC">
              <w:rPr>
                <w:rFonts w:ascii="Arial" w:hAnsi="Arial" w:cs="Arial"/>
                <w:color w:val="17365D" w:themeColor="text2" w:themeShade="BF"/>
                <w:sz w:val="18"/>
                <w:szCs w:val="18"/>
              </w:rPr>
              <w:t>%</w:t>
            </w:r>
          </w:p>
        </w:tc>
        <w:tc>
          <w:tcPr>
            <w:tcW w:w="916" w:type="dxa"/>
            <w:vAlign w:val="center"/>
          </w:tcPr>
          <w:p w14:paraId="6BF7F793"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916" w:type="dxa"/>
            <w:vAlign w:val="center"/>
          </w:tcPr>
          <w:p w14:paraId="22E1A7EF"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9.4</w:t>
            </w:r>
            <w:r w:rsidRPr="00E407FC">
              <w:rPr>
                <w:rFonts w:ascii="Arial" w:hAnsi="Arial" w:cs="Arial"/>
                <w:color w:val="17365D" w:themeColor="text2" w:themeShade="BF"/>
                <w:sz w:val="18"/>
                <w:szCs w:val="18"/>
              </w:rPr>
              <w:t>%</w:t>
            </w:r>
          </w:p>
        </w:tc>
        <w:tc>
          <w:tcPr>
            <w:tcW w:w="916" w:type="dxa"/>
            <w:vAlign w:val="center"/>
          </w:tcPr>
          <w:p w14:paraId="45F43418"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2.8</w:t>
            </w:r>
            <w:r w:rsidRPr="00E407FC">
              <w:rPr>
                <w:rFonts w:ascii="Arial" w:hAnsi="Arial" w:cs="Arial"/>
                <w:color w:val="17365D" w:themeColor="text2" w:themeShade="BF"/>
                <w:sz w:val="18"/>
                <w:szCs w:val="18"/>
              </w:rPr>
              <w:t>%</w:t>
            </w:r>
          </w:p>
        </w:tc>
        <w:tc>
          <w:tcPr>
            <w:tcW w:w="916" w:type="dxa"/>
            <w:vAlign w:val="center"/>
          </w:tcPr>
          <w:p w14:paraId="447F665E"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+9.</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Pr>
          <w:p w14:paraId="66870255"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16.6</w:t>
            </w:r>
            <w:r w:rsidRPr="00C7349C">
              <w:rPr>
                <w:rFonts w:ascii="Arial" w:hAnsi="Arial" w:cs="Arial"/>
                <w:bCs/>
                <w:color w:val="17365D" w:themeColor="text2" w:themeShade="BF"/>
                <w:sz w:val="18"/>
                <w:szCs w:val="18"/>
              </w:rPr>
              <w:t>%</w:t>
            </w:r>
          </w:p>
        </w:tc>
        <w:tc>
          <w:tcPr>
            <w:tcW w:w="916" w:type="dxa"/>
            <w:vAlign w:val="center"/>
          </w:tcPr>
          <w:p w14:paraId="64715D14" w14:textId="0E5BC09E"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291</w:t>
            </w:r>
            <w:r w:rsidRPr="00E407FC">
              <w:rPr>
                <w:rFonts w:ascii="Arial" w:hAnsi="Arial" w:cs="Arial"/>
                <w:bCs/>
                <w:color w:val="17365D" w:themeColor="text2" w:themeShade="BF"/>
                <w:sz w:val="18"/>
                <w:szCs w:val="18"/>
              </w:rPr>
              <w:t>M</w:t>
            </w:r>
          </w:p>
        </w:tc>
        <w:tc>
          <w:tcPr>
            <w:tcW w:w="916" w:type="dxa"/>
            <w:vAlign w:val="center"/>
          </w:tcPr>
          <w:p w14:paraId="6C0CBF2D" w14:textId="5CF3891F" w:rsidR="009B4A81" w:rsidRDefault="009B4A81" w:rsidP="009B4A81">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10.8</w:t>
            </w:r>
            <w:r w:rsidRPr="00E407FC">
              <w:rPr>
                <w:rFonts w:ascii="Arial" w:hAnsi="Arial" w:cs="Arial"/>
                <w:bCs/>
                <w:color w:val="17365D" w:themeColor="text2" w:themeShade="BF"/>
                <w:sz w:val="18"/>
                <w:szCs w:val="18"/>
              </w:rPr>
              <w:t>%</w:t>
            </w:r>
          </w:p>
        </w:tc>
        <w:tc>
          <w:tcPr>
            <w:tcW w:w="916" w:type="dxa"/>
            <w:vAlign w:val="center"/>
          </w:tcPr>
          <w:p w14:paraId="400F054D" w14:textId="448383FB" w:rsidR="009B4A81" w:rsidRPr="009B4A8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-15.1%</w:t>
            </w:r>
          </w:p>
        </w:tc>
      </w:tr>
      <w:tr w:rsidR="009B4A81" w:rsidRPr="00E407FC" w14:paraId="1D1E2427" w14:textId="77777777" w:rsidTr="009B4A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60360F3B"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Mandarins</w:t>
            </w:r>
          </w:p>
        </w:tc>
        <w:tc>
          <w:tcPr>
            <w:tcW w:w="915" w:type="dxa"/>
            <w:gridSpan w:val="2"/>
            <w:vAlign w:val="center"/>
          </w:tcPr>
          <w:p w14:paraId="14F3392E" w14:textId="77777777" w:rsidR="009B4A81" w:rsidRPr="00091E6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-4.6</w:t>
            </w:r>
            <w:r w:rsidRPr="00091E61">
              <w:rPr>
                <w:rFonts w:ascii="Arial" w:hAnsi="Arial" w:cs="Arial"/>
                <w:color w:val="17365D" w:themeColor="text2" w:themeShade="BF"/>
                <w:sz w:val="18"/>
                <w:szCs w:val="18"/>
              </w:rPr>
              <w:t>%</w:t>
            </w:r>
          </w:p>
        </w:tc>
        <w:tc>
          <w:tcPr>
            <w:tcW w:w="916" w:type="dxa"/>
            <w:gridSpan w:val="2"/>
            <w:vAlign w:val="center"/>
          </w:tcPr>
          <w:p w14:paraId="51E55F05"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+9.9</w:t>
            </w:r>
            <w:r w:rsidRPr="00E407FC">
              <w:rPr>
                <w:rFonts w:ascii="Arial" w:hAnsi="Arial" w:cs="Arial"/>
                <w:color w:val="17365D" w:themeColor="text2" w:themeShade="BF"/>
                <w:sz w:val="18"/>
                <w:szCs w:val="18"/>
              </w:rPr>
              <w:t>%</w:t>
            </w:r>
          </w:p>
        </w:tc>
        <w:tc>
          <w:tcPr>
            <w:tcW w:w="916" w:type="dxa"/>
            <w:vAlign w:val="center"/>
          </w:tcPr>
          <w:p w14:paraId="677B1D54"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916" w:type="dxa"/>
            <w:vAlign w:val="center"/>
          </w:tcPr>
          <w:p w14:paraId="79210989"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14</w:t>
            </w: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916" w:type="dxa"/>
            <w:vAlign w:val="center"/>
          </w:tcPr>
          <w:p w14:paraId="0377CDCD"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12</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916" w:type="dxa"/>
            <w:vAlign w:val="center"/>
          </w:tcPr>
          <w:p w14:paraId="261EDCDC"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+4.9%</w:t>
            </w:r>
          </w:p>
        </w:tc>
        <w:tc>
          <w:tcPr>
            <w:tcW w:w="916" w:type="dxa"/>
          </w:tcPr>
          <w:p w14:paraId="090B9DEC" w14:textId="0AF254D0" w:rsidR="009B4A8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-0.1</w:t>
            </w:r>
            <w:r w:rsidRPr="00C7349C">
              <w:rPr>
                <w:rFonts w:ascii="Arial" w:hAnsi="Arial" w:cs="Arial"/>
                <w:bCs/>
                <w:color w:val="17365D" w:themeColor="text2" w:themeShade="BF"/>
                <w:sz w:val="18"/>
                <w:szCs w:val="18"/>
              </w:rPr>
              <w:t>%</w:t>
            </w:r>
          </w:p>
        </w:tc>
        <w:tc>
          <w:tcPr>
            <w:tcW w:w="916" w:type="dxa"/>
            <w:vAlign w:val="center"/>
          </w:tcPr>
          <w:p w14:paraId="1DB60A7A" w14:textId="4E4044FE"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189</w:t>
            </w:r>
            <w:r w:rsidRPr="00E407FC">
              <w:rPr>
                <w:rFonts w:ascii="Arial" w:hAnsi="Arial" w:cs="Arial"/>
                <w:bCs/>
                <w:color w:val="17365D" w:themeColor="text2" w:themeShade="BF"/>
                <w:sz w:val="18"/>
                <w:szCs w:val="18"/>
              </w:rPr>
              <w:t>M</w:t>
            </w:r>
          </w:p>
        </w:tc>
        <w:tc>
          <w:tcPr>
            <w:tcW w:w="916" w:type="dxa"/>
            <w:vAlign w:val="center"/>
          </w:tcPr>
          <w:p w14:paraId="6BBCB672" w14:textId="3082785E" w:rsidR="009B4A81" w:rsidRDefault="009B4A81" w:rsidP="009B4A81">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-9.8</w:t>
            </w:r>
            <w:r w:rsidRPr="00E407FC">
              <w:rPr>
                <w:rFonts w:ascii="Arial" w:hAnsi="Arial" w:cs="Arial"/>
                <w:bCs/>
                <w:color w:val="17365D" w:themeColor="text2" w:themeShade="BF"/>
                <w:sz w:val="18"/>
                <w:szCs w:val="18"/>
              </w:rPr>
              <w:t>%</w:t>
            </w:r>
          </w:p>
        </w:tc>
        <w:tc>
          <w:tcPr>
            <w:tcW w:w="916" w:type="dxa"/>
            <w:vAlign w:val="center"/>
          </w:tcPr>
          <w:p w14:paraId="41B0223C" w14:textId="18A71DA2" w:rsidR="009B4A81" w:rsidRPr="009B4A8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-25.9%</w:t>
            </w:r>
          </w:p>
        </w:tc>
      </w:tr>
      <w:tr w:rsidR="009B4A81" w:rsidRPr="00E407FC" w14:paraId="6117E499" w14:textId="77777777" w:rsidTr="009B4A81">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3CB79671" w14:textId="4C6ABDEF" w:rsidR="009B4A81" w:rsidRPr="00E407FC" w:rsidRDefault="009B4A81" w:rsidP="009B4A81">
            <w:pPr>
              <w:pStyle w:val="NoSpacing"/>
              <w:jc w:val="right"/>
              <w:rPr>
                <w:rFonts w:ascii="Arial" w:hAnsi="Arial" w:cs="Arial"/>
                <w:b w:val="0"/>
                <w:color w:val="17365D" w:themeColor="text2" w:themeShade="BF"/>
                <w:sz w:val="18"/>
                <w:szCs w:val="18"/>
              </w:rPr>
            </w:pPr>
            <w:r>
              <w:rPr>
                <w:rFonts w:ascii="Arial" w:hAnsi="Arial" w:cs="Arial"/>
                <w:b w:val="0"/>
                <w:color w:val="17365D" w:themeColor="text2" w:themeShade="BF"/>
                <w:sz w:val="18"/>
                <w:szCs w:val="18"/>
              </w:rPr>
              <w:t>Cherries</w:t>
            </w:r>
          </w:p>
        </w:tc>
        <w:tc>
          <w:tcPr>
            <w:tcW w:w="915" w:type="dxa"/>
            <w:gridSpan w:val="2"/>
            <w:vAlign w:val="center"/>
          </w:tcPr>
          <w:p w14:paraId="6A133FFF" w14:textId="4EDF3F53"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916" w:type="dxa"/>
            <w:gridSpan w:val="2"/>
            <w:vAlign w:val="center"/>
          </w:tcPr>
          <w:p w14:paraId="7F8AF665" w14:textId="6D380118"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916" w:type="dxa"/>
            <w:vAlign w:val="center"/>
          </w:tcPr>
          <w:p w14:paraId="111B7BF4" w14:textId="44AF5251"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916" w:type="dxa"/>
            <w:vAlign w:val="center"/>
          </w:tcPr>
          <w:p w14:paraId="666EEB79" w14:textId="14F5B3B6"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916" w:type="dxa"/>
            <w:vAlign w:val="center"/>
          </w:tcPr>
          <w:p w14:paraId="484C64C3" w14:textId="30FC0F21"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p>
        </w:tc>
        <w:tc>
          <w:tcPr>
            <w:tcW w:w="916" w:type="dxa"/>
            <w:vAlign w:val="center"/>
          </w:tcPr>
          <w:p w14:paraId="35C26495" w14:textId="50DD3FCD"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color w:val="17365D" w:themeColor="text2" w:themeShade="BF"/>
                <w:sz w:val="18"/>
                <w:szCs w:val="18"/>
              </w:rPr>
              <w:t>--</w:t>
            </w:r>
          </w:p>
        </w:tc>
        <w:tc>
          <w:tcPr>
            <w:tcW w:w="916" w:type="dxa"/>
          </w:tcPr>
          <w:p w14:paraId="7D997680" w14:textId="369DD320"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w:t>
            </w:r>
          </w:p>
        </w:tc>
        <w:tc>
          <w:tcPr>
            <w:tcW w:w="916" w:type="dxa"/>
            <w:vAlign w:val="center"/>
          </w:tcPr>
          <w:p w14:paraId="03640C8E" w14:textId="5689E648"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155</w:t>
            </w:r>
            <w:r w:rsidRPr="00E407FC">
              <w:rPr>
                <w:rFonts w:ascii="Arial" w:hAnsi="Arial" w:cs="Arial"/>
                <w:bCs/>
                <w:color w:val="17365D" w:themeColor="text2" w:themeShade="BF"/>
                <w:sz w:val="18"/>
                <w:szCs w:val="18"/>
              </w:rPr>
              <w:t>M</w:t>
            </w:r>
          </w:p>
        </w:tc>
        <w:tc>
          <w:tcPr>
            <w:tcW w:w="916" w:type="dxa"/>
            <w:vAlign w:val="center"/>
          </w:tcPr>
          <w:p w14:paraId="30426766" w14:textId="11DF23C5" w:rsidR="009B4A81" w:rsidRDefault="009B4A81" w:rsidP="009B4A81">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2.5</w:t>
            </w:r>
            <w:r w:rsidRPr="00E407FC">
              <w:rPr>
                <w:rFonts w:ascii="Arial" w:hAnsi="Arial" w:cs="Arial"/>
                <w:bCs/>
                <w:color w:val="17365D" w:themeColor="text2" w:themeShade="BF"/>
                <w:sz w:val="18"/>
                <w:szCs w:val="18"/>
              </w:rPr>
              <w:t>%</w:t>
            </w:r>
          </w:p>
        </w:tc>
        <w:tc>
          <w:tcPr>
            <w:tcW w:w="916" w:type="dxa"/>
            <w:vAlign w:val="center"/>
          </w:tcPr>
          <w:p w14:paraId="7E85764A" w14:textId="53CCF8FB" w:rsidR="009B4A81" w:rsidRPr="009B4A8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-21.5%</w:t>
            </w:r>
          </w:p>
        </w:tc>
      </w:tr>
      <w:tr w:rsidR="009B4A81" w:rsidRPr="00E407FC" w14:paraId="2AECE88C" w14:textId="77777777" w:rsidTr="009B4A8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4CC7E81D" w14:textId="77777777" w:rsidR="009B4A81" w:rsidRPr="00E407FC" w:rsidRDefault="009B4A81" w:rsidP="009B4A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Oranges</w:t>
            </w:r>
          </w:p>
        </w:tc>
        <w:tc>
          <w:tcPr>
            <w:tcW w:w="915" w:type="dxa"/>
            <w:gridSpan w:val="2"/>
            <w:vAlign w:val="center"/>
          </w:tcPr>
          <w:p w14:paraId="2C20732F" w14:textId="77777777" w:rsidR="009B4A81" w:rsidRPr="00091E6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-9.6</w:t>
            </w:r>
            <w:r w:rsidRPr="00091E61">
              <w:rPr>
                <w:rFonts w:ascii="Arial" w:hAnsi="Arial" w:cs="Arial"/>
                <w:color w:val="17365D" w:themeColor="text2" w:themeShade="BF"/>
                <w:sz w:val="18"/>
                <w:szCs w:val="18"/>
              </w:rPr>
              <w:t>%</w:t>
            </w:r>
          </w:p>
        </w:tc>
        <w:tc>
          <w:tcPr>
            <w:tcW w:w="916" w:type="dxa"/>
            <w:gridSpan w:val="2"/>
            <w:vAlign w:val="center"/>
          </w:tcPr>
          <w:p w14:paraId="73EF92F6"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+32.1</w:t>
            </w:r>
            <w:r w:rsidRPr="00E407FC">
              <w:rPr>
                <w:rFonts w:ascii="Arial" w:hAnsi="Arial" w:cs="Arial"/>
                <w:color w:val="17365D" w:themeColor="text2" w:themeShade="BF"/>
                <w:sz w:val="18"/>
                <w:szCs w:val="18"/>
              </w:rPr>
              <w:t>%</w:t>
            </w:r>
          </w:p>
        </w:tc>
        <w:tc>
          <w:tcPr>
            <w:tcW w:w="916" w:type="dxa"/>
            <w:vAlign w:val="center"/>
          </w:tcPr>
          <w:p w14:paraId="48E5CCBF"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+2.5</w:t>
            </w:r>
            <w:r w:rsidRPr="00E407FC">
              <w:rPr>
                <w:rFonts w:ascii="Arial" w:hAnsi="Arial" w:cs="Arial"/>
                <w:color w:val="17365D" w:themeColor="text2" w:themeShade="BF"/>
                <w:sz w:val="18"/>
                <w:szCs w:val="18"/>
              </w:rPr>
              <w:t>%</w:t>
            </w:r>
          </w:p>
        </w:tc>
        <w:tc>
          <w:tcPr>
            <w:tcW w:w="916" w:type="dxa"/>
            <w:vAlign w:val="center"/>
          </w:tcPr>
          <w:p w14:paraId="32EC8C16"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24.5</w:t>
            </w:r>
            <w:r w:rsidRPr="00E407FC">
              <w:rPr>
                <w:rFonts w:ascii="Arial" w:hAnsi="Arial" w:cs="Arial"/>
                <w:color w:val="17365D" w:themeColor="text2" w:themeShade="BF"/>
                <w:sz w:val="18"/>
                <w:szCs w:val="18"/>
              </w:rPr>
              <w:t>%</w:t>
            </w:r>
          </w:p>
        </w:tc>
        <w:tc>
          <w:tcPr>
            <w:tcW w:w="916" w:type="dxa"/>
            <w:vAlign w:val="center"/>
          </w:tcPr>
          <w:p w14:paraId="37C6F385"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916" w:type="dxa"/>
            <w:vAlign w:val="center"/>
          </w:tcPr>
          <w:p w14:paraId="667912C0" w14:textId="77777777"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3.7</w:t>
            </w:r>
            <w:r w:rsidRPr="00E407FC">
              <w:rPr>
                <w:rFonts w:ascii="Arial" w:hAnsi="Arial" w:cs="Arial"/>
                <w:bCs/>
                <w:color w:val="17365D" w:themeColor="text2" w:themeShade="BF"/>
                <w:sz w:val="18"/>
                <w:szCs w:val="18"/>
              </w:rPr>
              <w:t>%</w:t>
            </w:r>
          </w:p>
        </w:tc>
        <w:tc>
          <w:tcPr>
            <w:tcW w:w="916" w:type="dxa"/>
          </w:tcPr>
          <w:p w14:paraId="4DD13CFF" w14:textId="67DACD41"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15.0</w:t>
            </w:r>
            <w:r w:rsidRPr="00C7349C">
              <w:rPr>
                <w:rFonts w:ascii="Arial" w:hAnsi="Arial" w:cs="Arial"/>
                <w:bCs/>
                <w:color w:val="17365D" w:themeColor="text2" w:themeShade="BF"/>
                <w:sz w:val="18"/>
                <w:szCs w:val="18"/>
              </w:rPr>
              <w:t>%</w:t>
            </w:r>
          </w:p>
        </w:tc>
        <w:tc>
          <w:tcPr>
            <w:tcW w:w="916" w:type="dxa"/>
            <w:vAlign w:val="center"/>
          </w:tcPr>
          <w:p w14:paraId="6F1DD608" w14:textId="5DAAB642" w:rsidR="009B4A81" w:rsidRPr="00E407FC"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133</w:t>
            </w:r>
            <w:r w:rsidRPr="00E407FC">
              <w:rPr>
                <w:rFonts w:ascii="Arial" w:hAnsi="Arial" w:cs="Arial"/>
                <w:bCs/>
                <w:color w:val="17365D" w:themeColor="text2" w:themeShade="BF"/>
                <w:sz w:val="18"/>
                <w:szCs w:val="18"/>
              </w:rPr>
              <w:t>M</w:t>
            </w:r>
          </w:p>
        </w:tc>
        <w:tc>
          <w:tcPr>
            <w:tcW w:w="916" w:type="dxa"/>
            <w:vAlign w:val="center"/>
          </w:tcPr>
          <w:p w14:paraId="66A8D11D" w14:textId="0DC518CE" w:rsidR="009B4A81" w:rsidRDefault="009B4A81" w:rsidP="009B4A81">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9.4</w:t>
            </w:r>
            <w:r w:rsidRPr="00E407FC">
              <w:rPr>
                <w:rFonts w:ascii="Arial" w:hAnsi="Arial" w:cs="Arial"/>
                <w:bCs/>
                <w:color w:val="17365D" w:themeColor="text2" w:themeShade="BF"/>
                <w:sz w:val="18"/>
                <w:szCs w:val="18"/>
              </w:rPr>
              <w:t>%</w:t>
            </w:r>
          </w:p>
        </w:tc>
        <w:tc>
          <w:tcPr>
            <w:tcW w:w="916" w:type="dxa"/>
            <w:vAlign w:val="center"/>
          </w:tcPr>
          <w:p w14:paraId="756B2810" w14:textId="201C75FA" w:rsidR="009B4A81" w:rsidRPr="009B4A81" w:rsidRDefault="009B4A81" w:rsidP="009B4A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-7.2%</w:t>
            </w:r>
          </w:p>
        </w:tc>
      </w:tr>
      <w:tr w:rsidR="009B4A81" w:rsidRPr="00E407FC" w14:paraId="4B058FB2" w14:textId="77777777" w:rsidTr="009B4A81">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12AD8F9D" w14:textId="77777777" w:rsidR="009B4A81" w:rsidRPr="00E407FC" w:rsidRDefault="009B4A81" w:rsidP="009B4A81">
            <w:pPr>
              <w:pStyle w:val="NoSpacing"/>
              <w:jc w:val="right"/>
              <w:rPr>
                <w:rFonts w:ascii="Arial" w:hAnsi="Arial" w:cs="Arial"/>
                <w:b w:val="0"/>
                <w:color w:val="17365D" w:themeColor="text2" w:themeShade="BF"/>
                <w:sz w:val="18"/>
                <w:szCs w:val="18"/>
              </w:rPr>
            </w:pPr>
            <w:r>
              <w:rPr>
                <w:rFonts w:ascii="Arial" w:hAnsi="Arial" w:cs="Arial"/>
                <w:b w:val="0"/>
                <w:color w:val="17365D" w:themeColor="text2" w:themeShade="BF"/>
                <w:sz w:val="18"/>
                <w:szCs w:val="18"/>
              </w:rPr>
              <w:t>Mixed fruit</w:t>
            </w:r>
          </w:p>
        </w:tc>
        <w:tc>
          <w:tcPr>
            <w:tcW w:w="915" w:type="dxa"/>
            <w:gridSpan w:val="2"/>
            <w:vAlign w:val="center"/>
          </w:tcPr>
          <w:p w14:paraId="276B456A" w14:textId="77777777" w:rsidR="009B4A81" w:rsidRPr="00091E6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916" w:type="dxa"/>
            <w:gridSpan w:val="2"/>
            <w:vAlign w:val="center"/>
          </w:tcPr>
          <w:p w14:paraId="5952C301"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916" w:type="dxa"/>
            <w:vAlign w:val="center"/>
          </w:tcPr>
          <w:p w14:paraId="570FF2DA"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+8.4</w:t>
            </w:r>
            <w:r w:rsidRPr="00E407FC">
              <w:rPr>
                <w:rFonts w:ascii="Arial" w:hAnsi="Arial" w:cs="Arial"/>
                <w:color w:val="17365D" w:themeColor="text2" w:themeShade="BF"/>
                <w:sz w:val="18"/>
                <w:szCs w:val="18"/>
              </w:rPr>
              <w:t>%</w:t>
            </w:r>
          </w:p>
        </w:tc>
        <w:tc>
          <w:tcPr>
            <w:tcW w:w="916" w:type="dxa"/>
            <w:vAlign w:val="center"/>
          </w:tcPr>
          <w:p w14:paraId="19E467D8"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+59.2</w:t>
            </w:r>
            <w:r w:rsidRPr="00E407FC">
              <w:rPr>
                <w:rFonts w:ascii="Arial" w:hAnsi="Arial" w:cs="Arial"/>
                <w:color w:val="17365D" w:themeColor="text2" w:themeShade="BF"/>
                <w:sz w:val="18"/>
                <w:szCs w:val="18"/>
              </w:rPr>
              <w:t>%</w:t>
            </w:r>
          </w:p>
        </w:tc>
        <w:tc>
          <w:tcPr>
            <w:tcW w:w="916" w:type="dxa"/>
            <w:vAlign w:val="center"/>
          </w:tcPr>
          <w:p w14:paraId="6A708A5B"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+28.6</w:t>
            </w:r>
            <w:r w:rsidRPr="00E407FC">
              <w:rPr>
                <w:rFonts w:ascii="Arial" w:hAnsi="Arial" w:cs="Arial"/>
                <w:color w:val="17365D" w:themeColor="text2" w:themeShade="BF"/>
                <w:sz w:val="18"/>
                <w:szCs w:val="18"/>
              </w:rPr>
              <w:t>%</w:t>
            </w:r>
          </w:p>
        </w:tc>
        <w:tc>
          <w:tcPr>
            <w:tcW w:w="916" w:type="dxa"/>
            <w:vAlign w:val="center"/>
          </w:tcPr>
          <w:p w14:paraId="7A78AA6F" w14:textId="77777777"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29.3</w:t>
            </w:r>
            <w:r w:rsidRPr="00E407FC">
              <w:rPr>
                <w:rFonts w:ascii="Arial" w:hAnsi="Arial" w:cs="Arial"/>
                <w:bCs/>
                <w:color w:val="17365D" w:themeColor="text2" w:themeShade="BF"/>
                <w:sz w:val="18"/>
                <w:szCs w:val="18"/>
              </w:rPr>
              <w:t>%</w:t>
            </w:r>
          </w:p>
        </w:tc>
        <w:tc>
          <w:tcPr>
            <w:tcW w:w="916" w:type="dxa"/>
          </w:tcPr>
          <w:p w14:paraId="022F5B50" w14:textId="46E3C571"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17.3</w:t>
            </w:r>
            <w:r w:rsidRPr="00C7349C">
              <w:rPr>
                <w:rFonts w:ascii="Arial" w:hAnsi="Arial" w:cs="Arial"/>
                <w:bCs/>
                <w:color w:val="17365D" w:themeColor="text2" w:themeShade="BF"/>
                <w:sz w:val="18"/>
                <w:szCs w:val="18"/>
              </w:rPr>
              <w:t>%</w:t>
            </w:r>
          </w:p>
        </w:tc>
        <w:tc>
          <w:tcPr>
            <w:tcW w:w="916" w:type="dxa"/>
            <w:vAlign w:val="center"/>
          </w:tcPr>
          <w:p w14:paraId="6DCED09F" w14:textId="006E3222" w:rsidR="009B4A81" w:rsidRPr="00E407FC"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105</w:t>
            </w:r>
            <w:r w:rsidRPr="00E407FC">
              <w:rPr>
                <w:rFonts w:ascii="Arial" w:hAnsi="Arial" w:cs="Arial"/>
                <w:bCs/>
                <w:color w:val="17365D" w:themeColor="text2" w:themeShade="BF"/>
                <w:sz w:val="18"/>
                <w:szCs w:val="18"/>
              </w:rPr>
              <w:t>M</w:t>
            </w:r>
          </w:p>
        </w:tc>
        <w:tc>
          <w:tcPr>
            <w:tcW w:w="916" w:type="dxa"/>
            <w:vAlign w:val="center"/>
          </w:tcPr>
          <w:p w14:paraId="32264552" w14:textId="1A202703" w:rsidR="009B4A81" w:rsidRDefault="009B4A81" w:rsidP="009B4A8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-0.5</w:t>
            </w:r>
            <w:r w:rsidRPr="00E407FC">
              <w:rPr>
                <w:rFonts w:ascii="Arial" w:hAnsi="Arial" w:cs="Arial"/>
                <w:bCs/>
                <w:color w:val="17365D" w:themeColor="text2" w:themeShade="BF"/>
                <w:sz w:val="18"/>
                <w:szCs w:val="18"/>
              </w:rPr>
              <w:t>%</w:t>
            </w:r>
          </w:p>
        </w:tc>
        <w:tc>
          <w:tcPr>
            <w:tcW w:w="916" w:type="dxa"/>
            <w:vAlign w:val="center"/>
          </w:tcPr>
          <w:p w14:paraId="013E3861" w14:textId="7393C547" w:rsidR="009B4A81" w:rsidRPr="009B4A81" w:rsidRDefault="009B4A81" w:rsidP="009B4A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9B4A81">
              <w:rPr>
                <w:rFonts w:ascii="Arial" w:hAnsi="Arial" w:cs="Arial"/>
                <w:color w:val="215868" w:themeColor="accent5" w:themeShade="80"/>
                <w:sz w:val="18"/>
                <w:szCs w:val="18"/>
              </w:rPr>
              <w:t>-5.9%</w:t>
            </w:r>
          </w:p>
        </w:tc>
      </w:tr>
    </w:tbl>
    <w:p w14:paraId="09DFFB42" w14:textId="5C66E768"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3EF2F674" w14:textId="77777777" w:rsidR="009C4990" w:rsidRDefault="009C4990" w:rsidP="00B10C22">
      <w:pPr>
        <w:pStyle w:val="NoSpacing"/>
        <w:rPr>
          <w:rFonts w:ascii="Arial" w:hAnsi="Arial" w:cs="Arial"/>
          <w:b/>
          <w:color w:val="595959" w:themeColor="text1" w:themeTint="A6"/>
          <w:sz w:val="24"/>
          <w:szCs w:val="24"/>
        </w:rPr>
      </w:pPr>
    </w:p>
    <w:p w14:paraId="16F61730" w14:textId="6EC1A137"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4F27DA">
        <w:rPr>
          <w:rFonts w:ascii="Arial" w:hAnsi="Arial" w:cs="Arial"/>
          <w:b/>
          <w:color w:val="595959" w:themeColor="text1" w:themeTint="A6"/>
          <w:sz w:val="24"/>
          <w:szCs w:val="24"/>
        </w:rPr>
        <w:t>M</w:t>
      </w:r>
      <w:r w:rsidR="00F33BE2">
        <w:rPr>
          <w:rFonts w:ascii="Arial" w:hAnsi="Arial" w:cs="Arial"/>
          <w:b/>
          <w:color w:val="595959" w:themeColor="text1" w:themeTint="A6"/>
          <w:sz w:val="24"/>
          <w:szCs w:val="24"/>
        </w:rPr>
        <w:t>ay</w:t>
      </w:r>
    </w:p>
    <w:p w14:paraId="79E43D5D" w14:textId="3F3E105E" w:rsidR="00836D73" w:rsidRDefault="007273B2" w:rsidP="00B10C22">
      <w:pPr>
        <w:pStyle w:val="NoSpacing"/>
        <w:rPr>
          <w:rFonts w:ascii="Arial" w:hAnsi="Arial" w:cs="Arial"/>
          <w:sz w:val="20"/>
          <w:szCs w:val="20"/>
        </w:rPr>
      </w:pPr>
      <w:r>
        <w:rPr>
          <w:rFonts w:ascii="Arial" w:hAnsi="Arial" w:cs="Arial"/>
          <w:sz w:val="20"/>
          <w:szCs w:val="20"/>
        </w:rPr>
        <w:t>“</w:t>
      </w:r>
      <w:r w:rsidR="00CC484B">
        <w:rPr>
          <w:rFonts w:ascii="Arial" w:hAnsi="Arial" w:cs="Arial"/>
          <w:sz w:val="20"/>
          <w:szCs w:val="20"/>
        </w:rPr>
        <w:t>Eight</w:t>
      </w:r>
      <w:r w:rsidR="00461C35">
        <w:rPr>
          <w:rFonts w:ascii="Arial" w:hAnsi="Arial" w:cs="Arial"/>
          <w:sz w:val="20"/>
          <w:szCs w:val="20"/>
        </w:rPr>
        <w:t xml:space="preserve"> out of the top 10 vegetable sellers grew sales versus year ago</w:t>
      </w:r>
      <w:r w:rsidR="00546508">
        <w:rPr>
          <w:rFonts w:ascii="Arial" w:hAnsi="Arial" w:cs="Arial"/>
          <w:sz w:val="20"/>
          <w:szCs w:val="20"/>
        </w:rPr>
        <w:t xml:space="preserve">,” said Watson. </w:t>
      </w:r>
      <w:r w:rsidR="00084469">
        <w:rPr>
          <w:rFonts w:ascii="Arial" w:hAnsi="Arial" w:cs="Arial"/>
          <w:sz w:val="20"/>
          <w:szCs w:val="20"/>
        </w:rPr>
        <w:t>“</w:t>
      </w:r>
      <w:r w:rsidR="00CC484B">
        <w:rPr>
          <w:rFonts w:ascii="Arial" w:hAnsi="Arial" w:cs="Arial"/>
          <w:sz w:val="20"/>
          <w:szCs w:val="20"/>
        </w:rPr>
        <w:t xml:space="preserve">That is one more than last year. </w:t>
      </w:r>
      <w:r w:rsidR="000C4A54">
        <w:rPr>
          <w:rFonts w:ascii="Arial" w:hAnsi="Arial" w:cs="Arial"/>
          <w:sz w:val="20"/>
          <w:szCs w:val="20"/>
        </w:rPr>
        <w:t xml:space="preserve">Pound sales were down for most fresh vegetables, with </w:t>
      </w:r>
      <w:r w:rsidR="00CC484B">
        <w:rPr>
          <w:rFonts w:ascii="Arial" w:hAnsi="Arial" w:cs="Arial"/>
          <w:sz w:val="20"/>
          <w:szCs w:val="20"/>
        </w:rPr>
        <w:t>cucumbers being the lone exception in the top 10 sellers</w:t>
      </w:r>
      <w:r w:rsidR="00AA16AD">
        <w:rPr>
          <w:rFonts w:ascii="Arial" w:hAnsi="Arial" w:cs="Arial"/>
          <w:sz w:val="20"/>
          <w:szCs w:val="20"/>
        </w:rPr>
        <w:t>.</w:t>
      </w:r>
      <w:r w:rsidR="00891C7E">
        <w:rPr>
          <w:rFonts w:ascii="Arial" w:hAnsi="Arial" w:cs="Arial"/>
          <w:sz w:val="20"/>
          <w:szCs w:val="20"/>
        </w:rPr>
        <w:t>”</w:t>
      </w:r>
      <w:r w:rsidR="00AA16AD">
        <w:rPr>
          <w:rFonts w:ascii="Arial" w:hAnsi="Arial" w:cs="Arial"/>
          <w:sz w:val="20"/>
          <w:szCs w:val="20"/>
        </w:rPr>
        <w:t xml:space="preserve"> </w:t>
      </w:r>
    </w:p>
    <w:p w14:paraId="44130A14" w14:textId="77777777" w:rsidR="001F53D3" w:rsidRPr="002E6833" w:rsidRDefault="001F53D3" w:rsidP="00B10C22">
      <w:pPr>
        <w:pStyle w:val="NoSpacing"/>
        <w:rPr>
          <w:rFonts w:ascii="Arial" w:hAnsi="Arial" w:cs="Arial"/>
          <w:sz w:val="18"/>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453"/>
        <w:gridCol w:w="747"/>
        <w:gridCol w:w="171"/>
        <w:gridCol w:w="754"/>
        <w:gridCol w:w="164"/>
        <w:gridCol w:w="918"/>
        <w:gridCol w:w="917"/>
        <w:gridCol w:w="918"/>
        <w:gridCol w:w="918"/>
        <w:gridCol w:w="917"/>
        <w:gridCol w:w="918"/>
        <w:gridCol w:w="918"/>
        <w:gridCol w:w="918"/>
      </w:tblGrid>
      <w:tr w:rsidR="00650E52" w:rsidRPr="0003007F" w14:paraId="7A470830" w14:textId="77777777" w:rsidTr="00110FF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0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9766D52" w14:textId="77777777" w:rsidR="00650E52" w:rsidRPr="00AB1306" w:rsidRDefault="00650E52"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925"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9174915" w14:textId="77777777" w:rsidR="00650E52" w:rsidRPr="00AB1306" w:rsidRDefault="00650E52"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506" w:type="dxa"/>
            <w:gridSpan w:val="9"/>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F4CA447" w14:textId="2A30B187" w:rsidR="00650E52" w:rsidRPr="0003007F" w:rsidRDefault="00650E52"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w:t>
            </w:r>
            <w:r>
              <w:rPr>
                <w:rFonts w:ascii="Arial" w:hAnsi="Arial" w:cs="Arial"/>
                <w:color w:val="FFFFFF" w:themeColor="background1"/>
                <w:sz w:val="18"/>
                <w:szCs w:val="18"/>
              </w:rPr>
              <w:t>YA</w:t>
            </w:r>
          </w:p>
        </w:tc>
      </w:tr>
      <w:tr w:rsidR="00A052A1" w:rsidRPr="0003007F" w14:paraId="1A8BBFDE" w14:textId="77777777" w:rsidTr="000D028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shd w:val="clear" w:color="auto" w:fill="17365D" w:themeFill="text2" w:themeFillShade="BF"/>
            <w:vAlign w:val="center"/>
          </w:tcPr>
          <w:p w14:paraId="121215D2" w14:textId="77777777" w:rsidR="00A052A1" w:rsidRPr="0003007F" w:rsidRDefault="00A052A1" w:rsidP="00A052A1">
            <w:pPr>
              <w:pStyle w:val="NoSpacing"/>
              <w:jc w:val="right"/>
              <w:rPr>
                <w:rFonts w:ascii="Arial" w:hAnsi="Arial" w:cs="Arial"/>
                <w:color w:val="FFFFFF" w:themeColor="background1"/>
                <w:sz w:val="18"/>
                <w:szCs w:val="18"/>
              </w:rPr>
            </w:pPr>
          </w:p>
        </w:tc>
        <w:tc>
          <w:tcPr>
            <w:tcW w:w="918" w:type="dxa"/>
            <w:gridSpan w:val="2"/>
            <w:tcBorders>
              <w:left w:val="none" w:sz="0" w:space="0" w:color="auto"/>
              <w:right w:val="none" w:sz="0" w:space="0" w:color="auto"/>
            </w:tcBorders>
            <w:shd w:val="clear" w:color="auto" w:fill="17365D" w:themeFill="text2" w:themeFillShade="BF"/>
            <w:vAlign w:val="bottom"/>
          </w:tcPr>
          <w:p w14:paraId="5ADBE0D8" w14:textId="77777777" w:rsidR="00A052A1" w:rsidRPr="000F7932" w:rsidRDefault="00A052A1"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8" w:type="dxa"/>
            <w:gridSpan w:val="2"/>
            <w:tcBorders>
              <w:left w:val="none" w:sz="0" w:space="0" w:color="auto"/>
              <w:right w:val="none" w:sz="0" w:space="0" w:color="auto"/>
            </w:tcBorders>
            <w:shd w:val="clear" w:color="auto" w:fill="17365D" w:themeFill="text2" w:themeFillShade="BF"/>
            <w:vAlign w:val="bottom"/>
          </w:tcPr>
          <w:p w14:paraId="404DAA37" w14:textId="77777777" w:rsidR="00A052A1" w:rsidRPr="000F7932" w:rsidRDefault="00A052A1"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918" w:type="dxa"/>
            <w:tcBorders>
              <w:left w:val="none" w:sz="0" w:space="0" w:color="auto"/>
              <w:right w:val="none" w:sz="0" w:space="0" w:color="auto"/>
            </w:tcBorders>
            <w:shd w:val="clear" w:color="auto" w:fill="17365D" w:themeFill="text2" w:themeFillShade="BF"/>
            <w:vAlign w:val="bottom"/>
          </w:tcPr>
          <w:p w14:paraId="7E87E175" w14:textId="6F836E9E"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917" w:type="dxa"/>
            <w:tcBorders>
              <w:left w:val="none" w:sz="0" w:space="0" w:color="auto"/>
              <w:right w:val="none" w:sz="0" w:space="0" w:color="auto"/>
            </w:tcBorders>
            <w:shd w:val="clear" w:color="auto" w:fill="17365D" w:themeFill="text2" w:themeFillShade="BF"/>
            <w:vAlign w:val="bottom"/>
          </w:tcPr>
          <w:p w14:paraId="3DE151C5" w14:textId="4E42B0BF"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918" w:type="dxa"/>
            <w:tcBorders>
              <w:left w:val="none" w:sz="0" w:space="0" w:color="auto"/>
              <w:right w:val="none" w:sz="0" w:space="0" w:color="auto"/>
            </w:tcBorders>
            <w:shd w:val="clear" w:color="auto" w:fill="17365D" w:themeFill="text2" w:themeFillShade="BF"/>
            <w:vAlign w:val="bottom"/>
          </w:tcPr>
          <w:p w14:paraId="080ACD9C" w14:textId="739C4CFE"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8" w:type="dxa"/>
            <w:tcBorders>
              <w:left w:val="none" w:sz="0" w:space="0" w:color="auto"/>
              <w:right w:val="none" w:sz="0" w:space="0" w:color="auto"/>
            </w:tcBorders>
            <w:shd w:val="clear" w:color="auto" w:fill="17365D" w:themeFill="text2" w:themeFillShade="BF"/>
            <w:vAlign w:val="bottom"/>
          </w:tcPr>
          <w:p w14:paraId="217E8163" w14:textId="130CF83F"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w:t>
            </w:r>
            <w:r w:rsidR="00B83E0E">
              <w:rPr>
                <w:rFonts w:ascii="Arial" w:hAnsi="Arial" w:cs="Arial"/>
                <w:b/>
                <w:color w:val="FFFFFF" w:themeColor="background1"/>
                <w:sz w:val="18"/>
                <w:szCs w:val="18"/>
              </w:rPr>
              <w:t xml:space="preserve"> </w:t>
            </w:r>
            <w:r>
              <w:rPr>
                <w:rFonts w:ascii="Arial" w:hAnsi="Arial" w:cs="Arial"/>
                <w:b/>
                <w:color w:val="FFFFFF" w:themeColor="background1"/>
                <w:sz w:val="18"/>
                <w:szCs w:val="18"/>
              </w:rPr>
              <w:t>21</w:t>
            </w:r>
          </w:p>
        </w:tc>
        <w:tc>
          <w:tcPr>
            <w:tcW w:w="917" w:type="dxa"/>
            <w:tcBorders>
              <w:left w:val="none" w:sz="0" w:space="0" w:color="auto"/>
              <w:right w:val="none" w:sz="0" w:space="0" w:color="auto"/>
            </w:tcBorders>
            <w:shd w:val="clear" w:color="auto" w:fill="17365D" w:themeFill="text2" w:themeFillShade="BF"/>
          </w:tcPr>
          <w:p w14:paraId="0482655D" w14:textId="77777777"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0D3670C9" w14:textId="6D7258FC"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918" w:type="dxa"/>
            <w:tcBorders>
              <w:left w:val="none" w:sz="0" w:space="0" w:color="auto"/>
              <w:right w:val="none" w:sz="0" w:space="0" w:color="auto"/>
            </w:tcBorders>
            <w:shd w:val="clear" w:color="auto" w:fill="17365D" w:themeFill="text2" w:themeFillShade="BF"/>
            <w:vAlign w:val="bottom"/>
          </w:tcPr>
          <w:p w14:paraId="39075783" w14:textId="5289042F" w:rsidR="00A052A1" w:rsidRDefault="00B83E0E"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May</w:t>
            </w:r>
            <w:r w:rsidR="00A052A1">
              <w:rPr>
                <w:rFonts w:ascii="Arial" w:hAnsi="Arial" w:cs="Arial"/>
                <w:b/>
                <w:color w:val="FFFFFF" w:themeColor="background1"/>
                <w:sz w:val="18"/>
                <w:szCs w:val="18"/>
              </w:rPr>
              <w:t xml:space="preserve"> 22</w:t>
            </w:r>
          </w:p>
        </w:tc>
        <w:tc>
          <w:tcPr>
            <w:tcW w:w="918" w:type="dxa"/>
            <w:tcBorders>
              <w:left w:val="none" w:sz="0" w:space="0" w:color="auto"/>
              <w:right w:val="none" w:sz="0" w:space="0" w:color="auto"/>
            </w:tcBorders>
            <w:shd w:val="clear" w:color="auto" w:fill="17365D" w:themeFill="text2" w:themeFillShade="BF"/>
            <w:vAlign w:val="bottom"/>
          </w:tcPr>
          <w:p w14:paraId="7C917CDF" w14:textId="7E9B3F40"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918" w:type="dxa"/>
            <w:tcBorders>
              <w:left w:val="none" w:sz="0" w:space="0" w:color="auto"/>
              <w:right w:val="none" w:sz="0" w:space="0" w:color="auto"/>
            </w:tcBorders>
            <w:shd w:val="clear" w:color="auto" w:fill="17365D" w:themeFill="text2" w:themeFillShade="BF"/>
            <w:vAlign w:val="bottom"/>
          </w:tcPr>
          <w:p w14:paraId="74707D81" w14:textId="51B49671"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roofErr w:type="spellStart"/>
            <w:r>
              <w:rPr>
                <w:rFonts w:ascii="Arial" w:hAnsi="Arial" w:cs="Arial"/>
                <w:b/>
                <w:color w:val="FFFFFF" w:themeColor="background1"/>
                <w:sz w:val="18"/>
                <w:szCs w:val="18"/>
              </w:rPr>
              <w:t>lbs</w:t>
            </w:r>
            <w:proofErr w:type="spellEnd"/>
            <w:r>
              <w:rPr>
                <w:rFonts w:ascii="Arial" w:hAnsi="Arial" w:cs="Arial"/>
                <w:b/>
                <w:color w:val="FFFFFF" w:themeColor="background1"/>
                <w:sz w:val="18"/>
                <w:szCs w:val="18"/>
              </w:rPr>
              <w:t xml:space="preserve"> vs YA</w:t>
            </w:r>
          </w:p>
        </w:tc>
      </w:tr>
      <w:tr w:rsidR="000C4A54" w:rsidRPr="000C4A54" w14:paraId="64FEFD1E" w14:textId="77777777" w:rsidTr="00AA16AD">
        <w:trPr>
          <w:trHeight w:val="298"/>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E4C60D1" w14:textId="77777777" w:rsidR="00CF01CC" w:rsidRPr="000C4A54" w:rsidRDefault="00CF01CC" w:rsidP="00CF01CC">
            <w:pPr>
              <w:pStyle w:val="NoSpacing"/>
              <w:jc w:val="right"/>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Fresh vegetables</w:t>
            </w:r>
          </w:p>
        </w:tc>
        <w:tc>
          <w:tcPr>
            <w:tcW w:w="918" w:type="dxa"/>
            <w:gridSpan w:val="2"/>
            <w:vAlign w:val="center"/>
          </w:tcPr>
          <w:p w14:paraId="532B2278" w14:textId="1BCCC50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+3.9%</w:t>
            </w:r>
          </w:p>
        </w:tc>
        <w:tc>
          <w:tcPr>
            <w:tcW w:w="918" w:type="dxa"/>
            <w:gridSpan w:val="2"/>
            <w:vAlign w:val="center"/>
          </w:tcPr>
          <w:p w14:paraId="38D628D7" w14:textId="2AB16628"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+14.8%</w:t>
            </w:r>
          </w:p>
        </w:tc>
        <w:tc>
          <w:tcPr>
            <w:tcW w:w="918" w:type="dxa"/>
            <w:vAlign w:val="center"/>
          </w:tcPr>
          <w:p w14:paraId="0AE99261" w14:textId="3F80A9FB"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+4.7%</w:t>
            </w:r>
          </w:p>
        </w:tc>
        <w:tc>
          <w:tcPr>
            <w:tcW w:w="917" w:type="dxa"/>
            <w:vAlign w:val="center"/>
          </w:tcPr>
          <w:p w14:paraId="3DA157A6" w14:textId="692137B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-7.1%</w:t>
            </w:r>
          </w:p>
        </w:tc>
        <w:tc>
          <w:tcPr>
            <w:tcW w:w="918" w:type="dxa"/>
            <w:vAlign w:val="center"/>
          </w:tcPr>
          <w:p w14:paraId="71AC4EEC" w14:textId="605113E5"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-2.3%</w:t>
            </w:r>
          </w:p>
        </w:tc>
        <w:tc>
          <w:tcPr>
            <w:tcW w:w="918" w:type="dxa"/>
            <w:vAlign w:val="center"/>
          </w:tcPr>
          <w:p w14:paraId="7A5CA8D8"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sidRPr="000C4A54">
              <w:rPr>
                <w:rFonts w:ascii="Arial" w:hAnsi="Arial" w:cs="Arial"/>
                <w:b/>
                <w:bCs/>
                <w:color w:val="215868" w:themeColor="accent5" w:themeShade="80"/>
                <w:sz w:val="18"/>
              </w:rPr>
              <w:t>+0.1%</w:t>
            </w:r>
          </w:p>
        </w:tc>
        <w:tc>
          <w:tcPr>
            <w:tcW w:w="917" w:type="dxa"/>
            <w:vAlign w:val="center"/>
          </w:tcPr>
          <w:p w14:paraId="4FC66313" w14:textId="11C5FAAD"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-0.4%</w:t>
            </w:r>
          </w:p>
        </w:tc>
        <w:tc>
          <w:tcPr>
            <w:tcW w:w="918" w:type="dxa"/>
            <w:vAlign w:val="center"/>
          </w:tcPr>
          <w:p w14:paraId="601C6ECF" w14:textId="0ED5A54C"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9B4A81">
              <w:rPr>
                <w:rFonts w:ascii="Arial" w:hAnsi="Arial" w:cs="Arial"/>
                <w:b/>
                <w:bCs/>
                <w:color w:val="215868" w:themeColor="accent5" w:themeShade="80"/>
                <w:sz w:val="18"/>
                <w:szCs w:val="18"/>
              </w:rPr>
              <w:t>3.5</w:t>
            </w:r>
            <w:r w:rsidRPr="000C4A54">
              <w:rPr>
                <w:rFonts w:ascii="Arial" w:hAnsi="Arial" w:cs="Arial"/>
                <w:b/>
                <w:bCs/>
                <w:color w:val="215868" w:themeColor="accent5" w:themeShade="80"/>
                <w:sz w:val="18"/>
                <w:szCs w:val="18"/>
              </w:rPr>
              <w:t>B</w:t>
            </w:r>
          </w:p>
        </w:tc>
        <w:tc>
          <w:tcPr>
            <w:tcW w:w="918" w:type="dxa"/>
            <w:vAlign w:val="center"/>
          </w:tcPr>
          <w:p w14:paraId="08D3AC71" w14:textId="107A89CF"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color w:val="215868" w:themeColor="accent5" w:themeShade="80"/>
                <w:sz w:val="18"/>
                <w:szCs w:val="18"/>
              </w:rPr>
              <w:t>+</w:t>
            </w:r>
            <w:r w:rsidR="009B4A81">
              <w:rPr>
                <w:rFonts w:ascii="Arial" w:hAnsi="Arial" w:cs="Arial"/>
                <w:b/>
                <w:color w:val="215868" w:themeColor="accent5" w:themeShade="80"/>
                <w:sz w:val="18"/>
                <w:szCs w:val="18"/>
              </w:rPr>
              <w:t>2.3</w:t>
            </w:r>
            <w:r w:rsidRPr="000C4A54">
              <w:rPr>
                <w:rFonts w:ascii="Arial" w:hAnsi="Arial" w:cs="Arial"/>
                <w:b/>
                <w:color w:val="215868" w:themeColor="accent5" w:themeShade="80"/>
                <w:sz w:val="18"/>
                <w:szCs w:val="18"/>
              </w:rPr>
              <w:t>%</w:t>
            </w:r>
          </w:p>
        </w:tc>
        <w:tc>
          <w:tcPr>
            <w:tcW w:w="918" w:type="dxa"/>
            <w:vAlign w:val="center"/>
          </w:tcPr>
          <w:p w14:paraId="3B8B2B0A" w14:textId="06B8397C"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C4A54">
              <w:rPr>
                <w:rFonts w:ascii="Arial" w:hAnsi="Arial" w:cs="Arial"/>
                <w:b/>
                <w:bCs/>
                <w:color w:val="215868" w:themeColor="accent5" w:themeShade="80"/>
                <w:sz w:val="18"/>
                <w:szCs w:val="18"/>
              </w:rPr>
              <w:t>-</w:t>
            </w:r>
            <w:r w:rsidR="009B4A81">
              <w:rPr>
                <w:rFonts w:ascii="Arial" w:hAnsi="Arial" w:cs="Arial"/>
                <w:b/>
                <w:bCs/>
                <w:color w:val="215868" w:themeColor="accent5" w:themeShade="80"/>
                <w:sz w:val="18"/>
                <w:szCs w:val="18"/>
              </w:rPr>
              <w:t>5.8</w:t>
            </w:r>
            <w:r w:rsidRPr="000C4A54">
              <w:rPr>
                <w:rFonts w:ascii="Arial" w:hAnsi="Arial" w:cs="Arial"/>
                <w:b/>
                <w:bCs/>
                <w:color w:val="215868" w:themeColor="accent5" w:themeShade="80"/>
                <w:sz w:val="18"/>
                <w:szCs w:val="18"/>
              </w:rPr>
              <w:t>%</w:t>
            </w:r>
          </w:p>
        </w:tc>
      </w:tr>
      <w:tr w:rsidR="000C4A54" w:rsidRPr="000C4A54" w14:paraId="0D095983"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2541439D" w14:textId="77777777" w:rsidR="00CF01CC" w:rsidRPr="000C4A54" w:rsidRDefault="00CF01CC" w:rsidP="00CF01CC">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Tomatoes</w:t>
            </w:r>
          </w:p>
        </w:tc>
        <w:tc>
          <w:tcPr>
            <w:tcW w:w="918" w:type="dxa"/>
            <w:gridSpan w:val="2"/>
            <w:vAlign w:val="center"/>
          </w:tcPr>
          <w:p w14:paraId="53CB9E19" w14:textId="6C909AFF"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+0.4%</w:t>
            </w:r>
          </w:p>
        </w:tc>
        <w:tc>
          <w:tcPr>
            <w:tcW w:w="918" w:type="dxa"/>
            <w:gridSpan w:val="2"/>
            <w:vAlign w:val="center"/>
          </w:tcPr>
          <w:p w14:paraId="457D0A89" w14:textId="21872C3A"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+18.4%</w:t>
            </w:r>
          </w:p>
        </w:tc>
        <w:tc>
          <w:tcPr>
            <w:tcW w:w="918" w:type="dxa"/>
            <w:vAlign w:val="center"/>
          </w:tcPr>
          <w:p w14:paraId="690A015C" w14:textId="5E641ED0"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+3.7%</w:t>
            </w:r>
          </w:p>
        </w:tc>
        <w:tc>
          <w:tcPr>
            <w:tcW w:w="917" w:type="dxa"/>
            <w:vAlign w:val="center"/>
          </w:tcPr>
          <w:p w14:paraId="3FE30D39" w14:textId="0B541A84"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-8.5%</w:t>
            </w:r>
          </w:p>
        </w:tc>
        <w:tc>
          <w:tcPr>
            <w:tcW w:w="918" w:type="dxa"/>
            <w:vAlign w:val="center"/>
          </w:tcPr>
          <w:p w14:paraId="047F25A4" w14:textId="6B75C5D8"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-4.3%</w:t>
            </w:r>
          </w:p>
        </w:tc>
        <w:tc>
          <w:tcPr>
            <w:tcW w:w="918" w:type="dxa"/>
            <w:vAlign w:val="center"/>
          </w:tcPr>
          <w:p w14:paraId="1CD3C791"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-1.2%</w:t>
            </w:r>
          </w:p>
        </w:tc>
        <w:tc>
          <w:tcPr>
            <w:tcW w:w="917" w:type="dxa"/>
            <w:vAlign w:val="center"/>
          </w:tcPr>
          <w:p w14:paraId="039BC7FE" w14:textId="238A3564"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-4.8%</w:t>
            </w:r>
          </w:p>
        </w:tc>
        <w:tc>
          <w:tcPr>
            <w:tcW w:w="918" w:type="dxa"/>
            <w:vAlign w:val="center"/>
          </w:tcPr>
          <w:p w14:paraId="03D1649A" w14:textId="6FA71E58"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409</w:t>
            </w:r>
            <w:r w:rsidRPr="000C4A54">
              <w:rPr>
                <w:rFonts w:ascii="Arial" w:hAnsi="Arial" w:cs="Arial"/>
                <w:bCs/>
                <w:color w:val="215868" w:themeColor="accent5" w:themeShade="80"/>
                <w:sz w:val="18"/>
                <w:szCs w:val="18"/>
              </w:rPr>
              <w:t>M</w:t>
            </w:r>
          </w:p>
        </w:tc>
        <w:tc>
          <w:tcPr>
            <w:tcW w:w="918" w:type="dxa"/>
            <w:vAlign w:val="center"/>
          </w:tcPr>
          <w:p w14:paraId="0A54053D" w14:textId="0CA65791" w:rsidR="00CF01CC" w:rsidRPr="000C4A54" w:rsidRDefault="009B4A81"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+0.1</w:t>
            </w:r>
            <w:r w:rsidR="00CF01CC" w:rsidRPr="000C4A54">
              <w:rPr>
                <w:rFonts w:ascii="Arial" w:hAnsi="Arial" w:cs="Arial"/>
                <w:bCs/>
                <w:color w:val="215868" w:themeColor="accent5" w:themeShade="80"/>
                <w:sz w:val="18"/>
                <w:szCs w:val="18"/>
              </w:rPr>
              <w:t>%</w:t>
            </w:r>
          </w:p>
        </w:tc>
        <w:tc>
          <w:tcPr>
            <w:tcW w:w="918" w:type="dxa"/>
            <w:vAlign w:val="center"/>
          </w:tcPr>
          <w:p w14:paraId="54599DD8" w14:textId="20BBEF85" w:rsidR="00CF01CC" w:rsidRPr="000C4A54" w:rsidRDefault="000C4A54"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5.8</w:t>
            </w:r>
            <w:r w:rsidR="00CF01CC" w:rsidRPr="000C4A54">
              <w:rPr>
                <w:rFonts w:ascii="Arial" w:hAnsi="Arial" w:cs="Arial"/>
                <w:bCs/>
                <w:color w:val="215868" w:themeColor="accent5" w:themeShade="80"/>
                <w:sz w:val="18"/>
                <w:szCs w:val="18"/>
              </w:rPr>
              <w:t>%</w:t>
            </w:r>
          </w:p>
        </w:tc>
      </w:tr>
      <w:tr w:rsidR="00F33BE2" w:rsidRPr="000C4A54" w14:paraId="336F4A77" w14:textId="77777777" w:rsidTr="0062091B">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00B8C0A7" w14:textId="77777777" w:rsidR="00F33BE2" w:rsidRPr="000C4A54" w:rsidRDefault="00F33BE2" w:rsidP="0062091B">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Packaged salad</w:t>
            </w:r>
          </w:p>
        </w:tc>
        <w:tc>
          <w:tcPr>
            <w:tcW w:w="918" w:type="dxa"/>
            <w:gridSpan w:val="2"/>
            <w:vAlign w:val="center"/>
          </w:tcPr>
          <w:p w14:paraId="4AC378B8"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+12.1%</w:t>
            </w:r>
          </w:p>
        </w:tc>
        <w:tc>
          <w:tcPr>
            <w:tcW w:w="918" w:type="dxa"/>
            <w:gridSpan w:val="2"/>
            <w:vAlign w:val="center"/>
          </w:tcPr>
          <w:p w14:paraId="47FB1192"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+14.8%</w:t>
            </w:r>
          </w:p>
        </w:tc>
        <w:tc>
          <w:tcPr>
            <w:tcW w:w="918" w:type="dxa"/>
            <w:vAlign w:val="center"/>
          </w:tcPr>
          <w:p w14:paraId="05DDF478"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+12.6%</w:t>
            </w:r>
          </w:p>
        </w:tc>
        <w:tc>
          <w:tcPr>
            <w:tcW w:w="917" w:type="dxa"/>
            <w:vAlign w:val="center"/>
          </w:tcPr>
          <w:p w14:paraId="2EF85EAF"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14.5%</w:t>
            </w:r>
          </w:p>
        </w:tc>
        <w:tc>
          <w:tcPr>
            <w:tcW w:w="918" w:type="dxa"/>
            <w:vAlign w:val="center"/>
          </w:tcPr>
          <w:p w14:paraId="0955372B"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+10.3%</w:t>
            </w:r>
          </w:p>
        </w:tc>
        <w:tc>
          <w:tcPr>
            <w:tcW w:w="918" w:type="dxa"/>
            <w:vAlign w:val="center"/>
          </w:tcPr>
          <w:p w14:paraId="25322D10"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+8.5%</w:t>
            </w:r>
          </w:p>
        </w:tc>
        <w:tc>
          <w:tcPr>
            <w:tcW w:w="917" w:type="dxa"/>
            <w:vAlign w:val="center"/>
          </w:tcPr>
          <w:p w14:paraId="10F77A62"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+1.9%</w:t>
            </w:r>
          </w:p>
        </w:tc>
        <w:tc>
          <w:tcPr>
            <w:tcW w:w="918" w:type="dxa"/>
            <w:vAlign w:val="center"/>
          </w:tcPr>
          <w:p w14:paraId="011EC497" w14:textId="78468B6A"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322</w:t>
            </w:r>
            <w:r w:rsidRPr="000C4A54">
              <w:rPr>
                <w:rFonts w:ascii="Arial" w:hAnsi="Arial" w:cs="Arial"/>
                <w:bCs/>
                <w:color w:val="215868" w:themeColor="accent5" w:themeShade="80"/>
                <w:sz w:val="18"/>
                <w:szCs w:val="18"/>
              </w:rPr>
              <w:t>M</w:t>
            </w:r>
          </w:p>
        </w:tc>
        <w:tc>
          <w:tcPr>
            <w:tcW w:w="918" w:type="dxa"/>
            <w:vAlign w:val="center"/>
          </w:tcPr>
          <w:p w14:paraId="1468972C" w14:textId="55C0F03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2.9</w:t>
            </w:r>
            <w:r w:rsidRPr="000C4A54">
              <w:rPr>
                <w:rFonts w:ascii="Arial" w:hAnsi="Arial" w:cs="Arial"/>
                <w:bCs/>
                <w:color w:val="215868" w:themeColor="accent5" w:themeShade="80"/>
                <w:sz w:val="18"/>
                <w:szCs w:val="18"/>
              </w:rPr>
              <w:t>%</w:t>
            </w:r>
          </w:p>
        </w:tc>
        <w:tc>
          <w:tcPr>
            <w:tcW w:w="918" w:type="dxa"/>
            <w:vAlign w:val="center"/>
          </w:tcPr>
          <w:p w14:paraId="0B7C1CF3" w14:textId="623B9268"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5.9</w:t>
            </w:r>
            <w:r w:rsidRPr="000C4A54">
              <w:rPr>
                <w:rFonts w:ascii="Arial" w:hAnsi="Arial" w:cs="Arial"/>
                <w:bCs/>
                <w:color w:val="215868" w:themeColor="accent5" w:themeShade="80"/>
                <w:sz w:val="18"/>
                <w:szCs w:val="18"/>
              </w:rPr>
              <w:t>%</w:t>
            </w:r>
          </w:p>
        </w:tc>
      </w:tr>
      <w:tr w:rsidR="000C4A54" w:rsidRPr="000C4A54" w14:paraId="0C146A1F" w14:textId="77777777" w:rsidTr="00AA16A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3ABBBB99" w14:textId="77777777" w:rsidR="00CF01CC" w:rsidRPr="000C4A54" w:rsidRDefault="00CF01CC" w:rsidP="00CF01CC">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Potatoes</w:t>
            </w:r>
          </w:p>
        </w:tc>
        <w:tc>
          <w:tcPr>
            <w:tcW w:w="918" w:type="dxa"/>
            <w:gridSpan w:val="2"/>
            <w:vAlign w:val="center"/>
          </w:tcPr>
          <w:p w14:paraId="4F18C196" w14:textId="12743B4D"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+1.6%</w:t>
            </w:r>
          </w:p>
        </w:tc>
        <w:tc>
          <w:tcPr>
            <w:tcW w:w="918" w:type="dxa"/>
            <w:gridSpan w:val="2"/>
            <w:vAlign w:val="center"/>
          </w:tcPr>
          <w:p w14:paraId="03C76BA4" w14:textId="0A069176"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+21.0%</w:t>
            </w:r>
          </w:p>
        </w:tc>
        <w:tc>
          <w:tcPr>
            <w:tcW w:w="918" w:type="dxa"/>
            <w:vAlign w:val="center"/>
          </w:tcPr>
          <w:p w14:paraId="14792562" w14:textId="62232F43"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-4.0%</w:t>
            </w:r>
          </w:p>
        </w:tc>
        <w:tc>
          <w:tcPr>
            <w:tcW w:w="917" w:type="dxa"/>
            <w:vAlign w:val="center"/>
          </w:tcPr>
          <w:p w14:paraId="069BD9ED" w14:textId="2785887F"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-19.7%</w:t>
            </w:r>
          </w:p>
        </w:tc>
        <w:tc>
          <w:tcPr>
            <w:tcW w:w="918" w:type="dxa"/>
            <w:vAlign w:val="center"/>
          </w:tcPr>
          <w:p w14:paraId="24040ADA" w14:textId="2D6FDD0B"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-4.6%</w:t>
            </w:r>
          </w:p>
        </w:tc>
        <w:tc>
          <w:tcPr>
            <w:tcW w:w="918" w:type="dxa"/>
            <w:vAlign w:val="center"/>
          </w:tcPr>
          <w:p w14:paraId="4A21180C" w14:textId="3860386C"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+0.2%</w:t>
            </w:r>
          </w:p>
        </w:tc>
        <w:tc>
          <w:tcPr>
            <w:tcW w:w="917" w:type="dxa"/>
            <w:vAlign w:val="center"/>
          </w:tcPr>
          <w:p w14:paraId="72A46FCE" w14:textId="59C71AE1"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+4.9%</w:t>
            </w:r>
          </w:p>
        </w:tc>
        <w:tc>
          <w:tcPr>
            <w:tcW w:w="918" w:type="dxa"/>
            <w:vAlign w:val="center"/>
          </w:tcPr>
          <w:p w14:paraId="76976A49" w14:textId="4F188D90"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317</w:t>
            </w:r>
            <w:r w:rsidRPr="000C4A54">
              <w:rPr>
                <w:rFonts w:ascii="Arial" w:hAnsi="Arial" w:cs="Arial"/>
                <w:bCs/>
                <w:color w:val="215868" w:themeColor="accent5" w:themeShade="80"/>
                <w:sz w:val="18"/>
                <w:szCs w:val="18"/>
              </w:rPr>
              <w:t>M</w:t>
            </w:r>
          </w:p>
        </w:tc>
        <w:tc>
          <w:tcPr>
            <w:tcW w:w="918" w:type="dxa"/>
            <w:vAlign w:val="center"/>
          </w:tcPr>
          <w:p w14:paraId="29621DCF" w14:textId="64DF21B0"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10.7</w:t>
            </w:r>
            <w:r w:rsidRPr="000C4A54">
              <w:rPr>
                <w:rFonts w:ascii="Arial" w:hAnsi="Arial" w:cs="Arial"/>
                <w:bCs/>
                <w:color w:val="215868" w:themeColor="accent5" w:themeShade="80"/>
                <w:sz w:val="18"/>
                <w:szCs w:val="18"/>
              </w:rPr>
              <w:t>%</w:t>
            </w:r>
          </w:p>
        </w:tc>
        <w:tc>
          <w:tcPr>
            <w:tcW w:w="918" w:type="dxa"/>
            <w:vAlign w:val="center"/>
          </w:tcPr>
          <w:p w14:paraId="341E5E4C" w14:textId="56574AF7" w:rsidR="00CF01CC" w:rsidRPr="000C4A54" w:rsidRDefault="00CC484B"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-0.7</w:t>
            </w:r>
            <w:r w:rsidR="00CF01CC" w:rsidRPr="000C4A54">
              <w:rPr>
                <w:rFonts w:ascii="Arial" w:hAnsi="Arial" w:cs="Arial"/>
                <w:bCs/>
                <w:color w:val="215868" w:themeColor="accent5" w:themeShade="80"/>
                <w:sz w:val="18"/>
                <w:szCs w:val="18"/>
              </w:rPr>
              <w:t>%</w:t>
            </w:r>
          </w:p>
        </w:tc>
      </w:tr>
      <w:tr w:rsidR="000C4A54" w:rsidRPr="000C4A54" w14:paraId="5FA6635F"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9FF0CCA" w14:textId="77777777" w:rsidR="00CF01CC" w:rsidRPr="000C4A54" w:rsidRDefault="00CF01CC" w:rsidP="00CF01CC">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Lettuce</w:t>
            </w:r>
          </w:p>
        </w:tc>
        <w:tc>
          <w:tcPr>
            <w:tcW w:w="918" w:type="dxa"/>
            <w:gridSpan w:val="2"/>
            <w:vAlign w:val="center"/>
          </w:tcPr>
          <w:p w14:paraId="489A8A48" w14:textId="7AAEC5E5"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+6.3%</w:t>
            </w:r>
          </w:p>
        </w:tc>
        <w:tc>
          <w:tcPr>
            <w:tcW w:w="918" w:type="dxa"/>
            <w:gridSpan w:val="2"/>
            <w:vAlign w:val="center"/>
          </w:tcPr>
          <w:p w14:paraId="6BB7D162" w14:textId="469DF2FA"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+12.0%</w:t>
            </w:r>
          </w:p>
        </w:tc>
        <w:tc>
          <w:tcPr>
            <w:tcW w:w="918" w:type="dxa"/>
            <w:vAlign w:val="center"/>
          </w:tcPr>
          <w:p w14:paraId="05E885A8" w14:textId="42B10D4E"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+9.0%</w:t>
            </w:r>
          </w:p>
        </w:tc>
        <w:tc>
          <w:tcPr>
            <w:tcW w:w="917" w:type="dxa"/>
            <w:vAlign w:val="center"/>
          </w:tcPr>
          <w:p w14:paraId="445C249F" w14:textId="4A1C3A01"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-3.3%</w:t>
            </w:r>
          </w:p>
        </w:tc>
        <w:tc>
          <w:tcPr>
            <w:tcW w:w="918" w:type="dxa"/>
            <w:vAlign w:val="center"/>
          </w:tcPr>
          <w:p w14:paraId="1DF5B025" w14:textId="000AEA7E"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+2.5%</w:t>
            </w:r>
          </w:p>
        </w:tc>
        <w:tc>
          <w:tcPr>
            <w:tcW w:w="918" w:type="dxa"/>
            <w:vAlign w:val="center"/>
          </w:tcPr>
          <w:p w14:paraId="757340BF" w14:textId="50EA9BFA"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+0.6%</w:t>
            </w:r>
          </w:p>
        </w:tc>
        <w:tc>
          <w:tcPr>
            <w:tcW w:w="917" w:type="dxa"/>
            <w:vAlign w:val="center"/>
          </w:tcPr>
          <w:p w14:paraId="6187E043" w14:textId="08926C70"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+4.8%</w:t>
            </w:r>
          </w:p>
        </w:tc>
        <w:tc>
          <w:tcPr>
            <w:tcW w:w="918" w:type="dxa"/>
            <w:vAlign w:val="center"/>
          </w:tcPr>
          <w:p w14:paraId="6CD2C0F7" w14:textId="4EB6A3A4"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282</w:t>
            </w:r>
            <w:r w:rsidRPr="000C4A54">
              <w:rPr>
                <w:rFonts w:ascii="Arial" w:hAnsi="Arial" w:cs="Arial"/>
                <w:bCs/>
                <w:color w:val="215868" w:themeColor="accent5" w:themeShade="80"/>
                <w:sz w:val="18"/>
                <w:szCs w:val="18"/>
              </w:rPr>
              <w:t>M</w:t>
            </w:r>
          </w:p>
        </w:tc>
        <w:tc>
          <w:tcPr>
            <w:tcW w:w="918" w:type="dxa"/>
            <w:vAlign w:val="center"/>
          </w:tcPr>
          <w:p w14:paraId="34B3545D" w14:textId="57D2EAFB"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9.1</w:t>
            </w:r>
            <w:r w:rsidRPr="000C4A54">
              <w:rPr>
                <w:rFonts w:ascii="Arial" w:hAnsi="Arial" w:cs="Arial"/>
                <w:bCs/>
                <w:color w:val="215868" w:themeColor="accent5" w:themeShade="80"/>
                <w:sz w:val="18"/>
                <w:szCs w:val="18"/>
              </w:rPr>
              <w:t>%</w:t>
            </w:r>
          </w:p>
        </w:tc>
        <w:tc>
          <w:tcPr>
            <w:tcW w:w="918" w:type="dxa"/>
            <w:vAlign w:val="center"/>
          </w:tcPr>
          <w:p w14:paraId="5EB84E72" w14:textId="29A82499" w:rsidR="00CF01CC" w:rsidRPr="000C4A54" w:rsidRDefault="000C4A54"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C484B">
              <w:rPr>
                <w:rFonts w:ascii="Arial" w:hAnsi="Arial" w:cs="Arial"/>
                <w:bCs/>
                <w:color w:val="215868" w:themeColor="accent5" w:themeShade="80"/>
                <w:sz w:val="18"/>
                <w:szCs w:val="18"/>
              </w:rPr>
              <w:t>3.4</w:t>
            </w:r>
            <w:r w:rsidR="00CF01CC" w:rsidRPr="000C4A54">
              <w:rPr>
                <w:rFonts w:ascii="Arial" w:hAnsi="Arial" w:cs="Arial"/>
                <w:bCs/>
                <w:color w:val="215868" w:themeColor="accent5" w:themeShade="80"/>
                <w:sz w:val="18"/>
                <w:szCs w:val="18"/>
              </w:rPr>
              <w:t>%</w:t>
            </w:r>
          </w:p>
        </w:tc>
      </w:tr>
      <w:tr w:rsidR="00F33BE2" w:rsidRPr="000C4A54" w14:paraId="58A4C8AB" w14:textId="77777777" w:rsidTr="005F56D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2E7C846" w14:textId="77777777" w:rsidR="00CF01CC" w:rsidRPr="000C4A54" w:rsidRDefault="00CF01CC" w:rsidP="00CF01CC">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Onions</w:t>
            </w:r>
          </w:p>
        </w:tc>
        <w:tc>
          <w:tcPr>
            <w:tcW w:w="918" w:type="dxa"/>
            <w:gridSpan w:val="2"/>
            <w:vAlign w:val="center"/>
          </w:tcPr>
          <w:p w14:paraId="40FB15BF"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+6.0%</w:t>
            </w:r>
          </w:p>
        </w:tc>
        <w:tc>
          <w:tcPr>
            <w:tcW w:w="918" w:type="dxa"/>
            <w:gridSpan w:val="2"/>
            <w:vAlign w:val="center"/>
          </w:tcPr>
          <w:p w14:paraId="7B7E2503"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+14.5%</w:t>
            </w:r>
          </w:p>
        </w:tc>
        <w:tc>
          <w:tcPr>
            <w:tcW w:w="918" w:type="dxa"/>
            <w:vAlign w:val="center"/>
          </w:tcPr>
          <w:p w14:paraId="315EE21F"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+0.8%</w:t>
            </w:r>
          </w:p>
        </w:tc>
        <w:tc>
          <w:tcPr>
            <w:tcW w:w="917" w:type="dxa"/>
            <w:vAlign w:val="center"/>
          </w:tcPr>
          <w:p w14:paraId="201586D2"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-14.3%</w:t>
            </w:r>
          </w:p>
        </w:tc>
        <w:tc>
          <w:tcPr>
            <w:tcW w:w="918" w:type="dxa"/>
            <w:vAlign w:val="center"/>
          </w:tcPr>
          <w:p w14:paraId="74E1EBAB"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-1.7%</w:t>
            </w:r>
          </w:p>
        </w:tc>
        <w:tc>
          <w:tcPr>
            <w:tcW w:w="918" w:type="dxa"/>
            <w:vAlign w:val="center"/>
          </w:tcPr>
          <w:p w14:paraId="1A1B06F8"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+1.4%</w:t>
            </w:r>
          </w:p>
        </w:tc>
        <w:tc>
          <w:tcPr>
            <w:tcW w:w="917" w:type="dxa"/>
            <w:vAlign w:val="center"/>
          </w:tcPr>
          <w:p w14:paraId="19E717B6" w14:textId="5CE4BC02"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+5.9%</w:t>
            </w:r>
          </w:p>
        </w:tc>
        <w:tc>
          <w:tcPr>
            <w:tcW w:w="918" w:type="dxa"/>
            <w:vAlign w:val="center"/>
          </w:tcPr>
          <w:p w14:paraId="51855CC2" w14:textId="3955EE62"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255</w:t>
            </w:r>
            <w:r w:rsidRPr="000C4A54">
              <w:rPr>
                <w:rFonts w:ascii="Arial" w:hAnsi="Arial" w:cs="Arial"/>
                <w:bCs/>
                <w:color w:val="215868" w:themeColor="accent5" w:themeShade="80"/>
                <w:sz w:val="18"/>
                <w:szCs w:val="18"/>
              </w:rPr>
              <w:t>M</w:t>
            </w:r>
          </w:p>
        </w:tc>
        <w:tc>
          <w:tcPr>
            <w:tcW w:w="918" w:type="dxa"/>
            <w:vAlign w:val="center"/>
          </w:tcPr>
          <w:p w14:paraId="04446ECC" w14:textId="2A3E5014"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16.7</w:t>
            </w:r>
            <w:r w:rsidRPr="000C4A54">
              <w:rPr>
                <w:rFonts w:ascii="Arial" w:hAnsi="Arial" w:cs="Arial"/>
                <w:bCs/>
                <w:color w:val="215868" w:themeColor="accent5" w:themeShade="80"/>
                <w:sz w:val="18"/>
                <w:szCs w:val="18"/>
              </w:rPr>
              <w:t>%</w:t>
            </w:r>
          </w:p>
        </w:tc>
        <w:tc>
          <w:tcPr>
            <w:tcW w:w="918" w:type="dxa"/>
            <w:vAlign w:val="center"/>
          </w:tcPr>
          <w:p w14:paraId="505B464D" w14:textId="1E34F613" w:rsidR="00CF01CC" w:rsidRPr="000C4A54" w:rsidRDefault="00CC484B"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-1.6</w:t>
            </w:r>
            <w:r w:rsidR="00CF01CC" w:rsidRPr="000C4A54">
              <w:rPr>
                <w:rFonts w:ascii="Arial" w:hAnsi="Arial" w:cs="Arial"/>
                <w:bCs/>
                <w:color w:val="215868" w:themeColor="accent5" w:themeShade="80"/>
                <w:sz w:val="18"/>
                <w:szCs w:val="18"/>
              </w:rPr>
              <w:t>%</w:t>
            </w:r>
          </w:p>
        </w:tc>
      </w:tr>
      <w:tr w:rsidR="000C4A54" w:rsidRPr="000C4A54" w14:paraId="69318395" w14:textId="77777777" w:rsidTr="00110FF9">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6E864BBD" w14:textId="77777777" w:rsidR="00CF01CC" w:rsidRPr="000C4A54" w:rsidRDefault="00CF01CC" w:rsidP="00CF01CC">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Peppers</w:t>
            </w:r>
          </w:p>
        </w:tc>
        <w:tc>
          <w:tcPr>
            <w:tcW w:w="918" w:type="dxa"/>
            <w:gridSpan w:val="2"/>
            <w:vAlign w:val="center"/>
          </w:tcPr>
          <w:p w14:paraId="3114764A"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+4.3%</w:t>
            </w:r>
          </w:p>
        </w:tc>
        <w:tc>
          <w:tcPr>
            <w:tcW w:w="918" w:type="dxa"/>
            <w:gridSpan w:val="2"/>
            <w:vAlign w:val="center"/>
          </w:tcPr>
          <w:p w14:paraId="790ACC9F"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+19.3%</w:t>
            </w:r>
          </w:p>
        </w:tc>
        <w:tc>
          <w:tcPr>
            <w:tcW w:w="918" w:type="dxa"/>
            <w:vAlign w:val="center"/>
          </w:tcPr>
          <w:p w14:paraId="2E58E480"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+11.6%</w:t>
            </w:r>
          </w:p>
        </w:tc>
        <w:tc>
          <w:tcPr>
            <w:tcW w:w="917" w:type="dxa"/>
            <w:vAlign w:val="center"/>
          </w:tcPr>
          <w:p w14:paraId="2342DC57"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-6.9%</w:t>
            </w:r>
          </w:p>
        </w:tc>
        <w:tc>
          <w:tcPr>
            <w:tcW w:w="918" w:type="dxa"/>
            <w:vAlign w:val="center"/>
          </w:tcPr>
          <w:p w14:paraId="570BC747"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-3.3%</w:t>
            </w:r>
          </w:p>
        </w:tc>
        <w:tc>
          <w:tcPr>
            <w:tcW w:w="918" w:type="dxa"/>
            <w:vAlign w:val="center"/>
          </w:tcPr>
          <w:p w14:paraId="79E8C82E" w14:textId="77777777"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-2.3%</w:t>
            </w:r>
          </w:p>
        </w:tc>
        <w:tc>
          <w:tcPr>
            <w:tcW w:w="917" w:type="dxa"/>
            <w:vAlign w:val="center"/>
          </w:tcPr>
          <w:p w14:paraId="7254814C" w14:textId="4D3BBFBD"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-2.1%</w:t>
            </w:r>
          </w:p>
        </w:tc>
        <w:tc>
          <w:tcPr>
            <w:tcW w:w="918" w:type="dxa"/>
            <w:vAlign w:val="center"/>
          </w:tcPr>
          <w:p w14:paraId="2EF132BA" w14:textId="2203A90C" w:rsidR="00CF01CC" w:rsidRPr="000C4A54" w:rsidRDefault="00CF01CC"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249</w:t>
            </w:r>
            <w:r w:rsidRPr="000C4A54">
              <w:rPr>
                <w:rFonts w:ascii="Arial" w:hAnsi="Arial" w:cs="Arial"/>
                <w:bCs/>
                <w:color w:val="215868" w:themeColor="accent5" w:themeShade="80"/>
                <w:sz w:val="18"/>
                <w:szCs w:val="18"/>
              </w:rPr>
              <w:t>M</w:t>
            </w:r>
          </w:p>
        </w:tc>
        <w:tc>
          <w:tcPr>
            <w:tcW w:w="918" w:type="dxa"/>
            <w:vAlign w:val="center"/>
          </w:tcPr>
          <w:p w14:paraId="7633D59F" w14:textId="003EC107" w:rsidR="00CF01CC" w:rsidRPr="000C4A54" w:rsidRDefault="000C4A54"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1.0</w:t>
            </w:r>
            <w:r w:rsidR="00CF01CC" w:rsidRPr="000C4A54">
              <w:rPr>
                <w:rFonts w:ascii="Arial" w:hAnsi="Arial" w:cs="Arial"/>
                <w:bCs/>
                <w:color w:val="215868" w:themeColor="accent5" w:themeShade="80"/>
                <w:sz w:val="18"/>
                <w:szCs w:val="18"/>
              </w:rPr>
              <w:t>%</w:t>
            </w:r>
          </w:p>
        </w:tc>
        <w:tc>
          <w:tcPr>
            <w:tcW w:w="918" w:type="dxa"/>
            <w:vAlign w:val="center"/>
          </w:tcPr>
          <w:p w14:paraId="3D971C9D" w14:textId="65BCB943" w:rsidR="00CF01CC" w:rsidRPr="000C4A54" w:rsidRDefault="000C4A54" w:rsidP="00CF01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C484B">
              <w:rPr>
                <w:rFonts w:ascii="Arial" w:hAnsi="Arial" w:cs="Arial"/>
                <w:bCs/>
                <w:color w:val="215868" w:themeColor="accent5" w:themeShade="80"/>
                <w:sz w:val="18"/>
                <w:szCs w:val="18"/>
              </w:rPr>
              <w:t>7.8</w:t>
            </w:r>
            <w:r w:rsidR="00CF01CC" w:rsidRPr="000C4A54">
              <w:rPr>
                <w:rFonts w:ascii="Arial" w:hAnsi="Arial" w:cs="Arial"/>
                <w:bCs/>
                <w:color w:val="215868" w:themeColor="accent5" w:themeShade="80"/>
                <w:sz w:val="18"/>
                <w:szCs w:val="18"/>
              </w:rPr>
              <w:t>%</w:t>
            </w:r>
          </w:p>
        </w:tc>
      </w:tr>
      <w:tr w:rsidR="00F33BE2" w:rsidRPr="000C4A54" w14:paraId="770262AD" w14:textId="77777777" w:rsidTr="00B4616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0CC6387E" w14:textId="77777777" w:rsidR="00E70C86" w:rsidRPr="000C4A54" w:rsidRDefault="00E70C86" w:rsidP="00B4616F">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Cucumbers</w:t>
            </w:r>
          </w:p>
        </w:tc>
        <w:tc>
          <w:tcPr>
            <w:tcW w:w="918" w:type="dxa"/>
            <w:gridSpan w:val="2"/>
            <w:vAlign w:val="center"/>
          </w:tcPr>
          <w:p w14:paraId="2B71F2A5"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+3.1%</w:t>
            </w:r>
          </w:p>
        </w:tc>
        <w:tc>
          <w:tcPr>
            <w:tcW w:w="918" w:type="dxa"/>
            <w:gridSpan w:val="2"/>
            <w:vAlign w:val="center"/>
          </w:tcPr>
          <w:p w14:paraId="4D76789C"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+18.1%</w:t>
            </w:r>
          </w:p>
        </w:tc>
        <w:tc>
          <w:tcPr>
            <w:tcW w:w="918" w:type="dxa"/>
            <w:vAlign w:val="center"/>
          </w:tcPr>
          <w:p w14:paraId="54FDDC40"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+10.1%</w:t>
            </w:r>
          </w:p>
        </w:tc>
        <w:tc>
          <w:tcPr>
            <w:tcW w:w="917" w:type="dxa"/>
            <w:vAlign w:val="center"/>
          </w:tcPr>
          <w:p w14:paraId="29F76C73"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+3.2%</w:t>
            </w:r>
          </w:p>
        </w:tc>
        <w:tc>
          <w:tcPr>
            <w:tcW w:w="918" w:type="dxa"/>
            <w:vAlign w:val="center"/>
          </w:tcPr>
          <w:p w14:paraId="14085285"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+4.0%</w:t>
            </w:r>
          </w:p>
        </w:tc>
        <w:tc>
          <w:tcPr>
            <w:tcW w:w="918" w:type="dxa"/>
            <w:vAlign w:val="center"/>
          </w:tcPr>
          <w:p w14:paraId="1E526A85"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+5.0%</w:t>
            </w:r>
          </w:p>
        </w:tc>
        <w:tc>
          <w:tcPr>
            <w:tcW w:w="917" w:type="dxa"/>
            <w:vAlign w:val="center"/>
          </w:tcPr>
          <w:p w14:paraId="5ACD3E9D" w14:textId="77777777"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+3.9%</w:t>
            </w:r>
          </w:p>
        </w:tc>
        <w:tc>
          <w:tcPr>
            <w:tcW w:w="918" w:type="dxa"/>
            <w:vAlign w:val="center"/>
          </w:tcPr>
          <w:p w14:paraId="0EE8061F" w14:textId="12394721"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147</w:t>
            </w:r>
            <w:r w:rsidRPr="000C4A54">
              <w:rPr>
                <w:rFonts w:ascii="Arial" w:hAnsi="Arial" w:cs="Arial"/>
                <w:bCs/>
                <w:color w:val="215868" w:themeColor="accent5" w:themeShade="80"/>
                <w:sz w:val="18"/>
                <w:szCs w:val="18"/>
              </w:rPr>
              <w:t>M</w:t>
            </w:r>
          </w:p>
        </w:tc>
        <w:tc>
          <w:tcPr>
            <w:tcW w:w="918" w:type="dxa"/>
            <w:vAlign w:val="center"/>
          </w:tcPr>
          <w:p w14:paraId="763F9B1D" w14:textId="00C1DAFA"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6.3</w:t>
            </w:r>
            <w:r w:rsidRPr="000C4A54">
              <w:rPr>
                <w:rFonts w:ascii="Arial" w:hAnsi="Arial" w:cs="Arial"/>
                <w:bCs/>
                <w:color w:val="215868" w:themeColor="accent5" w:themeShade="80"/>
                <w:sz w:val="18"/>
                <w:szCs w:val="18"/>
              </w:rPr>
              <w:t>%</w:t>
            </w:r>
          </w:p>
        </w:tc>
        <w:tc>
          <w:tcPr>
            <w:tcW w:w="918" w:type="dxa"/>
            <w:vAlign w:val="center"/>
          </w:tcPr>
          <w:p w14:paraId="012EAF29" w14:textId="18D9490E" w:rsidR="00E70C86" w:rsidRPr="000C4A54" w:rsidRDefault="00E70C86" w:rsidP="00B4616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C484B">
              <w:rPr>
                <w:rFonts w:ascii="Arial" w:hAnsi="Arial" w:cs="Arial"/>
                <w:bCs/>
                <w:color w:val="215868" w:themeColor="accent5" w:themeShade="80"/>
                <w:sz w:val="18"/>
                <w:szCs w:val="18"/>
              </w:rPr>
              <w:t>0.2</w:t>
            </w:r>
            <w:r w:rsidRPr="000C4A54">
              <w:rPr>
                <w:rFonts w:ascii="Arial" w:hAnsi="Arial" w:cs="Arial"/>
                <w:bCs/>
                <w:color w:val="215868" w:themeColor="accent5" w:themeShade="80"/>
                <w:sz w:val="18"/>
                <w:szCs w:val="18"/>
              </w:rPr>
              <w:t>%</w:t>
            </w:r>
          </w:p>
        </w:tc>
      </w:tr>
      <w:tr w:rsidR="00F33BE2" w:rsidRPr="000C4A54" w14:paraId="5C1FA360" w14:textId="77777777" w:rsidTr="0062091B">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13E4D5C4" w14:textId="77777777" w:rsidR="00F33BE2" w:rsidRPr="000C4A54" w:rsidRDefault="00F33BE2" w:rsidP="0062091B">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Mushrooms</w:t>
            </w:r>
          </w:p>
        </w:tc>
        <w:tc>
          <w:tcPr>
            <w:tcW w:w="918" w:type="dxa"/>
            <w:gridSpan w:val="2"/>
            <w:vAlign w:val="center"/>
          </w:tcPr>
          <w:p w14:paraId="4CE975C7"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+0.6%</w:t>
            </w:r>
          </w:p>
        </w:tc>
        <w:tc>
          <w:tcPr>
            <w:tcW w:w="918" w:type="dxa"/>
            <w:gridSpan w:val="2"/>
            <w:vAlign w:val="center"/>
          </w:tcPr>
          <w:p w14:paraId="33582843"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+19.7%</w:t>
            </w:r>
          </w:p>
        </w:tc>
        <w:tc>
          <w:tcPr>
            <w:tcW w:w="918" w:type="dxa"/>
            <w:vAlign w:val="center"/>
          </w:tcPr>
          <w:p w14:paraId="580D6B6E"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+8.6%</w:t>
            </w:r>
          </w:p>
        </w:tc>
        <w:tc>
          <w:tcPr>
            <w:tcW w:w="917" w:type="dxa"/>
            <w:vAlign w:val="center"/>
          </w:tcPr>
          <w:p w14:paraId="15DF33AE"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-12.6%</w:t>
            </w:r>
          </w:p>
        </w:tc>
        <w:tc>
          <w:tcPr>
            <w:tcW w:w="918" w:type="dxa"/>
            <w:vAlign w:val="center"/>
          </w:tcPr>
          <w:p w14:paraId="2ECE5016"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-9.2%</w:t>
            </w:r>
          </w:p>
        </w:tc>
        <w:tc>
          <w:tcPr>
            <w:tcW w:w="918" w:type="dxa"/>
            <w:vAlign w:val="center"/>
          </w:tcPr>
          <w:p w14:paraId="3BE32679"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-6.4%</w:t>
            </w:r>
          </w:p>
        </w:tc>
        <w:tc>
          <w:tcPr>
            <w:tcW w:w="917" w:type="dxa"/>
            <w:vAlign w:val="center"/>
          </w:tcPr>
          <w:p w14:paraId="1447B891" w14:textId="77777777"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-5.9%</w:t>
            </w:r>
          </w:p>
        </w:tc>
        <w:tc>
          <w:tcPr>
            <w:tcW w:w="918" w:type="dxa"/>
            <w:vAlign w:val="center"/>
          </w:tcPr>
          <w:p w14:paraId="1E804687" w14:textId="5677D79C"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120</w:t>
            </w:r>
            <w:r w:rsidRPr="000C4A54">
              <w:rPr>
                <w:rFonts w:ascii="Arial" w:hAnsi="Arial" w:cs="Arial"/>
                <w:bCs/>
                <w:color w:val="215868" w:themeColor="accent5" w:themeShade="80"/>
                <w:sz w:val="18"/>
                <w:szCs w:val="18"/>
              </w:rPr>
              <w:t>M</w:t>
            </w:r>
          </w:p>
        </w:tc>
        <w:tc>
          <w:tcPr>
            <w:tcW w:w="918" w:type="dxa"/>
            <w:vAlign w:val="center"/>
          </w:tcPr>
          <w:p w14:paraId="3A1E7732" w14:textId="77B486C5"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4.6</w:t>
            </w:r>
            <w:r w:rsidRPr="000C4A54">
              <w:rPr>
                <w:rFonts w:ascii="Arial" w:hAnsi="Arial" w:cs="Arial"/>
                <w:bCs/>
                <w:color w:val="215868" w:themeColor="accent5" w:themeShade="80"/>
                <w:sz w:val="18"/>
                <w:szCs w:val="18"/>
              </w:rPr>
              <w:t>%</w:t>
            </w:r>
          </w:p>
        </w:tc>
        <w:tc>
          <w:tcPr>
            <w:tcW w:w="918" w:type="dxa"/>
            <w:vAlign w:val="center"/>
          </w:tcPr>
          <w:p w14:paraId="3DCF7DF3" w14:textId="4E3D5D38" w:rsidR="00F33BE2" w:rsidRPr="000C4A54" w:rsidRDefault="00F33BE2" w:rsidP="0062091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C484B">
              <w:rPr>
                <w:rFonts w:ascii="Arial" w:hAnsi="Arial" w:cs="Arial"/>
                <w:bCs/>
                <w:color w:val="215868" w:themeColor="accent5" w:themeShade="80"/>
                <w:sz w:val="18"/>
                <w:szCs w:val="18"/>
              </w:rPr>
              <w:t>10.8</w:t>
            </w:r>
            <w:r w:rsidRPr="000C4A54">
              <w:rPr>
                <w:rFonts w:ascii="Arial" w:hAnsi="Arial" w:cs="Arial"/>
                <w:bCs/>
                <w:color w:val="215868" w:themeColor="accent5" w:themeShade="80"/>
                <w:sz w:val="18"/>
                <w:szCs w:val="18"/>
              </w:rPr>
              <w:t>%</w:t>
            </w:r>
          </w:p>
        </w:tc>
      </w:tr>
      <w:tr w:rsidR="00F33BE2" w:rsidRPr="000C4A54" w14:paraId="0DE609D9"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21977F3C" w14:textId="77777777" w:rsidR="00CF01CC" w:rsidRPr="000C4A54" w:rsidRDefault="00CF01CC" w:rsidP="00CF01CC">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lastRenderedPageBreak/>
              <w:t>Carrots</w:t>
            </w:r>
          </w:p>
        </w:tc>
        <w:tc>
          <w:tcPr>
            <w:tcW w:w="918" w:type="dxa"/>
            <w:gridSpan w:val="2"/>
            <w:vAlign w:val="center"/>
          </w:tcPr>
          <w:p w14:paraId="4BF8F431" w14:textId="55B36BEF"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-1.6%</w:t>
            </w:r>
          </w:p>
        </w:tc>
        <w:tc>
          <w:tcPr>
            <w:tcW w:w="918" w:type="dxa"/>
            <w:gridSpan w:val="2"/>
            <w:vAlign w:val="center"/>
          </w:tcPr>
          <w:p w14:paraId="28BCDC03" w14:textId="0964209E"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+7.3%</w:t>
            </w:r>
          </w:p>
        </w:tc>
        <w:tc>
          <w:tcPr>
            <w:tcW w:w="918" w:type="dxa"/>
            <w:vAlign w:val="center"/>
          </w:tcPr>
          <w:p w14:paraId="70511B41" w14:textId="08C2C479"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-5.1%</w:t>
            </w:r>
          </w:p>
        </w:tc>
        <w:tc>
          <w:tcPr>
            <w:tcW w:w="917" w:type="dxa"/>
            <w:vAlign w:val="center"/>
          </w:tcPr>
          <w:p w14:paraId="728F8758" w14:textId="35D06469"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-7.5%</w:t>
            </w:r>
          </w:p>
        </w:tc>
        <w:tc>
          <w:tcPr>
            <w:tcW w:w="918" w:type="dxa"/>
            <w:vAlign w:val="center"/>
          </w:tcPr>
          <w:p w14:paraId="07482931" w14:textId="1405F8D3"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0.0%</w:t>
            </w:r>
          </w:p>
        </w:tc>
        <w:tc>
          <w:tcPr>
            <w:tcW w:w="918" w:type="dxa"/>
            <w:vAlign w:val="center"/>
          </w:tcPr>
          <w:p w14:paraId="7660F7C4" w14:textId="77777777"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+1.0%</w:t>
            </w:r>
          </w:p>
        </w:tc>
        <w:tc>
          <w:tcPr>
            <w:tcW w:w="917" w:type="dxa"/>
            <w:vAlign w:val="center"/>
          </w:tcPr>
          <w:p w14:paraId="010E1889" w14:textId="5D9F506C"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+3.5%</w:t>
            </w:r>
          </w:p>
        </w:tc>
        <w:tc>
          <w:tcPr>
            <w:tcW w:w="918" w:type="dxa"/>
            <w:vAlign w:val="center"/>
          </w:tcPr>
          <w:p w14:paraId="6AEA9183" w14:textId="2BB085E6"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118</w:t>
            </w:r>
            <w:r w:rsidRPr="000C4A54">
              <w:rPr>
                <w:rFonts w:ascii="Arial" w:hAnsi="Arial" w:cs="Arial"/>
                <w:bCs/>
                <w:color w:val="215868" w:themeColor="accent5" w:themeShade="80"/>
                <w:sz w:val="18"/>
                <w:szCs w:val="18"/>
              </w:rPr>
              <w:t>M</w:t>
            </w:r>
          </w:p>
        </w:tc>
        <w:tc>
          <w:tcPr>
            <w:tcW w:w="918" w:type="dxa"/>
            <w:vAlign w:val="center"/>
          </w:tcPr>
          <w:p w14:paraId="14CFFCD7" w14:textId="641B8E64" w:rsidR="00CF01CC" w:rsidRPr="000C4A54" w:rsidRDefault="00CF01CC"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2.2</w:t>
            </w:r>
            <w:r w:rsidRPr="000C4A54">
              <w:rPr>
                <w:rFonts w:ascii="Arial" w:hAnsi="Arial" w:cs="Arial"/>
                <w:bCs/>
                <w:color w:val="215868" w:themeColor="accent5" w:themeShade="80"/>
                <w:sz w:val="18"/>
                <w:szCs w:val="18"/>
              </w:rPr>
              <w:t>%</w:t>
            </w:r>
          </w:p>
        </w:tc>
        <w:tc>
          <w:tcPr>
            <w:tcW w:w="918" w:type="dxa"/>
            <w:vAlign w:val="center"/>
          </w:tcPr>
          <w:p w14:paraId="0A237902" w14:textId="76253787" w:rsidR="00CF01CC" w:rsidRPr="000C4A54" w:rsidRDefault="000C4A54" w:rsidP="00CF01C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C484B">
              <w:rPr>
                <w:rFonts w:ascii="Arial" w:hAnsi="Arial" w:cs="Arial"/>
                <w:bCs/>
                <w:color w:val="215868" w:themeColor="accent5" w:themeShade="80"/>
                <w:sz w:val="18"/>
                <w:szCs w:val="18"/>
              </w:rPr>
              <w:t>3.8</w:t>
            </w:r>
            <w:r w:rsidR="00CF01CC" w:rsidRPr="000C4A54">
              <w:rPr>
                <w:rFonts w:ascii="Arial" w:hAnsi="Arial" w:cs="Arial"/>
                <w:bCs/>
                <w:color w:val="215868" w:themeColor="accent5" w:themeShade="80"/>
                <w:sz w:val="18"/>
                <w:szCs w:val="18"/>
              </w:rPr>
              <w:t>%</w:t>
            </w:r>
          </w:p>
        </w:tc>
      </w:tr>
      <w:tr w:rsidR="00F33BE2" w:rsidRPr="000C4A54" w14:paraId="28E9290C" w14:textId="77777777" w:rsidTr="00B4616F">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029010AF" w14:textId="77777777" w:rsidR="00E70C86" w:rsidRPr="000C4A54" w:rsidRDefault="00E70C86" w:rsidP="00B4616F">
            <w:pPr>
              <w:jc w:val="right"/>
              <w:rPr>
                <w:rFonts w:ascii="Arial" w:hAnsi="Arial" w:cs="Arial"/>
                <w:b w:val="0"/>
                <w:color w:val="215868" w:themeColor="accent5" w:themeShade="80"/>
                <w:sz w:val="18"/>
                <w:szCs w:val="18"/>
              </w:rPr>
            </w:pPr>
            <w:r w:rsidRPr="000C4A54">
              <w:rPr>
                <w:rFonts w:ascii="Arial" w:hAnsi="Arial" w:cs="Arial"/>
                <w:b w:val="0"/>
                <w:color w:val="215868" w:themeColor="accent5" w:themeShade="80"/>
                <w:sz w:val="18"/>
                <w:szCs w:val="18"/>
              </w:rPr>
              <w:t>Broccoli</w:t>
            </w:r>
          </w:p>
        </w:tc>
        <w:tc>
          <w:tcPr>
            <w:tcW w:w="918" w:type="dxa"/>
            <w:gridSpan w:val="2"/>
            <w:vAlign w:val="center"/>
          </w:tcPr>
          <w:p w14:paraId="6BDCB029"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+7.3%</w:t>
            </w:r>
          </w:p>
        </w:tc>
        <w:tc>
          <w:tcPr>
            <w:tcW w:w="918" w:type="dxa"/>
            <w:gridSpan w:val="2"/>
            <w:vAlign w:val="center"/>
          </w:tcPr>
          <w:p w14:paraId="0C5F03A5"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+12.3%</w:t>
            </w:r>
          </w:p>
        </w:tc>
        <w:tc>
          <w:tcPr>
            <w:tcW w:w="918" w:type="dxa"/>
            <w:vAlign w:val="center"/>
          </w:tcPr>
          <w:p w14:paraId="341B86F7"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+5.0%</w:t>
            </w:r>
          </w:p>
        </w:tc>
        <w:tc>
          <w:tcPr>
            <w:tcW w:w="917" w:type="dxa"/>
            <w:vAlign w:val="center"/>
          </w:tcPr>
          <w:p w14:paraId="1F158A26"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-4.9%</w:t>
            </w:r>
          </w:p>
        </w:tc>
        <w:tc>
          <w:tcPr>
            <w:tcW w:w="918" w:type="dxa"/>
            <w:vAlign w:val="center"/>
          </w:tcPr>
          <w:p w14:paraId="1861942C"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color w:val="215868" w:themeColor="accent5" w:themeShade="80"/>
                <w:sz w:val="18"/>
                <w:szCs w:val="18"/>
              </w:rPr>
              <w:t>-0.2%</w:t>
            </w:r>
          </w:p>
        </w:tc>
        <w:tc>
          <w:tcPr>
            <w:tcW w:w="918" w:type="dxa"/>
            <w:vAlign w:val="center"/>
          </w:tcPr>
          <w:p w14:paraId="727E1095"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0C4A54">
              <w:rPr>
                <w:rFonts w:ascii="Arial" w:hAnsi="Arial" w:cs="Arial"/>
                <w:bCs/>
                <w:color w:val="215868" w:themeColor="accent5" w:themeShade="80"/>
                <w:sz w:val="18"/>
                <w:szCs w:val="18"/>
              </w:rPr>
              <w:t>+7.3%</w:t>
            </w:r>
          </w:p>
        </w:tc>
        <w:tc>
          <w:tcPr>
            <w:tcW w:w="917" w:type="dxa"/>
            <w:vAlign w:val="center"/>
          </w:tcPr>
          <w:p w14:paraId="694F1199" w14:textId="77777777"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0C4A54">
              <w:rPr>
                <w:rFonts w:ascii="Arial" w:hAnsi="Arial" w:cs="Arial"/>
                <w:color w:val="215868" w:themeColor="accent5" w:themeShade="80"/>
                <w:sz w:val="18"/>
                <w:szCs w:val="18"/>
              </w:rPr>
              <w:t>+4.4%</w:t>
            </w:r>
          </w:p>
        </w:tc>
        <w:tc>
          <w:tcPr>
            <w:tcW w:w="918" w:type="dxa"/>
            <w:vAlign w:val="center"/>
          </w:tcPr>
          <w:p w14:paraId="196302F6" w14:textId="7E82C0E8"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118</w:t>
            </w:r>
            <w:r w:rsidRPr="000C4A54">
              <w:rPr>
                <w:rFonts w:ascii="Arial" w:hAnsi="Arial" w:cs="Arial"/>
                <w:bCs/>
                <w:color w:val="215868" w:themeColor="accent5" w:themeShade="80"/>
                <w:sz w:val="18"/>
                <w:szCs w:val="18"/>
              </w:rPr>
              <w:t>M</w:t>
            </w:r>
          </w:p>
        </w:tc>
        <w:tc>
          <w:tcPr>
            <w:tcW w:w="918" w:type="dxa"/>
            <w:vAlign w:val="center"/>
          </w:tcPr>
          <w:p w14:paraId="06754BD2" w14:textId="2286CC2E" w:rsidR="00E70C86" w:rsidRPr="000C4A54" w:rsidRDefault="00E70C86"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9B4A81">
              <w:rPr>
                <w:rFonts w:ascii="Arial" w:hAnsi="Arial" w:cs="Arial"/>
                <w:bCs/>
                <w:color w:val="215868" w:themeColor="accent5" w:themeShade="80"/>
                <w:sz w:val="18"/>
                <w:szCs w:val="18"/>
              </w:rPr>
              <w:t>4.0</w:t>
            </w:r>
            <w:r w:rsidRPr="000C4A54">
              <w:rPr>
                <w:rFonts w:ascii="Arial" w:hAnsi="Arial" w:cs="Arial"/>
                <w:bCs/>
                <w:color w:val="215868" w:themeColor="accent5" w:themeShade="80"/>
                <w:sz w:val="18"/>
                <w:szCs w:val="18"/>
              </w:rPr>
              <w:t>%</w:t>
            </w:r>
          </w:p>
        </w:tc>
        <w:tc>
          <w:tcPr>
            <w:tcW w:w="918" w:type="dxa"/>
            <w:vAlign w:val="center"/>
          </w:tcPr>
          <w:p w14:paraId="5CEA7075" w14:textId="39EE650A" w:rsidR="00E70C86" w:rsidRPr="000C4A54" w:rsidRDefault="000C4A54" w:rsidP="00B4616F">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0C4A54">
              <w:rPr>
                <w:rFonts w:ascii="Arial" w:hAnsi="Arial" w:cs="Arial"/>
                <w:bCs/>
                <w:color w:val="215868" w:themeColor="accent5" w:themeShade="80"/>
                <w:sz w:val="18"/>
                <w:szCs w:val="18"/>
              </w:rPr>
              <w:t>-</w:t>
            </w:r>
            <w:r w:rsidR="00CC484B">
              <w:rPr>
                <w:rFonts w:ascii="Arial" w:hAnsi="Arial" w:cs="Arial"/>
                <w:bCs/>
                <w:color w:val="215868" w:themeColor="accent5" w:themeShade="80"/>
                <w:sz w:val="18"/>
                <w:szCs w:val="18"/>
              </w:rPr>
              <w:t>5.8</w:t>
            </w:r>
            <w:r w:rsidR="00E70C86" w:rsidRPr="000C4A54">
              <w:rPr>
                <w:rFonts w:ascii="Arial" w:hAnsi="Arial" w:cs="Arial"/>
                <w:bCs/>
                <w:color w:val="215868" w:themeColor="accent5" w:themeShade="80"/>
                <w:sz w:val="18"/>
                <w:szCs w:val="18"/>
              </w:rPr>
              <w:t>%</w:t>
            </w:r>
          </w:p>
        </w:tc>
      </w:tr>
    </w:tbl>
    <w:p w14:paraId="4466B100" w14:textId="77777777"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23DE661B" w14:textId="67671ABD"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0DEDAF43" w:rsidR="009E5261" w:rsidRPr="00B35CE9" w:rsidRDefault="00CC484B" w:rsidP="009E5261">
      <w:pPr>
        <w:pStyle w:val="NoSpacing"/>
        <w:rPr>
          <w:rFonts w:ascii="Arial" w:hAnsi="Arial" w:cs="Arial"/>
          <w:sz w:val="20"/>
          <w:szCs w:val="20"/>
        </w:rPr>
      </w:pPr>
      <w:r>
        <w:rPr>
          <w:rFonts w:ascii="Arial" w:hAnsi="Arial" w:cs="Arial"/>
          <w:sz w:val="20"/>
          <w:szCs w:val="20"/>
        </w:rPr>
        <w:t xml:space="preserve">In May 2022, fresh fruit added $146 million in sales and vegetables added $77 million when compared to May 2021. </w:t>
      </w:r>
      <w:r w:rsidR="009E5261">
        <w:rPr>
          <w:rFonts w:ascii="Arial" w:hAnsi="Arial" w:cs="Arial"/>
          <w:sz w:val="20"/>
          <w:szCs w:val="20"/>
        </w:rPr>
        <w:t>“</w:t>
      </w:r>
      <w:r w:rsidR="0064098A">
        <w:rPr>
          <w:rFonts w:ascii="Arial" w:hAnsi="Arial" w:cs="Arial"/>
          <w:sz w:val="20"/>
          <w:szCs w:val="20"/>
        </w:rPr>
        <w:t xml:space="preserve">The </w:t>
      </w:r>
      <w:r w:rsidR="00E4420B">
        <w:rPr>
          <w:rFonts w:ascii="Arial" w:hAnsi="Arial" w:cs="Arial"/>
          <w:sz w:val="20"/>
          <w:szCs w:val="20"/>
        </w:rPr>
        <w:t xml:space="preserve">top 10 </w:t>
      </w:r>
      <w:r w:rsidR="00A225C7">
        <w:rPr>
          <w:rFonts w:ascii="Arial" w:hAnsi="Arial" w:cs="Arial"/>
          <w:sz w:val="20"/>
          <w:szCs w:val="20"/>
        </w:rPr>
        <w:t xml:space="preserve">in absolute dollar gains </w:t>
      </w:r>
      <w:r w:rsidR="00BE7DBD">
        <w:rPr>
          <w:rFonts w:ascii="Arial" w:hAnsi="Arial" w:cs="Arial"/>
          <w:sz w:val="20"/>
          <w:szCs w:val="20"/>
        </w:rPr>
        <w:t xml:space="preserve">shows </w:t>
      </w:r>
      <w:r w:rsidR="0064098A">
        <w:rPr>
          <w:rFonts w:ascii="Arial" w:hAnsi="Arial" w:cs="Arial"/>
          <w:sz w:val="20"/>
          <w:szCs w:val="20"/>
        </w:rPr>
        <w:t>the rising impact of inflation which tends to push shoppers to versatile cooking basics and cost-effective fruits, generally with an eye on shelf life</w:t>
      </w:r>
      <w:r w:rsidR="004D26B3">
        <w:rPr>
          <w:rFonts w:ascii="Arial" w:hAnsi="Arial" w:cs="Arial"/>
          <w:sz w:val="20"/>
          <w:szCs w:val="20"/>
        </w:rPr>
        <w:t>,</w:t>
      </w:r>
      <w:r w:rsidR="009E5261">
        <w:rPr>
          <w:rFonts w:ascii="Arial" w:hAnsi="Arial" w:cs="Arial"/>
          <w:sz w:val="20"/>
          <w:szCs w:val="20"/>
        </w:rPr>
        <w:t>”</w:t>
      </w:r>
      <w:r w:rsidR="004D26B3">
        <w:rPr>
          <w:rFonts w:ascii="Arial" w:hAnsi="Arial" w:cs="Arial"/>
          <w:sz w:val="20"/>
          <w:szCs w:val="20"/>
        </w:rPr>
        <w:t xml:space="preserve"> said </w:t>
      </w:r>
      <w:r w:rsidR="000D5031">
        <w:rPr>
          <w:rFonts w:ascii="Arial" w:hAnsi="Arial" w:cs="Arial"/>
          <w:sz w:val="20"/>
          <w:szCs w:val="20"/>
        </w:rPr>
        <w:t>Parker</w:t>
      </w:r>
      <w:r w:rsidR="004D26B3">
        <w:rPr>
          <w:rFonts w:ascii="Arial" w:hAnsi="Arial" w:cs="Arial"/>
          <w:sz w:val="20"/>
          <w:szCs w:val="20"/>
        </w:rPr>
        <w:t>. “</w:t>
      </w:r>
      <w:r w:rsidR="000D3B17">
        <w:rPr>
          <w:rFonts w:ascii="Arial" w:hAnsi="Arial" w:cs="Arial"/>
          <w:sz w:val="20"/>
          <w:szCs w:val="20"/>
        </w:rPr>
        <w:t xml:space="preserve">Berries </w:t>
      </w:r>
      <w:r w:rsidR="0064098A">
        <w:rPr>
          <w:rFonts w:ascii="Arial" w:hAnsi="Arial" w:cs="Arial"/>
          <w:sz w:val="20"/>
          <w:szCs w:val="20"/>
        </w:rPr>
        <w:t xml:space="preserve">ruled new dollars for many months on end, but </w:t>
      </w:r>
      <w:r w:rsidR="00B26A33">
        <w:rPr>
          <w:rFonts w:ascii="Arial" w:hAnsi="Arial" w:cs="Arial"/>
          <w:sz w:val="20"/>
          <w:szCs w:val="20"/>
        </w:rPr>
        <w:t xml:space="preserve">the decrease in the price per pound meant that new dollars were somewhat subdued in </w:t>
      </w:r>
      <w:r w:rsidR="0064098A">
        <w:rPr>
          <w:rFonts w:ascii="Arial" w:hAnsi="Arial" w:cs="Arial"/>
          <w:sz w:val="20"/>
          <w:szCs w:val="20"/>
        </w:rPr>
        <w:t>May 2022</w:t>
      </w:r>
      <w:r w:rsidR="00B26A33">
        <w:rPr>
          <w:rFonts w:ascii="Arial" w:hAnsi="Arial" w:cs="Arial"/>
          <w:sz w:val="20"/>
          <w:szCs w:val="20"/>
        </w:rPr>
        <w:t xml:space="preserve"> compared with areas with high inflation, such as avocados and limes</w:t>
      </w:r>
      <w:r w:rsidR="0064098A">
        <w:rPr>
          <w:rFonts w:ascii="Arial" w:hAnsi="Arial" w:cs="Arial"/>
          <w:sz w:val="20"/>
          <w:szCs w:val="20"/>
        </w:rPr>
        <w:t>.</w:t>
      </w:r>
      <w:r w:rsidR="00B26A33">
        <w:rPr>
          <w:rFonts w:ascii="Arial" w:hAnsi="Arial" w:cs="Arial"/>
          <w:sz w:val="20"/>
          <w:szCs w:val="20"/>
        </w:rPr>
        <w:t xml:space="preserve"> The one contender bucking that trend are grapes, that had a 12.0% decrease in price, which significantly boosted demand.</w:t>
      </w:r>
      <w:r w:rsidR="006A12EC">
        <w:rPr>
          <w:rFonts w:ascii="Arial" w:hAnsi="Arial" w:cs="Arial"/>
          <w:sz w:val="20"/>
          <w:szCs w:val="20"/>
        </w:rPr>
        <w:t>”</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52C6CD9F" w:rsidR="0087772C" w:rsidRPr="001A4F53" w:rsidRDefault="00AD1D19"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May</w:t>
            </w:r>
            <w:r w:rsidR="000D3B17">
              <w:rPr>
                <w:rFonts w:ascii="Arial" w:hAnsi="Arial" w:cs="Arial"/>
                <w:color w:val="FFFFFF" w:themeColor="background1"/>
                <w:sz w:val="18"/>
                <w:szCs w:val="18"/>
              </w:rPr>
              <w:t xml:space="preserve">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18931E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6DA2C6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5EF30020"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Total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57CAFA7C" w:rsidR="0087772C" w:rsidRPr="001A4F53" w:rsidRDefault="00BE7DBD"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Change </w:t>
            </w:r>
            <w:r w:rsidR="0087772C">
              <w:rPr>
                <w:rFonts w:ascii="Arial" w:hAnsi="Arial" w:cs="Arial"/>
                <w:b/>
                <w:color w:val="FFFFFF" w:themeColor="background1"/>
                <w:sz w:val="18"/>
                <w:szCs w:val="18"/>
              </w:rPr>
              <w:t>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623F005B" w:rsidR="0087772C" w:rsidRPr="0039690E" w:rsidRDefault="00CC484B"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Onions</w:t>
            </w:r>
          </w:p>
        </w:tc>
        <w:tc>
          <w:tcPr>
            <w:tcW w:w="1862" w:type="dxa"/>
            <w:vAlign w:val="center"/>
          </w:tcPr>
          <w:p w14:paraId="27F7C24E" w14:textId="3CC67D71"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36</w:t>
            </w:r>
            <w:r w:rsidR="000D3B17">
              <w:rPr>
                <w:rFonts w:ascii="Arial" w:hAnsi="Arial" w:cs="Arial"/>
                <w:color w:val="215868" w:themeColor="accent5" w:themeShade="80"/>
                <w:sz w:val="18"/>
                <w:szCs w:val="18"/>
              </w:rPr>
              <w:t>M</w:t>
            </w:r>
          </w:p>
        </w:tc>
        <w:tc>
          <w:tcPr>
            <w:tcW w:w="1863" w:type="dxa"/>
            <w:vAlign w:val="center"/>
          </w:tcPr>
          <w:p w14:paraId="66E5E3BB" w14:textId="0352FED0"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16.7</w:t>
            </w:r>
            <w:r w:rsidRPr="0039690E">
              <w:rPr>
                <w:rFonts w:ascii="Arial" w:hAnsi="Arial" w:cs="Arial"/>
                <w:color w:val="215868" w:themeColor="accent5" w:themeShade="80"/>
                <w:sz w:val="18"/>
                <w:szCs w:val="18"/>
              </w:rPr>
              <w:t>%</w:t>
            </w:r>
          </w:p>
        </w:tc>
        <w:tc>
          <w:tcPr>
            <w:tcW w:w="1862" w:type="dxa"/>
            <w:vAlign w:val="center"/>
          </w:tcPr>
          <w:p w14:paraId="1C5E5C05" w14:textId="5A83E627"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255</w:t>
            </w:r>
            <w:r w:rsidRPr="0039690E">
              <w:rPr>
                <w:rFonts w:ascii="Arial" w:hAnsi="Arial" w:cs="Arial"/>
                <w:color w:val="215868" w:themeColor="accent5" w:themeShade="80"/>
                <w:sz w:val="18"/>
                <w:szCs w:val="18"/>
              </w:rPr>
              <w:t>M</w:t>
            </w:r>
          </w:p>
        </w:tc>
        <w:tc>
          <w:tcPr>
            <w:tcW w:w="1863" w:type="dxa"/>
            <w:gridSpan w:val="2"/>
          </w:tcPr>
          <w:p w14:paraId="6AFCF28C" w14:textId="3922BE12" w:rsidR="0087772C" w:rsidRPr="0039690E" w:rsidRDefault="000D3B17"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18.6</w:t>
            </w:r>
            <w:r w:rsidR="0087772C">
              <w:rPr>
                <w:rFonts w:ascii="Arial" w:hAnsi="Arial" w:cs="Arial"/>
                <w:color w:val="215868" w:themeColor="accent5" w:themeShade="80"/>
                <w:sz w:val="18"/>
                <w:szCs w:val="18"/>
              </w:rPr>
              <w:t>%</w:t>
            </w:r>
          </w:p>
        </w:tc>
      </w:tr>
      <w:tr w:rsidR="00025202" w:rsidRPr="0039690E" w14:paraId="43381836"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0F6171FB"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Potatoes</w:t>
            </w:r>
          </w:p>
        </w:tc>
        <w:tc>
          <w:tcPr>
            <w:tcW w:w="1862" w:type="dxa"/>
          </w:tcPr>
          <w:p w14:paraId="473224CC" w14:textId="633407A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31</w:t>
            </w:r>
            <w:r w:rsidRPr="00B1671F">
              <w:rPr>
                <w:rFonts w:ascii="Arial" w:hAnsi="Arial" w:cs="Arial"/>
                <w:color w:val="215868" w:themeColor="accent5" w:themeShade="80"/>
                <w:sz w:val="18"/>
                <w:szCs w:val="18"/>
              </w:rPr>
              <w:t>M</w:t>
            </w:r>
          </w:p>
        </w:tc>
        <w:tc>
          <w:tcPr>
            <w:tcW w:w="1863" w:type="dxa"/>
          </w:tcPr>
          <w:p w14:paraId="69BA81BF" w14:textId="258129B4"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10.7</w:t>
            </w:r>
            <w:r w:rsidRPr="009E037C">
              <w:rPr>
                <w:rFonts w:ascii="Arial" w:hAnsi="Arial" w:cs="Arial"/>
                <w:color w:val="215868" w:themeColor="accent5" w:themeShade="80"/>
                <w:sz w:val="18"/>
                <w:szCs w:val="18"/>
              </w:rPr>
              <w:t>%</w:t>
            </w:r>
          </w:p>
        </w:tc>
        <w:tc>
          <w:tcPr>
            <w:tcW w:w="1862" w:type="dxa"/>
          </w:tcPr>
          <w:p w14:paraId="33105BD9" w14:textId="51D0086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317</w:t>
            </w:r>
            <w:r w:rsidRPr="00FC3E4A">
              <w:rPr>
                <w:rFonts w:ascii="Arial" w:hAnsi="Arial" w:cs="Arial"/>
                <w:color w:val="215868" w:themeColor="accent5" w:themeShade="80"/>
                <w:sz w:val="18"/>
                <w:szCs w:val="18"/>
              </w:rPr>
              <w:t>M</w:t>
            </w:r>
          </w:p>
        </w:tc>
        <w:tc>
          <w:tcPr>
            <w:tcW w:w="1863" w:type="dxa"/>
            <w:gridSpan w:val="2"/>
          </w:tcPr>
          <w:p w14:paraId="15A0570C" w14:textId="5EE6BB0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11.4</w:t>
            </w:r>
            <w:r>
              <w:rPr>
                <w:rFonts w:ascii="Arial" w:hAnsi="Arial" w:cs="Arial"/>
                <w:color w:val="215868" w:themeColor="accent5" w:themeShade="80"/>
                <w:sz w:val="18"/>
                <w:szCs w:val="18"/>
              </w:rPr>
              <w:t>%</w:t>
            </w:r>
          </w:p>
        </w:tc>
      </w:tr>
      <w:tr w:rsidR="00025202" w:rsidRPr="0039690E" w14:paraId="75511BE8"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57B26B85"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Avocados</w:t>
            </w:r>
          </w:p>
        </w:tc>
        <w:tc>
          <w:tcPr>
            <w:tcW w:w="1862" w:type="dxa"/>
          </w:tcPr>
          <w:p w14:paraId="575F9CA6" w14:textId="008255D0"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28</w:t>
            </w:r>
            <w:r w:rsidRPr="00B1671F">
              <w:rPr>
                <w:rFonts w:ascii="Arial" w:hAnsi="Arial" w:cs="Arial"/>
                <w:color w:val="215868" w:themeColor="accent5" w:themeShade="80"/>
                <w:sz w:val="18"/>
                <w:szCs w:val="18"/>
              </w:rPr>
              <w:t>M</w:t>
            </w:r>
          </w:p>
        </w:tc>
        <w:tc>
          <w:tcPr>
            <w:tcW w:w="1863" w:type="dxa"/>
          </w:tcPr>
          <w:p w14:paraId="0A097B6D" w14:textId="7CFA249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10.8</w:t>
            </w:r>
            <w:r w:rsidRPr="009E037C">
              <w:rPr>
                <w:rFonts w:ascii="Arial" w:hAnsi="Arial" w:cs="Arial"/>
                <w:color w:val="215868" w:themeColor="accent5" w:themeShade="80"/>
                <w:sz w:val="18"/>
                <w:szCs w:val="18"/>
              </w:rPr>
              <w:t>%</w:t>
            </w:r>
          </w:p>
        </w:tc>
        <w:tc>
          <w:tcPr>
            <w:tcW w:w="1862" w:type="dxa"/>
          </w:tcPr>
          <w:p w14:paraId="28D0C663" w14:textId="357A0EB6"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291</w:t>
            </w:r>
            <w:r w:rsidRPr="00FC3E4A">
              <w:rPr>
                <w:rFonts w:ascii="Arial" w:hAnsi="Arial" w:cs="Arial"/>
                <w:color w:val="215868" w:themeColor="accent5" w:themeShade="80"/>
                <w:sz w:val="18"/>
                <w:szCs w:val="18"/>
              </w:rPr>
              <w:t>M</w:t>
            </w:r>
          </w:p>
        </w:tc>
        <w:tc>
          <w:tcPr>
            <w:tcW w:w="1863" w:type="dxa"/>
            <w:gridSpan w:val="2"/>
          </w:tcPr>
          <w:p w14:paraId="6C5789DF" w14:textId="1BAF9EFB"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30.5</w:t>
            </w:r>
            <w:r>
              <w:rPr>
                <w:rFonts w:ascii="Arial" w:hAnsi="Arial" w:cs="Arial"/>
                <w:color w:val="215868" w:themeColor="accent5" w:themeShade="80"/>
                <w:sz w:val="18"/>
                <w:szCs w:val="18"/>
              </w:rPr>
              <w:t>%</w:t>
            </w:r>
          </w:p>
        </w:tc>
      </w:tr>
      <w:tr w:rsidR="00025202" w:rsidRPr="0039690E" w14:paraId="1A21AA15"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248D79A5"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Grapes</w:t>
            </w:r>
          </w:p>
        </w:tc>
        <w:tc>
          <w:tcPr>
            <w:tcW w:w="1862" w:type="dxa"/>
          </w:tcPr>
          <w:p w14:paraId="53A4FBF5" w14:textId="074DAFE3"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24</w:t>
            </w:r>
            <w:r w:rsidRPr="00B1671F">
              <w:rPr>
                <w:rFonts w:ascii="Arial" w:hAnsi="Arial" w:cs="Arial"/>
                <w:color w:val="215868" w:themeColor="accent5" w:themeShade="80"/>
                <w:sz w:val="18"/>
                <w:szCs w:val="18"/>
              </w:rPr>
              <w:t>M</w:t>
            </w:r>
          </w:p>
        </w:tc>
        <w:tc>
          <w:tcPr>
            <w:tcW w:w="1863" w:type="dxa"/>
          </w:tcPr>
          <w:p w14:paraId="7B62BF9D" w14:textId="201254F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8.1</w:t>
            </w:r>
            <w:r w:rsidRPr="009E037C">
              <w:rPr>
                <w:rFonts w:ascii="Arial" w:hAnsi="Arial" w:cs="Arial"/>
                <w:color w:val="215868" w:themeColor="accent5" w:themeShade="80"/>
                <w:sz w:val="18"/>
                <w:szCs w:val="18"/>
              </w:rPr>
              <w:t>%</w:t>
            </w:r>
          </w:p>
        </w:tc>
        <w:tc>
          <w:tcPr>
            <w:tcW w:w="1862" w:type="dxa"/>
          </w:tcPr>
          <w:p w14:paraId="165DF388" w14:textId="7C9D148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322</w:t>
            </w:r>
            <w:r w:rsidRPr="00FC3E4A">
              <w:rPr>
                <w:rFonts w:ascii="Arial" w:hAnsi="Arial" w:cs="Arial"/>
                <w:color w:val="215868" w:themeColor="accent5" w:themeShade="80"/>
                <w:sz w:val="18"/>
                <w:szCs w:val="18"/>
              </w:rPr>
              <w:t>M</w:t>
            </w:r>
          </w:p>
        </w:tc>
        <w:tc>
          <w:tcPr>
            <w:tcW w:w="1863" w:type="dxa"/>
            <w:gridSpan w:val="2"/>
          </w:tcPr>
          <w:p w14:paraId="2D5467DF" w14:textId="6B8A6A6D" w:rsidR="00025202" w:rsidRDefault="0064098A"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-12.0</w:t>
            </w:r>
            <w:r w:rsidR="00025202">
              <w:rPr>
                <w:rFonts w:ascii="Arial" w:hAnsi="Arial" w:cs="Arial"/>
                <w:color w:val="215868" w:themeColor="accent5" w:themeShade="80"/>
                <w:sz w:val="18"/>
                <w:szCs w:val="18"/>
              </w:rPr>
              <w:t>%</w:t>
            </w:r>
          </w:p>
        </w:tc>
      </w:tr>
      <w:tr w:rsidR="00025202" w:rsidRPr="0039690E" w14:paraId="75397FB3"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5DFE26BD"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tcPr>
          <w:p w14:paraId="5A00940C" w14:textId="12217A2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24</w:t>
            </w:r>
            <w:r w:rsidRPr="00B1671F">
              <w:rPr>
                <w:rFonts w:ascii="Arial" w:hAnsi="Arial" w:cs="Arial"/>
                <w:color w:val="215868" w:themeColor="accent5" w:themeShade="80"/>
                <w:sz w:val="18"/>
                <w:szCs w:val="18"/>
              </w:rPr>
              <w:t>M</w:t>
            </w:r>
          </w:p>
        </w:tc>
        <w:tc>
          <w:tcPr>
            <w:tcW w:w="1863" w:type="dxa"/>
          </w:tcPr>
          <w:p w14:paraId="633C67A6" w14:textId="0EDC2C13"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6.2</w:t>
            </w:r>
            <w:r w:rsidRPr="009E037C">
              <w:rPr>
                <w:rFonts w:ascii="Arial" w:hAnsi="Arial" w:cs="Arial"/>
                <w:color w:val="215868" w:themeColor="accent5" w:themeShade="80"/>
                <w:sz w:val="18"/>
                <w:szCs w:val="18"/>
              </w:rPr>
              <w:t>%</w:t>
            </w:r>
          </w:p>
        </w:tc>
        <w:tc>
          <w:tcPr>
            <w:tcW w:w="1862" w:type="dxa"/>
          </w:tcPr>
          <w:p w14:paraId="1F613C99" w14:textId="7A9705BD"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409</w:t>
            </w:r>
            <w:r w:rsidRPr="00FC3E4A">
              <w:rPr>
                <w:rFonts w:ascii="Arial" w:hAnsi="Arial" w:cs="Arial"/>
                <w:color w:val="215868" w:themeColor="accent5" w:themeShade="80"/>
                <w:sz w:val="18"/>
                <w:szCs w:val="18"/>
              </w:rPr>
              <w:t>M</w:t>
            </w:r>
          </w:p>
        </w:tc>
        <w:tc>
          <w:tcPr>
            <w:tcW w:w="1863" w:type="dxa"/>
            <w:gridSpan w:val="2"/>
          </w:tcPr>
          <w:p w14:paraId="705E85A2" w14:textId="5E0AC467"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9.6</w:t>
            </w:r>
            <w:r>
              <w:rPr>
                <w:rFonts w:ascii="Arial" w:hAnsi="Arial" w:cs="Arial"/>
                <w:color w:val="215868" w:themeColor="accent5" w:themeShade="80"/>
                <w:sz w:val="18"/>
                <w:szCs w:val="18"/>
              </w:rPr>
              <w:t>%</w:t>
            </w:r>
          </w:p>
        </w:tc>
      </w:tr>
      <w:tr w:rsidR="00025202" w:rsidRPr="0039690E" w14:paraId="60EECAA3"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1BD3783A"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tcBorders>
              <w:left w:val="none" w:sz="0" w:space="0" w:color="auto"/>
              <w:right w:val="none" w:sz="0" w:space="0" w:color="auto"/>
            </w:tcBorders>
          </w:tcPr>
          <w:p w14:paraId="71B192EF" w14:textId="51037D4B"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23</w:t>
            </w:r>
            <w:r w:rsidRPr="00B1671F">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445EC599" w14:textId="5927805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9.1</w:t>
            </w:r>
            <w:r w:rsidRPr="009E037C">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02CF5248" w14:textId="0A73841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282</w:t>
            </w:r>
            <w:r w:rsidRPr="00FC3E4A">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55A65980"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12.9</w:t>
            </w:r>
            <w:r>
              <w:rPr>
                <w:rFonts w:ascii="Arial" w:hAnsi="Arial" w:cs="Arial"/>
                <w:color w:val="215868" w:themeColor="accent5" w:themeShade="80"/>
                <w:sz w:val="18"/>
                <w:szCs w:val="18"/>
              </w:rPr>
              <w:t>%</w:t>
            </w:r>
          </w:p>
        </w:tc>
      </w:tr>
      <w:tr w:rsidR="00025202" w:rsidRPr="0039690E" w14:paraId="702F2F7B"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66960C00"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1862" w:type="dxa"/>
          </w:tcPr>
          <w:p w14:paraId="6C6039DB" w14:textId="78B0B89E"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18</w:t>
            </w:r>
            <w:r w:rsidRPr="00B1671F">
              <w:rPr>
                <w:rFonts w:ascii="Arial" w:hAnsi="Arial" w:cs="Arial"/>
                <w:color w:val="215868" w:themeColor="accent5" w:themeShade="80"/>
                <w:sz w:val="18"/>
                <w:szCs w:val="18"/>
              </w:rPr>
              <w:t>M</w:t>
            </w:r>
          </w:p>
        </w:tc>
        <w:tc>
          <w:tcPr>
            <w:tcW w:w="1863" w:type="dxa"/>
          </w:tcPr>
          <w:p w14:paraId="429880EB" w14:textId="56C469CB"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4.5</w:t>
            </w:r>
            <w:r w:rsidRPr="009E037C">
              <w:rPr>
                <w:rFonts w:ascii="Arial" w:hAnsi="Arial" w:cs="Arial"/>
                <w:color w:val="215868" w:themeColor="accent5" w:themeShade="80"/>
                <w:sz w:val="18"/>
                <w:szCs w:val="18"/>
              </w:rPr>
              <w:t>%</w:t>
            </w:r>
          </w:p>
        </w:tc>
        <w:tc>
          <w:tcPr>
            <w:tcW w:w="1862" w:type="dxa"/>
          </w:tcPr>
          <w:p w14:paraId="6F9682AC" w14:textId="232AC665"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415</w:t>
            </w:r>
            <w:r w:rsidRPr="00FC3E4A">
              <w:rPr>
                <w:rFonts w:ascii="Arial" w:hAnsi="Arial" w:cs="Arial"/>
                <w:color w:val="215868" w:themeColor="accent5" w:themeShade="80"/>
                <w:sz w:val="18"/>
                <w:szCs w:val="18"/>
              </w:rPr>
              <w:t>M</w:t>
            </w:r>
          </w:p>
        </w:tc>
        <w:tc>
          <w:tcPr>
            <w:tcW w:w="1863" w:type="dxa"/>
            <w:gridSpan w:val="2"/>
          </w:tcPr>
          <w:p w14:paraId="7C1FEF60" w14:textId="13036937"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15.5</w:t>
            </w:r>
            <w:r>
              <w:rPr>
                <w:rFonts w:ascii="Arial" w:hAnsi="Arial" w:cs="Arial"/>
                <w:color w:val="215868" w:themeColor="accent5" w:themeShade="80"/>
                <w:sz w:val="18"/>
                <w:szCs w:val="18"/>
              </w:rPr>
              <w:t>%</w:t>
            </w:r>
          </w:p>
        </w:tc>
      </w:tr>
      <w:tr w:rsidR="00025202" w:rsidRPr="0039690E" w14:paraId="5460D770"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75A177B1"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Limes</w:t>
            </w:r>
          </w:p>
        </w:tc>
        <w:tc>
          <w:tcPr>
            <w:tcW w:w="1862" w:type="dxa"/>
          </w:tcPr>
          <w:p w14:paraId="708615DE" w14:textId="6A9523EF"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13</w:t>
            </w:r>
            <w:r w:rsidRPr="00B1671F">
              <w:rPr>
                <w:rFonts w:ascii="Arial" w:hAnsi="Arial" w:cs="Arial"/>
                <w:color w:val="215868" w:themeColor="accent5" w:themeShade="80"/>
                <w:sz w:val="18"/>
                <w:szCs w:val="18"/>
              </w:rPr>
              <w:t>M</w:t>
            </w:r>
          </w:p>
        </w:tc>
        <w:tc>
          <w:tcPr>
            <w:tcW w:w="1863" w:type="dxa"/>
          </w:tcPr>
          <w:p w14:paraId="6301E553" w14:textId="40374B1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15.5</w:t>
            </w:r>
            <w:r w:rsidRPr="009E037C">
              <w:rPr>
                <w:rFonts w:ascii="Arial" w:hAnsi="Arial" w:cs="Arial"/>
                <w:color w:val="215868" w:themeColor="accent5" w:themeShade="80"/>
                <w:sz w:val="18"/>
                <w:szCs w:val="18"/>
              </w:rPr>
              <w:t>%</w:t>
            </w:r>
          </w:p>
        </w:tc>
        <w:tc>
          <w:tcPr>
            <w:tcW w:w="1862" w:type="dxa"/>
          </w:tcPr>
          <w:p w14:paraId="5AC78EC5" w14:textId="022A469D"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97</w:t>
            </w:r>
            <w:r w:rsidRPr="00FC3E4A">
              <w:rPr>
                <w:rFonts w:ascii="Arial" w:hAnsi="Arial" w:cs="Arial"/>
                <w:color w:val="215868" w:themeColor="accent5" w:themeShade="80"/>
                <w:sz w:val="18"/>
                <w:szCs w:val="18"/>
              </w:rPr>
              <w:t>M</w:t>
            </w:r>
          </w:p>
        </w:tc>
        <w:tc>
          <w:tcPr>
            <w:tcW w:w="1863" w:type="dxa"/>
            <w:gridSpan w:val="2"/>
          </w:tcPr>
          <w:p w14:paraId="34BD11CE" w14:textId="7C8E972A"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38.1</w:t>
            </w:r>
            <w:r>
              <w:rPr>
                <w:rFonts w:ascii="Arial" w:hAnsi="Arial" w:cs="Arial"/>
                <w:color w:val="215868" w:themeColor="accent5" w:themeShade="80"/>
                <w:sz w:val="18"/>
                <w:szCs w:val="18"/>
              </w:rPr>
              <w:t>%</w:t>
            </w:r>
          </w:p>
        </w:tc>
      </w:tr>
      <w:tr w:rsidR="00025202" w:rsidRPr="0039690E" w14:paraId="796068CA" w14:textId="77777777" w:rsidTr="007228B7">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79DF48CE"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Oranges</w:t>
            </w:r>
          </w:p>
        </w:tc>
        <w:tc>
          <w:tcPr>
            <w:tcW w:w="1862" w:type="dxa"/>
          </w:tcPr>
          <w:p w14:paraId="044A037C" w14:textId="220CE2BA"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11</w:t>
            </w:r>
            <w:r w:rsidRPr="00B1671F">
              <w:rPr>
                <w:rFonts w:ascii="Arial" w:hAnsi="Arial" w:cs="Arial"/>
                <w:color w:val="215868" w:themeColor="accent5" w:themeShade="80"/>
                <w:sz w:val="18"/>
                <w:szCs w:val="18"/>
              </w:rPr>
              <w:t>M</w:t>
            </w:r>
          </w:p>
        </w:tc>
        <w:tc>
          <w:tcPr>
            <w:tcW w:w="1863" w:type="dxa"/>
          </w:tcPr>
          <w:p w14:paraId="26745975" w14:textId="5C0DF154"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9.4</w:t>
            </w:r>
            <w:r w:rsidRPr="009E037C">
              <w:rPr>
                <w:rFonts w:ascii="Arial" w:hAnsi="Arial" w:cs="Arial"/>
                <w:color w:val="215868" w:themeColor="accent5" w:themeShade="80"/>
                <w:sz w:val="18"/>
                <w:szCs w:val="18"/>
              </w:rPr>
              <w:t>%</w:t>
            </w:r>
          </w:p>
        </w:tc>
        <w:tc>
          <w:tcPr>
            <w:tcW w:w="1862" w:type="dxa"/>
          </w:tcPr>
          <w:p w14:paraId="589893D3" w14:textId="3B276068"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133</w:t>
            </w:r>
            <w:r w:rsidRPr="00FC3E4A">
              <w:rPr>
                <w:rFonts w:ascii="Arial" w:hAnsi="Arial" w:cs="Arial"/>
                <w:color w:val="215868" w:themeColor="accent5" w:themeShade="80"/>
                <w:sz w:val="18"/>
                <w:szCs w:val="18"/>
              </w:rPr>
              <w:t>M</w:t>
            </w:r>
          </w:p>
        </w:tc>
        <w:tc>
          <w:tcPr>
            <w:tcW w:w="1863" w:type="dxa"/>
            <w:gridSpan w:val="2"/>
          </w:tcPr>
          <w:p w14:paraId="706BF9F0" w14:textId="4A561284" w:rsidR="00025202" w:rsidRDefault="00025202" w:rsidP="00025202">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17.9</w:t>
            </w:r>
            <w:r>
              <w:rPr>
                <w:rFonts w:ascii="Arial" w:hAnsi="Arial" w:cs="Arial"/>
                <w:color w:val="215868" w:themeColor="accent5" w:themeShade="80"/>
                <w:sz w:val="18"/>
                <w:szCs w:val="18"/>
              </w:rPr>
              <w:t>%</w:t>
            </w:r>
          </w:p>
        </w:tc>
      </w:tr>
      <w:tr w:rsidR="00025202" w:rsidRPr="0039690E" w14:paraId="461D5732" w14:textId="77777777" w:rsidTr="007228B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4333E861" w:rsidR="00025202" w:rsidRPr="0039690E" w:rsidRDefault="00CC484B" w:rsidP="00025202">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Plums</w:t>
            </w:r>
          </w:p>
        </w:tc>
        <w:tc>
          <w:tcPr>
            <w:tcW w:w="1862" w:type="dxa"/>
          </w:tcPr>
          <w:p w14:paraId="77FA8095" w14:textId="5C19B115"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B1671F">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11</w:t>
            </w:r>
            <w:r w:rsidRPr="00B1671F">
              <w:rPr>
                <w:rFonts w:ascii="Arial" w:hAnsi="Arial" w:cs="Arial"/>
                <w:color w:val="215868" w:themeColor="accent5" w:themeShade="80"/>
                <w:sz w:val="18"/>
                <w:szCs w:val="18"/>
              </w:rPr>
              <w:t>M</w:t>
            </w:r>
          </w:p>
        </w:tc>
        <w:tc>
          <w:tcPr>
            <w:tcW w:w="1863" w:type="dxa"/>
          </w:tcPr>
          <w:p w14:paraId="6023B995" w14:textId="000A2BC2"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9E037C">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205</w:t>
            </w:r>
            <w:r w:rsidRPr="009E037C">
              <w:rPr>
                <w:rFonts w:ascii="Arial" w:hAnsi="Arial" w:cs="Arial"/>
                <w:color w:val="215868" w:themeColor="accent5" w:themeShade="80"/>
                <w:sz w:val="18"/>
                <w:szCs w:val="18"/>
              </w:rPr>
              <w:t>%</w:t>
            </w:r>
          </w:p>
        </w:tc>
        <w:tc>
          <w:tcPr>
            <w:tcW w:w="1862" w:type="dxa"/>
          </w:tcPr>
          <w:p w14:paraId="559377CC" w14:textId="5169D0AC"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sidRPr="00FC3E4A">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17</w:t>
            </w:r>
            <w:r w:rsidRPr="00FC3E4A">
              <w:rPr>
                <w:rFonts w:ascii="Arial" w:hAnsi="Arial" w:cs="Arial"/>
                <w:color w:val="215868" w:themeColor="accent5" w:themeShade="80"/>
                <w:sz w:val="18"/>
                <w:szCs w:val="18"/>
              </w:rPr>
              <w:t>M</w:t>
            </w:r>
          </w:p>
        </w:tc>
        <w:tc>
          <w:tcPr>
            <w:tcW w:w="1863" w:type="dxa"/>
            <w:gridSpan w:val="2"/>
          </w:tcPr>
          <w:p w14:paraId="1567B1D1" w14:textId="12EA51CE" w:rsidR="00025202" w:rsidRDefault="00025202" w:rsidP="00025202">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w:t>
            </w:r>
            <w:r w:rsidR="0064098A">
              <w:rPr>
                <w:rFonts w:ascii="Arial" w:hAnsi="Arial" w:cs="Arial"/>
                <w:color w:val="215868" w:themeColor="accent5" w:themeShade="80"/>
                <w:sz w:val="18"/>
                <w:szCs w:val="18"/>
              </w:rPr>
              <w:t>5.2</w:t>
            </w:r>
            <w:r>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77777777"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7FDE0642" w14:textId="1A1B97CA" w:rsidR="001024F6" w:rsidRDefault="00DD7A16" w:rsidP="001024F6">
      <w:pPr>
        <w:pStyle w:val="NoSpacing"/>
        <w:rPr>
          <w:rFonts w:ascii="Arial" w:hAnsi="Arial" w:cs="Arial"/>
          <w:sz w:val="20"/>
          <w:szCs w:val="20"/>
        </w:rPr>
      </w:pPr>
      <w:r>
        <w:rPr>
          <w:rFonts w:ascii="Arial" w:hAnsi="Arial" w:cs="Arial"/>
          <w:sz w:val="20"/>
          <w:szCs w:val="20"/>
        </w:rPr>
        <w:t>In</w:t>
      </w:r>
      <w:r w:rsidR="0003032A">
        <w:rPr>
          <w:rFonts w:ascii="Arial" w:hAnsi="Arial" w:cs="Arial"/>
          <w:sz w:val="20"/>
          <w:szCs w:val="20"/>
        </w:rPr>
        <w:t xml:space="preserve"> </w:t>
      </w:r>
      <w:r w:rsidR="00B26A33">
        <w:rPr>
          <w:rFonts w:ascii="Arial" w:hAnsi="Arial" w:cs="Arial"/>
          <w:sz w:val="20"/>
          <w:szCs w:val="20"/>
        </w:rPr>
        <w:t>May</w:t>
      </w:r>
      <w:r>
        <w:rPr>
          <w:rFonts w:ascii="Arial" w:hAnsi="Arial" w:cs="Arial"/>
          <w:sz w:val="20"/>
          <w:szCs w:val="20"/>
        </w:rPr>
        <w:t xml:space="preserve">, total perishables grew </w:t>
      </w:r>
      <w:r w:rsidR="00676B67">
        <w:rPr>
          <w:rFonts w:ascii="Arial" w:hAnsi="Arial" w:cs="Arial"/>
          <w:sz w:val="20"/>
          <w:szCs w:val="20"/>
        </w:rPr>
        <w:t>+</w:t>
      </w:r>
      <w:r w:rsidR="00FC21EB">
        <w:rPr>
          <w:rFonts w:ascii="Arial" w:hAnsi="Arial" w:cs="Arial"/>
          <w:sz w:val="20"/>
          <w:szCs w:val="20"/>
        </w:rPr>
        <w:t>6.3</w:t>
      </w:r>
      <w:r>
        <w:rPr>
          <w:rFonts w:ascii="Arial" w:hAnsi="Arial" w:cs="Arial"/>
          <w:sz w:val="20"/>
          <w:szCs w:val="20"/>
        </w:rPr>
        <w:t>%, with above-average increases for bakery</w:t>
      </w:r>
      <w:r w:rsidR="00FC21EB">
        <w:rPr>
          <w:rFonts w:ascii="Arial" w:hAnsi="Arial" w:cs="Arial"/>
          <w:sz w:val="20"/>
          <w:szCs w:val="20"/>
        </w:rPr>
        <w:t>, deli</w:t>
      </w:r>
      <w:r>
        <w:rPr>
          <w:rFonts w:ascii="Arial" w:hAnsi="Arial" w:cs="Arial"/>
          <w:sz w:val="20"/>
          <w:szCs w:val="20"/>
        </w:rPr>
        <w:t xml:space="preserve"> and refrigerated, which includes dairy</w:t>
      </w:r>
      <w:r w:rsidR="00102502">
        <w:rPr>
          <w:rFonts w:ascii="Arial" w:hAnsi="Arial" w:cs="Arial"/>
          <w:sz w:val="20"/>
          <w:szCs w:val="20"/>
        </w:rPr>
        <w:t>.</w:t>
      </w:r>
      <w:r>
        <w:rPr>
          <w:rFonts w:ascii="Arial" w:hAnsi="Arial" w:cs="Arial"/>
          <w:sz w:val="20"/>
          <w:szCs w:val="20"/>
        </w:rPr>
        <w:t xml:space="preserve"> </w:t>
      </w:r>
      <w:r w:rsidR="007D58FE">
        <w:rPr>
          <w:rFonts w:ascii="Arial" w:hAnsi="Arial" w:cs="Arial"/>
          <w:sz w:val="20"/>
          <w:szCs w:val="20"/>
        </w:rPr>
        <w:t xml:space="preserve">The highest gain versus the pre-pandemic normal was generated by </w:t>
      </w:r>
      <w:r w:rsidR="00FC21EB">
        <w:rPr>
          <w:rFonts w:ascii="Arial" w:hAnsi="Arial" w:cs="Arial"/>
          <w:sz w:val="20"/>
          <w:szCs w:val="20"/>
        </w:rPr>
        <w:t>refrigerated</w:t>
      </w:r>
      <w:r w:rsidR="007D58FE">
        <w:rPr>
          <w:rFonts w:ascii="Arial" w:hAnsi="Arial" w:cs="Arial"/>
          <w:sz w:val="20"/>
          <w:szCs w:val="20"/>
        </w:rPr>
        <w:t xml:space="preserve">, up </w:t>
      </w:r>
      <w:r w:rsidR="00676B67">
        <w:rPr>
          <w:rFonts w:ascii="Arial" w:hAnsi="Arial" w:cs="Arial"/>
          <w:sz w:val="20"/>
          <w:szCs w:val="20"/>
        </w:rPr>
        <w:t>+</w:t>
      </w:r>
      <w:r w:rsidR="00FC21EB">
        <w:rPr>
          <w:rFonts w:ascii="Arial" w:hAnsi="Arial" w:cs="Arial"/>
          <w:sz w:val="20"/>
          <w:szCs w:val="20"/>
        </w:rPr>
        <w:t>26.9</w:t>
      </w:r>
      <w:r w:rsidR="007D58FE">
        <w:rPr>
          <w:rFonts w:ascii="Arial" w:hAnsi="Arial" w:cs="Arial"/>
          <w:sz w:val="20"/>
          <w:szCs w:val="20"/>
        </w:rPr>
        <w:t xml:space="preserve">% in </w:t>
      </w:r>
      <w:r w:rsidR="00FC21EB">
        <w:rPr>
          <w:rFonts w:ascii="Arial" w:hAnsi="Arial" w:cs="Arial"/>
          <w:sz w:val="20"/>
          <w:szCs w:val="20"/>
        </w:rPr>
        <w:t xml:space="preserve">May </w:t>
      </w:r>
      <w:r w:rsidR="007D58FE">
        <w:rPr>
          <w:rFonts w:ascii="Arial" w:hAnsi="Arial" w:cs="Arial"/>
          <w:sz w:val="20"/>
          <w:szCs w:val="20"/>
        </w:rPr>
        <w:t xml:space="preserve">of 2022 versus </w:t>
      </w:r>
      <w:r w:rsidR="00FC21EB">
        <w:rPr>
          <w:rFonts w:ascii="Arial" w:hAnsi="Arial" w:cs="Arial"/>
          <w:sz w:val="20"/>
          <w:szCs w:val="20"/>
        </w:rPr>
        <w:t xml:space="preserve">May </w:t>
      </w:r>
      <w:r w:rsidR="007D58FE">
        <w:rPr>
          <w:rFonts w:ascii="Arial" w:hAnsi="Arial" w:cs="Arial"/>
          <w:sz w:val="20"/>
          <w:szCs w:val="20"/>
        </w:rPr>
        <w:t xml:space="preserve">2019. The departments still selling more units in </w:t>
      </w:r>
      <w:r w:rsidR="00FC21EB">
        <w:rPr>
          <w:rFonts w:ascii="Arial" w:hAnsi="Arial" w:cs="Arial"/>
          <w:sz w:val="20"/>
          <w:szCs w:val="20"/>
        </w:rPr>
        <w:t xml:space="preserve">May </w:t>
      </w:r>
      <w:r w:rsidR="007D58FE">
        <w:rPr>
          <w:rFonts w:ascii="Arial" w:hAnsi="Arial" w:cs="Arial"/>
          <w:sz w:val="20"/>
          <w:szCs w:val="20"/>
        </w:rPr>
        <w:t xml:space="preserve">2022 than they did in </w:t>
      </w:r>
      <w:r w:rsidR="00FC21EB">
        <w:rPr>
          <w:rFonts w:ascii="Arial" w:hAnsi="Arial" w:cs="Arial"/>
          <w:sz w:val="20"/>
          <w:szCs w:val="20"/>
        </w:rPr>
        <w:t>May</w:t>
      </w:r>
      <w:r w:rsidR="0003032A">
        <w:rPr>
          <w:rFonts w:ascii="Arial" w:hAnsi="Arial" w:cs="Arial"/>
          <w:sz w:val="20"/>
          <w:szCs w:val="20"/>
        </w:rPr>
        <w:t xml:space="preserve"> </w:t>
      </w:r>
      <w:r w:rsidR="007D58FE">
        <w:rPr>
          <w:rFonts w:ascii="Arial" w:hAnsi="Arial" w:cs="Arial"/>
          <w:sz w:val="20"/>
          <w:szCs w:val="20"/>
        </w:rPr>
        <w:t xml:space="preserve">2019 </w:t>
      </w:r>
      <w:r w:rsidR="00FC21EB">
        <w:rPr>
          <w:rFonts w:ascii="Arial" w:hAnsi="Arial" w:cs="Arial"/>
          <w:sz w:val="20"/>
          <w:szCs w:val="20"/>
        </w:rPr>
        <w:t>we</w:t>
      </w:r>
      <w:r w:rsidR="007D58FE">
        <w:rPr>
          <w:rFonts w:ascii="Arial" w:hAnsi="Arial" w:cs="Arial"/>
          <w:sz w:val="20"/>
          <w:szCs w:val="20"/>
        </w:rPr>
        <w:t>re</w:t>
      </w:r>
      <w:r w:rsidR="006620E0">
        <w:rPr>
          <w:rFonts w:ascii="Arial" w:hAnsi="Arial" w:cs="Arial"/>
          <w:sz w:val="20"/>
          <w:szCs w:val="20"/>
        </w:rPr>
        <w:t xml:space="preserve"> deli and produce</w:t>
      </w:r>
      <w:r w:rsidR="007D58FE">
        <w:rPr>
          <w:rFonts w:ascii="Arial" w:hAnsi="Arial" w:cs="Arial"/>
          <w:sz w:val="20"/>
          <w:szCs w:val="20"/>
        </w:rPr>
        <w:t xml:space="preserve">. </w:t>
      </w:r>
      <w:r w:rsidR="00102502">
        <w:rPr>
          <w:rFonts w:ascii="Arial" w:hAnsi="Arial" w:cs="Arial"/>
          <w:sz w:val="20"/>
          <w:szCs w:val="20"/>
        </w:rPr>
        <w:t xml:space="preserve"> </w:t>
      </w:r>
      <w:r w:rsidR="000166DA">
        <w:rPr>
          <w:rFonts w:ascii="Arial" w:hAnsi="Arial" w:cs="Arial"/>
          <w:sz w:val="20"/>
          <w:szCs w:val="20"/>
        </w:rPr>
        <w:t xml:space="preserve"> </w:t>
      </w:r>
      <w:r w:rsidR="001024F6">
        <w:rPr>
          <w:rFonts w:ascii="Arial" w:hAnsi="Arial" w:cs="Arial"/>
          <w:sz w:val="20"/>
          <w:szCs w:val="20"/>
        </w:rPr>
        <w:t xml:space="preserve"> </w:t>
      </w:r>
    </w:p>
    <w:p w14:paraId="4C083BE9" w14:textId="72EF3295" w:rsidR="00843888" w:rsidRDefault="00843888" w:rsidP="001024F6">
      <w:pPr>
        <w:pStyle w:val="NoSpacing"/>
        <w:rPr>
          <w:rFonts w:ascii="Arial" w:hAnsi="Arial" w:cs="Arial"/>
          <w:sz w:val="20"/>
          <w:szCs w:val="20"/>
        </w:rPr>
      </w:pPr>
    </w:p>
    <w:tbl>
      <w:tblPr>
        <w:tblStyle w:val="ListTable6Colorful-Accent5"/>
        <w:tblW w:w="10615" w:type="dxa"/>
        <w:tblLayout w:type="fixed"/>
        <w:tblLook w:val="04A0" w:firstRow="1" w:lastRow="0" w:firstColumn="1" w:lastColumn="0" w:noHBand="0" w:noVBand="1"/>
      </w:tblPr>
      <w:tblGrid>
        <w:gridCol w:w="1795"/>
        <w:gridCol w:w="1102"/>
        <w:gridCol w:w="1103"/>
        <w:gridCol w:w="1102"/>
        <w:gridCol w:w="1103"/>
        <w:gridCol w:w="1102"/>
        <w:gridCol w:w="1103"/>
        <w:gridCol w:w="1102"/>
        <w:gridCol w:w="1103"/>
      </w:tblGrid>
      <w:tr w:rsidR="000D3B17" w:rsidRPr="00843888" w14:paraId="48E8DBE1" w14:textId="77777777" w:rsidTr="00DA261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shd w:val="clear" w:color="auto" w:fill="17365D" w:themeFill="text2" w:themeFillShade="BF"/>
            <w:noWrap/>
            <w:hideMark/>
          </w:tcPr>
          <w:p w14:paraId="37718F62" w14:textId="14591007" w:rsidR="00843888" w:rsidRPr="00843888" w:rsidRDefault="00E52FB1" w:rsidP="00843888">
            <w:pPr>
              <w:rPr>
                <w:rFonts w:ascii="Arial" w:eastAsia="Times New Roman" w:hAnsi="Arial" w:cs="Arial"/>
                <w:color w:val="FFFFFF" w:themeColor="background1"/>
                <w:sz w:val="18"/>
                <w:szCs w:val="18"/>
              </w:rPr>
            </w:pPr>
            <w:r>
              <w:rPr>
                <w:rFonts w:ascii="Arial" w:eastAsia="Times New Roman" w:hAnsi="Arial" w:cs="Arial"/>
                <w:color w:val="FFFFFF" w:themeColor="background1"/>
                <w:sz w:val="18"/>
                <w:szCs w:val="18"/>
              </w:rPr>
              <w:t>May</w:t>
            </w:r>
            <w:r w:rsidR="00DA261B">
              <w:rPr>
                <w:rFonts w:ascii="Arial" w:eastAsia="Times New Roman" w:hAnsi="Arial" w:cs="Arial"/>
                <w:color w:val="FFFFFF" w:themeColor="background1"/>
                <w:sz w:val="18"/>
                <w:szCs w:val="18"/>
              </w:rPr>
              <w:t xml:space="preserve"> 2022</w:t>
            </w:r>
          </w:p>
        </w:tc>
        <w:tc>
          <w:tcPr>
            <w:tcW w:w="1102" w:type="dxa"/>
            <w:shd w:val="clear" w:color="auto" w:fill="17365D" w:themeFill="text2" w:themeFillShade="BF"/>
            <w:noWrap/>
            <w:hideMark/>
          </w:tcPr>
          <w:p w14:paraId="1A966777" w14:textId="71667261"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70BF0F0"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4026DD36"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2E013909"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c>
          <w:tcPr>
            <w:tcW w:w="1102" w:type="dxa"/>
            <w:shd w:val="clear" w:color="auto" w:fill="17365D" w:themeFill="text2" w:themeFillShade="BF"/>
            <w:noWrap/>
            <w:hideMark/>
          </w:tcPr>
          <w:p w14:paraId="7FF5CEA1" w14:textId="023EE176"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Unit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404F7D1"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1DA3D42F"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310FDEF3"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r>
      <w:tr w:rsidR="00B26A33" w:rsidRPr="00843888" w14:paraId="2F8F8C7D" w14:textId="77777777" w:rsidTr="00B26A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8482B25" w14:textId="6C92F679" w:rsidR="00B26A33" w:rsidRPr="00843888" w:rsidRDefault="00B26A33" w:rsidP="00B26A33">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Perishables</w:t>
            </w:r>
          </w:p>
        </w:tc>
        <w:tc>
          <w:tcPr>
            <w:tcW w:w="1102" w:type="dxa"/>
            <w:noWrap/>
            <w:vAlign w:val="bottom"/>
            <w:hideMark/>
          </w:tcPr>
          <w:p w14:paraId="73ABED33" w14:textId="21D299EE"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31.7</w:t>
            </w:r>
            <w:r>
              <w:rPr>
                <w:rFonts w:ascii="Arial" w:hAnsi="Arial" w:cs="Arial"/>
                <w:color w:val="215868" w:themeColor="accent5" w:themeShade="80"/>
                <w:sz w:val="18"/>
                <w:szCs w:val="18"/>
              </w:rPr>
              <w:t>B</w:t>
            </w:r>
          </w:p>
        </w:tc>
        <w:tc>
          <w:tcPr>
            <w:tcW w:w="1103" w:type="dxa"/>
            <w:noWrap/>
            <w:vAlign w:val="bottom"/>
            <w:hideMark/>
          </w:tcPr>
          <w:p w14:paraId="25B7B7AA" w14:textId="3FF60A58"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6.3</w:t>
            </w:r>
            <w:r w:rsidRPr="00DA261B">
              <w:rPr>
                <w:rFonts w:ascii="Arial" w:hAnsi="Arial" w:cs="Arial"/>
                <w:color w:val="215868" w:themeColor="accent5" w:themeShade="80"/>
                <w:sz w:val="18"/>
                <w:szCs w:val="18"/>
              </w:rPr>
              <w:t>%</w:t>
            </w:r>
          </w:p>
        </w:tc>
        <w:tc>
          <w:tcPr>
            <w:tcW w:w="1102" w:type="dxa"/>
            <w:noWrap/>
            <w:vAlign w:val="bottom"/>
            <w:hideMark/>
          </w:tcPr>
          <w:p w14:paraId="140DAB3C" w14:textId="631CD36C"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2.5</w:t>
            </w:r>
            <w:r w:rsidRPr="00DA261B">
              <w:rPr>
                <w:rFonts w:ascii="Arial" w:hAnsi="Arial" w:cs="Arial"/>
                <w:color w:val="215868" w:themeColor="accent5" w:themeShade="80"/>
                <w:sz w:val="18"/>
                <w:szCs w:val="18"/>
              </w:rPr>
              <w:t>%</w:t>
            </w:r>
          </w:p>
        </w:tc>
        <w:tc>
          <w:tcPr>
            <w:tcW w:w="1103" w:type="dxa"/>
            <w:noWrap/>
            <w:vAlign w:val="bottom"/>
            <w:hideMark/>
          </w:tcPr>
          <w:p w14:paraId="6B6ED24B" w14:textId="44DB5AB3" w:rsidR="00B26A33" w:rsidRPr="00DA261B"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21.3</w:t>
            </w:r>
            <w:r w:rsidRPr="00DA261B">
              <w:rPr>
                <w:rFonts w:ascii="Arial" w:hAnsi="Arial" w:cs="Arial"/>
                <w:color w:val="215868" w:themeColor="accent5" w:themeShade="80"/>
                <w:sz w:val="18"/>
                <w:szCs w:val="18"/>
              </w:rPr>
              <w:t>%</w:t>
            </w:r>
          </w:p>
        </w:tc>
        <w:tc>
          <w:tcPr>
            <w:tcW w:w="1102" w:type="dxa"/>
            <w:noWrap/>
            <w:vAlign w:val="bottom"/>
            <w:hideMark/>
          </w:tcPr>
          <w:p w14:paraId="15867B9D" w14:textId="1EDD079B" w:rsidR="00B26A33" w:rsidRPr="00DA261B" w:rsidRDefault="00FC21EB"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8.3</w:t>
            </w:r>
            <w:r w:rsidR="00B26A33">
              <w:rPr>
                <w:rFonts w:ascii="Arial" w:hAnsi="Arial" w:cs="Arial"/>
                <w:color w:val="215868" w:themeColor="accent5" w:themeShade="80"/>
                <w:sz w:val="18"/>
                <w:szCs w:val="18"/>
              </w:rPr>
              <w:t>B</w:t>
            </w:r>
          </w:p>
        </w:tc>
        <w:tc>
          <w:tcPr>
            <w:tcW w:w="1103" w:type="dxa"/>
            <w:noWrap/>
            <w:vAlign w:val="center"/>
            <w:hideMark/>
          </w:tcPr>
          <w:p w14:paraId="6340ECF5" w14:textId="21D924C2"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4.9</w:t>
            </w:r>
            <w:r w:rsidRPr="00B26A33">
              <w:rPr>
                <w:rFonts w:ascii="Arial" w:hAnsi="Arial" w:cs="Arial"/>
                <w:color w:val="215868" w:themeColor="accent5" w:themeShade="80"/>
                <w:sz w:val="18"/>
                <w:szCs w:val="18"/>
              </w:rPr>
              <w:t>%</w:t>
            </w:r>
          </w:p>
        </w:tc>
        <w:tc>
          <w:tcPr>
            <w:tcW w:w="1102" w:type="dxa"/>
            <w:noWrap/>
            <w:vAlign w:val="center"/>
            <w:hideMark/>
          </w:tcPr>
          <w:p w14:paraId="4CCF5250" w14:textId="0DA7839A"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10.0</w:t>
            </w:r>
            <w:r w:rsidRPr="00B26A33">
              <w:rPr>
                <w:rFonts w:ascii="Arial" w:hAnsi="Arial" w:cs="Arial"/>
                <w:color w:val="215868" w:themeColor="accent5" w:themeShade="80"/>
                <w:sz w:val="18"/>
                <w:szCs w:val="18"/>
              </w:rPr>
              <w:t>%</w:t>
            </w:r>
          </w:p>
        </w:tc>
        <w:tc>
          <w:tcPr>
            <w:tcW w:w="1103" w:type="dxa"/>
            <w:noWrap/>
            <w:vAlign w:val="center"/>
            <w:hideMark/>
          </w:tcPr>
          <w:p w14:paraId="4895A2B3" w14:textId="200C00C3" w:rsidR="00B26A33" w:rsidRPr="00B26A33" w:rsidRDefault="00B26A33" w:rsidP="00B26A3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B26A33">
              <w:rPr>
                <w:rFonts w:ascii="Arial" w:hAnsi="Arial" w:cs="Arial"/>
                <w:color w:val="215868" w:themeColor="accent5" w:themeShade="80"/>
                <w:sz w:val="18"/>
                <w:szCs w:val="18"/>
              </w:rPr>
              <w:t>-</w:t>
            </w:r>
            <w:r w:rsidR="00FC21EB">
              <w:rPr>
                <w:rFonts w:ascii="Arial" w:hAnsi="Arial" w:cs="Arial"/>
                <w:color w:val="215868" w:themeColor="accent5" w:themeShade="80"/>
                <w:sz w:val="18"/>
                <w:szCs w:val="18"/>
              </w:rPr>
              <w:t>0.3</w:t>
            </w:r>
            <w:r w:rsidRPr="00B26A33">
              <w:rPr>
                <w:rFonts w:ascii="Arial" w:hAnsi="Arial" w:cs="Arial"/>
                <w:color w:val="215868" w:themeColor="accent5" w:themeShade="80"/>
                <w:sz w:val="18"/>
                <w:szCs w:val="18"/>
              </w:rPr>
              <w:t>%</w:t>
            </w:r>
          </w:p>
        </w:tc>
      </w:tr>
      <w:tr w:rsidR="00FC21EB" w:rsidRPr="00843888" w14:paraId="5C74590E"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10D5A9F" w14:textId="42C25D5B"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Bakery</w:t>
            </w:r>
          </w:p>
        </w:tc>
        <w:tc>
          <w:tcPr>
            <w:tcW w:w="1102" w:type="dxa"/>
            <w:noWrap/>
            <w:vAlign w:val="bottom"/>
            <w:hideMark/>
          </w:tcPr>
          <w:p w14:paraId="685A5CFA" w14:textId="06A26553"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3.8B</w:t>
            </w:r>
          </w:p>
        </w:tc>
        <w:tc>
          <w:tcPr>
            <w:tcW w:w="1103" w:type="dxa"/>
            <w:noWrap/>
            <w:vAlign w:val="bottom"/>
            <w:hideMark/>
          </w:tcPr>
          <w:p w14:paraId="6DADCD24" w14:textId="19AEEFD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+8.7</w:t>
            </w:r>
            <w:r w:rsidRPr="00DA261B">
              <w:rPr>
                <w:rFonts w:ascii="Arial" w:hAnsi="Arial" w:cs="Arial"/>
                <w:color w:val="215868" w:themeColor="accent5" w:themeShade="80"/>
                <w:sz w:val="18"/>
                <w:szCs w:val="18"/>
              </w:rPr>
              <w:t>%</w:t>
            </w:r>
          </w:p>
        </w:tc>
        <w:tc>
          <w:tcPr>
            <w:tcW w:w="1102" w:type="dxa"/>
            <w:noWrap/>
            <w:vAlign w:val="bottom"/>
            <w:hideMark/>
          </w:tcPr>
          <w:p w14:paraId="3FA3D49D" w14:textId="59BAC54D"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+12.7</w:t>
            </w:r>
            <w:r w:rsidRPr="00DA261B">
              <w:rPr>
                <w:rFonts w:ascii="Arial" w:hAnsi="Arial" w:cs="Arial"/>
                <w:color w:val="215868" w:themeColor="accent5" w:themeShade="80"/>
                <w:sz w:val="18"/>
                <w:szCs w:val="18"/>
              </w:rPr>
              <w:t>%</w:t>
            </w:r>
          </w:p>
        </w:tc>
        <w:tc>
          <w:tcPr>
            <w:tcW w:w="1103" w:type="dxa"/>
            <w:noWrap/>
            <w:vAlign w:val="bottom"/>
            <w:hideMark/>
          </w:tcPr>
          <w:p w14:paraId="0B2072AA" w14:textId="2D00F295"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+19.9</w:t>
            </w:r>
            <w:r w:rsidRPr="00DA261B">
              <w:rPr>
                <w:rFonts w:ascii="Arial" w:hAnsi="Arial" w:cs="Arial"/>
                <w:color w:val="215868" w:themeColor="accent5" w:themeShade="80"/>
                <w:sz w:val="18"/>
                <w:szCs w:val="18"/>
              </w:rPr>
              <w:t>%</w:t>
            </w:r>
          </w:p>
        </w:tc>
        <w:tc>
          <w:tcPr>
            <w:tcW w:w="1102" w:type="dxa"/>
            <w:noWrap/>
            <w:vAlign w:val="bottom"/>
            <w:hideMark/>
          </w:tcPr>
          <w:p w14:paraId="76DB9F3F" w14:textId="374097A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1.1B</w:t>
            </w:r>
          </w:p>
        </w:tc>
        <w:tc>
          <w:tcPr>
            <w:tcW w:w="1103" w:type="dxa"/>
            <w:noWrap/>
            <w:vAlign w:val="center"/>
            <w:hideMark/>
          </w:tcPr>
          <w:p w14:paraId="62793CA1" w14:textId="7B40554F"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-3.4%</w:t>
            </w:r>
          </w:p>
        </w:tc>
        <w:tc>
          <w:tcPr>
            <w:tcW w:w="1102" w:type="dxa"/>
            <w:noWrap/>
            <w:vAlign w:val="center"/>
            <w:hideMark/>
          </w:tcPr>
          <w:p w14:paraId="6017D95C" w14:textId="5228CB7F"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-3.1%</w:t>
            </w:r>
          </w:p>
        </w:tc>
        <w:tc>
          <w:tcPr>
            <w:tcW w:w="1103" w:type="dxa"/>
            <w:noWrap/>
            <w:vAlign w:val="center"/>
            <w:hideMark/>
          </w:tcPr>
          <w:p w14:paraId="0DFA7558" w14:textId="4497F990"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-5.9%</w:t>
            </w:r>
          </w:p>
        </w:tc>
      </w:tr>
      <w:tr w:rsidR="00FC21EB" w:rsidRPr="00843888" w14:paraId="709C5EF3"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6894EBE" w14:textId="1D22D040"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Deli</w:t>
            </w:r>
          </w:p>
        </w:tc>
        <w:tc>
          <w:tcPr>
            <w:tcW w:w="1102" w:type="dxa"/>
            <w:noWrap/>
            <w:vAlign w:val="bottom"/>
            <w:hideMark/>
          </w:tcPr>
          <w:p w14:paraId="0C9EB501" w14:textId="7DB24AD4"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4.2B</w:t>
            </w:r>
          </w:p>
        </w:tc>
        <w:tc>
          <w:tcPr>
            <w:tcW w:w="1103" w:type="dxa"/>
            <w:noWrap/>
            <w:vAlign w:val="bottom"/>
            <w:hideMark/>
          </w:tcPr>
          <w:p w14:paraId="3F92A315" w14:textId="6CB929A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+7.1</w:t>
            </w:r>
            <w:r w:rsidRPr="00DA261B">
              <w:rPr>
                <w:rFonts w:ascii="Arial" w:hAnsi="Arial" w:cs="Arial"/>
                <w:color w:val="215868" w:themeColor="accent5" w:themeShade="80"/>
                <w:sz w:val="18"/>
                <w:szCs w:val="18"/>
              </w:rPr>
              <w:t>%</w:t>
            </w:r>
          </w:p>
        </w:tc>
        <w:tc>
          <w:tcPr>
            <w:tcW w:w="1102" w:type="dxa"/>
            <w:noWrap/>
            <w:vAlign w:val="bottom"/>
            <w:hideMark/>
          </w:tcPr>
          <w:p w14:paraId="77872D8C" w14:textId="75699AE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+24.2</w:t>
            </w:r>
            <w:r w:rsidRPr="00DA261B">
              <w:rPr>
                <w:rFonts w:ascii="Arial" w:hAnsi="Arial" w:cs="Arial"/>
                <w:color w:val="215868" w:themeColor="accent5" w:themeShade="80"/>
                <w:sz w:val="18"/>
                <w:szCs w:val="18"/>
              </w:rPr>
              <w:t>%</w:t>
            </w:r>
          </w:p>
        </w:tc>
        <w:tc>
          <w:tcPr>
            <w:tcW w:w="1103" w:type="dxa"/>
            <w:noWrap/>
            <w:vAlign w:val="bottom"/>
            <w:hideMark/>
          </w:tcPr>
          <w:p w14:paraId="17EB5AA8" w14:textId="25A38284"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+20.0</w:t>
            </w:r>
            <w:r w:rsidRPr="00DA261B">
              <w:rPr>
                <w:rFonts w:ascii="Arial" w:hAnsi="Arial" w:cs="Arial"/>
                <w:color w:val="215868" w:themeColor="accent5" w:themeShade="80"/>
                <w:sz w:val="18"/>
                <w:szCs w:val="18"/>
              </w:rPr>
              <w:t>%</w:t>
            </w:r>
          </w:p>
        </w:tc>
        <w:tc>
          <w:tcPr>
            <w:tcW w:w="1102" w:type="dxa"/>
            <w:noWrap/>
            <w:vAlign w:val="bottom"/>
            <w:hideMark/>
          </w:tcPr>
          <w:p w14:paraId="3B01B02E" w14:textId="3E7C8DD1"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742M</w:t>
            </w:r>
          </w:p>
        </w:tc>
        <w:tc>
          <w:tcPr>
            <w:tcW w:w="1103" w:type="dxa"/>
            <w:noWrap/>
            <w:vAlign w:val="center"/>
            <w:hideMark/>
          </w:tcPr>
          <w:p w14:paraId="4AD0A3AF" w14:textId="69076CB8"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-4.1%</w:t>
            </w:r>
          </w:p>
        </w:tc>
        <w:tc>
          <w:tcPr>
            <w:tcW w:w="1102" w:type="dxa"/>
            <w:noWrap/>
            <w:vAlign w:val="center"/>
            <w:hideMark/>
          </w:tcPr>
          <w:p w14:paraId="41245BA6" w14:textId="483E75F7"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FC21EB">
              <w:rPr>
                <w:rFonts w:ascii="Arial" w:hAnsi="Arial" w:cs="Arial"/>
                <w:color w:val="215868" w:themeColor="accent5" w:themeShade="80"/>
                <w:sz w:val="18"/>
                <w:szCs w:val="18"/>
              </w:rPr>
              <w:t>7.7%</w:t>
            </w:r>
          </w:p>
        </w:tc>
        <w:tc>
          <w:tcPr>
            <w:tcW w:w="1103" w:type="dxa"/>
            <w:noWrap/>
            <w:vAlign w:val="center"/>
            <w:hideMark/>
          </w:tcPr>
          <w:p w14:paraId="2ADCB870" w14:textId="1F406910"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FC21EB">
              <w:rPr>
                <w:rFonts w:ascii="Arial" w:hAnsi="Arial" w:cs="Arial"/>
                <w:color w:val="215868" w:themeColor="accent5" w:themeShade="80"/>
                <w:sz w:val="18"/>
                <w:szCs w:val="18"/>
              </w:rPr>
              <w:t>3.1%</w:t>
            </w:r>
          </w:p>
        </w:tc>
      </w:tr>
      <w:tr w:rsidR="00FC21EB" w:rsidRPr="00843888" w14:paraId="2D346A6A"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39F38E4F" w14:textId="0838BD41"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Meat</w:t>
            </w:r>
          </w:p>
        </w:tc>
        <w:tc>
          <w:tcPr>
            <w:tcW w:w="1102" w:type="dxa"/>
            <w:noWrap/>
            <w:vAlign w:val="bottom"/>
            <w:hideMark/>
          </w:tcPr>
          <w:p w14:paraId="4FA73441" w14:textId="48D63D33"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8.1B</w:t>
            </w:r>
          </w:p>
        </w:tc>
        <w:tc>
          <w:tcPr>
            <w:tcW w:w="1103" w:type="dxa"/>
            <w:noWrap/>
            <w:vAlign w:val="bottom"/>
            <w:hideMark/>
          </w:tcPr>
          <w:p w14:paraId="5C8C8D5C" w14:textId="23AA88A9"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+4.5</w:t>
            </w:r>
            <w:r w:rsidRPr="00DA261B">
              <w:rPr>
                <w:rFonts w:ascii="Arial" w:hAnsi="Arial" w:cs="Arial"/>
                <w:color w:val="215868" w:themeColor="accent5" w:themeShade="80"/>
                <w:sz w:val="18"/>
                <w:szCs w:val="18"/>
              </w:rPr>
              <w:t>%</w:t>
            </w:r>
          </w:p>
        </w:tc>
        <w:tc>
          <w:tcPr>
            <w:tcW w:w="1102" w:type="dxa"/>
            <w:noWrap/>
            <w:vAlign w:val="bottom"/>
            <w:hideMark/>
          </w:tcPr>
          <w:p w14:paraId="1717E3E8" w14:textId="0F269129"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6.5</w:t>
            </w:r>
            <w:r w:rsidRPr="00DA261B">
              <w:rPr>
                <w:rFonts w:ascii="Arial" w:hAnsi="Arial" w:cs="Arial"/>
                <w:color w:val="215868" w:themeColor="accent5" w:themeShade="80"/>
                <w:sz w:val="18"/>
                <w:szCs w:val="18"/>
              </w:rPr>
              <w:t>%</w:t>
            </w:r>
          </w:p>
        </w:tc>
        <w:tc>
          <w:tcPr>
            <w:tcW w:w="1103" w:type="dxa"/>
            <w:noWrap/>
            <w:vAlign w:val="bottom"/>
            <w:hideMark/>
          </w:tcPr>
          <w:p w14:paraId="0A8EFAD3" w14:textId="4878E42B"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+21.7</w:t>
            </w:r>
            <w:r w:rsidRPr="00DA261B">
              <w:rPr>
                <w:rFonts w:ascii="Arial" w:hAnsi="Arial" w:cs="Arial"/>
                <w:color w:val="215868" w:themeColor="accent5" w:themeShade="80"/>
                <w:sz w:val="18"/>
                <w:szCs w:val="18"/>
              </w:rPr>
              <w:t>%</w:t>
            </w:r>
          </w:p>
        </w:tc>
        <w:tc>
          <w:tcPr>
            <w:tcW w:w="1102" w:type="dxa"/>
            <w:noWrap/>
            <w:vAlign w:val="bottom"/>
            <w:hideMark/>
          </w:tcPr>
          <w:p w14:paraId="2A392554" w14:textId="0840EF06"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1.3B</w:t>
            </w:r>
          </w:p>
        </w:tc>
        <w:tc>
          <w:tcPr>
            <w:tcW w:w="1103" w:type="dxa"/>
            <w:noWrap/>
            <w:vAlign w:val="center"/>
            <w:hideMark/>
          </w:tcPr>
          <w:p w14:paraId="6D59D597" w14:textId="47CC9B85"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-6.1%</w:t>
            </w:r>
          </w:p>
        </w:tc>
        <w:tc>
          <w:tcPr>
            <w:tcW w:w="1102" w:type="dxa"/>
            <w:noWrap/>
            <w:vAlign w:val="center"/>
            <w:hideMark/>
          </w:tcPr>
          <w:p w14:paraId="2A63E609" w14:textId="694F8DB7"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-14.0%</w:t>
            </w:r>
          </w:p>
        </w:tc>
        <w:tc>
          <w:tcPr>
            <w:tcW w:w="1103" w:type="dxa"/>
            <w:noWrap/>
            <w:vAlign w:val="center"/>
            <w:hideMark/>
          </w:tcPr>
          <w:p w14:paraId="557CBB90" w14:textId="13875D9D"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-2.3%</w:t>
            </w:r>
          </w:p>
        </w:tc>
      </w:tr>
      <w:tr w:rsidR="00FC21EB" w:rsidRPr="00843888" w14:paraId="6498DF04"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EE33BF3" w14:textId="3DA97AE8" w:rsidR="00FC21EB" w:rsidRPr="00843888" w:rsidRDefault="00FC21EB" w:rsidP="00FC21EB">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P</w:t>
            </w:r>
            <w:r w:rsidRPr="00DD7A16">
              <w:rPr>
                <w:rFonts w:ascii="Arial" w:eastAsia="Times New Roman" w:hAnsi="Arial" w:cs="Arial"/>
                <w:b w:val="0"/>
                <w:bCs w:val="0"/>
                <w:color w:val="215868" w:themeColor="accent5" w:themeShade="80"/>
                <w:sz w:val="18"/>
                <w:szCs w:val="18"/>
              </w:rPr>
              <w:t>roduce</w:t>
            </w:r>
          </w:p>
        </w:tc>
        <w:tc>
          <w:tcPr>
            <w:tcW w:w="1102" w:type="dxa"/>
            <w:noWrap/>
            <w:vAlign w:val="bottom"/>
            <w:hideMark/>
          </w:tcPr>
          <w:p w14:paraId="7E7FB224" w14:textId="631856FE"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7.5B</w:t>
            </w:r>
          </w:p>
        </w:tc>
        <w:tc>
          <w:tcPr>
            <w:tcW w:w="1103" w:type="dxa"/>
            <w:noWrap/>
            <w:vAlign w:val="bottom"/>
            <w:hideMark/>
          </w:tcPr>
          <w:p w14:paraId="03E1F941" w14:textId="3716AA42"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+3.2</w:t>
            </w:r>
            <w:r w:rsidRPr="00DA261B">
              <w:rPr>
                <w:rFonts w:ascii="Arial" w:hAnsi="Arial" w:cs="Arial"/>
                <w:color w:val="215868" w:themeColor="accent5" w:themeShade="80"/>
                <w:sz w:val="18"/>
                <w:szCs w:val="18"/>
              </w:rPr>
              <w:t>%</w:t>
            </w:r>
          </w:p>
        </w:tc>
        <w:tc>
          <w:tcPr>
            <w:tcW w:w="1102" w:type="dxa"/>
            <w:noWrap/>
            <w:vAlign w:val="bottom"/>
            <w:hideMark/>
          </w:tcPr>
          <w:p w14:paraId="0F23F4EE" w14:textId="487986CE"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+0.7</w:t>
            </w:r>
            <w:r w:rsidRPr="00DA261B">
              <w:rPr>
                <w:rFonts w:ascii="Arial" w:hAnsi="Arial" w:cs="Arial"/>
                <w:color w:val="215868" w:themeColor="accent5" w:themeShade="80"/>
                <w:sz w:val="18"/>
                <w:szCs w:val="18"/>
              </w:rPr>
              <w:t>%</w:t>
            </w:r>
          </w:p>
        </w:tc>
        <w:tc>
          <w:tcPr>
            <w:tcW w:w="1103" w:type="dxa"/>
            <w:noWrap/>
            <w:vAlign w:val="bottom"/>
            <w:hideMark/>
          </w:tcPr>
          <w:p w14:paraId="7177F86B" w14:textId="6FED5034"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+17.7</w:t>
            </w:r>
            <w:r w:rsidRPr="00DA261B">
              <w:rPr>
                <w:rFonts w:ascii="Arial" w:hAnsi="Arial" w:cs="Arial"/>
                <w:color w:val="215868" w:themeColor="accent5" w:themeShade="80"/>
                <w:sz w:val="18"/>
                <w:szCs w:val="18"/>
              </w:rPr>
              <w:t>%</w:t>
            </w:r>
          </w:p>
        </w:tc>
        <w:tc>
          <w:tcPr>
            <w:tcW w:w="1102" w:type="dxa"/>
            <w:noWrap/>
            <w:vAlign w:val="bottom"/>
            <w:hideMark/>
          </w:tcPr>
          <w:p w14:paraId="22821649" w14:textId="3FDBD0FC"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2.8B</w:t>
            </w:r>
          </w:p>
        </w:tc>
        <w:tc>
          <w:tcPr>
            <w:tcW w:w="1103" w:type="dxa"/>
            <w:noWrap/>
            <w:vAlign w:val="center"/>
            <w:hideMark/>
          </w:tcPr>
          <w:p w14:paraId="739DBA45" w14:textId="03E15BB5"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-5.3%</w:t>
            </w:r>
          </w:p>
        </w:tc>
        <w:tc>
          <w:tcPr>
            <w:tcW w:w="1102" w:type="dxa"/>
            <w:noWrap/>
            <w:vAlign w:val="center"/>
            <w:hideMark/>
          </w:tcPr>
          <w:p w14:paraId="04FFDB69" w14:textId="34D06E28"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-13.0%</w:t>
            </w:r>
          </w:p>
        </w:tc>
        <w:tc>
          <w:tcPr>
            <w:tcW w:w="1103" w:type="dxa"/>
            <w:noWrap/>
            <w:vAlign w:val="center"/>
            <w:hideMark/>
          </w:tcPr>
          <w:p w14:paraId="669105D0" w14:textId="050B469C"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w:t>
            </w:r>
            <w:r w:rsidRPr="00FC21EB">
              <w:rPr>
                <w:rFonts w:ascii="Arial" w:hAnsi="Arial" w:cs="Arial"/>
                <w:color w:val="215868" w:themeColor="accent5" w:themeShade="80"/>
                <w:sz w:val="18"/>
                <w:szCs w:val="18"/>
              </w:rPr>
              <w:t>2.5%</w:t>
            </w:r>
          </w:p>
        </w:tc>
      </w:tr>
      <w:tr w:rsidR="00FC21EB" w:rsidRPr="00843888" w14:paraId="2B5665AE" w14:textId="77777777" w:rsidTr="00FC21EB">
        <w:trPr>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57B09037" w14:textId="342BE891" w:rsidR="00FC21EB" w:rsidRPr="00843888" w:rsidRDefault="00FC21EB" w:rsidP="00FC21EB">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R</w:t>
            </w:r>
            <w:r w:rsidRPr="00DD7A16">
              <w:rPr>
                <w:rFonts w:ascii="Arial" w:eastAsia="Times New Roman" w:hAnsi="Arial" w:cs="Arial"/>
                <w:b w:val="0"/>
                <w:bCs w:val="0"/>
                <w:color w:val="215868" w:themeColor="accent5" w:themeShade="80"/>
                <w:sz w:val="18"/>
                <w:szCs w:val="18"/>
              </w:rPr>
              <w:t>efrigerated</w:t>
            </w:r>
          </w:p>
        </w:tc>
        <w:tc>
          <w:tcPr>
            <w:tcW w:w="1102" w:type="dxa"/>
            <w:noWrap/>
            <w:vAlign w:val="bottom"/>
            <w:hideMark/>
          </w:tcPr>
          <w:p w14:paraId="2B99802C" w14:textId="6BD8402C"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7.5B</w:t>
            </w:r>
          </w:p>
        </w:tc>
        <w:tc>
          <w:tcPr>
            <w:tcW w:w="1103" w:type="dxa"/>
            <w:noWrap/>
            <w:vAlign w:val="bottom"/>
            <w:hideMark/>
          </w:tcPr>
          <w:p w14:paraId="3AD6EAEE" w14:textId="72730D93"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+12.3</w:t>
            </w:r>
            <w:r w:rsidRPr="00DA261B">
              <w:rPr>
                <w:rFonts w:ascii="Arial" w:hAnsi="Arial" w:cs="Arial"/>
                <w:color w:val="215868" w:themeColor="accent5" w:themeShade="80"/>
                <w:sz w:val="18"/>
                <w:szCs w:val="18"/>
              </w:rPr>
              <w:t>%</w:t>
            </w:r>
          </w:p>
        </w:tc>
        <w:tc>
          <w:tcPr>
            <w:tcW w:w="1102" w:type="dxa"/>
            <w:noWrap/>
            <w:vAlign w:val="bottom"/>
            <w:hideMark/>
          </w:tcPr>
          <w:p w14:paraId="61FF8938" w14:textId="45F028A8"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+3.1</w:t>
            </w:r>
            <w:r w:rsidRPr="00DA261B">
              <w:rPr>
                <w:rFonts w:ascii="Arial" w:hAnsi="Arial" w:cs="Arial"/>
                <w:color w:val="215868" w:themeColor="accent5" w:themeShade="80"/>
                <w:sz w:val="18"/>
                <w:szCs w:val="18"/>
              </w:rPr>
              <w:t>%</w:t>
            </w:r>
          </w:p>
        </w:tc>
        <w:tc>
          <w:tcPr>
            <w:tcW w:w="1103" w:type="dxa"/>
            <w:noWrap/>
            <w:vAlign w:val="bottom"/>
            <w:hideMark/>
          </w:tcPr>
          <w:p w14:paraId="2340249A" w14:textId="7CB3C713"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+26.9</w:t>
            </w:r>
            <w:r w:rsidRPr="00DA261B">
              <w:rPr>
                <w:rFonts w:ascii="Arial" w:hAnsi="Arial" w:cs="Arial"/>
                <w:color w:val="215868" w:themeColor="accent5" w:themeShade="80"/>
                <w:sz w:val="18"/>
                <w:szCs w:val="18"/>
              </w:rPr>
              <w:t>%</w:t>
            </w:r>
          </w:p>
        </w:tc>
        <w:tc>
          <w:tcPr>
            <w:tcW w:w="1102" w:type="dxa"/>
            <w:noWrap/>
            <w:vAlign w:val="bottom"/>
            <w:hideMark/>
          </w:tcPr>
          <w:p w14:paraId="6EC8FA10" w14:textId="36ADC694" w:rsidR="00FC21EB" w:rsidRPr="00DA261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2.2B</w:t>
            </w:r>
          </w:p>
        </w:tc>
        <w:tc>
          <w:tcPr>
            <w:tcW w:w="1103" w:type="dxa"/>
            <w:noWrap/>
            <w:vAlign w:val="center"/>
            <w:hideMark/>
          </w:tcPr>
          <w:p w14:paraId="2F2E3B03" w14:textId="601C1078"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-3.8%</w:t>
            </w:r>
          </w:p>
        </w:tc>
        <w:tc>
          <w:tcPr>
            <w:tcW w:w="1102" w:type="dxa"/>
            <w:noWrap/>
            <w:vAlign w:val="center"/>
            <w:hideMark/>
          </w:tcPr>
          <w:p w14:paraId="1B9ABE08" w14:textId="27516A41"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-11.0%</w:t>
            </w:r>
          </w:p>
        </w:tc>
        <w:tc>
          <w:tcPr>
            <w:tcW w:w="1103" w:type="dxa"/>
            <w:noWrap/>
            <w:vAlign w:val="center"/>
            <w:hideMark/>
          </w:tcPr>
          <w:p w14:paraId="1A78E784" w14:textId="5AC081C5" w:rsidR="00FC21EB" w:rsidRPr="00FC21EB" w:rsidRDefault="00FC21EB" w:rsidP="00FC21E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-0.4%</w:t>
            </w:r>
          </w:p>
        </w:tc>
      </w:tr>
      <w:tr w:rsidR="00FC21EB" w:rsidRPr="00843888" w14:paraId="119F1DC4" w14:textId="77777777" w:rsidTr="00FC21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C879CED" w14:textId="26C5472A" w:rsidR="00FC21EB" w:rsidRPr="00843888" w:rsidRDefault="00FC21EB" w:rsidP="00FC21EB">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Seafood</w:t>
            </w:r>
          </w:p>
        </w:tc>
        <w:tc>
          <w:tcPr>
            <w:tcW w:w="1102" w:type="dxa"/>
            <w:noWrap/>
            <w:vAlign w:val="bottom"/>
            <w:hideMark/>
          </w:tcPr>
          <w:p w14:paraId="699C0C55" w14:textId="1BB72ABF"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618M</w:t>
            </w:r>
          </w:p>
        </w:tc>
        <w:tc>
          <w:tcPr>
            <w:tcW w:w="1103" w:type="dxa"/>
            <w:noWrap/>
            <w:vAlign w:val="bottom"/>
            <w:hideMark/>
          </w:tcPr>
          <w:p w14:paraId="229209B9" w14:textId="07A54FEF"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13.2</w:t>
            </w:r>
            <w:r w:rsidRPr="00DA261B">
              <w:rPr>
                <w:rFonts w:ascii="Arial" w:hAnsi="Arial" w:cs="Arial"/>
                <w:color w:val="215868" w:themeColor="accent5" w:themeShade="80"/>
                <w:sz w:val="18"/>
                <w:szCs w:val="18"/>
              </w:rPr>
              <w:t>%</w:t>
            </w:r>
          </w:p>
        </w:tc>
        <w:tc>
          <w:tcPr>
            <w:tcW w:w="1102" w:type="dxa"/>
            <w:noWrap/>
            <w:vAlign w:val="bottom"/>
            <w:hideMark/>
          </w:tcPr>
          <w:p w14:paraId="578BC6D0" w14:textId="22C00EC5"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DA261B">
              <w:rPr>
                <w:rFonts w:ascii="Arial" w:hAnsi="Arial" w:cs="Arial"/>
                <w:color w:val="215868" w:themeColor="accent5" w:themeShade="80"/>
                <w:sz w:val="18"/>
                <w:szCs w:val="18"/>
              </w:rPr>
              <w:t>-</w:t>
            </w:r>
            <w:r>
              <w:rPr>
                <w:rFonts w:ascii="Arial" w:hAnsi="Arial" w:cs="Arial"/>
                <w:color w:val="215868" w:themeColor="accent5" w:themeShade="80"/>
                <w:sz w:val="18"/>
                <w:szCs w:val="18"/>
              </w:rPr>
              <w:t>22.1</w:t>
            </w:r>
            <w:r w:rsidRPr="00DA261B">
              <w:rPr>
                <w:rFonts w:ascii="Arial" w:hAnsi="Arial" w:cs="Arial"/>
                <w:color w:val="215868" w:themeColor="accent5" w:themeShade="80"/>
                <w:sz w:val="18"/>
                <w:szCs w:val="18"/>
              </w:rPr>
              <w:t>%</w:t>
            </w:r>
          </w:p>
        </w:tc>
        <w:tc>
          <w:tcPr>
            <w:tcW w:w="1103" w:type="dxa"/>
            <w:noWrap/>
            <w:vAlign w:val="bottom"/>
            <w:hideMark/>
          </w:tcPr>
          <w:p w14:paraId="2856F3C7" w14:textId="25C19DC8"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+15.5</w:t>
            </w:r>
            <w:r w:rsidRPr="00DA261B">
              <w:rPr>
                <w:rFonts w:ascii="Arial" w:hAnsi="Arial" w:cs="Arial"/>
                <w:color w:val="215868" w:themeColor="accent5" w:themeShade="80"/>
                <w:sz w:val="18"/>
                <w:szCs w:val="18"/>
              </w:rPr>
              <w:t>%</w:t>
            </w:r>
          </w:p>
        </w:tc>
        <w:tc>
          <w:tcPr>
            <w:tcW w:w="1102" w:type="dxa"/>
            <w:noWrap/>
            <w:vAlign w:val="bottom"/>
            <w:hideMark/>
          </w:tcPr>
          <w:p w14:paraId="2AD2E772" w14:textId="1C35BC1D" w:rsidR="00FC21EB" w:rsidRPr="00DA261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18"/>
              </w:rPr>
              <w:t>69M</w:t>
            </w:r>
          </w:p>
        </w:tc>
        <w:tc>
          <w:tcPr>
            <w:tcW w:w="1103" w:type="dxa"/>
            <w:noWrap/>
            <w:vAlign w:val="center"/>
            <w:hideMark/>
          </w:tcPr>
          <w:p w14:paraId="7805C532" w14:textId="6724C39A"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-22.3%</w:t>
            </w:r>
          </w:p>
        </w:tc>
        <w:tc>
          <w:tcPr>
            <w:tcW w:w="1102" w:type="dxa"/>
            <w:noWrap/>
            <w:vAlign w:val="center"/>
            <w:hideMark/>
          </w:tcPr>
          <w:p w14:paraId="106B05A1" w14:textId="6A9E94A7"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-31.2%</w:t>
            </w:r>
          </w:p>
        </w:tc>
        <w:tc>
          <w:tcPr>
            <w:tcW w:w="1103" w:type="dxa"/>
            <w:noWrap/>
            <w:vAlign w:val="center"/>
            <w:hideMark/>
          </w:tcPr>
          <w:p w14:paraId="74C3ABB4" w14:textId="50BFF4AB" w:rsidR="00FC21EB" w:rsidRPr="00FC21EB" w:rsidRDefault="00FC21EB" w:rsidP="00FC21E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FC21EB">
              <w:rPr>
                <w:rFonts w:ascii="Arial" w:hAnsi="Arial" w:cs="Arial"/>
                <w:color w:val="215868" w:themeColor="accent5" w:themeShade="80"/>
                <w:sz w:val="18"/>
                <w:szCs w:val="18"/>
              </w:rPr>
              <w:t>-3.7%</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1" w:name="_Hlk76989410"/>
    </w:p>
    <w:p w14:paraId="3BC55598" w14:textId="77777777" w:rsidR="006620E0" w:rsidRDefault="006620E0" w:rsidP="006620E0">
      <w:pPr>
        <w:pStyle w:val="NoSpacing"/>
        <w:rPr>
          <w:rFonts w:ascii="Arial" w:hAnsi="Arial" w:cs="Arial"/>
          <w:b/>
          <w:color w:val="595959" w:themeColor="text1" w:themeTint="A6"/>
          <w:sz w:val="24"/>
          <w:szCs w:val="24"/>
        </w:rPr>
      </w:pPr>
      <w:bookmarkStart w:id="2" w:name="_Hlk79236872"/>
      <w:bookmarkEnd w:id="1"/>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1C718BBA" w14:textId="77777777" w:rsidR="006620E0" w:rsidRDefault="006620E0" w:rsidP="006620E0">
      <w:pPr>
        <w:pStyle w:val="NoSpacing"/>
        <w:rPr>
          <w:rFonts w:ascii="Arial" w:hAnsi="Arial" w:cs="Arial"/>
          <w:sz w:val="20"/>
          <w:szCs w:val="20"/>
        </w:rPr>
      </w:pPr>
      <w:bookmarkStart w:id="3" w:name="_Hlk105838454"/>
      <w:r>
        <w:rPr>
          <w:rFonts w:ascii="Arial" w:hAnsi="Arial" w:cs="Arial"/>
          <w:color w:val="000000" w:themeColor="text1"/>
          <w:sz w:val="20"/>
          <w:szCs w:val="20"/>
        </w:rPr>
        <w:t xml:space="preserve">The war in Ukraine, the renewed COVID lockdowns in China, record inflation, labor shortages and supply chain challenges will have a continued effect on food and food sales in the months to come. </w:t>
      </w:r>
      <w:r>
        <w:rPr>
          <w:rFonts w:ascii="Arial" w:hAnsi="Arial" w:cs="Arial"/>
          <w:sz w:val="20"/>
          <w:szCs w:val="20"/>
        </w:rPr>
        <w:t xml:space="preserve">Opportunities for retail remain the home-cooked meal with 90% of consumers expecting they will cook from scratch as much (74%) or more often (16%) as last year. Another opportunity is renewed in-person socializing with friends and family with 13% expecting to entertain more. </w:t>
      </w:r>
    </w:p>
    <w:p w14:paraId="4B0A1A70" w14:textId="77777777" w:rsidR="006620E0" w:rsidRDefault="006620E0" w:rsidP="006620E0">
      <w:pPr>
        <w:pStyle w:val="NoSpacing"/>
        <w:rPr>
          <w:rFonts w:ascii="Arial" w:hAnsi="Arial" w:cs="Arial"/>
          <w:sz w:val="20"/>
          <w:szCs w:val="20"/>
        </w:rPr>
      </w:pPr>
    </w:p>
    <w:p w14:paraId="5DA5198C" w14:textId="77777777" w:rsidR="006620E0" w:rsidRDefault="006620E0" w:rsidP="006620E0">
      <w:pPr>
        <w:pStyle w:val="NoSpacing"/>
        <w:rPr>
          <w:rFonts w:ascii="Arial" w:hAnsi="Arial" w:cs="Arial"/>
          <w:sz w:val="20"/>
          <w:szCs w:val="20"/>
        </w:rPr>
      </w:pPr>
      <w:r>
        <w:rPr>
          <w:rFonts w:ascii="Arial" w:hAnsi="Arial" w:cs="Arial"/>
          <w:sz w:val="20"/>
          <w:szCs w:val="20"/>
        </w:rPr>
        <w:t xml:space="preserve">As grilling season has officially started, finding ways to tie into outdoor cooking and entertaining can be a growth opportunity. </w:t>
      </w:r>
    </w:p>
    <w:p w14:paraId="21D1E80D" w14:textId="77777777" w:rsidR="006620E0" w:rsidRDefault="006620E0" w:rsidP="006620E0">
      <w:pPr>
        <w:pStyle w:val="NoSpacing"/>
        <w:numPr>
          <w:ilvl w:val="0"/>
          <w:numId w:val="25"/>
        </w:numPr>
        <w:rPr>
          <w:rFonts w:ascii="Arial" w:hAnsi="Arial" w:cs="Arial"/>
          <w:sz w:val="20"/>
          <w:szCs w:val="20"/>
        </w:rPr>
      </w:pPr>
      <w:r>
        <w:rPr>
          <w:rFonts w:ascii="Arial" w:hAnsi="Arial" w:cs="Arial"/>
          <w:sz w:val="20"/>
          <w:szCs w:val="20"/>
        </w:rPr>
        <w:t>69% plan to host at least one cookout or barbecue to entertain friends and family this summer, typically averaging some six to nine guests, according to the May IRI shopper survey.</w:t>
      </w:r>
    </w:p>
    <w:p w14:paraId="0CC00C8C" w14:textId="77777777" w:rsidR="006620E0" w:rsidRDefault="006620E0" w:rsidP="006620E0">
      <w:pPr>
        <w:pStyle w:val="NoSpacing"/>
        <w:numPr>
          <w:ilvl w:val="0"/>
          <w:numId w:val="25"/>
        </w:numPr>
        <w:rPr>
          <w:rFonts w:ascii="Arial" w:hAnsi="Arial" w:cs="Arial"/>
          <w:sz w:val="20"/>
          <w:szCs w:val="20"/>
        </w:rPr>
      </w:pPr>
      <w:r>
        <w:rPr>
          <w:rFonts w:ascii="Arial" w:hAnsi="Arial" w:cs="Arial"/>
          <w:sz w:val="20"/>
          <w:szCs w:val="20"/>
        </w:rPr>
        <w:lastRenderedPageBreak/>
        <w:t>Additionally, 71% of consumers plan to grill or cook meals outdoors as much (51%) or more (20%) this summer.</w:t>
      </w:r>
    </w:p>
    <w:p w14:paraId="3EAE17D3" w14:textId="77777777" w:rsidR="006620E0" w:rsidRPr="00D12314" w:rsidRDefault="006620E0" w:rsidP="006620E0">
      <w:pPr>
        <w:pStyle w:val="NoSpacing"/>
        <w:numPr>
          <w:ilvl w:val="0"/>
          <w:numId w:val="25"/>
        </w:numPr>
        <w:rPr>
          <w:rFonts w:ascii="Arial" w:hAnsi="Arial" w:cs="Arial"/>
          <w:sz w:val="20"/>
          <w:szCs w:val="20"/>
        </w:rPr>
      </w:pPr>
      <w:r>
        <w:rPr>
          <w:rFonts w:ascii="Arial" w:hAnsi="Arial" w:cs="Arial"/>
          <w:sz w:val="20"/>
          <w:szCs w:val="20"/>
        </w:rPr>
        <w:t xml:space="preserve">Consumers like experimenting with new items on the grill (37%) and many prefer preparing meat/seafood from scratch (74%), while 17% buy grill-ready items. Consumers are a bit more likely to buy ready-to-eat sides, at 23%. </w:t>
      </w:r>
    </w:p>
    <w:bookmarkEnd w:id="3"/>
    <w:p w14:paraId="1AE00470" w14:textId="77777777" w:rsidR="003D37B7" w:rsidRDefault="003D37B7" w:rsidP="003D37B7">
      <w:pPr>
        <w:pStyle w:val="NoSpacing"/>
        <w:rPr>
          <w:rFonts w:ascii="Arial" w:hAnsi="Arial" w:cs="Arial"/>
          <w:color w:val="000000" w:themeColor="text1"/>
          <w:sz w:val="20"/>
          <w:szCs w:val="20"/>
        </w:rPr>
      </w:pPr>
    </w:p>
    <w:p w14:paraId="1F16FBDB" w14:textId="074DF7FE" w:rsidR="001E19ED" w:rsidRDefault="001E19ED" w:rsidP="009E4189">
      <w:pPr>
        <w:rPr>
          <w:rFonts w:ascii="Arial" w:hAnsi="Arial" w:cs="Arial"/>
          <w:sz w:val="20"/>
          <w:szCs w:val="20"/>
        </w:rPr>
      </w:pPr>
      <w:r>
        <w:rPr>
          <w:rFonts w:ascii="Arial" w:hAnsi="Arial" w:cs="Arial"/>
          <w:sz w:val="20"/>
          <w:szCs w:val="20"/>
        </w:rPr>
        <w:t>The next report, covering</w:t>
      </w:r>
      <w:r w:rsidR="006620E0">
        <w:rPr>
          <w:rFonts w:ascii="Arial" w:hAnsi="Arial" w:cs="Arial"/>
          <w:sz w:val="20"/>
          <w:szCs w:val="20"/>
        </w:rPr>
        <w:t xml:space="preserve"> June</w:t>
      </w:r>
      <w:r>
        <w:rPr>
          <w:rFonts w:ascii="Arial" w:hAnsi="Arial" w:cs="Arial"/>
          <w:sz w:val="20"/>
          <w:szCs w:val="20"/>
        </w:rPr>
        <w:t>, will be released in mid-</w:t>
      </w:r>
      <w:r w:rsidR="0003032A">
        <w:rPr>
          <w:rFonts w:ascii="Arial" w:hAnsi="Arial" w:cs="Arial"/>
          <w:sz w:val="20"/>
          <w:szCs w:val="20"/>
        </w:rPr>
        <w:t>Ju</w:t>
      </w:r>
      <w:r w:rsidR="006620E0">
        <w:rPr>
          <w:rFonts w:ascii="Arial" w:hAnsi="Arial" w:cs="Arial"/>
          <w:sz w:val="20"/>
          <w:szCs w:val="20"/>
        </w:rPr>
        <w:t>ly</w:t>
      </w:r>
      <w:r>
        <w:rPr>
          <w:rFonts w:ascii="Arial" w:hAnsi="Arial" w:cs="Arial"/>
          <w:sz w:val="20"/>
          <w:szCs w:val="20"/>
        </w:rPr>
        <w:t xml:space="preserve">. </w:t>
      </w:r>
      <w:r w:rsidR="00834DC2">
        <w:rPr>
          <w:rFonts w:ascii="Arial" w:hAnsi="Arial" w:cs="Arial"/>
          <w:sz w:val="20"/>
          <w:szCs w:val="20"/>
        </w:rPr>
        <w:t xml:space="preserve">In addition to the data provided here, the IFPA also now offers InSite – an </w:t>
      </w:r>
      <w:r w:rsidR="00834DC2" w:rsidRPr="009E4189">
        <w:rPr>
          <w:rFonts w:ascii="Arial" w:hAnsi="Arial" w:cs="Arial"/>
          <w:sz w:val="20"/>
          <w:szCs w:val="20"/>
        </w:rPr>
        <w:t>online interactive data set covering both produce and floral performance as well as a look at the 2021 consumer sentiment surveys.</w:t>
      </w:r>
      <w:r w:rsidR="009E4189" w:rsidRPr="009E4189">
        <w:rPr>
          <w:rFonts w:ascii="Arial" w:hAnsi="Arial" w:cs="Arial"/>
          <w:sz w:val="20"/>
          <w:szCs w:val="20"/>
        </w:rPr>
        <w:t xml:space="preserve"> Start your free trial today! See </w:t>
      </w:r>
      <w:hyperlink r:id="rId15" w:history="1">
        <w:r w:rsidR="009E4189" w:rsidRPr="009E4189">
          <w:rPr>
            <w:rStyle w:val="Hyperlink"/>
            <w:rFonts w:ascii="Arial" w:hAnsi="Arial" w:cs="Arial"/>
            <w:sz w:val="20"/>
            <w:szCs w:val="20"/>
          </w:rPr>
          <w:t>www.freshproduce.com/insite</w:t>
        </w:r>
      </w:hyperlink>
      <w:r w:rsidR="009E4189" w:rsidRPr="009E4189">
        <w:rPr>
          <w:rFonts w:ascii="Arial" w:hAnsi="Arial" w:cs="Arial"/>
          <w:sz w:val="20"/>
          <w:szCs w:val="20"/>
        </w:rPr>
        <w:t xml:space="preserve"> for more detail. </w:t>
      </w:r>
      <w:r w:rsidRPr="009E4189">
        <w:rPr>
          <w:rFonts w:ascii="Arial" w:hAnsi="Arial" w:cs="Arial"/>
          <w:sz w:val="20"/>
          <w:szCs w:val="20"/>
        </w:rPr>
        <w:t xml:space="preserve">We </w:t>
      </w:r>
      <w:r w:rsidR="00834DC2" w:rsidRPr="009E4189">
        <w:rPr>
          <w:rFonts w:ascii="Arial" w:hAnsi="Arial" w:cs="Arial"/>
          <w:sz w:val="20"/>
          <w:szCs w:val="20"/>
        </w:rPr>
        <w:t xml:space="preserve">also </w:t>
      </w:r>
      <w:r w:rsidRPr="009E4189">
        <w:rPr>
          <w:rFonts w:ascii="Arial" w:hAnsi="Arial" w:cs="Arial"/>
          <w:sz w:val="20"/>
          <w:szCs w:val="20"/>
        </w:rPr>
        <w:t xml:space="preserve">encourage you to contact Joe Watson, </w:t>
      </w:r>
      <w:r w:rsidR="003D37B7" w:rsidRPr="009E4189">
        <w:rPr>
          <w:rFonts w:ascii="Arial" w:hAnsi="Arial" w:cs="Arial"/>
          <w:sz w:val="20"/>
          <w:szCs w:val="20"/>
        </w:rPr>
        <w:t>IFPA</w:t>
      </w:r>
      <w:r w:rsidRPr="009E4189">
        <w:rPr>
          <w:rFonts w:ascii="Arial" w:hAnsi="Arial" w:cs="Arial"/>
          <w:sz w:val="20"/>
          <w:szCs w:val="20"/>
        </w:rPr>
        <w:t xml:space="preserve">’s </w:t>
      </w:r>
      <w:r w:rsidR="0045675D" w:rsidRPr="009E4189">
        <w:rPr>
          <w:rFonts w:ascii="Arial" w:hAnsi="Arial" w:cs="Arial"/>
          <w:sz w:val="20"/>
          <w:szCs w:val="20"/>
        </w:rPr>
        <w:t>V</w:t>
      </w:r>
      <w:r w:rsidR="00086061" w:rsidRPr="009E4189">
        <w:rPr>
          <w:rFonts w:ascii="Arial" w:hAnsi="Arial" w:cs="Arial"/>
          <w:sz w:val="20"/>
          <w:szCs w:val="20"/>
        </w:rPr>
        <w:t>P,</w:t>
      </w:r>
      <w:r w:rsidR="0045675D" w:rsidRPr="009E4189">
        <w:rPr>
          <w:rFonts w:ascii="Arial" w:hAnsi="Arial" w:cs="Arial"/>
          <w:sz w:val="20"/>
          <w:szCs w:val="20"/>
        </w:rPr>
        <w:t xml:space="preserve"> Retail, Foodservice and Wholesale</w:t>
      </w:r>
      <w:r w:rsidRPr="009E4189">
        <w:rPr>
          <w:rFonts w:ascii="Arial" w:hAnsi="Arial" w:cs="Arial"/>
          <w:sz w:val="20"/>
          <w:szCs w:val="20"/>
        </w:rPr>
        <w:t xml:space="preserve">, at </w:t>
      </w:r>
      <w:hyperlink r:id="rId16" w:history="1">
        <w:r w:rsidR="0045675D" w:rsidRPr="009E4189">
          <w:rPr>
            <w:rStyle w:val="Hyperlink"/>
            <w:rFonts w:ascii="Arial" w:hAnsi="Arial" w:cs="Arial"/>
            <w:sz w:val="20"/>
            <w:szCs w:val="20"/>
          </w:rPr>
          <w:t>jwatson@freshproduce.com</w:t>
        </w:r>
      </w:hyperlink>
      <w:r w:rsidRPr="009E4189">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r w:rsidRPr="008A6A7C">
        <w:rPr>
          <w:rFonts w:ascii="Arial" w:hAnsi="Arial" w:cs="Arial"/>
          <w:sz w:val="20"/>
          <w:szCs w:val="20"/>
        </w:rPr>
        <w:t>.</w:t>
      </w:r>
    </w:p>
    <w:bookmarkEnd w:id="2"/>
    <w:p w14:paraId="5C5EFC22" w14:textId="77777777" w:rsidR="001D4954" w:rsidRDefault="001D4954" w:rsidP="001D4954">
      <w:pPr>
        <w:pStyle w:val="NoSpacing"/>
        <w:rPr>
          <w:rFonts w:ascii="Arial" w:hAnsi="Arial" w:cs="Arial"/>
          <w:b/>
          <w:sz w:val="20"/>
          <w:szCs w:val="20"/>
        </w:rPr>
      </w:pPr>
      <w:r>
        <w:rPr>
          <w:rFonts w:ascii="Arial" w:hAnsi="Arial" w:cs="Arial"/>
          <w:b/>
          <w:sz w:val="20"/>
          <w:szCs w:val="20"/>
        </w:rPr>
        <w:t xml:space="preserve">Date ranges: </w:t>
      </w:r>
    </w:p>
    <w:p w14:paraId="42FB97BE" w14:textId="77777777" w:rsidR="001D4954" w:rsidRDefault="001D4954" w:rsidP="001D4954">
      <w:pPr>
        <w:pStyle w:val="NoSpacing"/>
        <w:rPr>
          <w:rFonts w:ascii="Arial" w:hAnsi="Arial" w:cs="Arial"/>
          <w:sz w:val="20"/>
          <w:szCs w:val="20"/>
        </w:rPr>
      </w:pPr>
      <w:r>
        <w:rPr>
          <w:rFonts w:ascii="Arial" w:hAnsi="Arial" w:cs="Arial"/>
          <w:sz w:val="20"/>
          <w:szCs w:val="20"/>
        </w:rPr>
        <w:t>2019: 52 weeks ending 12/28/2019</w:t>
      </w:r>
    </w:p>
    <w:p w14:paraId="48F9235F" w14:textId="77777777" w:rsidR="001D4954" w:rsidRDefault="001D4954" w:rsidP="001D4954">
      <w:pPr>
        <w:pStyle w:val="NoSpacing"/>
        <w:rPr>
          <w:rFonts w:ascii="Arial" w:hAnsi="Arial" w:cs="Arial"/>
          <w:sz w:val="20"/>
          <w:szCs w:val="20"/>
        </w:rPr>
      </w:pPr>
      <w:r>
        <w:rPr>
          <w:rFonts w:ascii="Arial" w:hAnsi="Arial" w:cs="Arial"/>
          <w:sz w:val="20"/>
          <w:szCs w:val="20"/>
        </w:rPr>
        <w:t>2020: 52 weeks ending 12/27/2020</w:t>
      </w:r>
    </w:p>
    <w:p w14:paraId="18CEDB11" w14:textId="77777777" w:rsidR="001D4954" w:rsidRDefault="001D4954" w:rsidP="001D4954">
      <w:pPr>
        <w:pStyle w:val="NoSpacing"/>
        <w:rPr>
          <w:rFonts w:ascii="Arial" w:hAnsi="Arial" w:cs="Arial"/>
          <w:sz w:val="20"/>
          <w:szCs w:val="20"/>
        </w:rPr>
      </w:pPr>
      <w:r>
        <w:rPr>
          <w:rFonts w:ascii="Arial" w:hAnsi="Arial" w:cs="Arial"/>
          <w:sz w:val="20"/>
          <w:szCs w:val="20"/>
        </w:rPr>
        <w:t>Q1 2021: 13 weeks ending 3/28/2021</w:t>
      </w:r>
    </w:p>
    <w:p w14:paraId="52B6CFB3" w14:textId="77777777" w:rsidR="001D4954" w:rsidRDefault="001D4954" w:rsidP="001D4954">
      <w:pPr>
        <w:pStyle w:val="NoSpacing"/>
        <w:rPr>
          <w:rFonts w:ascii="Arial" w:hAnsi="Arial" w:cs="Arial"/>
          <w:sz w:val="20"/>
          <w:szCs w:val="20"/>
        </w:rPr>
      </w:pPr>
      <w:r>
        <w:rPr>
          <w:rFonts w:ascii="Arial" w:hAnsi="Arial" w:cs="Arial"/>
          <w:sz w:val="20"/>
          <w:szCs w:val="20"/>
        </w:rPr>
        <w:t>Q2 2021: 13 weeks ending 6/27/2021</w:t>
      </w:r>
    </w:p>
    <w:p w14:paraId="4A4AEC87" w14:textId="77777777" w:rsidR="001D4954" w:rsidRDefault="001D4954" w:rsidP="001D4954">
      <w:pPr>
        <w:pStyle w:val="NoSpacing"/>
        <w:rPr>
          <w:rFonts w:ascii="Arial" w:hAnsi="Arial" w:cs="Arial"/>
          <w:sz w:val="20"/>
          <w:szCs w:val="20"/>
        </w:rPr>
      </w:pPr>
      <w:r>
        <w:rPr>
          <w:rFonts w:ascii="Arial" w:hAnsi="Arial" w:cs="Arial"/>
          <w:sz w:val="20"/>
          <w:szCs w:val="20"/>
        </w:rPr>
        <w:t>Q3 2021: 13 weeks ending 9/26/2021</w:t>
      </w:r>
    </w:p>
    <w:p w14:paraId="3760E377" w14:textId="77777777" w:rsidR="001D4954" w:rsidRDefault="001D4954" w:rsidP="001D4954">
      <w:pPr>
        <w:pStyle w:val="NoSpacing"/>
        <w:rPr>
          <w:rFonts w:ascii="Arial" w:hAnsi="Arial" w:cs="Arial"/>
          <w:sz w:val="20"/>
          <w:szCs w:val="20"/>
        </w:rPr>
      </w:pPr>
      <w:r>
        <w:rPr>
          <w:rFonts w:ascii="Arial" w:hAnsi="Arial" w:cs="Arial"/>
          <w:sz w:val="20"/>
          <w:szCs w:val="20"/>
        </w:rPr>
        <w:t>Q4 2021: 13 weeks ending 12/26/2021</w:t>
      </w:r>
    </w:p>
    <w:p w14:paraId="1B031FB4" w14:textId="77777777" w:rsidR="001D4954" w:rsidRDefault="001D4954" w:rsidP="001D4954">
      <w:pPr>
        <w:pStyle w:val="NoSpacing"/>
        <w:rPr>
          <w:rFonts w:ascii="Arial" w:hAnsi="Arial" w:cs="Arial"/>
          <w:sz w:val="20"/>
          <w:szCs w:val="20"/>
        </w:rPr>
      </w:pPr>
      <w:r>
        <w:rPr>
          <w:rFonts w:ascii="Arial" w:hAnsi="Arial" w:cs="Arial"/>
          <w:sz w:val="20"/>
          <w:szCs w:val="20"/>
        </w:rPr>
        <w:t>Q1 2022: 13 weeks ending 3/27/2022</w:t>
      </w:r>
    </w:p>
    <w:p w14:paraId="61E3FD34" w14:textId="77777777" w:rsidR="001D4954" w:rsidRDefault="001D4954" w:rsidP="001D4954">
      <w:pPr>
        <w:pStyle w:val="NoSpacing"/>
        <w:rPr>
          <w:rFonts w:ascii="Arial" w:hAnsi="Arial" w:cs="Arial"/>
          <w:sz w:val="20"/>
          <w:szCs w:val="20"/>
        </w:rPr>
      </w:pPr>
      <w:r>
        <w:rPr>
          <w:rFonts w:ascii="Arial" w:hAnsi="Arial" w:cs="Arial"/>
          <w:sz w:val="20"/>
          <w:szCs w:val="20"/>
        </w:rPr>
        <w:t>January 2022: 5 weeks ending 1/30/2022</w:t>
      </w:r>
    </w:p>
    <w:p w14:paraId="0275924E" w14:textId="77777777" w:rsidR="001D4954" w:rsidRDefault="001D4954" w:rsidP="001D4954">
      <w:pPr>
        <w:pStyle w:val="NoSpacing"/>
        <w:rPr>
          <w:rFonts w:ascii="Arial" w:hAnsi="Arial" w:cs="Arial"/>
          <w:sz w:val="20"/>
          <w:szCs w:val="20"/>
        </w:rPr>
      </w:pPr>
      <w:r>
        <w:rPr>
          <w:rFonts w:ascii="Arial" w:hAnsi="Arial" w:cs="Arial"/>
          <w:sz w:val="20"/>
          <w:szCs w:val="20"/>
        </w:rPr>
        <w:t>February 2022: 4 weeks ending 2/27/2022</w:t>
      </w:r>
    </w:p>
    <w:p w14:paraId="737A68B7" w14:textId="77777777" w:rsidR="001D4954" w:rsidRDefault="001D4954" w:rsidP="001D4954">
      <w:pPr>
        <w:pStyle w:val="NoSpacing"/>
        <w:rPr>
          <w:rFonts w:ascii="Arial" w:hAnsi="Arial" w:cs="Arial"/>
          <w:sz w:val="20"/>
          <w:szCs w:val="20"/>
        </w:rPr>
      </w:pPr>
      <w:r>
        <w:rPr>
          <w:rFonts w:ascii="Arial" w:hAnsi="Arial" w:cs="Arial"/>
          <w:sz w:val="20"/>
          <w:szCs w:val="20"/>
        </w:rPr>
        <w:t>March 2022: 4 weeks ending 3/27/2022</w:t>
      </w:r>
    </w:p>
    <w:p w14:paraId="3A101F08" w14:textId="77777777" w:rsidR="001D4954" w:rsidRDefault="001D4954" w:rsidP="001D4954">
      <w:pPr>
        <w:pStyle w:val="NoSpacing"/>
        <w:rPr>
          <w:rFonts w:ascii="Arial" w:hAnsi="Arial" w:cs="Arial"/>
          <w:sz w:val="20"/>
          <w:szCs w:val="20"/>
        </w:rPr>
      </w:pPr>
      <w:r>
        <w:rPr>
          <w:rFonts w:ascii="Arial" w:hAnsi="Arial" w:cs="Arial"/>
          <w:sz w:val="20"/>
          <w:szCs w:val="20"/>
        </w:rPr>
        <w:t>April: 4 weeks ending 4/24/2022</w:t>
      </w:r>
    </w:p>
    <w:p w14:paraId="17834BB4" w14:textId="77777777" w:rsidR="001D4954" w:rsidRPr="006879B2" w:rsidRDefault="001D4954" w:rsidP="001D4954">
      <w:pPr>
        <w:pStyle w:val="NoSpacing"/>
        <w:rPr>
          <w:rFonts w:ascii="Arial" w:hAnsi="Arial" w:cs="Arial"/>
          <w:sz w:val="20"/>
          <w:szCs w:val="20"/>
        </w:rPr>
      </w:pPr>
      <w:r>
        <w:rPr>
          <w:rFonts w:ascii="Arial" w:hAnsi="Arial" w:cs="Arial"/>
          <w:sz w:val="20"/>
          <w:szCs w:val="20"/>
        </w:rPr>
        <w:t>May: 5 weeks ending 5/29/2022</w:t>
      </w:r>
    </w:p>
    <w:p w14:paraId="7343FCEB" w14:textId="39EAA5C2" w:rsidR="00C826C2" w:rsidRPr="008A6A7C" w:rsidRDefault="00C826C2" w:rsidP="0003032A">
      <w:pPr>
        <w:pStyle w:val="NoSpacing"/>
        <w:rPr>
          <w:rFonts w:ascii="Arial" w:hAnsi="Arial" w:cs="Arial"/>
          <w:sz w:val="20"/>
          <w:szCs w:val="20"/>
        </w:rPr>
      </w:pPr>
    </w:p>
    <w:sectPr w:rsidR="00C826C2"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07B5" w14:textId="77777777" w:rsidR="005017D2" w:rsidRDefault="005017D2" w:rsidP="007E1D2E">
      <w:pPr>
        <w:spacing w:after="0" w:line="240" w:lineRule="auto"/>
      </w:pPr>
      <w:r>
        <w:separator/>
      </w:r>
    </w:p>
  </w:endnote>
  <w:endnote w:type="continuationSeparator" w:id="0">
    <w:p w14:paraId="7BEFC0BB" w14:textId="77777777" w:rsidR="005017D2" w:rsidRDefault="005017D2"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112E9A" w:rsidRPr="001C4C48" w:rsidRDefault="000F45C4"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52F4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" strokecolor="#4f81bd [3204]">
              <o:lock v:ext="edit" shapetype="f"/>
              <w10:wrap anchorx="page"/>
            </v:line>
          </w:pict>
        </mc:Fallback>
      </mc:AlternateContent>
    </w:r>
  </w:p>
  <w:p w14:paraId="280BF8AE" w14:textId="110F4C1E" w:rsidR="00112E9A" w:rsidRPr="00030F05" w:rsidRDefault="000F45C4" w:rsidP="009172A3">
    <w:pPr>
      <w:pStyle w:val="NoSpacing"/>
      <w:rPr>
        <w:sz w:val="16"/>
      </w:rPr>
    </w:pPr>
    <w:r>
      <w:rPr>
        <w:noProof/>
        <w:sz w:val="16"/>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00112E9A" w:rsidRPr="00030F05">
      <w:rPr>
        <w:sz w:val="16"/>
      </w:rPr>
      <w:t>Need more information?</w:t>
    </w:r>
    <w:r w:rsidR="00112E9A" w:rsidRPr="00030F05">
      <w:rPr>
        <w:sz w:val="16"/>
      </w:rPr>
      <w:br/>
    </w:r>
    <w:r>
      <w:rPr>
        <w:sz w:val="16"/>
      </w:rPr>
      <w:t>freshfoods@iriworldwide.com</w:t>
    </w:r>
    <w:r w:rsidR="00112E9A">
      <w:rPr>
        <w:sz w:val="16"/>
      </w:rPr>
      <w:tab/>
    </w:r>
    <w:r w:rsidR="00112E9A">
      <w:rPr>
        <w:sz w:val="16"/>
      </w:rPr>
      <w:tab/>
    </w:r>
    <w:r w:rsidR="00112E9A">
      <w:rPr>
        <w:sz w:val="16"/>
      </w:rPr>
      <w:tab/>
      <w:t>210 Analytics</w:t>
    </w:r>
  </w:p>
  <w:p w14:paraId="6E4FF3AA" w14:textId="61144657" w:rsidR="00112E9A" w:rsidRPr="00030F05" w:rsidRDefault="00280853" w:rsidP="009172A3">
    <w:pPr>
      <w:pStyle w:val="NoSpacing"/>
      <w:rPr>
        <w:sz w:val="16"/>
      </w:rPr>
    </w:pPr>
    <w:r>
      <w:rPr>
        <w:sz w:val="16"/>
      </w:rPr>
      <w:t>FreshProduce@iriworldwide.com</w:t>
    </w:r>
    <w:r w:rsidR="00112E9A">
      <w:rPr>
        <w:sz w:val="16"/>
      </w:rPr>
      <w:tab/>
    </w:r>
    <w:r w:rsidR="00112E9A">
      <w:rPr>
        <w:sz w:val="16"/>
      </w:rPr>
      <w:tab/>
      <w:t>aroerink@210analytics.com</w:t>
    </w:r>
  </w:p>
  <w:p w14:paraId="0C43B367" w14:textId="77777777" w:rsidR="00112E9A" w:rsidRDefault="0011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5A21" w14:textId="77777777" w:rsidR="005017D2" w:rsidRDefault="005017D2" w:rsidP="007E1D2E">
      <w:pPr>
        <w:spacing w:after="0" w:line="240" w:lineRule="auto"/>
      </w:pPr>
      <w:r>
        <w:separator/>
      </w:r>
    </w:p>
  </w:footnote>
  <w:footnote w:type="continuationSeparator" w:id="0">
    <w:p w14:paraId="43B202AE" w14:textId="77777777" w:rsidR="005017D2" w:rsidRDefault="005017D2"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112E9A" w:rsidRDefault="00112E9A">
    <w:pPr>
      <w:pStyle w:val="Header"/>
    </w:pPr>
    <w:r w:rsidRPr="00030F05">
      <w:rPr>
        <w:noProof/>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1402"/>
    <w:multiLevelType w:val="hybridMultilevel"/>
    <w:tmpl w:val="87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867E9"/>
    <w:multiLevelType w:val="hybridMultilevel"/>
    <w:tmpl w:val="4846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39032F"/>
    <w:multiLevelType w:val="hybridMultilevel"/>
    <w:tmpl w:val="1250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6979880">
    <w:abstractNumId w:val="22"/>
  </w:num>
  <w:num w:numId="2" w16cid:durableId="1772815828">
    <w:abstractNumId w:val="6"/>
  </w:num>
  <w:num w:numId="3" w16cid:durableId="1238055895">
    <w:abstractNumId w:val="20"/>
  </w:num>
  <w:num w:numId="4" w16cid:durableId="1159495150">
    <w:abstractNumId w:val="21"/>
  </w:num>
  <w:num w:numId="5" w16cid:durableId="1193032129">
    <w:abstractNumId w:val="23"/>
  </w:num>
  <w:num w:numId="6" w16cid:durableId="919486077">
    <w:abstractNumId w:val="2"/>
  </w:num>
  <w:num w:numId="7" w16cid:durableId="2074964385">
    <w:abstractNumId w:val="9"/>
  </w:num>
  <w:num w:numId="8" w16cid:durableId="760176392">
    <w:abstractNumId w:val="11"/>
  </w:num>
  <w:num w:numId="9" w16cid:durableId="2097704989">
    <w:abstractNumId w:val="19"/>
  </w:num>
  <w:num w:numId="10" w16cid:durableId="1547066803">
    <w:abstractNumId w:val="16"/>
  </w:num>
  <w:num w:numId="11" w16cid:durableId="696273088">
    <w:abstractNumId w:val="12"/>
  </w:num>
  <w:num w:numId="12" w16cid:durableId="1170020589">
    <w:abstractNumId w:val="4"/>
  </w:num>
  <w:num w:numId="13" w16cid:durableId="422997363">
    <w:abstractNumId w:val="1"/>
  </w:num>
  <w:num w:numId="14" w16cid:durableId="458687039">
    <w:abstractNumId w:val="0"/>
  </w:num>
  <w:num w:numId="15" w16cid:durableId="1060052281">
    <w:abstractNumId w:val="13"/>
  </w:num>
  <w:num w:numId="16" w16cid:durableId="1375495680">
    <w:abstractNumId w:val="18"/>
  </w:num>
  <w:num w:numId="17" w16cid:durableId="1670980571">
    <w:abstractNumId w:val="7"/>
  </w:num>
  <w:num w:numId="18" w16cid:durableId="2103260199">
    <w:abstractNumId w:val="24"/>
  </w:num>
  <w:num w:numId="19" w16cid:durableId="196742430">
    <w:abstractNumId w:val="5"/>
  </w:num>
  <w:num w:numId="20" w16cid:durableId="1280604835">
    <w:abstractNumId w:val="14"/>
  </w:num>
  <w:num w:numId="21" w16cid:durableId="1698040917">
    <w:abstractNumId w:val="3"/>
  </w:num>
  <w:num w:numId="22" w16cid:durableId="1865943049">
    <w:abstractNumId w:val="10"/>
  </w:num>
  <w:num w:numId="23" w16cid:durableId="2054579460">
    <w:abstractNumId w:val="15"/>
  </w:num>
  <w:num w:numId="24" w16cid:durableId="1491215903">
    <w:abstractNumId w:val="17"/>
  </w:num>
  <w:num w:numId="25" w16cid:durableId="1932623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D"/>
    <w:rsid w:val="00000581"/>
    <w:rsid w:val="0000075A"/>
    <w:rsid w:val="0000248F"/>
    <w:rsid w:val="00007A72"/>
    <w:rsid w:val="00010D51"/>
    <w:rsid w:val="0001120A"/>
    <w:rsid w:val="000117EF"/>
    <w:rsid w:val="00012355"/>
    <w:rsid w:val="000166DA"/>
    <w:rsid w:val="00017F7D"/>
    <w:rsid w:val="00020882"/>
    <w:rsid w:val="00022AE5"/>
    <w:rsid w:val="00022DA3"/>
    <w:rsid w:val="00023C8F"/>
    <w:rsid w:val="00024B5F"/>
    <w:rsid w:val="00025202"/>
    <w:rsid w:val="000263ED"/>
    <w:rsid w:val="00027658"/>
    <w:rsid w:val="0003032A"/>
    <w:rsid w:val="0003459A"/>
    <w:rsid w:val="00036105"/>
    <w:rsid w:val="000369B9"/>
    <w:rsid w:val="00036B2C"/>
    <w:rsid w:val="000375AF"/>
    <w:rsid w:val="00042FD2"/>
    <w:rsid w:val="000439A5"/>
    <w:rsid w:val="00043B43"/>
    <w:rsid w:val="00050514"/>
    <w:rsid w:val="0005157F"/>
    <w:rsid w:val="00051887"/>
    <w:rsid w:val="000526EA"/>
    <w:rsid w:val="00052CF6"/>
    <w:rsid w:val="000538C0"/>
    <w:rsid w:val="00053F8C"/>
    <w:rsid w:val="000544E1"/>
    <w:rsid w:val="000545C1"/>
    <w:rsid w:val="0005496E"/>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3DB0"/>
    <w:rsid w:val="00083EF7"/>
    <w:rsid w:val="00084469"/>
    <w:rsid w:val="00086061"/>
    <w:rsid w:val="00091E61"/>
    <w:rsid w:val="0009337A"/>
    <w:rsid w:val="000A17A4"/>
    <w:rsid w:val="000A1FB2"/>
    <w:rsid w:val="000A3E66"/>
    <w:rsid w:val="000A543A"/>
    <w:rsid w:val="000A7CDC"/>
    <w:rsid w:val="000B035F"/>
    <w:rsid w:val="000B0AF5"/>
    <w:rsid w:val="000B0C6D"/>
    <w:rsid w:val="000B16D5"/>
    <w:rsid w:val="000B44E8"/>
    <w:rsid w:val="000B4FD7"/>
    <w:rsid w:val="000B5FE1"/>
    <w:rsid w:val="000B62E2"/>
    <w:rsid w:val="000B6A06"/>
    <w:rsid w:val="000B705A"/>
    <w:rsid w:val="000B73DB"/>
    <w:rsid w:val="000C0984"/>
    <w:rsid w:val="000C0F39"/>
    <w:rsid w:val="000C1222"/>
    <w:rsid w:val="000C2C93"/>
    <w:rsid w:val="000C4A54"/>
    <w:rsid w:val="000C757A"/>
    <w:rsid w:val="000D036B"/>
    <w:rsid w:val="000D0664"/>
    <w:rsid w:val="000D3B17"/>
    <w:rsid w:val="000D5031"/>
    <w:rsid w:val="000D5607"/>
    <w:rsid w:val="000D5DA3"/>
    <w:rsid w:val="000D5E13"/>
    <w:rsid w:val="000D6CF5"/>
    <w:rsid w:val="000D6E48"/>
    <w:rsid w:val="000E02DD"/>
    <w:rsid w:val="000E109F"/>
    <w:rsid w:val="000E2CB5"/>
    <w:rsid w:val="000E3C59"/>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695F"/>
    <w:rsid w:val="00106F0B"/>
    <w:rsid w:val="00110FF9"/>
    <w:rsid w:val="00112A5A"/>
    <w:rsid w:val="00112E9A"/>
    <w:rsid w:val="001141CA"/>
    <w:rsid w:val="0011420E"/>
    <w:rsid w:val="00114591"/>
    <w:rsid w:val="001162B9"/>
    <w:rsid w:val="0011663F"/>
    <w:rsid w:val="00116FC7"/>
    <w:rsid w:val="0011773C"/>
    <w:rsid w:val="001210D2"/>
    <w:rsid w:val="001213B4"/>
    <w:rsid w:val="00121989"/>
    <w:rsid w:val="00121E18"/>
    <w:rsid w:val="00125FAE"/>
    <w:rsid w:val="00130D41"/>
    <w:rsid w:val="00131954"/>
    <w:rsid w:val="00131B9A"/>
    <w:rsid w:val="0013220C"/>
    <w:rsid w:val="00133959"/>
    <w:rsid w:val="001344E1"/>
    <w:rsid w:val="00135BE7"/>
    <w:rsid w:val="00140A5F"/>
    <w:rsid w:val="00140B3C"/>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80487"/>
    <w:rsid w:val="001823F0"/>
    <w:rsid w:val="0018439F"/>
    <w:rsid w:val="001904BA"/>
    <w:rsid w:val="00190A58"/>
    <w:rsid w:val="00191B23"/>
    <w:rsid w:val="00192C41"/>
    <w:rsid w:val="00192E8C"/>
    <w:rsid w:val="001937D1"/>
    <w:rsid w:val="001946FE"/>
    <w:rsid w:val="00194FCF"/>
    <w:rsid w:val="0019681B"/>
    <w:rsid w:val="0019735A"/>
    <w:rsid w:val="0019737A"/>
    <w:rsid w:val="001A0E90"/>
    <w:rsid w:val="001A1830"/>
    <w:rsid w:val="001A2844"/>
    <w:rsid w:val="001A2FCB"/>
    <w:rsid w:val="001A4317"/>
    <w:rsid w:val="001A4F53"/>
    <w:rsid w:val="001B04C2"/>
    <w:rsid w:val="001B27BC"/>
    <w:rsid w:val="001B2A5E"/>
    <w:rsid w:val="001B361F"/>
    <w:rsid w:val="001B5D83"/>
    <w:rsid w:val="001B6F56"/>
    <w:rsid w:val="001C0658"/>
    <w:rsid w:val="001C0962"/>
    <w:rsid w:val="001C454A"/>
    <w:rsid w:val="001C5358"/>
    <w:rsid w:val="001C54D9"/>
    <w:rsid w:val="001C56E4"/>
    <w:rsid w:val="001C6281"/>
    <w:rsid w:val="001C641C"/>
    <w:rsid w:val="001C6B93"/>
    <w:rsid w:val="001D030C"/>
    <w:rsid w:val="001D0A38"/>
    <w:rsid w:val="001D0C47"/>
    <w:rsid w:val="001D0D13"/>
    <w:rsid w:val="001D13E3"/>
    <w:rsid w:val="001D1C94"/>
    <w:rsid w:val="001D1FD7"/>
    <w:rsid w:val="001D2163"/>
    <w:rsid w:val="001D4954"/>
    <w:rsid w:val="001D5464"/>
    <w:rsid w:val="001D5C1A"/>
    <w:rsid w:val="001E19ED"/>
    <w:rsid w:val="001E1AD8"/>
    <w:rsid w:val="001E2207"/>
    <w:rsid w:val="001E26EB"/>
    <w:rsid w:val="001E28F9"/>
    <w:rsid w:val="001E3E8E"/>
    <w:rsid w:val="001E4381"/>
    <w:rsid w:val="001E4CD3"/>
    <w:rsid w:val="001E4D03"/>
    <w:rsid w:val="001E5E9F"/>
    <w:rsid w:val="001E726D"/>
    <w:rsid w:val="001F04FA"/>
    <w:rsid w:val="001F074D"/>
    <w:rsid w:val="001F292B"/>
    <w:rsid w:val="001F29DC"/>
    <w:rsid w:val="001F512A"/>
    <w:rsid w:val="001F53D3"/>
    <w:rsid w:val="001F7395"/>
    <w:rsid w:val="00200C0F"/>
    <w:rsid w:val="00200D19"/>
    <w:rsid w:val="00203B6C"/>
    <w:rsid w:val="00206FA1"/>
    <w:rsid w:val="00207525"/>
    <w:rsid w:val="0021074E"/>
    <w:rsid w:val="002137F5"/>
    <w:rsid w:val="00213F99"/>
    <w:rsid w:val="0021462C"/>
    <w:rsid w:val="00214C85"/>
    <w:rsid w:val="00215410"/>
    <w:rsid w:val="0021673D"/>
    <w:rsid w:val="00216752"/>
    <w:rsid w:val="0021684E"/>
    <w:rsid w:val="00216FFD"/>
    <w:rsid w:val="00217CA1"/>
    <w:rsid w:val="00217E85"/>
    <w:rsid w:val="0022022C"/>
    <w:rsid w:val="00220B71"/>
    <w:rsid w:val="0022252A"/>
    <w:rsid w:val="00223410"/>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50C"/>
    <w:rsid w:val="00247235"/>
    <w:rsid w:val="00247561"/>
    <w:rsid w:val="00250FB7"/>
    <w:rsid w:val="00251476"/>
    <w:rsid w:val="00252AC4"/>
    <w:rsid w:val="00253765"/>
    <w:rsid w:val="00254063"/>
    <w:rsid w:val="00254795"/>
    <w:rsid w:val="00254FD3"/>
    <w:rsid w:val="00255020"/>
    <w:rsid w:val="002559AC"/>
    <w:rsid w:val="002577CE"/>
    <w:rsid w:val="0026038C"/>
    <w:rsid w:val="00260E1C"/>
    <w:rsid w:val="00262B72"/>
    <w:rsid w:val="00262B7A"/>
    <w:rsid w:val="00263C9F"/>
    <w:rsid w:val="00265A50"/>
    <w:rsid w:val="00267E57"/>
    <w:rsid w:val="00271EF8"/>
    <w:rsid w:val="00272C41"/>
    <w:rsid w:val="00273813"/>
    <w:rsid w:val="002741C9"/>
    <w:rsid w:val="00274C89"/>
    <w:rsid w:val="0027508E"/>
    <w:rsid w:val="002769A5"/>
    <w:rsid w:val="00280853"/>
    <w:rsid w:val="00281DD0"/>
    <w:rsid w:val="002829C4"/>
    <w:rsid w:val="002839FE"/>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1EEF"/>
    <w:rsid w:val="002A4D9A"/>
    <w:rsid w:val="002B1115"/>
    <w:rsid w:val="002B46DD"/>
    <w:rsid w:val="002B647B"/>
    <w:rsid w:val="002C0E44"/>
    <w:rsid w:val="002C11A9"/>
    <w:rsid w:val="002C22DF"/>
    <w:rsid w:val="002C2F4F"/>
    <w:rsid w:val="002C4F5A"/>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BE8"/>
    <w:rsid w:val="002E5503"/>
    <w:rsid w:val="002E5A54"/>
    <w:rsid w:val="002E6833"/>
    <w:rsid w:val="002E76F7"/>
    <w:rsid w:val="002E78E1"/>
    <w:rsid w:val="002E7CDB"/>
    <w:rsid w:val="002F2661"/>
    <w:rsid w:val="002F3E80"/>
    <w:rsid w:val="002F74F6"/>
    <w:rsid w:val="002F7B5D"/>
    <w:rsid w:val="00300012"/>
    <w:rsid w:val="00300ECD"/>
    <w:rsid w:val="00301A27"/>
    <w:rsid w:val="00301A61"/>
    <w:rsid w:val="00302080"/>
    <w:rsid w:val="003025A7"/>
    <w:rsid w:val="00305692"/>
    <w:rsid w:val="003057CD"/>
    <w:rsid w:val="00307723"/>
    <w:rsid w:val="00310171"/>
    <w:rsid w:val="0031035E"/>
    <w:rsid w:val="00310885"/>
    <w:rsid w:val="00311B6D"/>
    <w:rsid w:val="00313FC0"/>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507F8"/>
    <w:rsid w:val="003508FD"/>
    <w:rsid w:val="003538DC"/>
    <w:rsid w:val="00354739"/>
    <w:rsid w:val="003555F0"/>
    <w:rsid w:val="0035616A"/>
    <w:rsid w:val="00357E26"/>
    <w:rsid w:val="00361BCC"/>
    <w:rsid w:val="003627EF"/>
    <w:rsid w:val="00365D81"/>
    <w:rsid w:val="003671FD"/>
    <w:rsid w:val="00367C42"/>
    <w:rsid w:val="003702C2"/>
    <w:rsid w:val="00373662"/>
    <w:rsid w:val="00375DB1"/>
    <w:rsid w:val="00380CBC"/>
    <w:rsid w:val="0038311D"/>
    <w:rsid w:val="00384446"/>
    <w:rsid w:val="00384746"/>
    <w:rsid w:val="0038533A"/>
    <w:rsid w:val="003860D6"/>
    <w:rsid w:val="00386440"/>
    <w:rsid w:val="0038781D"/>
    <w:rsid w:val="00392773"/>
    <w:rsid w:val="00392F8D"/>
    <w:rsid w:val="00393115"/>
    <w:rsid w:val="00393357"/>
    <w:rsid w:val="003935EB"/>
    <w:rsid w:val="00393E83"/>
    <w:rsid w:val="00394F89"/>
    <w:rsid w:val="00395431"/>
    <w:rsid w:val="0039690E"/>
    <w:rsid w:val="003A00AA"/>
    <w:rsid w:val="003A0E9C"/>
    <w:rsid w:val="003A1E76"/>
    <w:rsid w:val="003A20BE"/>
    <w:rsid w:val="003A40A2"/>
    <w:rsid w:val="003A7E92"/>
    <w:rsid w:val="003B041E"/>
    <w:rsid w:val="003B0512"/>
    <w:rsid w:val="003B22D4"/>
    <w:rsid w:val="003B318C"/>
    <w:rsid w:val="003B4FA0"/>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339B"/>
    <w:rsid w:val="003D37B7"/>
    <w:rsid w:val="003D46CC"/>
    <w:rsid w:val="003E0C1E"/>
    <w:rsid w:val="003E0E97"/>
    <w:rsid w:val="003E1146"/>
    <w:rsid w:val="003E1441"/>
    <w:rsid w:val="003E1B5F"/>
    <w:rsid w:val="003E2198"/>
    <w:rsid w:val="003E330D"/>
    <w:rsid w:val="003E4829"/>
    <w:rsid w:val="003E55E0"/>
    <w:rsid w:val="003E5674"/>
    <w:rsid w:val="003F1982"/>
    <w:rsid w:val="003F22C7"/>
    <w:rsid w:val="003F230B"/>
    <w:rsid w:val="003F3DAA"/>
    <w:rsid w:val="003F513E"/>
    <w:rsid w:val="003F5D02"/>
    <w:rsid w:val="003F676E"/>
    <w:rsid w:val="00400319"/>
    <w:rsid w:val="00401D64"/>
    <w:rsid w:val="00402E47"/>
    <w:rsid w:val="00403382"/>
    <w:rsid w:val="00403929"/>
    <w:rsid w:val="00403A49"/>
    <w:rsid w:val="004045F4"/>
    <w:rsid w:val="00405174"/>
    <w:rsid w:val="00405372"/>
    <w:rsid w:val="00406AA9"/>
    <w:rsid w:val="00412BCF"/>
    <w:rsid w:val="00413E9F"/>
    <w:rsid w:val="004146EF"/>
    <w:rsid w:val="00414983"/>
    <w:rsid w:val="004164A0"/>
    <w:rsid w:val="00421894"/>
    <w:rsid w:val="00422C9B"/>
    <w:rsid w:val="00422CBC"/>
    <w:rsid w:val="00423839"/>
    <w:rsid w:val="00423AA6"/>
    <w:rsid w:val="0042476D"/>
    <w:rsid w:val="00424B0A"/>
    <w:rsid w:val="004262CE"/>
    <w:rsid w:val="00427A55"/>
    <w:rsid w:val="004304A7"/>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FB7"/>
    <w:rsid w:val="00461C35"/>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95F"/>
    <w:rsid w:val="00480D74"/>
    <w:rsid w:val="004816C6"/>
    <w:rsid w:val="00482A2D"/>
    <w:rsid w:val="004850A1"/>
    <w:rsid w:val="00486117"/>
    <w:rsid w:val="00486A68"/>
    <w:rsid w:val="00487253"/>
    <w:rsid w:val="00490DEA"/>
    <w:rsid w:val="00491167"/>
    <w:rsid w:val="00493F7F"/>
    <w:rsid w:val="004940C4"/>
    <w:rsid w:val="00495014"/>
    <w:rsid w:val="00495F2C"/>
    <w:rsid w:val="004A11C3"/>
    <w:rsid w:val="004A4DF1"/>
    <w:rsid w:val="004A4F04"/>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6B52"/>
    <w:rsid w:val="004F27DA"/>
    <w:rsid w:val="004F346A"/>
    <w:rsid w:val="004F61B9"/>
    <w:rsid w:val="004F66AC"/>
    <w:rsid w:val="004F69B5"/>
    <w:rsid w:val="004F7335"/>
    <w:rsid w:val="005017D2"/>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3970"/>
    <w:rsid w:val="00534F05"/>
    <w:rsid w:val="00540B8A"/>
    <w:rsid w:val="00541668"/>
    <w:rsid w:val="00542741"/>
    <w:rsid w:val="00542BDA"/>
    <w:rsid w:val="00543085"/>
    <w:rsid w:val="00546508"/>
    <w:rsid w:val="00547E8F"/>
    <w:rsid w:val="00550F90"/>
    <w:rsid w:val="005512D4"/>
    <w:rsid w:val="00551D01"/>
    <w:rsid w:val="0055305F"/>
    <w:rsid w:val="005561B1"/>
    <w:rsid w:val="005565BE"/>
    <w:rsid w:val="005567F4"/>
    <w:rsid w:val="005575E8"/>
    <w:rsid w:val="005575F0"/>
    <w:rsid w:val="005627D0"/>
    <w:rsid w:val="00562AF2"/>
    <w:rsid w:val="00563A06"/>
    <w:rsid w:val="00565FD2"/>
    <w:rsid w:val="00566B14"/>
    <w:rsid w:val="00570B51"/>
    <w:rsid w:val="00570D2C"/>
    <w:rsid w:val="00571158"/>
    <w:rsid w:val="005729FD"/>
    <w:rsid w:val="00574B6E"/>
    <w:rsid w:val="00574C00"/>
    <w:rsid w:val="00575026"/>
    <w:rsid w:val="00576016"/>
    <w:rsid w:val="005761CC"/>
    <w:rsid w:val="00576207"/>
    <w:rsid w:val="00576505"/>
    <w:rsid w:val="005815C8"/>
    <w:rsid w:val="00581E1C"/>
    <w:rsid w:val="00582663"/>
    <w:rsid w:val="00592B01"/>
    <w:rsid w:val="00592DB1"/>
    <w:rsid w:val="005935E4"/>
    <w:rsid w:val="00593BC6"/>
    <w:rsid w:val="00594573"/>
    <w:rsid w:val="00595F74"/>
    <w:rsid w:val="00596B93"/>
    <w:rsid w:val="005A0868"/>
    <w:rsid w:val="005A0A2F"/>
    <w:rsid w:val="005A5440"/>
    <w:rsid w:val="005A5A01"/>
    <w:rsid w:val="005A5F29"/>
    <w:rsid w:val="005B198A"/>
    <w:rsid w:val="005B1FDC"/>
    <w:rsid w:val="005B75A0"/>
    <w:rsid w:val="005C201D"/>
    <w:rsid w:val="005C3E8E"/>
    <w:rsid w:val="005C4361"/>
    <w:rsid w:val="005C6FBA"/>
    <w:rsid w:val="005C7FDD"/>
    <w:rsid w:val="005D2937"/>
    <w:rsid w:val="005D30ED"/>
    <w:rsid w:val="005D3C9F"/>
    <w:rsid w:val="005D5770"/>
    <w:rsid w:val="005D5EFC"/>
    <w:rsid w:val="005E2F61"/>
    <w:rsid w:val="005E370A"/>
    <w:rsid w:val="005E5225"/>
    <w:rsid w:val="005F15CB"/>
    <w:rsid w:val="005F485C"/>
    <w:rsid w:val="005F4FE9"/>
    <w:rsid w:val="005F5578"/>
    <w:rsid w:val="006005FF"/>
    <w:rsid w:val="00601D6D"/>
    <w:rsid w:val="00601E38"/>
    <w:rsid w:val="006024AB"/>
    <w:rsid w:val="006050A3"/>
    <w:rsid w:val="006054BA"/>
    <w:rsid w:val="006069A6"/>
    <w:rsid w:val="00606E2B"/>
    <w:rsid w:val="00611143"/>
    <w:rsid w:val="0061115A"/>
    <w:rsid w:val="00611545"/>
    <w:rsid w:val="00614D8A"/>
    <w:rsid w:val="00615446"/>
    <w:rsid w:val="00622C36"/>
    <w:rsid w:val="00622DC0"/>
    <w:rsid w:val="00623FE0"/>
    <w:rsid w:val="0062419E"/>
    <w:rsid w:val="00624AD9"/>
    <w:rsid w:val="00625436"/>
    <w:rsid w:val="006266CC"/>
    <w:rsid w:val="006273E4"/>
    <w:rsid w:val="006324AE"/>
    <w:rsid w:val="00632BEE"/>
    <w:rsid w:val="00632D4B"/>
    <w:rsid w:val="00633BA9"/>
    <w:rsid w:val="00633BC2"/>
    <w:rsid w:val="00634631"/>
    <w:rsid w:val="00634B86"/>
    <w:rsid w:val="0063505C"/>
    <w:rsid w:val="0063542C"/>
    <w:rsid w:val="006356F8"/>
    <w:rsid w:val="0063796D"/>
    <w:rsid w:val="0064024D"/>
    <w:rsid w:val="0064098A"/>
    <w:rsid w:val="0064120A"/>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20E0"/>
    <w:rsid w:val="006637F6"/>
    <w:rsid w:val="00664D47"/>
    <w:rsid w:val="00665E7E"/>
    <w:rsid w:val="00666497"/>
    <w:rsid w:val="00667BC4"/>
    <w:rsid w:val="00670599"/>
    <w:rsid w:val="00671962"/>
    <w:rsid w:val="00672D72"/>
    <w:rsid w:val="00673BDC"/>
    <w:rsid w:val="00676B67"/>
    <w:rsid w:val="00680A72"/>
    <w:rsid w:val="00681E68"/>
    <w:rsid w:val="00682EC3"/>
    <w:rsid w:val="0068309E"/>
    <w:rsid w:val="00683168"/>
    <w:rsid w:val="00683227"/>
    <w:rsid w:val="00683F16"/>
    <w:rsid w:val="00685838"/>
    <w:rsid w:val="0068714A"/>
    <w:rsid w:val="00687A24"/>
    <w:rsid w:val="00690B89"/>
    <w:rsid w:val="0069149A"/>
    <w:rsid w:val="006965D0"/>
    <w:rsid w:val="006A12EC"/>
    <w:rsid w:val="006A32A4"/>
    <w:rsid w:val="006A4A53"/>
    <w:rsid w:val="006A52FF"/>
    <w:rsid w:val="006A57AF"/>
    <w:rsid w:val="006A67F6"/>
    <w:rsid w:val="006A75A2"/>
    <w:rsid w:val="006B0746"/>
    <w:rsid w:val="006B3E16"/>
    <w:rsid w:val="006B486A"/>
    <w:rsid w:val="006C078E"/>
    <w:rsid w:val="006C11E5"/>
    <w:rsid w:val="006C230E"/>
    <w:rsid w:val="006C2468"/>
    <w:rsid w:val="006C2F8A"/>
    <w:rsid w:val="006C3FCE"/>
    <w:rsid w:val="006C5680"/>
    <w:rsid w:val="006C5F8E"/>
    <w:rsid w:val="006D13E5"/>
    <w:rsid w:val="006D3BA1"/>
    <w:rsid w:val="006D4E7C"/>
    <w:rsid w:val="006D6B85"/>
    <w:rsid w:val="006E07FB"/>
    <w:rsid w:val="006E1337"/>
    <w:rsid w:val="006E29DB"/>
    <w:rsid w:val="006E44AE"/>
    <w:rsid w:val="006E5601"/>
    <w:rsid w:val="006E61B3"/>
    <w:rsid w:val="006E7826"/>
    <w:rsid w:val="006F463B"/>
    <w:rsid w:val="006F4845"/>
    <w:rsid w:val="006F4B6C"/>
    <w:rsid w:val="00701867"/>
    <w:rsid w:val="00702075"/>
    <w:rsid w:val="007020B3"/>
    <w:rsid w:val="0070210F"/>
    <w:rsid w:val="007038C4"/>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1CC"/>
    <w:rsid w:val="007273B2"/>
    <w:rsid w:val="00731950"/>
    <w:rsid w:val="007328E0"/>
    <w:rsid w:val="00732C43"/>
    <w:rsid w:val="00732CE6"/>
    <w:rsid w:val="00733C3B"/>
    <w:rsid w:val="00733D34"/>
    <w:rsid w:val="007352EE"/>
    <w:rsid w:val="007354E2"/>
    <w:rsid w:val="00736F10"/>
    <w:rsid w:val="00737428"/>
    <w:rsid w:val="00737D50"/>
    <w:rsid w:val="0074069D"/>
    <w:rsid w:val="00740BDC"/>
    <w:rsid w:val="007437B7"/>
    <w:rsid w:val="00744F45"/>
    <w:rsid w:val="00745FC2"/>
    <w:rsid w:val="0074727A"/>
    <w:rsid w:val="00747EEE"/>
    <w:rsid w:val="00750132"/>
    <w:rsid w:val="0075209A"/>
    <w:rsid w:val="00752D23"/>
    <w:rsid w:val="00753E6A"/>
    <w:rsid w:val="00754B67"/>
    <w:rsid w:val="007566E4"/>
    <w:rsid w:val="00756B1E"/>
    <w:rsid w:val="00760CA8"/>
    <w:rsid w:val="00762631"/>
    <w:rsid w:val="00762929"/>
    <w:rsid w:val="007631ED"/>
    <w:rsid w:val="00763CAC"/>
    <w:rsid w:val="00764049"/>
    <w:rsid w:val="00764CBC"/>
    <w:rsid w:val="00764CD2"/>
    <w:rsid w:val="00764F1B"/>
    <w:rsid w:val="0076584E"/>
    <w:rsid w:val="00765C13"/>
    <w:rsid w:val="00765D68"/>
    <w:rsid w:val="00766709"/>
    <w:rsid w:val="00770809"/>
    <w:rsid w:val="00772557"/>
    <w:rsid w:val="00773CA3"/>
    <w:rsid w:val="00775BB4"/>
    <w:rsid w:val="00776E1B"/>
    <w:rsid w:val="00780FBE"/>
    <w:rsid w:val="0078177E"/>
    <w:rsid w:val="0078184A"/>
    <w:rsid w:val="00782E51"/>
    <w:rsid w:val="007831B3"/>
    <w:rsid w:val="007874C4"/>
    <w:rsid w:val="00792E7B"/>
    <w:rsid w:val="007942A7"/>
    <w:rsid w:val="007947E9"/>
    <w:rsid w:val="00794CAC"/>
    <w:rsid w:val="007A1C17"/>
    <w:rsid w:val="007A211F"/>
    <w:rsid w:val="007A36E0"/>
    <w:rsid w:val="007A379A"/>
    <w:rsid w:val="007A3C43"/>
    <w:rsid w:val="007A68CD"/>
    <w:rsid w:val="007A7087"/>
    <w:rsid w:val="007B0257"/>
    <w:rsid w:val="007B056D"/>
    <w:rsid w:val="007B2389"/>
    <w:rsid w:val="007B27CB"/>
    <w:rsid w:val="007B30EE"/>
    <w:rsid w:val="007B6172"/>
    <w:rsid w:val="007B70C7"/>
    <w:rsid w:val="007B7B59"/>
    <w:rsid w:val="007B7C7D"/>
    <w:rsid w:val="007C037B"/>
    <w:rsid w:val="007C0523"/>
    <w:rsid w:val="007C430F"/>
    <w:rsid w:val="007C64D5"/>
    <w:rsid w:val="007C6F86"/>
    <w:rsid w:val="007D0BDF"/>
    <w:rsid w:val="007D1F9F"/>
    <w:rsid w:val="007D25D5"/>
    <w:rsid w:val="007D3DBE"/>
    <w:rsid w:val="007D3E81"/>
    <w:rsid w:val="007D41CC"/>
    <w:rsid w:val="007D4DC6"/>
    <w:rsid w:val="007D58E6"/>
    <w:rsid w:val="007D58FE"/>
    <w:rsid w:val="007D6561"/>
    <w:rsid w:val="007D6C58"/>
    <w:rsid w:val="007D6F08"/>
    <w:rsid w:val="007E05E4"/>
    <w:rsid w:val="007E1D2E"/>
    <w:rsid w:val="007E4B08"/>
    <w:rsid w:val="007E5948"/>
    <w:rsid w:val="007E6602"/>
    <w:rsid w:val="007E6C97"/>
    <w:rsid w:val="007E7F27"/>
    <w:rsid w:val="007F06A9"/>
    <w:rsid w:val="007F3002"/>
    <w:rsid w:val="007F5087"/>
    <w:rsid w:val="007F5D0A"/>
    <w:rsid w:val="008000D5"/>
    <w:rsid w:val="00800D6D"/>
    <w:rsid w:val="00802488"/>
    <w:rsid w:val="00802FF9"/>
    <w:rsid w:val="00805821"/>
    <w:rsid w:val="008064A5"/>
    <w:rsid w:val="00810A59"/>
    <w:rsid w:val="008111C0"/>
    <w:rsid w:val="00812AF9"/>
    <w:rsid w:val="00815B38"/>
    <w:rsid w:val="008166ED"/>
    <w:rsid w:val="00821F4E"/>
    <w:rsid w:val="00824EAC"/>
    <w:rsid w:val="0082522D"/>
    <w:rsid w:val="00825C5D"/>
    <w:rsid w:val="00825EEA"/>
    <w:rsid w:val="008269D0"/>
    <w:rsid w:val="008276A2"/>
    <w:rsid w:val="00832644"/>
    <w:rsid w:val="008340B5"/>
    <w:rsid w:val="00834DC2"/>
    <w:rsid w:val="00835D0B"/>
    <w:rsid w:val="008361EF"/>
    <w:rsid w:val="008369BD"/>
    <w:rsid w:val="00836A3F"/>
    <w:rsid w:val="00836D73"/>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50DF"/>
    <w:rsid w:val="0085632A"/>
    <w:rsid w:val="00856BFE"/>
    <w:rsid w:val="00857840"/>
    <w:rsid w:val="00860188"/>
    <w:rsid w:val="00861CC3"/>
    <w:rsid w:val="00861EB4"/>
    <w:rsid w:val="00862FC2"/>
    <w:rsid w:val="008631AD"/>
    <w:rsid w:val="00863383"/>
    <w:rsid w:val="008634AA"/>
    <w:rsid w:val="00865026"/>
    <w:rsid w:val="00865365"/>
    <w:rsid w:val="00866232"/>
    <w:rsid w:val="00866BC1"/>
    <w:rsid w:val="008674EE"/>
    <w:rsid w:val="00867AC1"/>
    <w:rsid w:val="00867D02"/>
    <w:rsid w:val="00871D48"/>
    <w:rsid w:val="00872B23"/>
    <w:rsid w:val="00874251"/>
    <w:rsid w:val="00874C4A"/>
    <w:rsid w:val="0087772C"/>
    <w:rsid w:val="0087790F"/>
    <w:rsid w:val="0088076E"/>
    <w:rsid w:val="00880C1C"/>
    <w:rsid w:val="00880EA2"/>
    <w:rsid w:val="00880F21"/>
    <w:rsid w:val="008827C6"/>
    <w:rsid w:val="00883B51"/>
    <w:rsid w:val="008851B3"/>
    <w:rsid w:val="00887E3D"/>
    <w:rsid w:val="00890324"/>
    <w:rsid w:val="008907EE"/>
    <w:rsid w:val="00891C7E"/>
    <w:rsid w:val="0089379E"/>
    <w:rsid w:val="008967D3"/>
    <w:rsid w:val="00897C9C"/>
    <w:rsid w:val="00897F1B"/>
    <w:rsid w:val="008A16B8"/>
    <w:rsid w:val="008A194F"/>
    <w:rsid w:val="008A20BE"/>
    <w:rsid w:val="008A2C58"/>
    <w:rsid w:val="008A349E"/>
    <w:rsid w:val="008A538A"/>
    <w:rsid w:val="008A577D"/>
    <w:rsid w:val="008A6A7C"/>
    <w:rsid w:val="008B05F8"/>
    <w:rsid w:val="008B5438"/>
    <w:rsid w:val="008B729A"/>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B41"/>
    <w:rsid w:val="00922D1D"/>
    <w:rsid w:val="00922D43"/>
    <w:rsid w:val="00926C6E"/>
    <w:rsid w:val="00927255"/>
    <w:rsid w:val="009273DB"/>
    <w:rsid w:val="00927870"/>
    <w:rsid w:val="00931093"/>
    <w:rsid w:val="00933A42"/>
    <w:rsid w:val="009340F2"/>
    <w:rsid w:val="009372B9"/>
    <w:rsid w:val="00940BF0"/>
    <w:rsid w:val="00941D8A"/>
    <w:rsid w:val="00942054"/>
    <w:rsid w:val="00944DAA"/>
    <w:rsid w:val="009462B6"/>
    <w:rsid w:val="00946FA4"/>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3F3F"/>
    <w:rsid w:val="0098427E"/>
    <w:rsid w:val="00985228"/>
    <w:rsid w:val="009861E6"/>
    <w:rsid w:val="00986FB1"/>
    <w:rsid w:val="0098718A"/>
    <w:rsid w:val="0098771F"/>
    <w:rsid w:val="00991296"/>
    <w:rsid w:val="009926A4"/>
    <w:rsid w:val="00993AE0"/>
    <w:rsid w:val="00993F23"/>
    <w:rsid w:val="0099425B"/>
    <w:rsid w:val="009960D3"/>
    <w:rsid w:val="009A07EF"/>
    <w:rsid w:val="009A0F69"/>
    <w:rsid w:val="009A1090"/>
    <w:rsid w:val="009A393E"/>
    <w:rsid w:val="009B0D12"/>
    <w:rsid w:val="009B1032"/>
    <w:rsid w:val="009B1D0D"/>
    <w:rsid w:val="009B1F30"/>
    <w:rsid w:val="009B440A"/>
    <w:rsid w:val="009B4884"/>
    <w:rsid w:val="009B4A81"/>
    <w:rsid w:val="009B653F"/>
    <w:rsid w:val="009C02A0"/>
    <w:rsid w:val="009C0A78"/>
    <w:rsid w:val="009C0B40"/>
    <w:rsid w:val="009C140E"/>
    <w:rsid w:val="009C1BD1"/>
    <w:rsid w:val="009C1E9B"/>
    <w:rsid w:val="009C22F4"/>
    <w:rsid w:val="009C48A3"/>
    <w:rsid w:val="009C4990"/>
    <w:rsid w:val="009C5544"/>
    <w:rsid w:val="009C5CE6"/>
    <w:rsid w:val="009C5D61"/>
    <w:rsid w:val="009C6825"/>
    <w:rsid w:val="009C72C8"/>
    <w:rsid w:val="009D0F34"/>
    <w:rsid w:val="009D1A60"/>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F1D55"/>
    <w:rsid w:val="009F213D"/>
    <w:rsid w:val="009F27B4"/>
    <w:rsid w:val="009F295D"/>
    <w:rsid w:val="009F417C"/>
    <w:rsid w:val="009F5C6A"/>
    <w:rsid w:val="009F5E32"/>
    <w:rsid w:val="009F65EA"/>
    <w:rsid w:val="009F6D7D"/>
    <w:rsid w:val="00A01F35"/>
    <w:rsid w:val="00A035B0"/>
    <w:rsid w:val="00A043BD"/>
    <w:rsid w:val="00A04998"/>
    <w:rsid w:val="00A04CFB"/>
    <w:rsid w:val="00A052A1"/>
    <w:rsid w:val="00A0597E"/>
    <w:rsid w:val="00A07F7A"/>
    <w:rsid w:val="00A128EA"/>
    <w:rsid w:val="00A12A7F"/>
    <w:rsid w:val="00A13BC2"/>
    <w:rsid w:val="00A15500"/>
    <w:rsid w:val="00A1610F"/>
    <w:rsid w:val="00A20B81"/>
    <w:rsid w:val="00A225AD"/>
    <w:rsid w:val="00A225C7"/>
    <w:rsid w:val="00A256D4"/>
    <w:rsid w:val="00A26555"/>
    <w:rsid w:val="00A269BE"/>
    <w:rsid w:val="00A30A8B"/>
    <w:rsid w:val="00A310F7"/>
    <w:rsid w:val="00A33B3B"/>
    <w:rsid w:val="00A34F9D"/>
    <w:rsid w:val="00A3594A"/>
    <w:rsid w:val="00A36161"/>
    <w:rsid w:val="00A3789A"/>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1DD5"/>
    <w:rsid w:val="00A823C9"/>
    <w:rsid w:val="00A83523"/>
    <w:rsid w:val="00A84CAB"/>
    <w:rsid w:val="00A85336"/>
    <w:rsid w:val="00A869FB"/>
    <w:rsid w:val="00A873BD"/>
    <w:rsid w:val="00A87E10"/>
    <w:rsid w:val="00A90E70"/>
    <w:rsid w:val="00A9120F"/>
    <w:rsid w:val="00A956DE"/>
    <w:rsid w:val="00A95927"/>
    <w:rsid w:val="00A96063"/>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1D19"/>
    <w:rsid w:val="00AD2C35"/>
    <w:rsid w:val="00AD5C59"/>
    <w:rsid w:val="00AD5F43"/>
    <w:rsid w:val="00AD6170"/>
    <w:rsid w:val="00AE2AA0"/>
    <w:rsid w:val="00AE2CEA"/>
    <w:rsid w:val="00AE3045"/>
    <w:rsid w:val="00AE3C13"/>
    <w:rsid w:val="00AE509A"/>
    <w:rsid w:val="00AE6A20"/>
    <w:rsid w:val="00AF0999"/>
    <w:rsid w:val="00AF0D02"/>
    <w:rsid w:val="00AF12C4"/>
    <w:rsid w:val="00AF21A4"/>
    <w:rsid w:val="00AF3E13"/>
    <w:rsid w:val="00AF4493"/>
    <w:rsid w:val="00AF4FDD"/>
    <w:rsid w:val="00AF7EDF"/>
    <w:rsid w:val="00B01670"/>
    <w:rsid w:val="00B02D10"/>
    <w:rsid w:val="00B02ED1"/>
    <w:rsid w:val="00B05254"/>
    <w:rsid w:val="00B05A20"/>
    <w:rsid w:val="00B05EC1"/>
    <w:rsid w:val="00B06717"/>
    <w:rsid w:val="00B0769C"/>
    <w:rsid w:val="00B1061E"/>
    <w:rsid w:val="00B10C22"/>
    <w:rsid w:val="00B10EED"/>
    <w:rsid w:val="00B1417F"/>
    <w:rsid w:val="00B145D0"/>
    <w:rsid w:val="00B154A1"/>
    <w:rsid w:val="00B163DB"/>
    <w:rsid w:val="00B17BA1"/>
    <w:rsid w:val="00B20655"/>
    <w:rsid w:val="00B21410"/>
    <w:rsid w:val="00B227ED"/>
    <w:rsid w:val="00B23C22"/>
    <w:rsid w:val="00B25D8D"/>
    <w:rsid w:val="00B265F0"/>
    <w:rsid w:val="00B26A33"/>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0EDD"/>
    <w:rsid w:val="00B63160"/>
    <w:rsid w:val="00B64173"/>
    <w:rsid w:val="00B64A01"/>
    <w:rsid w:val="00B64CF8"/>
    <w:rsid w:val="00B65D8F"/>
    <w:rsid w:val="00B65E56"/>
    <w:rsid w:val="00B66C37"/>
    <w:rsid w:val="00B679A9"/>
    <w:rsid w:val="00B67D94"/>
    <w:rsid w:val="00B71FC0"/>
    <w:rsid w:val="00B72013"/>
    <w:rsid w:val="00B736D5"/>
    <w:rsid w:val="00B7428E"/>
    <w:rsid w:val="00B74871"/>
    <w:rsid w:val="00B75CF4"/>
    <w:rsid w:val="00B75D3A"/>
    <w:rsid w:val="00B803CA"/>
    <w:rsid w:val="00B80CC5"/>
    <w:rsid w:val="00B82411"/>
    <w:rsid w:val="00B83E0E"/>
    <w:rsid w:val="00B8716D"/>
    <w:rsid w:val="00B87A29"/>
    <w:rsid w:val="00B87F76"/>
    <w:rsid w:val="00B906F3"/>
    <w:rsid w:val="00B920A9"/>
    <w:rsid w:val="00B92479"/>
    <w:rsid w:val="00B93932"/>
    <w:rsid w:val="00B94825"/>
    <w:rsid w:val="00B94B5C"/>
    <w:rsid w:val="00B96776"/>
    <w:rsid w:val="00BA02A6"/>
    <w:rsid w:val="00BA12AB"/>
    <w:rsid w:val="00BA2335"/>
    <w:rsid w:val="00BA2B19"/>
    <w:rsid w:val="00BA516E"/>
    <w:rsid w:val="00BA5935"/>
    <w:rsid w:val="00BA664A"/>
    <w:rsid w:val="00BA715A"/>
    <w:rsid w:val="00BA7456"/>
    <w:rsid w:val="00BB001C"/>
    <w:rsid w:val="00BB141F"/>
    <w:rsid w:val="00BB2B8E"/>
    <w:rsid w:val="00BB3051"/>
    <w:rsid w:val="00BB45F4"/>
    <w:rsid w:val="00BB5C92"/>
    <w:rsid w:val="00BB7EE1"/>
    <w:rsid w:val="00BC0F48"/>
    <w:rsid w:val="00BC17F9"/>
    <w:rsid w:val="00BC21CA"/>
    <w:rsid w:val="00BC5030"/>
    <w:rsid w:val="00BC59A0"/>
    <w:rsid w:val="00BC79B3"/>
    <w:rsid w:val="00BC7B47"/>
    <w:rsid w:val="00BD01F7"/>
    <w:rsid w:val="00BD26B6"/>
    <w:rsid w:val="00BD270B"/>
    <w:rsid w:val="00BD4960"/>
    <w:rsid w:val="00BD4CDA"/>
    <w:rsid w:val="00BE2D01"/>
    <w:rsid w:val="00BE2F63"/>
    <w:rsid w:val="00BE4117"/>
    <w:rsid w:val="00BE4D0C"/>
    <w:rsid w:val="00BE7DBD"/>
    <w:rsid w:val="00BF1BA2"/>
    <w:rsid w:val="00BF3299"/>
    <w:rsid w:val="00BF3DE4"/>
    <w:rsid w:val="00BF447C"/>
    <w:rsid w:val="00BF5590"/>
    <w:rsid w:val="00BF5D2A"/>
    <w:rsid w:val="00BF64A8"/>
    <w:rsid w:val="00BF6E18"/>
    <w:rsid w:val="00BF7B2A"/>
    <w:rsid w:val="00C00E73"/>
    <w:rsid w:val="00C0573D"/>
    <w:rsid w:val="00C05AA1"/>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4548"/>
    <w:rsid w:val="00C56329"/>
    <w:rsid w:val="00C573F6"/>
    <w:rsid w:val="00C6009B"/>
    <w:rsid w:val="00C609A2"/>
    <w:rsid w:val="00C616F0"/>
    <w:rsid w:val="00C620F5"/>
    <w:rsid w:val="00C63BCE"/>
    <w:rsid w:val="00C65CED"/>
    <w:rsid w:val="00C675C5"/>
    <w:rsid w:val="00C71CF7"/>
    <w:rsid w:val="00C7382E"/>
    <w:rsid w:val="00C752C1"/>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4E8"/>
    <w:rsid w:val="00CA25CA"/>
    <w:rsid w:val="00CA499C"/>
    <w:rsid w:val="00CA6213"/>
    <w:rsid w:val="00CB06C1"/>
    <w:rsid w:val="00CB11FF"/>
    <w:rsid w:val="00CB1955"/>
    <w:rsid w:val="00CB5465"/>
    <w:rsid w:val="00CB6454"/>
    <w:rsid w:val="00CB64D9"/>
    <w:rsid w:val="00CB76FB"/>
    <w:rsid w:val="00CB799E"/>
    <w:rsid w:val="00CC1AFF"/>
    <w:rsid w:val="00CC1B1C"/>
    <w:rsid w:val="00CC2438"/>
    <w:rsid w:val="00CC28A5"/>
    <w:rsid w:val="00CC484B"/>
    <w:rsid w:val="00CC529C"/>
    <w:rsid w:val="00CC6288"/>
    <w:rsid w:val="00CC792C"/>
    <w:rsid w:val="00CD0219"/>
    <w:rsid w:val="00CD0494"/>
    <w:rsid w:val="00CD165B"/>
    <w:rsid w:val="00CD176C"/>
    <w:rsid w:val="00CD25A6"/>
    <w:rsid w:val="00CD2F2B"/>
    <w:rsid w:val="00CD34F8"/>
    <w:rsid w:val="00CD46AB"/>
    <w:rsid w:val="00CD5009"/>
    <w:rsid w:val="00CD725A"/>
    <w:rsid w:val="00CD753C"/>
    <w:rsid w:val="00CE028A"/>
    <w:rsid w:val="00CE0741"/>
    <w:rsid w:val="00CE165E"/>
    <w:rsid w:val="00CE2B8C"/>
    <w:rsid w:val="00CE3182"/>
    <w:rsid w:val="00CE415D"/>
    <w:rsid w:val="00CE4E5B"/>
    <w:rsid w:val="00CE5BD4"/>
    <w:rsid w:val="00CE5C38"/>
    <w:rsid w:val="00CE5DAF"/>
    <w:rsid w:val="00CE678D"/>
    <w:rsid w:val="00CE6E5A"/>
    <w:rsid w:val="00CF01CC"/>
    <w:rsid w:val="00CF1139"/>
    <w:rsid w:val="00CF2FF0"/>
    <w:rsid w:val="00CF309B"/>
    <w:rsid w:val="00CF30D8"/>
    <w:rsid w:val="00CF3159"/>
    <w:rsid w:val="00CF3BFD"/>
    <w:rsid w:val="00CF43CE"/>
    <w:rsid w:val="00CF5A5C"/>
    <w:rsid w:val="00CF61E8"/>
    <w:rsid w:val="00CF651D"/>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A0A"/>
    <w:rsid w:val="00D23FC8"/>
    <w:rsid w:val="00D244FF"/>
    <w:rsid w:val="00D2524A"/>
    <w:rsid w:val="00D2690A"/>
    <w:rsid w:val="00D31C35"/>
    <w:rsid w:val="00D328FE"/>
    <w:rsid w:val="00D32D11"/>
    <w:rsid w:val="00D32DE5"/>
    <w:rsid w:val="00D35394"/>
    <w:rsid w:val="00D3750C"/>
    <w:rsid w:val="00D37E08"/>
    <w:rsid w:val="00D4006C"/>
    <w:rsid w:val="00D4285A"/>
    <w:rsid w:val="00D437BC"/>
    <w:rsid w:val="00D44187"/>
    <w:rsid w:val="00D44AC8"/>
    <w:rsid w:val="00D460F3"/>
    <w:rsid w:val="00D4705D"/>
    <w:rsid w:val="00D47F5B"/>
    <w:rsid w:val="00D52EC4"/>
    <w:rsid w:val="00D54C29"/>
    <w:rsid w:val="00D553EE"/>
    <w:rsid w:val="00D5634C"/>
    <w:rsid w:val="00D57662"/>
    <w:rsid w:val="00D577E8"/>
    <w:rsid w:val="00D60950"/>
    <w:rsid w:val="00D64EB4"/>
    <w:rsid w:val="00D65642"/>
    <w:rsid w:val="00D661F2"/>
    <w:rsid w:val="00D66F5A"/>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13D9"/>
    <w:rsid w:val="00D943BB"/>
    <w:rsid w:val="00D94AC7"/>
    <w:rsid w:val="00D96437"/>
    <w:rsid w:val="00D97697"/>
    <w:rsid w:val="00D97905"/>
    <w:rsid w:val="00DA120C"/>
    <w:rsid w:val="00DA19D3"/>
    <w:rsid w:val="00DA261B"/>
    <w:rsid w:val="00DA4EEF"/>
    <w:rsid w:val="00DA5072"/>
    <w:rsid w:val="00DA7952"/>
    <w:rsid w:val="00DB1D9D"/>
    <w:rsid w:val="00DB3E36"/>
    <w:rsid w:val="00DB41E8"/>
    <w:rsid w:val="00DB444F"/>
    <w:rsid w:val="00DB62F4"/>
    <w:rsid w:val="00DB7061"/>
    <w:rsid w:val="00DB79D2"/>
    <w:rsid w:val="00DC0A82"/>
    <w:rsid w:val="00DC3686"/>
    <w:rsid w:val="00DC43E0"/>
    <w:rsid w:val="00DC4415"/>
    <w:rsid w:val="00DC5CE6"/>
    <w:rsid w:val="00DC5E32"/>
    <w:rsid w:val="00DC66BC"/>
    <w:rsid w:val="00DC7894"/>
    <w:rsid w:val="00DD3DF6"/>
    <w:rsid w:val="00DD4400"/>
    <w:rsid w:val="00DD7A16"/>
    <w:rsid w:val="00DE2445"/>
    <w:rsid w:val="00DE3692"/>
    <w:rsid w:val="00DE4141"/>
    <w:rsid w:val="00DE6DF3"/>
    <w:rsid w:val="00DF12AE"/>
    <w:rsid w:val="00DF15D5"/>
    <w:rsid w:val="00DF3970"/>
    <w:rsid w:val="00DF4495"/>
    <w:rsid w:val="00DF671A"/>
    <w:rsid w:val="00DF6A62"/>
    <w:rsid w:val="00E00543"/>
    <w:rsid w:val="00E01B25"/>
    <w:rsid w:val="00E0228D"/>
    <w:rsid w:val="00E04507"/>
    <w:rsid w:val="00E0613E"/>
    <w:rsid w:val="00E0645D"/>
    <w:rsid w:val="00E07A83"/>
    <w:rsid w:val="00E11EB4"/>
    <w:rsid w:val="00E15013"/>
    <w:rsid w:val="00E15889"/>
    <w:rsid w:val="00E17206"/>
    <w:rsid w:val="00E176AF"/>
    <w:rsid w:val="00E20669"/>
    <w:rsid w:val="00E2235D"/>
    <w:rsid w:val="00E22C87"/>
    <w:rsid w:val="00E23AF6"/>
    <w:rsid w:val="00E24425"/>
    <w:rsid w:val="00E3183D"/>
    <w:rsid w:val="00E32CAF"/>
    <w:rsid w:val="00E32CCB"/>
    <w:rsid w:val="00E33D11"/>
    <w:rsid w:val="00E407FC"/>
    <w:rsid w:val="00E42F81"/>
    <w:rsid w:val="00E43E81"/>
    <w:rsid w:val="00E4420B"/>
    <w:rsid w:val="00E449F2"/>
    <w:rsid w:val="00E450AE"/>
    <w:rsid w:val="00E4510B"/>
    <w:rsid w:val="00E45902"/>
    <w:rsid w:val="00E46385"/>
    <w:rsid w:val="00E46A69"/>
    <w:rsid w:val="00E508BC"/>
    <w:rsid w:val="00E52FB1"/>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48D"/>
    <w:rsid w:val="00E648E4"/>
    <w:rsid w:val="00E65295"/>
    <w:rsid w:val="00E67891"/>
    <w:rsid w:val="00E70C86"/>
    <w:rsid w:val="00E7405A"/>
    <w:rsid w:val="00E76864"/>
    <w:rsid w:val="00E775E7"/>
    <w:rsid w:val="00E7781E"/>
    <w:rsid w:val="00E82AEF"/>
    <w:rsid w:val="00E82FE3"/>
    <w:rsid w:val="00E843B4"/>
    <w:rsid w:val="00E86435"/>
    <w:rsid w:val="00E86580"/>
    <w:rsid w:val="00E86788"/>
    <w:rsid w:val="00E86C64"/>
    <w:rsid w:val="00E90227"/>
    <w:rsid w:val="00E92520"/>
    <w:rsid w:val="00E9324D"/>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885"/>
    <w:rsid w:val="00EB6BCC"/>
    <w:rsid w:val="00EC0786"/>
    <w:rsid w:val="00EC0FFF"/>
    <w:rsid w:val="00EC2806"/>
    <w:rsid w:val="00EC369F"/>
    <w:rsid w:val="00EC4A60"/>
    <w:rsid w:val="00EC62BA"/>
    <w:rsid w:val="00EC73D8"/>
    <w:rsid w:val="00EC7FAC"/>
    <w:rsid w:val="00ED011A"/>
    <w:rsid w:val="00ED0BA8"/>
    <w:rsid w:val="00ED2205"/>
    <w:rsid w:val="00ED477A"/>
    <w:rsid w:val="00ED5834"/>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11C6"/>
    <w:rsid w:val="00EF1EF8"/>
    <w:rsid w:val="00EF394C"/>
    <w:rsid w:val="00EF524A"/>
    <w:rsid w:val="00EF6473"/>
    <w:rsid w:val="00F0002F"/>
    <w:rsid w:val="00F006F5"/>
    <w:rsid w:val="00F00F9A"/>
    <w:rsid w:val="00F01B8A"/>
    <w:rsid w:val="00F03833"/>
    <w:rsid w:val="00F103B9"/>
    <w:rsid w:val="00F10CCE"/>
    <w:rsid w:val="00F122CD"/>
    <w:rsid w:val="00F125A2"/>
    <w:rsid w:val="00F146EB"/>
    <w:rsid w:val="00F153CA"/>
    <w:rsid w:val="00F215A6"/>
    <w:rsid w:val="00F216C1"/>
    <w:rsid w:val="00F248CB"/>
    <w:rsid w:val="00F25253"/>
    <w:rsid w:val="00F25C7A"/>
    <w:rsid w:val="00F27029"/>
    <w:rsid w:val="00F2712D"/>
    <w:rsid w:val="00F279E5"/>
    <w:rsid w:val="00F30D44"/>
    <w:rsid w:val="00F32ADF"/>
    <w:rsid w:val="00F3330C"/>
    <w:rsid w:val="00F33BE2"/>
    <w:rsid w:val="00F34AEA"/>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00E5"/>
    <w:rsid w:val="00F72FA2"/>
    <w:rsid w:val="00F73AC7"/>
    <w:rsid w:val="00F74E79"/>
    <w:rsid w:val="00F754E9"/>
    <w:rsid w:val="00F75A8C"/>
    <w:rsid w:val="00F75CF8"/>
    <w:rsid w:val="00F76E3D"/>
    <w:rsid w:val="00F80CE4"/>
    <w:rsid w:val="00F80E97"/>
    <w:rsid w:val="00F82F23"/>
    <w:rsid w:val="00F8382F"/>
    <w:rsid w:val="00F85733"/>
    <w:rsid w:val="00F85A8A"/>
    <w:rsid w:val="00F8649C"/>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B130D"/>
    <w:rsid w:val="00FB38A9"/>
    <w:rsid w:val="00FB3F66"/>
    <w:rsid w:val="00FB4EC7"/>
    <w:rsid w:val="00FB5652"/>
    <w:rsid w:val="00FB648A"/>
    <w:rsid w:val="00FC00DE"/>
    <w:rsid w:val="00FC0E2F"/>
    <w:rsid w:val="00FC1239"/>
    <w:rsid w:val="00FC1871"/>
    <w:rsid w:val="00FC21EB"/>
    <w:rsid w:val="00FC3CB9"/>
    <w:rsid w:val="00FC5204"/>
    <w:rsid w:val="00FC5EC6"/>
    <w:rsid w:val="00FC6223"/>
    <w:rsid w:val="00FC685E"/>
    <w:rsid w:val="00FC7844"/>
    <w:rsid w:val="00FD1952"/>
    <w:rsid w:val="00FD2030"/>
    <w:rsid w:val="00FD27EA"/>
    <w:rsid w:val="00FD286B"/>
    <w:rsid w:val="00FD42B1"/>
    <w:rsid w:val="00FD5ACD"/>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47B43692-15BE-44AB-934D-6ECCDBB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styleId="UnresolvedMention">
    <w:name w:val="Unresolved Mention"/>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D3B1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0D3B1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DA261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2\May%202022\Line_graph_produce_May_22.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100"/>
            </a:pPr>
            <a:r>
              <a:rPr lang="en-US" sz="1100"/>
              <a:t>% Dollar growth versus the same time period year ago</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49-44AF-B3F6-FDAE748733F3}"/>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49-44AF-B3F6-FDAE748733F3}"/>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49-44AF-B3F6-FDAE748733F3}"/>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49-44AF-B3F6-FDAE748733F3}"/>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049-44AF-B3F6-FDAE748733F3}"/>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49-44AF-B3F6-FDAE748733F3}"/>
                </c:ext>
              </c:extLst>
            </c:dLbl>
            <c:dLbl>
              <c:idx val="9"/>
              <c:layout>
                <c:manualLayout>
                  <c:x val="-1.6494029865117391E-2"/>
                  <c:y val="-2.947647303399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049-44AF-B3F6-FDAE748733F3}"/>
                </c:ext>
              </c:extLst>
            </c:dLbl>
            <c:dLbl>
              <c:idx val="10"/>
              <c:layout>
                <c:manualLayout>
                  <c:x val="-2.4983834973784144E-2"/>
                  <c:y val="-7.531078672472606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49-44AF-B3F6-FDAE748733F3}"/>
                </c:ext>
              </c:extLst>
            </c:dLbl>
            <c:dLbl>
              <c:idx val="11"/>
              <c:layout>
                <c:manualLayout>
                  <c:x val="-3.9990015828023379E-3"/>
                  <c:y val="7.645176158137675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049-44AF-B3F6-FDAE748733F3}"/>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49-44AF-B3F6-FDAE748733F3}"/>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049-44AF-B3F6-FDAE748733F3}"/>
                </c:ext>
              </c:extLst>
            </c:dLbl>
            <c:spPr>
              <a:noFill/>
              <a:ln>
                <a:noFill/>
              </a:ln>
              <a:effectLst/>
            </c:spPr>
            <c:txPr>
              <a:bodyPr/>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Sheet1!$B$30:$M$30</c:f>
              <c:numCache>
                <c:formatCode>0%</c:formatCode>
                <c:ptCount val="12"/>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c:v>4.2999999999999997E-2</c:v>
                </c:pt>
                <c:pt idx="11" formatCode="0.0%">
                  <c:v>3.2000000000000001E-2</c:v>
                </c:pt>
              </c:numCache>
            </c:numRef>
          </c:val>
          <c:smooth val="0"/>
          <c:extLst>
            <c:ext xmlns:c16="http://schemas.microsoft.com/office/drawing/2014/chart" uri="{C3380CC4-5D6E-409C-BE32-E72D297353CC}">
              <c16:uniqueId val="{0000000B-8049-44AF-B3F6-FDAE748733F3}"/>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049-44AF-B3F6-FDAE748733F3}"/>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049-44AF-B3F6-FDAE748733F3}"/>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049-44AF-B3F6-FDAE748733F3}"/>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049-44AF-B3F6-FDAE748733F3}"/>
                </c:ext>
              </c:extLst>
            </c:dLbl>
            <c:dLbl>
              <c:idx val="9"/>
              <c:layout>
                <c:manualLayout>
                  <c:x val="-3.0702217626803936E-2"/>
                  <c:y val="3.10957548644528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049-44AF-B3F6-FDAE748733F3}"/>
                </c:ext>
              </c:extLst>
            </c:dLbl>
            <c:dLbl>
              <c:idx val="10"/>
              <c:layout>
                <c:manualLayout>
                  <c:x val="-9.2934272596040257E-3"/>
                  <c:y val="-2.38898862570545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049-44AF-B3F6-FDAE748733F3}"/>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049-44AF-B3F6-FDAE748733F3}"/>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049-44AF-B3F6-FDAE748733F3}"/>
                </c:ext>
              </c:extLst>
            </c:dLbl>
            <c:spPr>
              <a:noFill/>
              <a:ln>
                <a:noFill/>
              </a:ln>
              <a:effectLst/>
            </c:spPr>
            <c:txPr>
              <a:bodyPr/>
              <a:lstStyle/>
              <a:p>
                <a:pPr>
                  <a:defRPr sz="9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Sheet1!$B$31:$M$31</c:f>
              <c:numCache>
                <c:formatCode>0%</c:formatCode>
                <c:ptCount val="12"/>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c:v>6.0999999999999999E-2</c:v>
                </c:pt>
                <c:pt idx="11" formatCode="0.0%">
                  <c:v>3.9E-2</c:v>
                </c:pt>
              </c:numCache>
            </c:numRef>
          </c:val>
          <c:smooth val="0"/>
          <c:extLst>
            <c:ext xmlns:c16="http://schemas.microsoft.com/office/drawing/2014/chart" uri="{C3380CC4-5D6E-409C-BE32-E72D297353CC}">
              <c16:uniqueId val="{00000014-8049-44AF-B3F6-FDAE748733F3}"/>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049-44AF-B3F6-FDAE748733F3}"/>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049-44AF-B3F6-FDAE748733F3}"/>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049-44AF-B3F6-FDAE748733F3}"/>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049-44AF-B3F6-FDAE748733F3}"/>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049-44AF-B3F6-FDAE748733F3}"/>
                </c:ext>
              </c:extLst>
            </c:dLbl>
            <c:dLbl>
              <c:idx val="10"/>
              <c:layout>
                <c:manualLayout>
                  <c:x val="-1.7000793252832859E-2"/>
                  <c:y val="3.0734446159845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049-44AF-B3F6-FDAE748733F3}"/>
                </c:ext>
              </c:extLst>
            </c:dLbl>
            <c:dLbl>
              <c:idx val="11"/>
              <c:layout>
                <c:manualLayout>
                  <c:x val="-8.9961240970360783E-3"/>
                  <c:y val="3.2243498216018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049-44AF-B3F6-FDAE748733F3}"/>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049-44AF-B3F6-FDAE748733F3}"/>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049-44AF-B3F6-FDAE748733F3}"/>
                </c:ext>
              </c:extLst>
            </c:dLbl>
            <c:spPr>
              <a:noFill/>
              <a:ln>
                <a:noFill/>
              </a:ln>
              <a:effectLst/>
            </c:spPr>
            <c:txPr>
              <a:bodyPr/>
              <a:lstStyle/>
              <a:p>
                <a:pPr>
                  <a:defRPr sz="9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Sheet1!$B$32:$M$32</c:f>
              <c:numCache>
                <c:formatCode>0%</c:formatCode>
                <c:ptCount val="12"/>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c:v>2.4E-2</c:v>
                </c:pt>
                <c:pt idx="11" formatCode="0.0%">
                  <c:v>2.3E-2</c:v>
                </c:pt>
              </c:numCache>
            </c:numRef>
          </c:val>
          <c:smooth val="0"/>
          <c:extLst>
            <c:ext xmlns:c16="http://schemas.microsoft.com/office/drawing/2014/chart" uri="{C3380CC4-5D6E-409C-BE32-E72D297353CC}">
              <c16:uniqueId val="{0000001E-8049-44AF-B3F6-FDAE748733F3}"/>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049-44AF-B3F6-FDAE748733F3}"/>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049-44AF-B3F6-FDAE748733F3}"/>
                </c:ext>
              </c:extLst>
            </c:dLbl>
            <c:spPr>
              <a:noFill/>
              <a:ln>
                <a:noFill/>
              </a:ln>
              <a:effectLst/>
            </c:spPr>
            <c:txPr>
              <a:bodyPr/>
              <a:lstStyle/>
              <a:p>
                <a:pPr>
                  <a:defRPr sz="9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Sheet1!$B$33:$M$33</c:f>
              <c:numCache>
                <c:formatCode>General</c:formatCode>
                <c:ptCount val="12"/>
                <c:pt idx="5" formatCode="0%">
                  <c:v>0.12</c:v>
                </c:pt>
                <c:pt idx="6" formatCode="0%">
                  <c:v>0.13800000000000001</c:v>
                </c:pt>
                <c:pt idx="7" formatCode="0%">
                  <c:v>0.14399999999999999</c:v>
                </c:pt>
                <c:pt idx="8" formatCode="0%">
                  <c:v>0.17499999999999999</c:v>
                </c:pt>
                <c:pt idx="9" formatCode="0%">
                  <c:v>0.17199999999999999</c:v>
                </c:pt>
                <c:pt idx="10" formatCode="0%">
                  <c:v>0.16300000000000001</c:v>
                </c:pt>
                <c:pt idx="11" formatCode="0.0%">
                  <c:v>0.17699999999999999</c:v>
                </c:pt>
              </c:numCache>
            </c:numRef>
          </c:val>
          <c:smooth val="0"/>
          <c:extLst>
            <c:ext xmlns:c16="http://schemas.microsoft.com/office/drawing/2014/chart" uri="{C3380CC4-5D6E-409C-BE32-E72D297353CC}">
              <c16:uniqueId val="{00000021-8049-44AF-B3F6-FDAE748733F3}"/>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049-44AF-B3F6-FDAE748733F3}"/>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049-44AF-B3F6-FDAE748733F3}"/>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049-44AF-B3F6-FDAE748733F3}"/>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049-44AF-B3F6-FDAE748733F3}"/>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049-44AF-B3F6-FDAE748733F3}"/>
                </c:ext>
              </c:extLst>
            </c:dLbl>
            <c:spPr>
              <a:noFill/>
              <a:ln>
                <a:noFill/>
              </a:ln>
              <a:effectLst/>
            </c:spPr>
            <c:txPr>
              <a:bodyPr/>
              <a:lstStyle/>
              <a:p>
                <a:pPr>
                  <a:defRPr sz="9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Sheet1!$B$34:$M$34</c:f>
              <c:numCache>
                <c:formatCode>General</c:formatCode>
                <c:ptCount val="12"/>
                <c:pt idx="5" formatCode="0%">
                  <c:v>0.106</c:v>
                </c:pt>
                <c:pt idx="6" formatCode="0%">
                  <c:v>0.156</c:v>
                </c:pt>
                <c:pt idx="7" formatCode="0%">
                  <c:v>0.16300000000000001</c:v>
                </c:pt>
                <c:pt idx="8" formatCode="0%">
                  <c:v>0.20599999999999999</c:v>
                </c:pt>
                <c:pt idx="9" formatCode="0%">
                  <c:v>0.22</c:v>
                </c:pt>
                <c:pt idx="10" formatCode="0%">
                  <c:v>0.186</c:v>
                </c:pt>
                <c:pt idx="11" formatCode="0.0%">
                  <c:v>0.20100000000000001</c:v>
                </c:pt>
              </c:numCache>
            </c:numRef>
          </c:val>
          <c:smooth val="0"/>
          <c:extLst>
            <c:ext xmlns:c16="http://schemas.microsoft.com/office/drawing/2014/chart" uri="{C3380CC4-5D6E-409C-BE32-E72D297353CC}">
              <c16:uniqueId val="{00000027-8049-44AF-B3F6-FDAE748733F3}"/>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049-44AF-B3F6-FDAE748733F3}"/>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049-44AF-B3F6-FDAE748733F3}"/>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8049-44AF-B3F6-FDAE748733F3}"/>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8049-44AF-B3F6-FDAE748733F3}"/>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8049-44AF-B3F6-FDAE748733F3}"/>
                </c:ext>
              </c:extLst>
            </c:dLbl>
            <c:spPr>
              <a:noFill/>
              <a:ln>
                <a:noFill/>
              </a:ln>
              <a:effectLst/>
            </c:spPr>
            <c:txPr>
              <a:bodyPr/>
              <a:lstStyle/>
              <a:p>
                <a:pPr>
                  <a:defRPr sz="9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Sheet1!$B$29:$M$29</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Sheet1!$B$35:$M$35</c:f>
              <c:numCache>
                <c:formatCode>General</c:formatCode>
                <c:ptCount val="12"/>
                <c:pt idx="5" formatCode="0%">
                  <c:v>0.13500000000000001</c:v>
                </c:pt>
                <c:pt idx="6" formatCode="0%">
                  <c:v>0.121</c:v>
                </c:pt>
                <c:pt idx="7" formatCode="0%">
                  <c:v>0.125</c:v>
                </c:pt>
                <c:pt idx="8" formatCode="0%">
                  <c:v>0.151</c:v>
                </c:pt>
                <c:pt idx="9" formatCode="0%">
                  <c:v>0.13</c:v>
                </c:pt>
                <c:pt idx="10" formatCode="0%">
                  <c:v>0.14199999999999999</c:v>
                </c:pt>
                <c:pt idx="11" formatCode="0.0%">
                  <c:v>0.152</c:v>
                </c:pt>
              </c:numCache>
            </c:numRef>
          </c:val>
          <c:smooth val="0"/>
          <c:extLst>
            <c:ext xmlns:c16="http://schemas.microsoft.com/office/drawing/2014/chart" uri="{C3380CC4-5D6E-409C-BE32-E72D297353CC}">
              <c16:uniqueId val="{0000002D-8049-44AF-B3F6-FDAE748733F3}"/>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txPr>
          <a:bodyPr/>
          <a:lstStyle/>
          <a:p>
            <a:pPr>
              <a:defRPr sz="900"/>
            </a:pPr>
            <a:endParaRPr lang="en-US"/>
          </a:p>
        </c:txPr>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9.7437641211753981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Sheet1!$A$102</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Mar '22</c:v>
                </c:pt>
                <c:pt idx="5">
                  <c:v>Apr '22</c:v>
                </c:pt>
                <c:pt idx="6">
                  <c:v>May '22</c:v>
                </c:pt>
              </c:strCache>
            </c:strRef>
          </c:cat>
          <c:val>
            <c:numRef>
              <c:f>Sheet1!$B$102:$H$102</c:f>
              <c:numCache>
                <c:formatCode>0.0%</c:formatCode>
                <c:ptCount val="7"/>
                <c:pt idx="0">
                  <c:v>0.80800000000000005</c:v>
                </c:pt>
                <c:pt idx="1">
                  <c:v>0.79400000000000004</c:v>
                </c:pt>
                <c:pt idx="2">
                  <c:v>0.81</c:v>
                </c:pt>
                <c:pt idx="3">
                  <c:v>0.79600000000000004</c:v>
                </c:pt>
                <c:pt idx="4">
                  <c:v>0.80200000000000005</c:v>
                </c:pt>
                <c:pt idx="5">
                  <c:v>0.80600000000000005</c:v>
                </c:pt>
                <c:pt idx="6">
                  <c:v>0.83954143227083577</c:v>
                </c:pt>
              </c:numCache>
            </c:numRef>
          </c:val>
          <c:extLst>
            <c:ext xmlns:c16="http://schemas.microsoft.com/office/drawing/2014/chart" uri="{C3380CC4-5D6E-409C-BE32-E72D297353CC}">
              <c16:uniqueId val="{00000000-35BF-4DDE-BCA7-125AAD93167F}"/>
            </c:ext>
          </c:extLst>
        </c:ser>
        <c:ser>
          <c:idx val="1"/>
          <c:order val="1"/>
          <c:tx>
            <c:strRef>
              <c:f>Sheet1!$A$103</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Sheet1!$B$101:$H$101</c:f>
              <c:strCache>
                <c:ptCount val="7"/>
                <c:pt idx="0">
                  <c:v>2019</c:v>
                </c:pt>
                <c:pt idx="1">
                  <c:v>2020</c:v>
                </c:pt>
                <c:pt idx="2">
                  <c:v>2021</c:v>
                </c:pt>
                <c:pt idx="3">
                  <c:v>Q1 '22</c:v>
                </c:pt>
                <c:pt idx="4">
                  <c:v>Mar '22</c:v>
                </c:pt>
                <c:pt idx="5">
                  <c:v>Apr '22</c:v>
                </c:pt>
                <c:pt idx="6">
                  <c:v>May '22</c:v>
                </c:pt>
              </c:strCache>
            </c:strRef>
          </c:cat>
          <c:val>
            <c:numRef>
              <c:f>Sheet1!$B$103:$H$103</c:f>
              <c:numCache>
                <c:formatCode>0.0%</c:formatCode>
                <c:ptCount val="7"/>
                <c:pt idx="0">
                  <c:v>0.115</c:v>
                </c:pt>
                <c:pt idx="1">
                  <c:v>0.121</c:v>
                </c:pt>
                <c:pt idx="2">
                  <c:v>0.111</c:v>
                </c:pt>
                <c:pt idx="3">
                  <c:v>0.121</c:v>
                </c:pt>
                <c:pt idx="4">
                  <c:v>0.11600000000000001</c:v>
                </c:pt>
                <c:pt idx="5">
                  <c:v>0.113</c:v>
                </c:pt>
                <c:pt idx="6">
                  <c:v>7.85116206502703E-2</c:v>
                </c:pt>
              </c:numCache>
            </c:numRef>
          </c:val>
          <c:extLst>
            <c:ext xmlns:c16="http://schemas.microsoft.com/office/drawing/2014/chart" uri="{C3380CC4-5D6E-409C-BE32-E72D297353CC}">
              <c16:uniqueId val="{00000001-35BF-4DDE-BCA7-125AAD93167F}"/>
            </c:ext>
          </c:extLst>
        </c:ser>
        <c:ser>
          <c:idx val="2"/>
          <c:order val="2"/>
          <c:tx>
            <c:strRef>
              <c:f>Sheet1!$A$104</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Sheet1!$B$101:$H$101</c:f>
              <c:strCache>
                <c:ptCount val="7"/>
                <c:pt idx="0">
                  <c:v>2019</c:v>
                </c:pt>
                <c:pt idx="1">
                  <c:v>2020</c:v>
                </c:pt>
                <c:pt idx="2">
                  <c:v>2021</c:v>
                </c:pt>
                <c:pt idx="3">
                  <c:v>Q1 '22</c:v>
                </c:pt>
                <c:pt idx="4">
                  <c:v>Mar '22</c:v>
                </c:pt>
                <c:pt idx="5">
                  <c:v>Apr '22</c:v>
                </c:pt>
                <c:pt idx="6">
                  <c:v>May '22</c:v>
                </c:pt>
              </c:strCache>
            </c:strRef>
          </c:cat>
          <c:val>
            <c:numRef>
              <c:f>Sheet1!$B$104:$H$104</c:f>
              <c:numCache>
                <c:formatCode>0.0%</c:formatCode>
                <c:ptCount val="7"/>
                <c:pt idx="0">
                  <c:v>7.6999999999999999E-2</c:v>
                </c:pt>
                <c:pt idx="1">
                  <c:v>8.4000000000000005E-2</c:v>
                </c:pt>
                <c:pt idx="2">
                  <c:v>7.9000000000000001E-2</c:v>
                </c:pt>
                <c:pt idx="3">
                  <c:v>8.3000000000000004E-2</c:v>
                </c:pt>
                <c:pt idx="4">
                  <c:v>8.2000000000000003E-2</c:v>
                </c:pt>
                <c:pt idx="5">
                  <c:v>8.2000000000000003E-2</c:v>
                </c:pt>
                <c:pt idx="6">
                  <c:v>8.1946947078893939E-2</c:v>
                </c:pt>
              </c:numCache>
            </c:numRef>
          </c:val>
          <c:extLst>
            <c:ext xmlns:c16="http://schemas.microsoft.com/office/drawing/2014/chart" uri="{C3380CC4-5D6E-409C-BE32-E72D297353CC}">
              <c16:uniqueId val="{00000002-35BF-4DDE-BCA7-125AAD93167F}"/>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0.80480347977490441"/>
          <c:y val="2.6413754334577013E-2"/>
          <c:w val="0.17084592476145441"/>
          <c:h val="0.17953664794233429"/>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Dollar and volume growth total produce (fixed and random weight)</a:t>
            </a:r>
            <a:br>
              <a:rPr lang="en-US" sz="1000"/>
            </a:br>
            <a:r>
              <a:rPr lang="en-US" sz="1000"/>
              <a:t>versus the comparable period YA and 2/3YA</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77-4338-9BA6-D6B793CCC9F0}"/>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77-4338-9BA6-D6B793CCC9F0}"/>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77-4338-9BA6-D6B793CCC9F0}"/>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77-4338-9BA6-D6B793CCC9F0}"/>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77-4338-9BA6-D6B793CCC9F0}"/>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77-4338-9BA6-D6B793CCC9F0}"/>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77-4338-9BA6-D6B793CCC9F0}"/>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77-4338-9BA6-D6B793CCC9F0}"/>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77-4338-9BA6-D6B793CCC9F0}"/>
                </c:ext>
              </c:extLst>
            </c:dLbl>
            <c:dLbl>
              <c:idx val="11"/>
              <c:layout>
                <c:manualLayout>
                  <c:x val="-2.6635126973376437E-2"/>
                  <c:y val="-3.402028444448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77-4338-9BA6-D6B793CCC9F0}"/>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77-4338-9BA6-D6B793CCC9F0}"/>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77-4338-9BA6-D6B793CCC9F0}"/>
                </c:ext>
              </c:extLst>
            </c:dLbl>
            <c:spPr>
              <a:noFill/>
              <a:ln>
                <a:noFill/>
              </a:ln>
              <a:effectLst/>
            </c:spPr>
            <c:txPr>
              <a:bodyPr/>
              <a:lstStyle/>
              <a:p>
                <a:pPr>
                  <a:defRPr sz="9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Sheet1!$B$65:$M$65</c:f>
              <c:numCache>
                <c:formatCode>0%</c:formatCode>
                <c:ptCount val="12"/>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formatCode="0.0%">
                  <c:v>4.2999999999999997E-2</c:v>
                </c:pt>
                <c:pt idx="11" formatCode="0.0%">
                  <c:v>3.2000000000000001E-2</c:v>
                </c:pt>
              </c:numCache>
            </c:numRef>
          </c:val>
          <c:smooth val="0"/>
          <c:extLst>
            <c:ext xmlns:c16="http://schemas.microsoft.com/office/drawing/2014/chart" uri="{C3380CC4-5D6E-409C-BE32-E72D297353CC}">
              <c16:uniqueId val="{0000000C-0B77-4338-9BA6-D6B793CCC9F0}"/>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B77-4338-9BA6-D6B793CCC9F0}"/>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B77-4338-9BA6-D6B793CCC9F0}"/>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B77-4338-9BA6-D6B793CCC9F0}"/>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B77-4338-9BA6-D6B793CCC9F0}"/>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B77-4338-9BA6-D6B793CCC9F0}"/>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B77-4338-9BA6-D6B793CCC9F0}"/>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B77-4338-9BA6-D6B793CCC9F0}"/>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B77-4338-9BA6-D6B793CCC9F0}"/>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B77-4338-9BA6-D6B793CCC9F0}"/>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B77-4338-9BA6-D6B793CCC9F0}"/>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B77-4338-9BA6-D6B793CCC9F0}"/>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B77-4338-9BA6-D6B793CCC9F0}"/>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B77-4338-9BA6-D6B793CCC9F0}"/>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B77-4338-9BA6-D6B793CCC9F0}"/>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B77-4338-9BA6-D6B793CCC9F0}"/>
                </c:ext>
              </c:extLst>
            </c:dLbl>
            <c:spPr>
              <a:noFill/>
              <a:ln>
                <a:noFill/>
              </a:ln>
              <a:effectLst/>
            </c:spPr>
            <c:txPr>
              <a:bodyPr/>
              <a:lstStyle/>
              <a:p>
                <a:pPr>
                  <a:defRPr sz="9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Sheet1!$B$66:$M$66</c:f>
              <c:numCache>
                <c:formatCode>0%</c:formatCode>
                <c:ptCount val="12"/>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formatCode="0.0%">
                  <c:v>-5.1999999999999998E-2</c:v>
                </c:pt>
                <c:pt idx="11" formatCode="0.0%">
                  <c:v>-5.8000000000000003E-2</c:v>
                </c:pt>
              </c:numCache>
            </c:numRef>
          </c:val>
          <c:smooth val="0"/>
          <c:extLst>
            <c:ext xmlns:c16="http://schemas.microsoft.com/office/drawing/2014/chart" uri="{C3380CC4-5D6E-409C-BE32-E72D297353CC}">
              <c16:uniqueId val="{0000001C-0B77-4338-9BA6-D6B793CCC9F0}"/>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B77-4338-9BA6-D6B793CCC9F0}"/>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B77-4338-9BA6-D6B793CCC9F0}"/>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B77-4338-9BA6-D6B793CCC9F0}"/>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B77-4338-9BA6-D6B793CCC9F0}"/>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B77-4338-9BA6-D6B793CCC9F0}"/>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B77-4338-9BA6-D6B793CCC9F0}"/>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0B77-4338-9BA6-D6B793CCC9F0}"/>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B77-4338-9BA6-D6B793CCC9F0}"/>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0B77-4338-9BA6-D6B793CCC9F0}"/>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0B77-4338-9BA6-D6B793CCC9F0}"/>
                </c:ext>
              </c:extLst>
            </c:dLbl>
            <c:spPr>
              <a:noFill/>
              <a:ln>
                <a:noFill/>
              </a:ln>
              <a:effectLst/>
            </c:spPr>
            <c:txPr>
              <a:bodyPr wrap="square" lIns="38100" tIns="19050" rIns="38100" bIns="19050" anchor="ctr">
                <a:spAutoFit/>
              </a:bodyPr>
              <a:lstStyle/>
              <a:p>
                <a:pPr>
                  <a:defRPr sz="9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Sheet1!$B$67:$M$67</c:f>
              <c:numCache>
                <c:formatCode>General</c:formatCode>
                <c:ptCount val="12"/>
                <c:pt idx="5" formatCode="0%">
                  <c:v>0.12</c:v>
                </c:pt>
                <c:pt idx="6" formatCode="0%">
                  <c:v>0.13900000000000001</c:v>
                </c:pt>
                <c:pt idx="7" formatCode="0%">
                  <c:v>0.14499999999999999</c:v>
                </c:pt>
                <c:pt idx="8" formatCode="0%">
                  <c:v>0.17499999999999999</c:v>
                </c:pt>
                <c:pt idx="9" formatCode="0%">
                  <c:v>0.17199999999999999</c:v>
                </c:pt>
                <c:pt idx="10" formatCode="0.0%">
                  <c:v>0.16300000000000001</c:v>
                </c:pt>
                <c:pt idx="11" formatCode="0.0%">
                  <c:v>0.17699999999999999</c:v>
                </c:pt>
              </c:numCache>
            </c:numRef>
          </c:val>
          <c:smooth val="0"/>
          <c:extLst>
            <c:ext xmlns:c16="http://schemas.microsoft.com/office/drawing/2014/chart" uri="{C3380CC4-5D6E-409C-BE32-E72D297353CC}">
              <c16:uniqueId val="{00000027-0B77-4338-9BA6-D6B793CCC9F0}"/>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0B77-4338-9BA6-D6B793CCC9F0}"/>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0B77-4338-9BA6-D6B793CCC9F0}"/>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0B77-4338-9BA6-D6B793CCC9F0}"/>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0B77-4338-9BA6-D6B793CCC9F0}"/>
                </c:ext>
              </c:extLst>
            </c:dLbl>
            <c:dLbl>
              <c:idx val="11"/>
              <c:layout>
                <c:manualLayout>
                  <c:x val="-1.8961180538600863E-2"/>
                  <c:y val="-2.3534354915610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0B77-4338-9BA6-D6B793CCC9F0}"/>
                </c:ext>
              </c:extLst>
            </c:dLbl>
            <c:dLbl>
              <c:idx val="12"/>
              <c:layout>
                <c:manualLayout>
                  <c:x val="-2.0302572633897901E-2"/>
                  <c:y val="-2.36472130615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0B77-4338-9BA6-D6B793CCC9F0}"/>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0B77-4338-9BA6-D6B793CCC9F0}"/>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0B77-4338-9BA6-D6B793CCC9F0}"/>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0B77-4338-9BA6-D6B793CCC9F0}"/>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0B77-4338-9BA6-D6B793CCC9F0}"/>
                </c:ext>
              </c:extLst>
            </c:dLbl>
            <c:spPr>
              <a:noFill/>
              <a:ln>
                <a:noFill/>
              </a:ln>
              <a:effectLst/>
            </c:spPr>
            <c:txPr>
              <a:bodyPr wrap="square" lIns="38100" tIns="19050" rIns="38100" bIns="19050" anchor="ctr">
                <a:spAutoFit/>
              </a:bodyPr>
              <a:lstStyle/>
              <a:p>
                <a:pPr>
                  <a:defRPr sz="9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Sheet1!$B$64:$M$64</c:f>
              <c:strCache>
                <c:ptCount val="12"/>
                <c:pt idx="0">
                  <c:v>2019</c:v>
                </c:pt>
                <c:pt idx="1">
                  <c:v>Q1 '20</c:v>
                </c:pt>
                <c:pt idx="2">
                  <c:v>Q2 '20</c:v>
                </c:pt>
                <c:pt idx="3">
                  <c:v>Q3 '20</c:v>
                </c:pt>
                <c:pt idx="4">
                  <c:v>Q4 '20</c:v>
                </c:pt>
                <c:pt idx="5">
                  <c:v>Q1 '21</c:v>
                </c:pt>
                <c:pt idx="6">
                  <c:v>Q2 '21</c:v>
                </c:pt>
                <c:pt idx="7">
                  <c:v>Q3 '21</c:v>
                </c:pt>
                <c:pt idx="8">
                  <c:v>Q4 '21</c:v>
                </c:pt>
                <c:pt idx="9">
                  <c:v>Q1 '22</c:v>
                </c:pt>
                <c:pt idx="10">
                  <c:v>Apr '22</c:v>
                </c:pt>
                <c:pt idx="11">
                  <c:v>May '22</c:v>
                </c:pt>
              </c:strCache>
            </c:strRef>
          </c:cat>
          <c:val>
            <c:numRef>
              <c:f>Sheet1!$B$68:$M$68</c:f>
              <c:numCache>
                <c:formatCode>General</c:formatCode>
                <c:ptCount val="12"/>
                <c:pt idx="5" formatCode="0%">
                  <c:v>9.5000000000000001E-2</c:v>
                </c:pt>
                <c:pt idx="6" formatCode="0%">
                  <c:v>6.0999999999999999E-2</c:v>
                </c:pt>
                <c:pt idx="7" formatCode="0%">
                  <c:v>6.9000000000000006E-2</c:v>
                </c:pt>
                <c:pt idx="8" formatCode="0%">
                  <c:v>6.0999999999999999E-2</c:v>
                </c:pt>
                <c:pt idx="9" formatCode="0%">
                  <c:v>4.3999999999999997E-2</c:v>
                </c:pt>
                <c:pt idx="10" formatCode="0.0%">
                  <c:v>7.0000000000000001E-3</c:v>
                </c:pt>
                <c:pt idx="11" formatCode="0.0%">
                  <c:v>-1.4E-2</c:v>
                </c:pt>
              </c:numCache>
            </c:numRef>
          </c:val>
          <c:smooth val="0"/>
          <c:extLst>
            <c:ext xmlns:c16="http://schemas.microsoft.com/office/drawing/2014/chart" uri="{C3380CC4-5D6E-409C-BE32-E72D297353CC}">
              <c16:uniqueId val="{00000032-0B77-4338-9BA6-D6B793CCC9F0}"/>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layout>
        <c:manualLayout>
          <c:xMode val="edge"/>
          <c:yMode val="edge"/>
          <c:x val="0.14805445669587605"/>
          <c:y val="0.13861815031405675"/>
          <c:w val="0.70765366773890348"/>
          <c:h val="6.4308384453892586E-2"/>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2.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9BB5F-1791-4D16-A7A4-E5D20A12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Anne-Marie Roerink</cp:lastModifiedBy>
  <cp:revision>2</cp:revision>
  <dcterms:created xsi:type="dcterms:W3CDTF">2022-06-13T17:01:00Z</dcterms:created>
  <dcterms:modified xsi:type="dcterms:W3CDTF">2022-06-13T17:01:00Z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