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2E98" w14:textId="2B3D82E2" w:rsidR="003935EB" w:rsidRPr="001D030C" w:rsidRDefault="00314F38" w:rsidP="003935EB">
      <w:pPr>
        <w:pStyle w:val="Heading1"/>
        <w:spacing w:before="0"/>
        <w:ind w:right="-142"/>
        <w:rPr>
          <w:rFonts w:ascii="Arial" w:hAnsi="Arial" w:cs="Arial"/>
          <w:color w:val="595959" w:themeColor="text1" w:themeTint="A6"/>
          <w:szCs w:val="32"/>
        </w:rPr>
      </w:pPr>
      <w:r>
        <w:rPr>
          <w:rFonts w:ascii="Arial" w:hAnsi="Arial" w:cs="Arial"/>
          <w:color w:val="595959" w:themeColor="text1" w:themeTint="A6"/>
          <w:szCs w:val="32"/>
        </w:rPr>
        <w:t>June Brought a Significant Deceleration in Fruit Inflation</w:t>
      </w:r>
    </w:p>
    <w:p w14:paraId="74F26225" w14:textId="77777777" w:rsidR="000B705A" w:rsidRPr="00B35CE9" w:rsidRDefault="000B705A" w:rsidP="000B705A">
      <w:pPr>
        <w:rPr>
          <w:rFonts w:ascii="Arial" w:hAnsi="Arial" w:cs="Arial"/>
          <w:sz w:val="20"/>
          <w:szCs w:val="20"/>
        </w:rPr>
      </w:pPr>
      <w:r w:rsidRPr="00B35CE9">
        <w:rPr>
          <w:rFonts w:ascii="Arial" w:hAnsi="Arial" w:cs="Arial"/>
          <w:sz w:val="20"/>
          <w:szCs w:val="20"/>
        </w:rPr>
        <w:t xml:space="preserve">By: Anne-Marie Roerink, President, 210 Analytics </w:t>
      </w:r>
      <w:r w:rsidRPr="007E1D2E">
        <w:rPr>
          <w:rFonts w:ascii="Arial" w:hAnsi="Arial" w:cs="Arial"/>
          <w:noProof/>
          <w:sz w:val="20"/>
          <w:szCs w:val="20"/>
        </w:rPr>
        <w:drawing>
          <wp:anchor distT="0" distB="0" distL="114300" distR="114300" simplePos="0" relativeHeight="251659264" behindDoc="0" locked="1" layoutInCell="1" allowOverlap="1" wp14:anchorId="124ABB56" wp14:editId="58017E60">
            <wp:simplePos x="0" y="0"/>
            <wp:positionH relativeFrom="page">
              <wp:posOffset>313055</wp:posOffset>
            </wp:positionH>
            <wp:positionV relativeFrom="page">
              <wp:posOffset>1129030</wp:posOffset>
            </wp:positionV>
            <wp:extent cx="7212330" cy="634365"/>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shadow PS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12330" cy="634365"/>
                    </a:xfrm>
                    <a:prstGeom prst="rect">
                      <a:avLst/>
                    </a:prstGeom>
                  </pic:spPr>
                </pic:pic>
              </a:graphicData>
            </a:graphic>
          </wp:anchor>
        </w:drawing>
      </w:r>
    </w:p>
    <w:p w14:paraId="11AC18FC" w14:textId="77777777" w:rsidR="000B705A" w:rsidRDefault="000B705A" w:rsidP="000B705A">
      <w:pPr>
        <w:pStyle w:val="NoSpacing"/>
        <w:rPr>
          <w:rFonts w:ascii="Arial" w:hAnsi="Arial" w:cs="Arial"/>
          <w:sz w:val="20"/>
          <w:szCs w:val="20"/>
        </w:rPr>
      </w:pPr>
    </w:p>
    <w:p w14:paraId="755A60F9" w14:textId="77777777" w:rsidR="00F112B8" w:rsidRDefault="00F112B8" w:rsidP="00F112B8">
      <w:pPr>
        <w:pStyle w:val="NoSpacing"/>
        <w:rPr>
          <w:rFonts w:ascii="Arial" w:hAnsi="Arial" w:cs="Arial"/>
          <w:b/>
          <w:color w:val="595959" w:themeColor="text1" w:themeTint="A6"/>
          <w:sz w:val="24"/>
          <w:szCs w:val="20"/>
        </w:rPr>
      </w:pPr>
      <w:r>
        <w:rPr>
          <w:rFonts w:ascii="Arial" w:hAnsi="Arial" w:cs="Arial"/>
          <w:b/>
          <w:color w:val="595959" w:themeColor="text1" w:themeTint="A6"/>
          <w:sz w:val="24"/>
          <w:szCs w:val="20"/>
        </w:rPr>
        <w:t>The June Marketplace</w:t>
      </w:r>
    </w:p>
    <w:p w14:paraId="27472B31" w14:textId="65C14D53" w:rsidR="00F112B8" w:rsidRDefault="00F112B8" w:rsidP="00F112B8">
      <w:pPr>
        <w:pStyle w:val="NoSpacing"/>
        <w:rPr>
          <w:rFonts w:ascii="Arial" w:hAnsi="Arial" w:cs="Arial"/>
          <w:sz w:val="20"/>
          <w:szCs w:val="20"/>
        </w:rPr>
      </w:pPr>
      <w:r>
        <w:rPr>
          <w:rFonts w:ascii="Arial" w:hAnsi="Arial" w:cs="Arial"/>
          <w:sz w:val="20"/>
          <w:szCs w:val="20"/>
        </w:rPr>
        <w:t>Inflation has dominated the trade and consumer headlines since early fall of last year and June 2022 is no different. “While consumer money-saving when buying groceries are plentiful, it is important to note that it is not a race to the bottom nor a complete abandoning of restaurant visits,” noted Jonna Parker, Team Lead Fresh at IRI. “However, the 40-year high inflation does mean consumers are much more strategic about their grocery and restaurant choices.</w:t>
      </w:r>
      <w:r w:rsidR="00A27E53">
        <w:rPr>
          <w:rFonts w:ascii="Arial" w:hAnsi="Arial" w:cs="Arial"/>
          <w:sz w:val="20"/>
          <w:szCs w:val="20"/>
        </w:rPr>
        <w:t xml:space="preserve"> That means cooking from scratch one day and leaning on value-added solutions the next. Likewise, we’re seeing consumers seamlessly switching between value and premium — creating a complex pattern of marketplace trends.</w:t>
      </w:r>
      <w:r>
        <w:rPr>
          <w:rFonts w:ascii="Arial" w:hAnsi="Arial" w:cs="Arial"/>
          <w:sz w:val="20"/>
          <w:szCs w:val="20"/>
        </w:rPr>
        <w:t xml:space="preserve">” </w:t>
      </w:r>
    </w:p>
    <w:p w14:paraId="7050BEA8" w14:textId="77777777" w:rsidR="00F112B8" w:rsidRDefault="00F112B8" w:rsidP="00F112B8">
      <w:pPr>
        <w:pStyle w:val="NoSpacing"/>
        <w:rPr>
          <w:rFonts w:ascii="Arial" w:hAnsi="Arial" w:cs="Arial"/>
          <w:sz w:val="20"/>
          <w:szCs w:val="20"/>
        </w:rPr>
      </w:pPr>
    </w:p>
    <w:p w14:paraId="64AF1449" w14:textId="77777777" w:rsidR="00F112B8" w:rsidRDefault="00F112B8" w:rsidP="00F112B8">
      <w:pPr>
        <w:pStyle w:val="NoSpacing"/>
        <w:rPr>
          <w:rFonts w:ascii="Arial" w:hAnsi="Arial" w:cs="Arial"/>
          <w:sz w:val="20"/>
          <w:szCs w:val="20"/>
        </w:rPr>
      </w:pPr>
      <w:r>
        <w:rPr>
          <w:rFonts w:ascii="Arial" w:hAnsi="Arial" w:cs="Arial"/>
          <w:sz w:val="20"/>
          <w:szCs w:val="20"/>
        </w:rPr>
        <w:t xml:space="preserve">According to the June edition of the IRI monthly survey of primary shoppers, consumers are applying many of the lessons learned during the Great Recession to tighten spending. </w:t>
      </w:r>
    </w:p>
    <w:p w14:paraId="6049DBB4" w14:textId="77777777" w:rsidR="008A426C" w:rsidRDefault="00F112B8" w:rsidP="00F112B8">
      <w:pPr>
        <w:pStyle w:val="NoSpacing"/>
        <w:numPr>
          <w:ilvl w:val="0"/>
          <w:numId w:val="24"/>
        </w:numPr>
        <w:spacing w:after="120"/>
        <w:rPr>
          <w:rFonts w:ascii="Arial" w:hAnsi="Arial" w:cs="Arial"/>
          <w:sz w:val="20"/>
          <w:szCs w:val="20"/>
        </w:rPr>
      </w:pPr>
      <w:r>
        <w:rPr>
          <w:rFonts w:ascii="Arial" w:hAnsi="Arial" w:cs="Arial"/>
          <w:sz w:val="20"/>
          <w:szCs w:val="20"/>
        </w:rPr>
        <w:t xml:space="preserve">Fully 96% of consumers say they are paying somewhat or a lot more for groceries than they did last year — listing examples of price inflation across virtually every department in the store. “Fresh produce is among the most frequently mentioned items when shoppers reflect on inflation,” said Parker. “Fresh produce has a very high trip frequency, making consumers ultra-aware of the </w:t>
      </w:r>
      <w:r w:rsidR="00A27E53">
        <w:rPr>
          <w:rFonts w:ascii="Arial" w:hAnsi="Arial" w:cs="Arial"/>
          <w:sz w:val="20"/>
          <w:szCs w:val="20"/>
        </w:rPr>
        <w:t>price increases</w:t>
      </w:r>
      <w:r w:rsidR="00B2552B">
        <w:rPr>
          <w:rFonts w:ascii="Arial" w:hAnsi="Arial" w:cs="Arial"/>
          <w:sz w:val="20"/>
          <w:szCs w:val="20"/>
        </w:rPr>
        <w:t xml:space="preserve"> plus produce has always played a key role in store choice</w:t>
      </w:r>
      <w:r w:rsidR="00A27E53">
        <w:rPr>
          <w:rFonts w:ascii="Arial" w:hAnsi="Arial" w:cs="Arial"/>
          <w:sz w:val="20"/>
          <w:szCs w:val="20"/>
        </w:rPr>
        <w:t xml:space="preserve">.” </w:t>
      </w:r>
    </w:p>
    <w:p w14:paraId="2BAA2C08" w14:textId="05106045" w:rsidR="00F112B8" w:rsidRDefault="00F112B8" w:rsidP="00F112B8">
      <w:pPr>
        <w:pStyle w:val="NoSpacing"/>
        <w:numPr>
          <w:ilvl w:val="0"/>
          <w:numId w:val="24"/>
        </w:numPr>
        <w:spacing w:after="120"/>
        <w:rPr>
          <w:rFonts w:ascii="Arial" w:hAnsi="Arial" w:cs="Arial"/>
          <w:sz w:val="20"/>
          <w:szCs w:val="20"/>
        </w:rPr>
      </w:pPr>
      <w:r>
        <w:rPr>
          <w:rFonts w:ascii="Arial" w:hAnsi="Arial" w:cs="Arial"/>
          <w:sz w:val="20"/>
          <w:szCs w:val="20"/>
        </w:rPr>
        <w:t xml:space="preserve">Concern over inflation reached its most widespread level yet, at 93% of all grocery shoppers. Up month over month, 81% of grocery shoppers made changes to what and where they purchased in June. This is up from 50% in the fall of 2021. The dominant changes are looking for sales specials (54%), skipping non-essentials (45%), finding coupons (33%) and buying more private or other low-cost brands (29%). Despite the high gas prices, 17% cherry pick specials across retailers and 16% now do some of their shopping at lower-cost retailers. </w:t>
      </w:r>
    </w:p>
    <w:p w14:paraId="3A67FDE2" w14:textId="61FF57AD" w:rsidR="00F112B8" w:rsidRDefault="00F112B8" w:rsidP="00F112B8">
      <w:pPr>
        <w:pStyle w:val="NoSpacing"/>
        <w:numPr>
          <w:ilvl w:val="0"/>
          <w:numId w:val="24"/>
        </w:numPr>
        <w:spacing w:after="120"/>
        <w:rPr>
          <w:rFonts w:ascii="Arial" w:hAnsi="Arial" w:cs="Arial"/>
          <w:sz w:val="20"/>
          <w:szCs w:val="20"/>
        </w:rPr>
      </w:pPr>
      <w:r>
        <w:rPr>
          <w:rFonts w:ascii="Arial" w:hAnsi="Arial" w:cs="Arial"/>
          <w:sz w:val="20"/>
          <w:szCs w:val="20"/>
        </w:rPr>
        <w:t xml:space="preserve">Sales specials, while popular, are still far below pre-pandemic levels and consumers are taking notice: 59% say fewer of the items they want are on sale and 43% say items are not discounted as much as they used to be. About half of shoppers, 51%, are stocking up on certain items more than usual, 18% out of fear they will not be available next time and 26% out of concern that prices may rise further. </w:t>
      </w:r>
      <w:r w:rsidR="00A27E53">
        <w:rPr>
          <w:rFonts w:ascii="Arial" w:hAnsi="Arial" w:cs="Arial"/>
          <w:sz w:val="20"/>
          <w:szCs w:val="20"/>
        </w:rPr>
        <w:t>“</w:t>
      </w:r>
      <w:r>
        <w:rPr>
          <w:rFonts w:ascii="Arial" w:hAnsi="Arial" w:cs="Arial"/>
          <w:sz w:val="20"/>
          <w:szCs w:val="20"/>
        </w:rPr>
        <w:t>All this points to great power of relevant, targeted promotions if supply chain conditions allow for it</w:t>
      </w:r>
      <w:r w:rsidR="00A27E53">
        <w:rPr>
          <w:rFonts w:ascii="Arial" w:hAnsi="Arial" w:cs="Arial"/>
          <w:sz w:val="20"/>
          <w:szCs w:val="20"/>
        </w:rPr>
        <w:t>,” said Joe Watson, VP, Retail, Foodservice &amp; Wholesale for IFPA. “It could be a happy hour sale, one-day</w:t>
      </w:r>
      <w:r w:rsidR="00B2552B">
        <w:rPr>
          <w:rFonts w:ascii="Arial" w:hAnsi="Arial" w:cs="Arial"/>
          <w:sz w:val="20"/>
          <w:szCs w:val="20"/>
        </w:rPr>
        <w:t xml:space="preserve"> or</w:t>
      </w:r>
      <w:r w:rsidR="00A27E53">
        <w:rPr>
          <w:rFonts w:ascii="Arial" w:hAnsi="Arial" w:cs="Arial"/>
          <w:sz w:val="20"/>
          <w:szCs w:val="20"/>
        </w:rPr>
        <w:t xml:space="preserve"> three</w:t>
      </w:r>
      <w:r w:rsidR="00B2552B">
        <w:rPr>
          <w:rFonts w:ascii="Arial" w:hAnsi="Arial" w:cs="Arial"/>
          <w:sz w:val="20"/>
          <w:szCs w:val="20"/>
        </w:rPr>
        <w:t>-</w:t>
      </w:r>
      <w:r w:rsidR="00A27E53">
        <w:rPr>
          <w:rFonts w:ascii="Arial" w:hAnsi="Arial" w:cs="Arial"/>
          <w:sz w:val="20"/>
          <w:szCs w:val="20"/>
        </w:rPr>
        <w:t>day</w:t>
      </w:r>
      <w:r w:rsidR="00B2552B">
        <w:rPr>
          <w:rFonts w:ascii="Arial" w:hAnsi="Arial" w:cs="Arial"/>
          <w:sz w:val="20"/>
          <w:szCs w:val="20"/>
        </w:rPr>
        <w:t xml:space="preserve"> promotion</w:t>
      </w:r>
      <w:r w:rsidR="00A27E53">
        <w:rPr>
          <w:rFonts w:ascii="Arial" w:hAnsi="Arial" w:cs="Arial"/>
          <w:sz w:val="20"/>
          <w:szCs w:val="20"/>
        </w:rPr>
        <w:t xml:space="preserve">, but </w:t>
      </w:r>
      <w:r w:rsidR="00B2552B">
        <w:rPr>
          <w:rFonts w:ascii="Arial" w:hAnsi="Arial" w:cs="Arial"/>
          <w:sz w:val="20"/>
          <w:szCs w:val="20"/>
        </w:rPr>
        <w:t xml:space="preserve">try to </w:t>
      </w:r>
      <w:r w:rsidR="00A27E53">
        <w:rPr>
          <w:rFonts w:ascii="Arial" w:hAnsi="Arial" w:cs="Arial"/>
          <w:sz w:val="20"/>
          <w:szCs w:val="20"/>
        </w:rPr>
        <w:t>keep fresh produce promotions</w:t>
      </w:r>
      <w:r w:rsidR="00B2552B">
        <w:rPr>
          <w:rFonts w:ascii="Arial" w:hAnsi="Arial" w:cs="Arial"/>
          <w:sz w:val="20"/>
          <w:szCs w:val="20"/>
        </w:rPr>
        <w:t xml:space="preserve"> front and center to retain a greater share of primary shoppers instead of them cherry picking competitors’ deals and losing a vital part of the total store basket.” </w:t>
      </w:r>
    </w:p>
    <w:p w14:paraId="42838BD0" w14:textId="6DEF4F3E" w:rsidR="00F112B8" w:rsidRDefault="00F112B8" w:rsidP="00F112B8">
      <w:pPr>
        <w:pStyle w:val="NoSpacing"/>
        <w:numPr>
          <w:ilvl w:val="0"/>
          <w:numId w:val="24"/>
        </w:numPr>
        <w:spacing w:after="120"/>
        <w:rPr>
          <w:rFonts w:ascii="Arial" w:hAnsi="Arial" w:cs="Arial"/>
          <w:sz w:val="20"/>
          <w:szCs w:val="20"/>
        </w:rPr>
      </w:pPr>
      <w:r>
        <w:rPr>
          <w:rFonts w:ascii="Arial" w:hAnsi="Arial" w:cs="Arial"/>
          <w:sz w:val="20"/>
          <w:szCs w:val="20"/>
        </w:rPr>
        <w:t>Additionally, 95% of shoppers are concerned about the higher gas prices and 72% changed their driving habits because of it, from trying to stock up more to delaying road trips.</w:t>
      </w:r>
      <w:r w:rsidR="00B2552B">
        <w:rPr>
          <w:rFonts w:ascii="Arial" w:hAnsi="Arial" w:cs="Arial"/>
          <w:sz w:val="20"/>
          <w:szCs w:val="20"/>
        </w:rPr>
        <w:t xml:space="preserve"> “Now is the time to remind shoppers how to store fruits and vegetables for optimal shelf life,” Watson pointed out. </w:t>
      </w:r>
    </w:p>
    <w:p w14:paraId="6C456CA8" w14:textId="77777777" w:rsidR="008A426C" w:rsidRDefault="00F112B8" w:rsidP="00F112B8">
      <w:pPr>
        <w:pStyle w:val="NoSpacing"/>
        <w:numPr>
          <w:ilvl w:val="0"/>
          <w:numId w:val="24"/>
        </w:numPr>
        <w:spacing w:after="120"/>
        <w:rPr>
          <w:rFonts w:ascii="Arial" w:hAnsi="Arial" w:cs="Arial"/>
          <w:sz w:val="20"/>
          <w:szCs w:val="20"/>
        </w:rPr>
      </w:pPr>
      <w:r w:rsidRPr="00407293">
        <w:rPr>
          <w:rFonts w:ascii="Arial" w:hAnsi="Arial" w:cs="Arial"/>
          <w:sz w:val="20"/>
          <w:szCs w:val="20"/>
        </w:rPr>
        <w:t xml:space="preserve">The share of home-prepared meals continued to average around </w:t>
      </w:r>
      <w:r>
        <w:rPr>
          <w:rFonts w:ascii="Arial" w:hAnsi="Arial" w:cs="Arial"/>
          <w:sz w:val="20"/>
          <w:szCs w:val="20"/>
        </w:rPr>
        <w:t>79-</w:t>
      </w:r>
      <w:r w:rsidRPr="00407293">
        <w:rPr>
          <w:rFonts w:ascii="Arial" w:hAnsi="Arial" w:cs="Arial"/>
          <w:sz w:val="20"/>
          <w:szCs w:val="20"/>
        </w:rPr>
        <w:t>80%.</w:t>
      </w:r>
      <w:r>
        <w:rPr>
          <w:rFonts w:ascii="Arial" w:hAnsi="Arial" w:cs="Arial"/>
          <w:sz w:val="20"/>
          <w:szCs w:val="20"/>
        </w:rPr>
        <w:t xml:space="preserve"> The average share of home-prepared meals is higher among low-income shoppers, at 81.7%, versus high-income shoppers, at 76.7%.</w:t>
      </w:r>
      <w:r w:rsidRPr="00407293">
        <w:rPr>
          <w:rFonts w:ascii="Arial" w:hAnsi="Arial" w:cs="Arial"/>
          <w:sz w:val="20"/>
          <w:szCs w:val="20"/>
        </w:rPr>
        <w:t xml:space="preserve"> </w:t>
      </w:r>
    </w:p>
    <w:p w14:paraId="4B9773B1" w14:textId="78842444" w:rsidR="00F112B8" w:rsidRPr="00407293" w:rsidRDefault="00F112B8" w:rsidP="00F112B8">
      <w:pPr>
        <w:pStyle w:val="NoSpacing"/>
        <w:numPr>
          <w:ilvl w:val="0"/>
          <w:numId w:val="24"/>
        </w:numPr>
        <w:spacing w:after="120"/>
        <w:rPr>
          <w:rFonts w:ascii="Arial" w:hAnsi="Arial" w:cs="Arial"/>
          <w:sz w:val="20"/>
          <w:szCs w:val="20"/>
        </w:rPr>
      </w:pPr>
      <w:r>
        <w:rPr>
          <w:rFonts w:ascii="Arial" w:hAnsi="Arial" w:cs="Arial"/>
          <w:sz w:val="20"/>
          <w:szCs w:val="20"/>
        </w:rPr>
        <w:t>Restaurant engagement remained high in June — virtually unchanged from spring levels. Fifty-five percent of consumers got restaurant takeout in June and 52% dined on</w:t>
      </w:r>
      <w:r w:rsidR="008A426C">
        <w:rPr>
          <w:rFonts w:ascii="Arial" w:hAnsi="Arial" w:cs="Arial"/>
          <w:sz w:val="20"/>
          <w:szCs w:val="20"/>
        </w:rPr>
        <w:t>-</w:t>
      </w:r>
      <w:r>
        <w:rPr>
          <w:rFonts w:ascii="Arial" w:hAnsi="Arial" w:cs="Arial"/>
          <w:sz w:val="20"/>
          <w:szCs w:val="20"/>
        </w:rPr>
        <w:t xml:space="preserve">premise. An additional 19% had restaurant food delivered. </w:t>
      </w:r>
      <w:r w:rsidR="00B2552B">
        <w:rPr>
          <w:rFonts w:ascii="Arial" w:hAnsi="Arial" w:cs="Arial"/>
          <w:sz w:val="20"/>
          <w:szCs w:val="20"/>
        </w:rPr>
        <w:t>“</w:t>
      </w:r>
      <w:r>
        <w:rPr>
          <w:rFonts w:ascii="Arial" w:hAnsi="Arial" w:cs="Arial"/>
          <w:sz w:val="20"/>
          <w:szCs w:val="20"/>
        </w:rPr>
        <w:t>Restaurant takeout and delivery open the door for grocery retailers to sell appetizers, sides, beverages or desserts</w:t>
      </w:r>
      <w:r w:rsidR="00B2552B">
        <w:rPr>
          <w:rFonts w:ascii="Arial" w:hAnsi="Arial" w:cs="Arial"/>
          <w:sz w:val="20"/>
          <w:szCs w:val="20"/>
        </w:rPr>
        <w:t>,” Parker added</w:t>
      </w:r>
      <w:r w:rsidRPr="00407293">
        <w:rPr>
          <w:rFonts w:ascii="Arial" w:hAnsi="Arial" w:cs="Arial"/>
          <w:sz w:val="20"/>
          <w:szCs w:val="20"/>
        </w:rPr>
        <w:t>.</w:t>
      </w:r>
      <w:r w:rsidR="00B2552B">
        <w:rPr>
          <w:rFonts w:ascii="Arial" w:hAnsi="Arial" w:cs="Arial"/>
          <w:sz w:val="20"/>
          <w:szCs w:val="20"/>
        </w:rPr>
        <w:t xml:space="preserve"> “And, each one of those is in the fresh produce department’s wheelhouse.”</w:t>
      </w:r>
      <w:r w:rsidRPr="00407293">
        <w:rPr>
          <w:rFonts w:ascii="Arial" w:hAnsi="Arial" w:cs="Arial"/>
          <w:sz w:val="20"/>
          <w:szCs w:val="20"/>
        </w:rPr>
        <w:t xml:space="preserve"> </w:t>
      </w:r>
    </w:p>
    <w:p w14:paraId="0C3E31EF" w14:textId="77777777" w:rsidR="00F112B8" w:rsidRDefault="00F112B8" w:rsidP="00F112B8">
      <w:pPr>
        <w:pStyle w:val="NoSpacing"/>
        <w:numPr>
          <w:ilvl w:val="0"/>
          <w:numId w:val="24"/>
        </w:numPr>
        <w:spacing w:after="120"/>
        <w:rPr>
          <w:rFonts w:ascii="Arial" w:hAnsi="Arial" w:cs="Arial"/>
          <w:sz w:val="20"/>
          <w:szCs w:val="20"/>
        </w:rPr>
      </w:pPr>
      <w:r>
        <w:rPr>
          <w:rFonts w:ascii="Arial" w:hAnsi="Arial" w:cs="Arial"/>
          <w:sz w:val="20"/>
          <w:szCs w:val="20"/>
        </w:rPr>
        <w:t xml:space="preserve">The level of new COVID-19 cases no longer appears to have a significant impact on whether people shop in-store or online. Less than one-quarter of Americans are extremely concerned about COVID-19 as of June. In-store trips are holding at a high 87% of total trips. Online trips are near equally divided in home delivery (6%) and store pickup (7%). </w:t>
      </w:r>
    </w:p>
    <w:p w14:paraId="6826E2FD" w14:textId="4EE6D439" w:rsidR="00941D8A" w:rsidRDefault="008B729A" w:rsidP="00941D8A">
      <w:pPr>
        <w:pStyle w:val="NoSpacing"/>
        <w:rPr>
          <w:rFonts w:ascii="Arial" w:hAnsi="Arial" w:cs="Arial"/>
          <w:sz w:val="20"/>
          <w:szCs w:val="20"/>
        </w:rPr>
      </w:pPr>
      <w:r>
        <w:rPr>
          <w:rFonts w:ascii="Arial" w:hAnsi="Arial" w:cs="Arial"/>
          <w:sz w:val="20"/>
          <w:szCs w:val="20"/>
        </w:rPr>
        <w:t>T</w:t>
      </w:r>
      <w:r w:rsidR="007352EE">
        <w:rPr>
          <w:rFonts w:ascii="Arial" w:hAnsi="Arial" w:cs="Arial"/>
          <w:sz w:val="20"/>
          <w:szCs w:val="20"/>
        </w:rPr>
        <w:t>he consumer</w:t>
      </w:r>
      <w:r>
        <w:rPr>
          <w:rFonts w:ascii="Arial" w:hAnsi="Arial" w:cs="Arial"/>
          <w:sz w:val="20"/>
          <w:szCs w:val="20"/>
        </w:rPr>
        <w:t xml:space="preserve"> </w:t>
      </w:r>
      <w:r w:rsidR="00611545">
        <w:rPr>
          <w:rFonts w:ascii="Arial" w:hAnsi="Arial" w:cs="Arial"/>
          <w:sz w:val="20"/>
          <w:szCs w:val="20"/>
        </w:rPr>
        <w:t xml:space="preserve">reactions </w:t>
      </w:r>
      <w:r w:rsidR="007352EE">
        <w:rPr>
          <w:rFonts w:ascii="Arial" w:hAnsi="Arial" w:cs="Arial"/>
          <w:sz w:val="20"/>
          <w:szCs w:val="20"/>
        </w:rPr>
        <w:t xml:space="preserve">combined with </w:t>
      </w:r>
      <w:r w:rsidR="00611545">
        <w:rPr>
          <w:rFonts w:ascii="Arial" w:hAnsi="Arial" w:cs="Arial"/>
          <w:sz w:val="20"/>
          <w:szCs w:val="20"/>
        </w:rPr>
        <w:t xml:space="preserve">supply side </w:t>
      </w:r>
      <w:r w:rsidR="007352EE">
        <w:rPr>
          <w:rFonts w:ascii="Arial" w:hAnsi="Arial" w:cs="Arial"/>
          <w:sz w:val="20"/>
          <w:szCs w:val="20"/>
        </w:rPr>
        <w:t>volatility</w:t>
      </w:r>
      <w:r>
        <w:rPr>
          <w:rFonts w:ascii="Arial" w:hAnsi="Arial" w:cs="Arial"/>
          <w:sz w:val="20"/>
          <w:szCs w:val="20"/>
        </w:rPr>
        <w:t xml:space="preserve"> are creating an environment of continued change and uncertainty</w:t>
      </w:r>
      <w:r w:rsidR="001F4BAF">
        <w:rPr>
          <w:rFonts w:ascii="Arial" w:hAnsi="Arial" w:cs="Arial"/>
          <w:sz w:val="20"/>
          <w:szCs w:val="20"/>
        </w:rPr>
        <w:t>.</w:t>
      </w:r>
      <w:r w:rsidR="00611545">
        <w:rPr>
          <w:rFonts w:ascii="Arial" w:hAnsi="Arial" w:cs="Arial"/>
          <w:sz w:val="20"/>
          <w:szCs w:val="20"/>
        </w:rPr>
        <w:t xml:space="preserve"> </w:t>
      </w:r>
      <w:r w:rsidR="00941D8A">
        <w:rPr>
          <w:rFonts w:ascii="Arial" w:hAnsi="Arial" w:cs="Arial"/>
          <w:sz w:val="20"/>
          <w:szCs w:val="20"/>
        </w:rPr>
        <w:t xml:space="preserve">IRI, 210 Analytics and </w:t>
      </w:r>
      <w:r w:rsidR="00D65642">
        <w:rPr>
          <w:rFonts w:ascii="Arial" w:hAnsi="Arial" w:cs="Arial"/>
          <w:sz w:val="20"/>
          <w:szCs w:val="20"/>
        </w:rPr>
        <w:t xml:space="preserve">IFPA </w:t>
      </w:r>
      <w:r w:rsidR="00611545">
        <w:rPr>
          <w:rFonts w:ascii="Arial" w:hAnsi="Arial" w:cs="Arial"/>
          <w:sz w:val="20"/>
          <w:szCs w:val="20"/>
        </w:rPr>
        <w:t xml:space="preserve">are committed to </w:t>
      </w:r>
      <w:r w:rsidR="00941D8A">
        <w:rPr>
          <w:rFonts w:ascii="Arial" w:hAnsi="Arial" w:cs="Arial"/>
          <w:sz w:val="20"/>
          <w:szCs w:val="20"/>
        </w:rPr>
        <w:t>bring</w:t>
      </w:r>
      <w:r w:rsidR="00611545">
        <w:rPr>
          <w:rFonts w:ascii="Arial" w:hAnsi="Arial" w:cs="Arial"/>
          <w:sz w:val="20"/>
          <w:szCs w:val="20"/>
        </w:rPr>
        <w:t>ing</w:t>
      </w:r>
      <w:r w:rsidR="00941D8A">
        <w:rPr>
          <w:rFonts w:ascii="Arial" w:hAnsi="Arial" w:cs="Arial"/>
          <w:sz w:val="20"/>
          <w:szCs w:val="20"/>
        </w:rPr>
        <w:t xml:space="preserve"> the latest trends and analysis relative to the </w:t>
      </w:r>
      <w:r w:rsidR="00D65642">
        <w:rPr>
          <w:rFonts w:ascii="Arial" w:hAnsi="Arial" w:cs="Arial"/>
          <w:sz w:val="20"/>
          <w:szCs w:val="20"/>
        </w:rPr>
        <w:t xml:space="preserve">produce </w:t>
      </w:r>
      <w:r w:rsidR="00941D8A">
        <w:rPr>
          <w:rFonts w:ascii="Arial" w:hAnsi="Arial" w:cs="Arial"/>
          <w:sz w:val="20"/>
          <w:szCs w:val="20"/>
        </w:rPr>
        <w:t xml:space="preserve">department. </w:t>
      </w:r>
    </w:p>
    <w:p w14:paraId="67004921" w14:textId="6F59550E" w:rsidR="0034772B" w:rsidRPr="0034772B" w:rsidRDefault="0034772B" w:rsidP="00941D8A">
      <w:pPr>
        <w:pStyle w:val="NoSpacing"/>
        <w:rPr>
          <w:rFonts w:ascii="Arial" w:hAnsi="Arial" w:cs="Arial"/>
          <w:color w:val="595959" w:themeColor="text1" w:themeTint="A6"/>
          <w:sz w:val="20"/>
          <w:szCs w:val="20"/>
        </w:rPr>
      </w:pPr>
    </w:p>
    <w:p w14:paraId="0C299734" w14:textId="77777777" w:rsidR="001F4BAF" w:rsidRPr="00355721" w:rsidRDefault="001F4BAF" w:rsidP="001F4BAF">
      <w:pPr>
        <w:pStyle w:val="NoSpacing"/>
        <w:rPr>
          <w:rFonts w:ascii="Arial" w:hAnsi="Arial" w:cs="Arial"/>
          <w:b/>
          <w:color w:val="595959" w:themeColor="text1" w:themeTint="A6"/>
          <w:sz w:val="24"/>
          <w:szCs w:val="20"/>
        </w:rPr>
      </w:pPr>
      <w:bookmarkStart w:id="0" w:name="_Hlk105831357"/>
      <w:r w:rsidRPr="00355721">
        <w:rPr>
          <w:rFonts w:ascii="Arial" w:hAnsi="Arial" w:cs="Arial"/>
          <w:b/>
          <w:color w:val="595959" w:themeColor="text1" w:themeTint="A6"/>
          <w:sz w:val="24"/>
          <w:szCs w:val="20"/>
        </w:rPr>
        <w:t>Inflation</w:t>
      </w:r>
      <w:r>
        <w:rPr>
          <w:rFonts w:ascii="Arial" w:hAnsi="Arial" w:cs="Arial"/>
          <w:b/>
          <w:color w:val="595959" w:themeColor="text1" w:themeTint="A6"/>
          <w:sz w:val="24"/>
          <w:szCs w:val="20"/>
        </w:rPr>
        <w:t xml:space="preserve"> Insights</w:t>
      </w:r>
    </w:p>
    <w:p w14:paraId="6A53152B" w14:textId="77777777" w:rsidR="008A426C" w:rsidRDefault="008A426C" w:rsidP="008A426C">
      <w:pPr>
        <w:pStyle w:val="NoSpacing"/>
        <w:rPr>
          <w:rFonts w:ascii="Arial" w:hAnsi="Arial" w:cs="Arial"/>
          <w:color w:val="000000" w:themeColor="text1"/>
          <w:sz w:val="20"/>
          <w:szCs w:val="20"/>
        </w:rPr>
      </w:pPr>
      <w:r>
        <w:rPr>
          <w:rFonts w:ascii="Arial" w:hAnsi="Arial" w:cs="Arial"/>
          <w:sz w:val="20"/>
          <w:szCs w:val="20"/>
        </w:rPr>
        <w:t xml:space="preserve">The price per unit across all foods and beverages in the IRI-measured multi-outlet stores, including supermarkets, club, mass, supercenter, drug and military, accelerated further to an increase of 12.3% in the four weeks ending June 26, 2022 (“June”) versus year ago. This is up from +11.9% in the second quarter of the year. June inflation was in the </w:t>
      </w:r>
      <w:r>
        <w:rPr>
          <w:rFonts w:ascii="Arial" w:hAnsi="Arial" w:cs="Arial"/>
          <w:sz w:val="20"/>
          <w:szCs w:val="20"/>
        </w:rPr>
        <w:lastRenderedPageBreak/>
        <w:t xml:space="preserve">double digits in the center of the store (+11.3%) as well as in perishables (+11.8%) and compared to two years ago (June 2019), prices across all foods and beverages were up 24.2%. </w:t>
      </w:r>
    </w:p>
    <w:p w14:paraId="64B41038" w14:textId="77777777" w:rsidR="001F4BAF" w:rsidRDefault="001F4BAF" w:rsidP="001F4BAF">
      <w:pPr>
        <w:pStyle w:val="NoSpacing"/>
        <w:rPr>
          <w:rFonts w:ascii="Arial" w:hAnsi="Arial" w:cs="Arial"/>
          <w:b/>
          <w:color w:val="595959" w:themeColor="text1" w:themeTint="A6"/>
          <w:sz w:val="24"/>
          <w:szCs w:val="20"/>
        </w:rPr>
      </w:pPr>
    </w:p>
    <w:tbl>
      <w:tblPr>
        <w:tblStyle w:val="LightShading-Accent5"/>
        <w:tblW w:w="10319" w:type="dxa"/>
        <w:tblBorders>
          <w:top w:val="none" w:sz="0" w:space="0" w:color="auto"/>
          <w:bottom w:val="none" w:sz="0" w:space="0" w:color="auto"/>
        </w:tblBorders>
        <w:tblCellMar>
          <w:left w:w="57" w:type="dxa"/>
          <w:right w:w="57" w:type="dxa"/>
        </w:tblCellMar>
        <w:tblLook w:val="04A0" w:firstRow="1" w:lastRow="0" w:firstColumn="1" w:lastColumn="0" w:noHBand="0" w:noVBand="1"/>
      </w:tblPr>
      <w:tblGrid>
        <w:gridCol w:w="2600"/>
        <w:gridCol w:w="1145"/>
        <w:gridCol w:w="1025"/>
        <w:gridCol w:w="1146"/>
        <w:gridCol w:w="1145"/>
        <w:gridCol w:w="1146"/>
        <w:gridCol w:w="1146"/>
        <w:gridCol w:w="966"/>
      </w:tblGrid>
      <w:tr w:rsidR="00E03ABC" w:rsidRPr="00770F6B" w14:paraId="60A985C7" w14:textId="77777777" w:rsidTr="00E03ABC">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00" w:type="dxa"/>
            <w:shd w:val="clear" w:color="auto" w:fill="17365D" w:themeFill="text2" w:themeFillShade="BF"/>
            <w:vAlign w:val="center"/>
          </w:tcPr>
          <w:p w14:paraId="6ADF1214" w14:textId="77777777" w:rsidR="001F4BAF" w:rsidRPr="00C37EEB" w:rsidRDefault="001F4BAF" w:rsidP="00237E35">
            <w:pPr>
              <w:pStyle w:val="NoSpacing"/>
              <w:rPr>
                <w:rFonts w:ascii="Arial" w:hAnsi="Arial" w:cs="Arial"/>
                <w:bCs w:val="0"/>
                <w:color w:val="F2F2F2" w:themeColor="background1" w:themeShade="F2"/>
                <w:sz w:val="18"/>
                <w:szCs w:val="18"/>
              </w:rPr>
            </w:pPr>
            <w:r w:rsidRPr="00C37EEB">
              <w:rPr>
                <w:rFonts w:ascii="Arial" w:hAnsi="Arial" w:cs="Arial"/>
                <w:bCs w:val="0"/>
                <w:color w:val="F2F2F2" w:themeColor="background1" w:themeShade="F2"/>
                <w:sz w:val="18"/>
                <w:szCs w:val="18"/>
              </w:rPr>
              <w:t>Average price/unit vs. YA</w:t>
            </w:r>
          </w:p>
        </w:tc>
        <w:tc>
          <w:tcPr>
            <w:tcW w:w="1145" w:type="dxa"/>
            <w:shd w:val="clear" w:color="auto" w:fill="17365D" w:themeFill="text2" w:themeFillShade="BF"/>
            <w:vAlign w:val="center"/>
          </w:tcPr>
          <w:p w14:paraId="0AC56C06" w14:textId="77777777" w:rsidR="001F4BAF" w:rsidRPr="006C208B" w:rsidRDefault="001F4BAF" w:rsidP="00237E3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Q1 21</w:t>
            </w:r>
          </w:p>
        </w:tc>
        <w:tc>
          <w:tcPr>
            <w:tcW w:w="1025" w:type="dxa"/>
            <w:shd w:val="clear" w:color="auto" w:fill="17365D" w:themeFill="text2" w:themeFillShade="BF"/>
            <w:vAlign w:val="center"/>
          </w:tcPr>
          <w:p w14:paraId="52CDE53D" w14:textId="77777777" w:rsidR="001F4BAF" w:rsidRPr="006C208B" w:rsidRDefault="001F4BAF" w:rsidP="00237E3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Q2 21</w:t>
            </w:r>
          </w:p>
        </w:tc>
        <w:tc>
          <w:tcPr>
            <w:tcW w:w="1146" w:type="dxa"/>
            <w:shd w:val="clear" w:color="auto" w:fill="17365D" w:themeFill="text2" w:themeFillShade="BF"/>
            <w:vAlign w:val="center"/>
          </w:tcPr>
          <w:p w14:paraId="3FE044CE" w14:textId="77777777" w:rsidR="001F4BAF" w:rsidRPr="006C208B" w:rsidRDefault="001F4BAF" w:rsidP="00237E3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Q3 21</w:t>
            </w:r>
          </w:p>
        </w:tc>
        <w:tc>
          <w:tcPr>
            <w:tcW w:w="1145" w:type="dxa"/>
            <w:shd w:val="clear" w:color="auto" w:fill="17365D" w:themeFill="text2" w:themeFillShade="BF"/>
            <w:vAlign w:val="center"/>
          </w:tcPr>
          <w:p w14:paraId="19BC5F0A" w14:textId="77777777" w:rsidR="001F4BAF" w:rsidRPr="006C208B" w:rsidRDefault="001F4BAF" w:rsidP="00237E3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Q4 21</w:t>
            </w:r>
          </w:p>
        </w:tc>
        <w:tc>
          <w:tcPr>
            <w:tcW w:w="1146" w:type="dxa"/>
            <w:shd w:val="clear" w:color="auto" w:fill="17365D" w:themeFill="text2" w:themeFillShade="BF"/>
            <w:vAlign w:val="center"/>
          </w:tcPr>
          <w:p w14:paraId="6A96D20E" w14:textId="77777777" w:rsidR="001F4BAF" w:rsidRDefault="001F4BAF" w:rsidP="00237E3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 xml:space="preserve">Q1 22 </w:t>
            </w:r>
          </w:p>
        </w:tc>
        <w:tc>
          <w:tcPr>
            <w:tcW w:w="1146" w:type="dxa"/>
            <w:shd w:val="clear" w:color="auto" w:fill="17365D" w:themeFill="text2" w:themeFillShade="BF"/>
            <w:vAlign w:val="center"/>
          </w:tcPr>
          <w:p w14:paraId="3705519B" w14:textId="77777777" w:rsidR="001F4BAF" w:rsidRDefault="001F4BAF" w:rsidP="00237E3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Q2 22</w:t>
            </w:r>
          </w:p>
        </w:tc>
        <w:tc>
          <w:tcPr>
            <w:tcW w:w="966" w:type="dxa"/>
            <w:shd w:val="clear" w:color="auto" w:fill="17365D" w:themeFill="text2" w:themeFillShade="BF"/>
            <w:vAlign w:val="center"/>
          </w:tcPr>
          <w:p w14:paraId="62187E13" w14:textId="77777777" w:rsidR="001F4BAF" w:rsidRPr="006C208B" w:rsidRDefault="001F4BAF" w:rsidP="00237E3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Jun 22</w:t>
            </w:r>
          </w:p>
        </w:tc>
      </w:tr>
      <w:tr w:rsidR="001F4BAF" w:rsidRPr="007F5087" w14:paraId="2B0F109B" w14:textId="77777777" w:rsidTr="00E03AB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600" w:type="dxa"/>
            <w:tcBorders>
              <w:left w:val="none" w:sz="0" w:space="0" w:color="auto"/>
              <w:right w:val="none" w:sz="0" w:space="0" w:color="auto"/>
            </w:tcBorders>
            <w:vAlign w:val="center"/>
          </w:tcPr>
          <w:p w14:paraId="627E0C31" w14:textId="77777777" w:rsidR="001F4BAF" w:rsidRPr="007F5087" w:rsidRDefault="001F4BAF" w:rsidP="00237E35">
            <w:pPr>
              <w:pStyle w:val="NoSpacing"/>
              <w:jc w:val="right"/>
              <w:rPr>
                <w:rFonts w:ascii="Arial" w:hAnsi="Arial" w:cs="Arial"/>
                <w:color w:val="215868" w:themeColor="accent5" w:themeShade="80"/>
                <w:sz w:val="18"/>
                <w:szCs w:val="18"/>
              </w:rPr>
            </w:pPr>
            <w:r w:rsidRPr="007F5087">
              <w:rPr>
                <w:rFonts w:ascii="Arial" w:hAnsi="Arial" w:cs="Arial"/>
                <w:color w:val="215868" w:themeColor="accent5" w:themeShade="80"/>
                <w:sz w:val="18"/>
                <w:szCs w:val="18"/>
              </w:rPr>
              <w:t>Total food and beverages</w:t>
            </w:r>
          </w:p>
        </w:tc>
        <w:tc>
          <w:tcPr>
            <w:tcW w:w="1145" w:type="dxa"/>
            <w:tcBorders>
              <w:left w:val="none" w:sz="0" w:space="0" w:color="auto"/>
              <w:right w:val="none" w:sz="0" w:space="0" w:color="auto"/>
            </w:tcBorders>
            <w:vAlign w:val="center"/>
          </w:tcPr>
          <w:p w14:paraId="18A69908" w14:textId="77777777" w:rsidR="001F4BAF" w:rsidRPr="007F5087" w:rsidRDefault="001F4BAF"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7F5087">
              <w:rPr>
                <w:rFonts w:ascii="Arial" w:hAnsi="Arial" w:cs="Arial"/>
                <w:color w:val="215868" w:themeColor="accent5" w:themeShade="80"/>
                <w:sz w:val="18"/>
                <w:szCs w:val="18"/>
              </w:rPr>
              <w:t>+5.5%</w:t>
            </w:r>
          </w:p>
        </w:tc>
        <w:tc>
          <w:tcPr>
            <w:tcW w:w="1025" w:type="dxa"/>
            <w:tcBorders>
              <w:left w:val="none" w:sz="0" w:space="0" w:color="auto"/>
              <w:right w:val="none" w:sz="0" w:space="0" w:color="auto"/>
            </w:tcBorders>
            <w:vAlign w:val="center"/>
          </w:tcPr>
          <w:p w14:paraId="4A498A98" w14:textId="77777777" w:rsidR="001F4BAF" w:rsidRPr="007F5087" w:rsidRDefault="001F4BAF"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7F5087">
              <w:rPr>
                <w:rFonts w:ascii="Arial" w:hAnsi="Arial" w:cs="Arial"/>
                <w:color w:val="215868" w:themeColor="accent5" w:themeShade="80"/>
                <w:sz w:val="18"/>
                <w:szCs w:val="18"/>
              </w:rPr>
              <w:t>+2.7%</w:t>
            </w:r>
          </w:p>
        </w:tc>
        <w:tc>
          <w:tcPr>
            <w:tcW w:w="1146" w:type="dxa"/>
            <w:tcBorders>
              <w:left w:val="none" w:sz="0" w:space="0" w:color="auto"/>
              <w:right w:val="none" w:sz="0" w:space="0" w:color="auto"/>
            </w:tcBorders>
            <w:vAlign w:val="center"/>
          </w:tcPr>
          <w:p w14:paraId="0256B606" w14:textId="77777777" w:rsidR="001F4BAF" w:rsidRPr="007F5087" w:rsidRDefault="001F4BAF"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7F5087">
              <w:rPr>
                <w:rFonts w:ascii="Arial" w:hAnsi="Arial" w:cs="Arial"/>
                <w:color w:val="215868" w:themeColor="accent5" w:themeShade="80"/>
                <w:sz w:val="18"/>
                <w:szCs w:val="18"/>
              </w:rPr>
              <w:t>+5.0%</w:t>
            </w:r>
          </w:p>
        </w:tc>
        <w:tc>
          <w:tcPr>
            <w:tcW w:w="1145" w:type="dxa"/>
            <w:tcBorders>
              <w:left w:val="none" w:sz="0" w:space="0" w:color="auto"/>
              <w:right w:val="none" w:sz="0" w:space="0" w:color="auto"/>
            </w:tcBorders>
            <w:vAlign w:val="center"/>
          </w:tcPr>
          <w:p w14:paraId="5391BE9F" w14:textId="77777777" w:rsidR="001F4BAF" w:rsidRPr="007F5087" w:rsidRDefault="001F4BAF"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7F5087">
              <w:rPr>
                <w:rFonts w:ascii="Arial" w:hAnsi="Arial" w:cs="Arial"/>
                <w:color w:val="215868" w:themeColor="accent5" w:themeShade="80"/>
                <w:sz w:val="18"/>
                <w:szCs w:val="18"/>
              </w:rPr>
              <w:t>+8.0%</w:t>
            </w:r>
          </w:p>
        </w:tc>
        <w:tc>
          <w:tcPr>
            <w:tcW w:w="1146" w:type="dxa"/>
            <w:tcBorders>
              <w:left w:val="none" w:sz="0" w:space="0" w:color="auto"/>
              <w:right w:val="none" w:sz="0" w:space="0" w:color="auto"/>
            </w:tcBorders>
            <w:vAlign w:val="center"/>
          </w:tcPr>
          <w:p w14:paraId="194ACDAE" w14:textId="77777777" w:rsidR="001F4BAF" w:rsidRPr="007F5087" w:rsidRDefault="001F4BAF"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7F5087">
              <w:rPr>
                <w:rFonts w:ascii="Arial" w:hAnsi="Arial" w:cs="Arial"/>
                <w:color w:val="215868" w:themeColor="accent5" w:themeShade="80"/>
                <w:sz w:val="18"/>
                <w:szCs w:val="18"/>
              </w:rPr>
              <w:t>+9.9%</w:t>
            </w:r>
          </w:p>
        </w:tc>
        <w:tc>
          <w:tcPr>
            <w:tcW w:w="1146" w:type="dxa"/>
            <w:tcBorders>
              <w:left w:val="none" w:sz="0" w:space="0" w:color="auto"/>
              <w:right w:val="none" w:sz="0" w:space="0" w:color="auto"/>
            </w:tcBorders>
            <w:vAlign w:val="center"/>
          </w:tcPr>
          <w:p w14:paraId="65C1569D" w14:textId="77777777" w:rsidR="001F4BAF" w:rsidRPr="007F5087" w:rsidRDefault="001F4BAF"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7F5087">
              <w:rPr>
                <w:rFonts w:ascii="Arial" w:hAnsi="Arial" w:cs="Arial"/>
                <w:color w:val="215868" w:themeColor="accent5" w:themeShade="80"/>
                <w:sz w:val="18"/>
                <w:szCs w:val="18"/>
              </w:rPr>
              <w:t>+</w:t>
            </w:r>
            <w:r>
              <w:rPr>
                <w:rFonts w:ascii="Arial" w:hAnsi="Arial" w:cs="Arial"/>
                <w:color w:val="215868" w:themeColor="accent5" w:themeShade="80"/>
                <w:sz w:val="18"/>
                <w:szCs w:val="18"/>
              </w:rPr>
              <w:t>11.9</w:t>
            </w:r>
            <w:r w:rsidRPr="007F5087">
              <w:rPr>
                <w:rFonts w:ascii="Arial" w:hAnsi="Arial" w:cs="Arial"/>
                <w:color w:val="215868" w:themeColor="accent5" w:themeShade="80"/>
                <w:sz w:val="18"/>
                <w:szCs w:val="18"/>
              </w:rPr>
              <w:t>%</w:t>
            </w:r>
          </w:p>
        </w:tc>
        <w:tc>
          <w:tcPr>
            <w:tcW w:w="966" w:type="dxa"/>
            <w:tcBorders>
              <w:left w:val="none" w:sz="0" w:space="0" w:color="auto"/>
              <w:right w:val="none" w:sz="0" w:space="0" w:color="auto"/>
            </w:tcBorders>
            <w:vAlign w:val="center"/>
          </w:tcPr>
          <w:p w14:paraId="4524AD09" w14:textId="77777777" w:rsidR="001F4BAF" w:rsidRPr="007F5087" w:rsidRDefault="001F4BAF"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7F5087">
              <w:rPr>
                <w:rFonts w:ascii="Arial" w:hAnsi="Arial" w:cs="Arial"/>
                <w:color w:val="215868" w:themeColor="accent5" w:themeShade="80"/>
                <w:sz w:val="18"/>
                <w:szCs w:val="18"/>
              </w:rPr>
              <w:t>+</w:t>
            </w:r>
            <w:r>
              <w:rPr>
                <w:rFonts w:ascii="Arial" w:hAnsi="Arial" w:cs="Arial"/>
                <w:color w:val="215868" w:themeColor="accent5" w:themeShade="80"/>
                <w:sz w:val="18"/>
                <w:szCs w:val="18"/>
              </w:rPr>
              <w:t>12.3</w:t>
            </w:r>
            <w:r w:rsidRPr="007F5087">
              <w:rPr>
                <w:rFonts w:ascii="Arial" w:hAnsi="Arial" w:cs="Arial"/>
                <w:color w:val="215868" w:themeColor="accent5" w:themeShade="80"/>
                <w:sz w:val="18"/>
                <w:szCs w:val="18"/>
              </w:rPr>
              <w:t>%</w:t>
            </w:r>
          </w:p>
        </w:tc>
      </w:tr>
    </w:tbl>
    <w:p w14:paraId="7BFCD815" w14:textId="77777777" w:rsidR="001F4BAF" w:rsidRDefault="001F4BAF" w:rsidP="001F4BAF">
      <w:pPr>
        <w:pStyle w:val="NoSpacing"/>
        <w:tabs>
          <w:tab w:val="left" w:pos="8991"/>
        </w:tabs>
        <w:rPr>
          <w:rFonts w:ascii="Arial" w:hAnsi="Arial" w:cs="Arial"/>
          <w:sz w:val="16"/>
          <w:szCs w:val="16"/>
        </w:rPr>
      </w:pPr>
      <w:r>
        <w:rPr>
          <w:rFonts w:ascii="Arial" w:hAnsi="Arial" w:cs="Arial"/>
          <w:sz w:val="16"/>
          <w:szCs w:val="16"/>
        </w:rPr>
        <w:tab/>
      </w:r>
    </w:p>
    <w:p w14:paraId="2DFA8C4D" w14:textId="77777777" w:rsidR="001F4BAF" w:rsidRPr="006879B2" w:rsidRDefault="001F4BAF" w:rsidP="001F4BAF">
      <w:pPr>
        <w:pStyle w:val="NoSpacing"/>
        <w:rPr>
          <w:rFonts w:ascii="Arial" w:hAnsi="Arial" w:cs="Arial"/>
          <w:sz w:val="16"/>
          <w:szCs w:val="16"/>
        </w:rPr>
      </w:pPr>
      <w:r>
        <w:rPr>
          <w:rFonts w:ascii="Arial" w:hAnsi="Arial" w:cs="Arial"/>
          <w:sz w:val="16"/>
          <w:szCs w:val="16"/>
        </w:rPr>
        <w:t xml:space="preserve">Source: IRI, Integrated Fresh, Total US, MULO, average price per unit and % gain versus YA </w:t>
      </w:r>
    </w:p>
    <w:bookmarkEnd w:id="0"/>
    <w:p w14:paraId="1AF11EDB" w14:textId="77777777" w:rsidR="009C02A0" w:rsidRDefault="009C02A0" w:rsidP="00D8582D">
      <w:pPr>
        <w:pStyle w:val="NoSpacing"/>
        <w:rPr>
          <w:rFonts w:ascii="Arial" w:hAnsi="Arial" w:cs="Arial"/>
          <w:sz w:val="20"/>
          <w:szCs w:val="20"/>
        </w:rPr>
      </w:pPr>
    </w:p>
    <w:p w14:paraId="33E52E4B" w14:textId="5C949CBF" w:rsidR="00354739" w:rsidRDefault="00DD3DF6" w:rsidP="00DD3DF6">
      <w:pPr>
        <w:pStyle w:val="NoSpacing"/>
        <w:rPr>
          <w:rFonts w:ascii="Arial" w:hAnsi="Arial" w:cs="Arial"/>
          <w:sz w:val="20"/>
          <w:szCs w:val="20"/>
        </w:rPr>
      </w:pPr>
      <w:r>
        <w:rPr>
          <w:rFonts w:ascii="Arial" w:hAnsi="Arial" w:cs="Arial"/>
          <w:sz w:val="20"/>
          <w:szCs w:val="20"/>
        </w:rPr>
        <w:t xml:space="preserve">Fresh produce prices </w:t>
      </w:r>
      <w:r w:rsidR="00BC7B47">
        <w:rPr>
          <w:rFonts w:ascii="Arial" w:hAnsi="Arial" w:cs="Arial"/>
          <w:sz w:val="20"/>
          <w:szCs w:val="20"/>
        </w:rPr>
        <w:t xml:space="preserve">were </w:t>
      </w:r>
      <w:r>
        <w:rPr>
          <w:rFonts w:ascii="Arial" w:hAnsi="Arial" w:cs="Arial"/>
          <w:sz w:val="20"/>
          <w:szCs w:val="20"/>
        </w:rPr>
        <w:t xml:space="preserve">also </w:t>
      </w:r>
      <w:r w:rsidR="00B1061E">
        <w:rPr>
          <w:rFonts w:ascii="Arial" w:hAnsi="Arial" w:cs="Arial"/>
          <w:sz w:val="20"/>
          <w:szCs w:val="20"/>
        </w:rPr>
        <w:t xml:space="preserve">up from </w:t>
      </w:r>
      <w:r>
        <w:rPr>
          <w:rFonts w:ascii="Arial" w:hAnsi="Arial" w:cs="Arial"/>
          <w:sz w:val="20"/>
          <w:szCs w:val="20"/>
        </w:rPr>
        <w:t>last year</w:t>
      </w:r>
      <w:r w:rsidR="005575F0">
        <w:rPr>
          <w:rFonts w:ascii="Arial" w:hAnsi="Arial" w:cs="Arial"/>
          <w:sz w:val="20"/>
          <w:szCs w:val="20"/>
        </w:rPr>
        <w:t xml:space="preserve">, at </w:t>
      </w:r>
      <w:r w:rsidR="00BC7B47">
        <w:rPr>
          <w:rFonts w:ascii="Arial" w:hAnsi="Arial" w:cs="Arial"/>
          <w:sz w:val="20"/>
          <w:szCs w:val="20"/>
        </w:rPr>
        <w:t>+</w:t>
      </w:r>
      <w:r w:rsidR="001D65B2">
        <w:rPr>
          <w:rFonts w:ascii="Arial" w:hAnsi="Arial" w:cs="Arial"/>
          <w:sz w:val="20"/>
          <w:szCs w:val="20"/>
        </w:rPr>
        <w:t>8</w:t>
      </w:r>
      <w:r w:rsidR="00A035B0">
        <w:rPr>
          <w:rFonts w:ascii="Arial" w:hAnsi="Arial" w:cs="Arial"/>
          <w:sz w:val="20"/>
          <w:szCs w:val="20"/>
        </w:rPr>
        <w:t>.0</w:t>
      </w:r>
      <w:r w:rsidR="00BC7B47">
        <w:rPr>
          <w:rFonts w:ascii="Arial" w:hAnsi="Arial" w:cs="Arial"/>
          <w:sz w:val="20"/>
          <w:szCs w:val="20"/>
        </w:rPr>
        <w:t>% level on a per</w:t>
      </w:r>
      <w:r w:rsidR="008A426C">
        <w:rPr>
          <w:rFonts w:ascii="Arial" w:hAnsi="Arial" w:cs="Arial"/>
          <w:sz w:val="20"/>
          <w:szCs w:val="20"/>
        </w:rPr>
        <w:t>-</w:t>
      </w:r>
      <w:r w:rsidR="00BC7B47">
        <w:rPr>
          <w:rFonts w:ascii="Arial" w:hAnsi="Arial" w:cs="Arial"/>
          <w:sz w:val="20"/>
          <w:szCs w:val="20"/>
        </w:rPr>
        <w:t xml:space="preserve">unit basis and </w:t>
      </w:r>
      <w:r w:rsidR="005575F0">
        <w:rPr>
          <w:rFonts w:ascii="Arial" w:hAnsi="Arial" w:cs="Arial"/>
          <w:sz w:val="20"/>
          <w:szCs w:val="20"/>
        </w:rPr>
        <w:t>+</w:t>
      </w:r>
      <w:r w:rsidR="001D65B2">
        <w:rPr>
          <w:rFonts w:ascii="Arial" w:hAnsi="Arial" w:cs="Arial"/>
          <w:sz w:val="20"/>
          <w:szCs w:val="20"/>
        </w:rPr>
        <w:t>7.0</w:t>
      </w:r>
      <w:r w:rsidR="005575F0">
        <w:rPr>
          <w:rFonts w:ascii="Arial" w:hAnsi="Arial" w:cs="Arial"/>
          <w:sz w:val="20"/>
          <w:szCs w:val="20"/>
        </w:rPr>
        <w:t>%</w:t>
      </w:r>
      <w:r w:rsidR="00BC7B47">
        <w:rPr>
          <w:rFonts w:ascii="Arial" w:hAnsi="Arial" w:cs="Arial"/>
          <w:sz w:val="20"/>
          <w:szCs w:val="20"/>
        </w:rPr>
        <w:t xml:space="preserve"> on a per</w:t>
      </w:r>
      <w:r w:rsidR="008A426C">
        <w:rPr>
          <w:rFonts w:ascii="Arial" w:hAnsi="Arial" w:cs="Arial"/>
          <w:sz w:val="20"/>
          <w:szCs w:val="20"/>
        </w:rPr>
        <w:t>-</w:t>
      </w:r>
      <w:r w:rsidR="00BC7B47">
        <w:rPr>
          <w:rFonts w:ascii="Arial" w:hAnsi="Arial" w:cs="Arial"/>
          <w:sz w:val="20"/>
          <w:szCs w:val="20"/>
        </w:rPr>
        <w:t>pound basis.</w:t>
      </w:r>
      <w:r w:rsidR="001D65B2">
        <w:rPr>
          <w:rFonts w:ascii="Arial" w:hAnsi="Arial" w:cs="Arial"/>
          <w:sz w:val="20"/>
          <w:szCs w:val="20"/>
        </w:rPr>
        <w:t xml:space="preserve"> This is far below the total store average as fruit prices dropped considerably in June. Unlike the beginning of the year where inflation was </w:t>
      </w:r>
      <w:r w:rsidR="00BC7B47">
        <w:rPr>
          <w:rFonts w:ascii="Arial" w:hAnsi="Arial" w:cs="Arial"/>
          <w:sz w:val="20"/>
          <w:szCs w:val="20"/>
        </w:rPr>
        <w:t xml:space="preserve">predominantly driven by fruit, </w:t>
      </w:r>
      <w:r w:rsidR="001D65B2">
        <w:rPr>
          <w:rFonts w:ascii="Arial" w:hAnsi="Arial" w:cs="Arial"/>
          <w:sz w:val="20"/>
          <w:szCs w:val="20"/>
        </w:rPr>
        <w:t xml:space="preserve">it was vegetables that reached </w:t>
      </w:r>
      <w:r w:rsidR="008A426C">
        <w:rPr>
          <w:rFonts w:ascii="Arial" w:hAnsi="Arial" w:cs="Arial"/>
          <w:sz w:val="20"/>
          <w:szCs w:val="20"/>
        </w:rPr>
        <w:t>+</w:t>
      </w:r>
      <w:r w:rsidR="001D65B2">
        <w:rPr>
          <w:rFonts w:ascii="Arial" w:hAnsi="Arial" w:cs="Arial"/>
          <w:sz w:val="20"/>
          <w:szCs w:val="20"/>
        </w:rPr>
        <w:t xml:space="preserve">8.2% inflation in June 2022 versus June 2019. In the 52-week view, </w:t>
      </w:r>
      <w:r w:rsidR="008A426C">
        <w:rPr>
          <w:rFonts w:ascii="Arial" w:hAnsi="Arial" w:cs="Arial"/>
          <w:sz w:val="20"/>
          <w:szCs w:val="20"/>
        </w:rPr>
        <w:t xml:space="preserve">fresh </w:t>
      </w:r>
      <w:r w:rsidR="001D65B2">
        <w:rPr>
          <w:rFonts w:ascii="Arial" w:hAnsi="Arial" w:cs="Arial"/>
          <w:sz w:val="20"/>
          <w:szCs w:val="20"/>
        </w:rPr>
        <w:t>fruit inflation is still far above average.</w:t>
      </w:r>
      <w:r w:rsidR="003433C6">
        <w:rPr>
          <w:rFonts w:ascii="Arial" w:hAnsi="Arial" w:cs="Arial"/>
          <w:sz w:val="20"/>
          <w:szCs w:val="20"/>
        </w:rPr>
        <w:t xml:space="preserve"> </w:t>
      </w:r>
    </w:p>
    <w:p w14:paraId="2EDF8097" w14:textId="77777777" w:rsidR="00DD3DF6" w:rsidRPr="000A543A" w:rsidRDefault="00DD3DF6" w:rsidP="00DD3DF6">
      <w:pPr>
        <w:pStyle w:val="NoSpacing"/>
        <w:rPr>
          <w:rFonts w:ascii="Arial" w:hAnsi="Arial" w:cs="Arial"/>
          <w:sz w:val="20"/>
          <w:szCs w:val="20"/>
        </w:rPr>
      </w:pPr>
    </w:p>
    <w:tbl>
      <w:tblPr>
        <w:tblStyle w:val="LightShading-Accent5"/>
        <w:tblW w:w="10008" w:type="dxa"/>
        <w:tblBorders>
          <w:top w:val="none" w:sz="0" w:space="0" w:color="auto"/>
          <w:bottom w:val="none" w:sz="0" w:space="0" w:color="auto"/>
        </w:tblBorders>
        <w:tblLook w:val="04A0" w:firstRow="1" w:lastRow="0" w:firstColumn="1" w:lastColumn="0" w:noHBand="0" w:noVBand="1"/>
      </w:tblPr>
      <w:tblGrid>
        <w:gridCol w:w="4260"/>
        <w:gridCol w:w="2130"/>
        <w:gridCol w:w="1702"/>
        <w:gridCol w:w="1916"/>
      </w:tblGrid>
      <w:tr w:rsidR="00DD3DF6" w:rsidRPr="002A71C0" w14:paraId="34E708B3" w14:textId="77777777" w:rsidTr="001F29DC">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260" w:type="dxa"/>
            <w:tcBorders>
              <w:top w:val="none" w:sz="0" w:space="0" w:color="auto"/>
              <w:bottom w:val="none" w:sz="0" w:space="0" w:color="auto"/>
            </w:tcBorders>
            <w:shd w:val="clear" w:color="auto" w:fill="17365D" w:themeFill="text2" w:themeFillShade="BF"/>
            <w:vAlign w:val="center"/>
          </w:tcPr>
          <w:p w14:paraId="4F54E5B7" w14:textId="374E1DE7" w:rsidR="00DD3DF6" w:rsidRPr="004850A1" w:rsidRDefault="00DD3DF6" w:rsidP="001F29DC">
            <w:pPr>
              <w:pStyle w:val="NoSpacing"/>
              <w:rPr>
                <w:rFonts w:ascii="Arial" w:hAnsi="Arial" w:cs="Arial"/>
                <w:color w:val="FFFFFF" w:themeColor="background1"/>
                <w:sz w:val="18"/>
                <w:szCs w:val="18"/>
              </w:rPr>
            </w:pPr>
            <w:r w:rsidRPr="004850A1">
              <w:rPr>
                <w:rFonts w:ascii="Arial" w:hAnsi="Arial" w:cs="Arial"/>
                <w:color w:val="FFFFFF" w:themeColor="background1"/>
                <w:sz w:val="18"/>
                <w:szCs w:val="18"/>
              </w:rPr>
              <w:t>Price per volume</w:t>
            </w:r>
            <w:r w:rsidR="00551D01">
              <w:rPr>
                <w:rFonts w:ascii="Arial" w:hAnsi="Arial" w:cs="Arial"/>
                <w:color w:val="FFFFFF" w:themeColor="background1"/>
                <w:sz w:val="18"/>
                <w:szCs w:val="18"/>
              </w:rPr>
              <w:t xml:space="preserve"> (</w:t>
            </w:r>
            <w:proofErr w:type="spellStart"/>
            <w:r w:rsidR="00551D01">
              <w:rPr>
                <w:rFonts w:ascii="Arial" w:hAnsi="Arial" w:cs="Arial"/>
                <w:color w:val="FFFFFF" w:themeColor="background1"/>
                <w:sz w:val="18"/>
                <w:szCs w:val="18"/>
              </w:rPr>
              <w:t>lb</w:t>
            </w:r>
            <w:proofErr w:type="spellEnd"/>
            <w:r w:rsidR="00551D01">
              <w:rPr>
                <w:rFonts w:ascii="Arial" w:hAnsi="Arial" w:cs="Arial"/>
                <w:color w:val="FFFFFF" w:themeColor="background1"/>
                <w:sz w:val="18"/>
                <w:szCs w:val="18"/>
              </w:rPr>
              <w:t>)</w:t>
            </w:r>
          </w:p>
        </w:tc>
        <w:tc>
          <w:tcPr>
            <w:tcW w:w="2130" w:type="dxa"/>
            <w:tcBorders>
              <w:top w:val="none" w:sz="0" w:space="0" w:color="auto"/>
              <w:bottom w:val="none" w:sz="0" w:space="0" w:color="auto"/>
            </w:tcBorders>
            <w:shd w:val="clear" w:color="auto" w:fill="17365D" w:themeFill="text2" w:themeFillShade="BF"/>
            <w:vAlign w:val="center"/>
          </w:tcPr>
          <w:p w14:paraId="06FD748D"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Price/volume</w:t>
            </w:r>
          </w:p>
        </w:tc>
        <w:tc>
          <w:tcPr>
            <w:tcW w:w="1702" w:type="dxa"/>
            <w:tcBorders>
              <w:top w:val="none" w:sz="0" w:space="0" w:color="auto"/>
              <w:bottom w:val="none" w:sz="0" w:space="0" w:color="auto"/>
            </w:tcBorders>
            <w:shd w:val="clear" w:color="auto" w:fill="17365D" w:themeFill="text2" w:themeFillShade="BF"/>
            <w:vAlign w:val="center"/>
          </w:tcPr>
          <w:p w14:paraId="446CFB3F"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Change vs. 202</w:t>
            </w:r>
            <w:r w:rsidR="0038781D">
              <w:rPr>
                <w:rFonts w:ascii="Arial" w:hAnsi="Arial" w:cs="Arial"/>
                <w:color w:val="FFFFFF" w:themeColor="background1"/>
                <w:sz w:val="18"/>
                <w:szCs w:val="18"/>
              </w:rPr>
              <w:t>1</w:t>
            </w:r>
          </w:p>
        </w:tc>
        <w:tc>
          <w:tcPr>
            <w:tcW w:w="1916" w:type="dxa"/>
            <w:tcBorders>
              <w:top w:val="none" w:sz="0" w:space="0" w:color="auto"/>
              <w:bottom w:val="none" w:sz="0" w:space="0" w:color="auto"/>
            </w:tcBorders>
            <w:shd w:val="clear" w:color="auto" w:fill="17365D" w:themeFill="text2" w:themeFillShade="BF"/>
            <w:vAlign w:val="center"/>
          </w:tcPr>
          <w:p w14:paraId="23EF784E"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Change vs. 20</w:t>
            </w:r>
            <w:r w:rsidR="0038781D">
              <w:rPr>
                <w:rFonts w:ascii="Arial" w:hAnsi="Arial" w:cs="Arial"/>
                <w:color w:val="FFFFFF" w:themeColor="background1"/>
                <w:sz w:val="18"/>
                <w:szCs w:val="18"/>
              </w:rPr>
              <w:t>20</w:t>
            </w:r>
          </w:p>
        </w:tc>
      </w:tr>
      <w:tr w:rsidR="007F5087" w:rsidRPr="00B75D3A" w14:paraId="1434C87A" w14:textId="77777777" w:rsidTr="00D6564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1E4595FE" w14:textId="398E931C" w:rsidR="00BF64A8" w:rsidRPr="00B75D3A" w:rsidRDefault="00BF64A8" w:rsidP="00BF64A8">
            <w:pPr>
              <w:pStyle w:val="NoSpacing"/>
              <w:jc w:val="right"/>
              <w:rPr>
                <w:rFonts w:ascii="Arial" w:hAnsi="Arial" w:cs="Arial"/>
                <w:color w:val="215868" w:themeColor="accent5" w:themeShade="80"/>
                <w:sz w:val="18"/>
                <w:szCs w:val="18"/>
              </w:rPr>
            </w:pPr>
            <w:r w:rsidRPr="00B75D3A">
              <w:rPr>
                <w:rFonts w:ascii="Arial" w:hAnsi="Arial" w:cs="Arial"/>
                <w:color w:val="215868" w:themeColor="accent5" w:themeShade="80"/>
                <w:sz w:val="18"/>
                <w:szCs w:val="18"/>
              </w:rPr>
              <w:t xml:space="preserve">Total fresh produce </w:t>
            </w:r>
            <w:r w:rsidR="00AB47E8">
              <w:rPr>
                <w:rFonts w:ascii="Arial" w:hAnsi="Arial" w:cs="Arial"/>
                <w:color w:val="215868" w:themeColor="accent5" w:themeShade="80"/>
                <w:sz w:val="18"/>
                <w:szCs w:val="18"/>
              </w:rPr>
              <w:t>June</w:t>
            </w:r>
            <w:r w:rsidR="002769A5" w:rsidRPr="00B75D3A">
              <w:rPr>
                <w:rFonts w:ascii="Arial" w:hAnsi="Arial" w:cs="Arial"/>
                <w:color w:val="215868" w:themeColor="accent5" w:themeShade="80"/>
                <w:sz w:val="18"/>
                <w:szCs w:val="18"/>
              </w:rPr>
              <w:t xml:space="preserve"> </w:t>
            </w:r>
            <w:r w:rsidRPr="00B75D3A">
              <w:rPr>
                <w:rFonts w:ascii="Arial" w:hAnsi="Arial" w:cs="Arial"/>
                <w:color w:val="215868" w:themeColor="accent5" w:themeShade="80"/>
                <w:sz w:val="18"/>
                <w:szCs w:val="18"/>
              </w:rPr>
              <w:t>2022</w:t>
            </w:r>
          </w:p>
        </w:tc>
        <w:tc>
          <w:tcPr>
            <w:tcW w:w="2130" w:type="dxa"/>
            <w:vAlign w:val="center"/>
          </w:tcPr>
          <w:p w14:paraId="6E97F861" w14:textId="25D85464" w:rsidR="00BF64A8" w:rsidRPr="00B75D3A" w:rsidRDefault="00BF64A8" w:rsidP="00D65642">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18"/>
              </w:rPr>
            </w:pPr>
            <w:r w:rsidRPr="00B75D3A">
              <w:rPr>
                <w:rFonts w:ascii="Arial" w:hAnsi="Arial" w:cs="Arial"/>
                <w:b/>
                <w:bCs/>
                <w:color w:val="215868" w:themeColor="accent5" w:themeShade="80"/>
                <w:sz w:val="18"/>
                <w:szCs w:val="18"/>
              </w:rPr>
              <w:t>$</w:t>
            </w:r>
            <w:r w:rsidR="001F4BAF">
              <w:rPr>
                <w:rFonts w:ascii="Arial" w:hAnsi="Arial" w:cs="Arial"/>
                <w:b/>
                <w:bCs/>
                <w:color w:val="215868" w:themeColor="accent5" w:themeShade="80"/>
                <w:sz w:val="18"/>
                <w:szCs w:val="18"/>
              </w:rPr>
              <w:t>1.71</w:t>
            </w:r>
          </w:p>
        </w:tc>
        <w:tc>
          <w:tcPr>
            <w:tcW w:w="1702" w:type="dxa"/>
            <w:vAlign w:val="center"/>
          </w:tcPr>
          <w:p w14:paraId="5720898A" w14:textId="7E0AB77D" w:rsidR="00BF64A8" w:rsidRPr="00B75D3A" w:rsidRDefault="00BF64A8" w:rsidP="00D6564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18"/>
              </w:rPr>
            </w:pPr>
            <w:r w:rsidRPr="00B75D3A">
              <w:rPr>
                <w:rFonts w:ascii="Arial" w:hAnsi="Arial" w:cs="Arial"/>
                <w:b/>
                <w:bCs/>
                <w:color w:val="215868" w:themeColor="accent5" w:themeShade="80"/>
                <w:sz w:val="18"/>
                <w:szCs w:val="18"/>
              </w:rPr>
              <w:t>+</w:t>
            </w:r>
            <w:r w:rsidR="001F4BAF">
              <w:rPr>
                <w:rFonts w:ascii="Arial" w:hAnsi="Arial" w:cs="Arial"/>
                <w:b/>
                <w:bCs/>
                <w:color w:val="215868" w:themeColor="accent5" w:themeShade="80"/>
                <w:sz w:val="18"/>
                <w:szCs w:val="18"/>
              </w:rPr>
              <w:t>7.0</w:t>
            </w:r>
            <w:r w:rsidRPr="00B75D3A">
              <w:rPr>
                <w:rFonts w:ascii="Arial" w:hAnsi="Arial" w:cs="Arial"/>
                <w:b/>
                <w:bCs/>
                <w:color w:val="215868" w:themeColor="accent5" w:themeShade="80"/>
                <w:sz w:val="18"/>
                <w:szCs w:val="18"/>
              </w:rPr>
              <w:t>%</w:t>
            </w:r>
          </w:p>
        </w:tc>
        <w:tc>
          <w:tcPr>
            <w:tcW w:w="1916" w:type="dxa"/>
            <w:vAlign w:val="center"/>
          </w:tcPr>
          <w:p w14:paraId="164946FB" w14:textId="08A16C9A" w:rsidR="00BF64A8" w:rsidRPr="00B75D3A" w:rsidRDefault="00BF64A8" w:rsidP="00D65642">
            <w:pPr>
              <w:jc w:val="right"/>
              <w:cnfStyle w:val="000000100000" w:firstRow="0" w:lastRow="0" w:firstColumn="0" w:lastColumn="0" w:oddVBand="0" w:evenVBand="0" w:oddHBand="1" w:evenHBand="0" w:firstRowFirstColumn="0" w:firstRowLastColumn="0" w:lastRowFirstColumn="0" w:lastRowLastColumn="0"/>
              <w:rPr>
                <w:b/>
                <w:bCs/>
                <w:color w:val="215868" w:themeColor="accent5" w:themeShade="80"/>
              </w:rPr>
            </w:pPr>
            <w:r w:rsidRPr="00B75D3A">
              <w:rPr>
                <w:rFonts w:ascii="Arial" w:hAnsi="Arial" w:cs="Arial"/>
                <w:b/>
                <w:bCs/>
                <w:color w:val="215868" w:themeColor="accent5" w:themeShade="80"/>
                <w:sz w:val="18"/>
                <w:szCs w:val="18"/>
              </w:rPr>
              <w:t>+</w:t>
            </w:r>
            <w:r w:rsidR="001F4BAF">
              <w:rPr>
                <w:rFonts w:ascii="Arial" w:hAnsi="Arial" w:cs="Arial"/>
                <w:b/>
                <w:bCs/>
                <w:color w:val="215868" w:themeColor="accent5" w:themeShade="80"/>
                <w:sz w:val="18"/>
                <w:szCs w:val="18"/>
              </w:rPr>
              <w:t>12.6</w:t>
            </w:r>
            <w:r w:rsidRPr="00B75D3A">
              <w:rPr>
                <w:rFonts w:ascii="Arial" w:hAnsi="Arial" w:cs="Arial"/>
                <w:b/>
                <w:bCs/>
                <w:color w:val="215868" w:themeColor="accent5" w:themeShade="80"/>
                <w:sz w:val="18"/>
                <w:szCs w:val="18"/>
              </w:rPr>
              <w:t>%</w:t>
            </w:r>
          </w:p>
        </w:tc>
      </w:tr>
      <w:tr w:rsidR="007F5087" w:rsidRPr="007F5087" w14:paraId="5A66D034" w14:textId="77777777" w:rsidTr="00D65642">
        <w:trPr>
          <w:trHeight w:val="259"/>
        </w:trPr>
        <w:tc>
          <w:tcPr>
            <w:cnfStyle w:val="001000000000" w:firstRow="0" w:lastRow="0" w:firstColumn="1" w:lastColumn="0" w:oddVBand="0" w:evenVBand="0" w:oddHBand="0" w:evenHBand="0" w:firstRowFirstColumn="0" w:firstRowLastColumn="0" w:lastRowFirstColumn="0" w:lastRowLastColumn="0"/>
            <w:tcW w:w="4260" w:type="dxa"/>
          </w:tcPr>
          <w:p w14:paraId="47FBBA20" w14:textId="0A386F92" w:rsidR="002769A5" w:rsidRPr="007F5087" w:rsidRDefault="002769A5" w:rsidP="002769A5">
            <w:pPr>
              <w:pStyle w:val="NoSpacing"/>
              <w:jc w:val="right"/>
              <w:rPr>
                <w:rFonts w:ascii="Arial" w:hAnsi="Arial" w:cs="Arial"/>
                <w:b w:val="0"/>
                <w:bCs w:val="0"/>
                <w:color w:val="215868" w:themeColor="accent5" w:themeShade="80"/>
                <w:sz w:val="18"/>
                <w:szCs w:val="18"/>
              </w:rPr>
            </w:pPr>
            <w:r w:rsidRPr="007F5087">
              <w:rPr>
                <w:rFonts w:ascii="Arial" w:hAnsi="Arial" w:cs="Arial"/>
                <w:b w:val="0"/>
                <w:bCs w:val="0"/>
                <w:color w:val="215868" w:themeColor="accent5" w:themeShade="80"/>
                <w:sz w:val="18"/>
                <w:szCs w:val="18"/>
              </w:rPr>
              <w:t>Total fresh produce latest 52 weeks</w:t>
            </w:r>
          </w:p>
        </w:tc>
        <w:tc>
          <w:tcPr>
            <w:tcW w:w="2130" w:type="dxa"/>
            <w:vAlign w:val="center"/>
          </w:tcPr>
          <w:p w14:paraId="1F20343F" w14:textId="22A09C52"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1F4BAF">
              <w:rPr>
                <w:rFonts w:ascii="Arial" w:hAnsi="Arial" w:cs="Arial"/>
                <w:color w:val="215868" w:themeColor="accent5" w:themeShade="80"/>
                <w:sz w:val="18"/>
                <w:szCs w:val="18"/>
              </w:rPr>
              <w:t>1.76</w:t>
            </w:r>
          </w:p>
        </w:tc>
        <w:tc>
          <w:tcPr>
            <w:tcW w:w="1702" w:type="dxa"/>
            <w:vAlign w:val="center"/>
          </w:tcPr>
          <w:p w14:paraId="31810777" w14:textId="779FBB02"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1F4BAF">
              <w:rPr>
                <w:rFonts w:ascii="Arial" w:hAnsi="Arial" w:cs="Arial"/>
                <w:color w:val="215868" w:themeColor="accent5" w:themeShade="80"/>
                <w:sz w:val="18"/>
                <w:szCs w:val="18"/>
              </w:rPr>
              <w:t>7.9</w:t>
            </w:r>
            <w:r w:rsidRPr="007F5087">
              <w:rPr>
                <w:rFonts w:ascii="Arial" w:hAnsi="Arial" w:cs="Arial"/>
                <w:color w:val="215868" w:themeColor="accent5" w:themeShade="80"/>
                <w:sz w:val="18"/>
                <w:szCs w:val="18"/>
              </w:rPr>
              <w:t>%</w:t>
            </w:r>
          </w:p>
        </w:tc>
        <w:tc>
          <w:tcPr>
            <w:tcW w:w="1916" w:type="dxa"/>
            <w:vAlign w:val="center"/>
          </w:tcPr>
          <w:p w14:paraId="3E082B02" w14:textId="17255ADA"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1F4BAF">
              <w:rPr>
                <w:rFonts w:ascii="Arial" w:hAnsi="Arial" w:cs="Arial"/>
                <w:color w:val="215868" w:themeColor="accent5" w:themeShade="80"/>
                <w:sz w:val="18"/>
                <w:szCs w:val="18"/>
              </w:rPr>
              <w:t>12.2</w:t>
            </w:r>
            <w:r w:rsidRPr="007F5087">
              <w:rPr>
                <w:rFonts w:ascii="Arial" w:hAnsi="Arial" w:cs="Arial"/>
                <w:color w:val="215868" w:themeColor="accent5" w:themeShade="80"/>
                <w:sz w:val="18"/>
                <w:szCs w:val="18"/>
              </w:rPr>
              <w:t>%</w:t>
            </w:r>
          </w:p>
        </w:tc>
      </w:tr>
      <w:tr w:rsidR="007F5087" w:rsidRPr="00B75D3A" w14:paraId="5B57AE54" w14:textId="77777777" w:rsidTr="00D6564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71D907A4" w14:textId="2B37B24E" w:rsidR="002769A5" w:rsidRPr="00B75D3A" w:rsidRDefault="002769A5" w:rsidP="002769A5">
            <w:pPr>
              <w:pStyle w:val="NoSpacing"/>
              <w:jc w:val="right"/>
              <w:rPr>
                <w:rFonts w:ascii="Arial" w:hAnsi="Arial" w:cs="Arial"/>
                <w:color w:val="215868" w:themeColor="accent5" w:themeShade="80"/>
                <w:sz w:val="18"/>
                <w:szCs w:val="18"/>
              </w:rPr>
            </w:pPr>
            <w:r w:rsidRPr="00B75D3A">
              <w:rPr>
                <w:rFonts w:ascii="Arial" w:hAnsi="Arial" w:cs="Arial"/>
                <w:color w:val="215868" w:themeColor="accent5" w:themeShade="80"/>
                <w:sz w:val="18"/>
                <w:szCs w:val="18"/>
              </w:rPr>
              <w:t xml:space="preserve">Fresh fruit </w:t>
            </w:r>
            <w:r w:rsidR="00AB47E8">
              <w:rPr>
                <w:rFonts w:ascii="Arial" w:hAnsi="Arial" w:cs="Arial"/>
                <w:color w:val="215868" w:themeColor="accent5" w:themeShade="80"/>
                <w:sz w:val="18"/>
                <w:szCs w:val="18"/>
              </w:rPr>
              <w:t>June</w:t>
            </w:r>
            <w:r w:rsidRPr="00B75D3A">
              <w:rPr>
                <w:rFonts w:ascii="Arial" w:hAnsi="Arial" w:cs="Arial"/>
                <w:color w:val="215868" w:themeColor="accent5" w:themeShade="80"/>
                <w:sz w:val="18"/>
                <w:szCs w:val="18"/>
              </w:rPr>
              <w:t xml:space="preserve"> 2022</w:t>
            </w:r>
          </w:p>
        </w:tc>
        <w:tc>
          <w:tcPr>
            <w:tcW w:w="2130" w:type="dxa"/>
            <w:vAlign w:val="center"/>
          </w:tcPr>
          <w:p w14:paraId="2E070CA6" w14:textId="7D30DE2E" w:rsidR="002769A5" w:rsidRPr="00B75D3A" w:rsidRDefault="002769A5" w:rsidP="002769A5">
            <w:pPr>
              <w:jc w:val="right"/>
              <w:cnfStyle w:val="000000100000" w:firstRow="0" w:lastRow="0" w:firstColumn="0" w:lastColumn="0" w:oddVBand="0" w:evenVBand="0" w:oddHBand="1" w:evenHBand="0" w:firstRowFirstColumn="0" w:firstRowLastColumn="0" w:lastRowFirstColumn="0" w:lastRowLastColumn="0"/>
              <w:rPr>
                <w:b/>
                <w:bCs/>
                <w:color w:val="215868" w:themeColor="accent5" w:themeShade="80"/>
              </w:rPr>
            </w:pPr>
            <w:r w:rsidRPr="00B75D3A">
              <w:rPr>
                <w:rFonts w:ascii="Arial" w:hAnsi="Arial" w:cs="Arial"/>
                <w:b/>
                <w:bCs/>
                <w:color w:val="215868" w:themeColor="accent5" w:themeShade="80"/>
                <w:sz w:val="18"/>
                <w:szCs w:val="18"/>
              </w:rPr>
              <w:t>$</w:t>
            </w:r>
            <w:r w:rsidR="00E03ABC">
              <w:rPr>
                <w:rFonts w:ascii="Arial" w:hAnsi="Arial" w:cs="Arial"/>
                <w:b/>
                <w:bCs/>
                <w:color w:val="215868" w:themeColor="accent5" w:themeShade="80"/>
                <w:sz w:val="18"/>
                <w:szCs w:val="18"/>
              </w:rPr>
              <w:t>1.50</w:t>
            </w:r>
          </w:p>
        </w:tc>
        <w:tc>
          <w:tcPr>
            <w:tcW w:w="1702" w:type="dxa"/>
            <w:vAlign w:val="center"/>
          </w:tcPr>
          <w:p w14:paraId="5F7D0FB3" w14:textId="2A070AE8" w:rsidR="002769A5" w:rsidRPr="00B75D3A" w:rsidRDefault="002769A5" w:rsidP="002769A5">
            <w:pPr>
              <w:jc w:val="right"/>
              <w:cnfStyle w:val="000000100000" w:firstRow="0" w:lastRow="0" w:firstColumn="0" w:lastColumn="0" w:oddVBand="0" w:evenVBand="0" w:oddHBand="1" w:evenHBand="0" w:firstRowFirstColumn="0" w:firstRowLastColumn="0" w:lastRowFirstColumn="0" w:lastRowLastColumn="0"/>
              <w:rPr>
                <w:b/>
                <w:bCs/>
                <w:color w:val="215868" w:themeColor="accent5" w:themeShade="80"/>
              </w:rPr>
            </w:pPr>
            <w:r w:rsidRPr="00B75D3A">
              <w:rPr>
                <w:rFonts w:ascii="Arial" w:hAnsi="Arial" w:cs="Arial"/>
                <w:b/>
                <w:bCs/>
                <w:color w:val="215868" w:themeColor="accent5" w:themeShade="80"/>
                <w:sz w:val="18"/>
                <w:szCs w:val="18"/>
              </w:rPr>
              <w:t>+</w:t>
            </w:r>
            <w:r w:rsidR="00E03ABC">
              <w:rPr>
                <w:rFonts w:ascii="Arial" w:hAnsi="Arial" w:cs="Arial"/>
                <w:b/>
                <w:bCs/>
                <w:color w:val="215868" w:themeColor="accent5" w:themeShade="80"/>
                <w:sz w:val="18"/>
                <w:szCs w:val="18"/>
              </w:rPr>
              <w:t>5.8</w:t>
            </w:r>
            <w:r w:rsidRPr="00B75D3A">
              <w:rPr>
                <w:rFonts w:ascii="Arial" w:hAnsi="Arial" w:cs="Arial"/>
                <w:b/>
                <w:bCs/>
                <w:color w:val="215868" w:themeColor="accent5" w:themeShade="80"/>
                <w:sz w:val="18"/>
                <w:szCs w:val="18"/>
              </w:rPr>
              <w:t>%</w:t>
            </w:r>
          </w:p>
        </w:tc>
        <w:tc>
          <w:tcPr>
            <w:tcW w:w="1916" w:type="dxa"/>
            <w:vAlign w:val="center"/>
          </w:tcPr>
          <w:p w14:paraId="5BD0263C" w14:textId="560EBF6C" w:rsidR="002769A5" w:rsidRPr="00B75D3A" w:rsidRDefault="002769A5" w:rsidP="002769A5">
            <w:pPr>
              <w:jc w:val="right"/>
              <w:cnfStyle w:val="000000100000" w:firstRow="0" w:lastRow="0" w:firstColumn="0" w:lastColumn="0" w:oddVBand="0" w:evenVBand="0" w:oddHBand="1" w:evenHBand="0" w:firstRowFirstColumn="0" w:firstRowLastColumn="0" w:lastRowFirstColumn="0" w:lastRowLastColumn="0"/>
              <w:rPr>
                <w:b/>
                <w:bCs/>
                <w:color w:val="215868" w:themeColor="accent5" w:themeShade="80"/>
              </w:rPr>
            </w:pPr>
            <w:r w:rsidRPr="00B75D3A">
              <w:rPr>
                <w:rFonts w:ascii="Arial" w:hAnsi="Arial" w:cs="Arial"/>
                <w:b/>
                <w:bCs/>
                <w:color w:val="215868" w:themeColor="accent5" w:themeShade="80"/>
                <w:sz w:val="18"/>
                <w:szCs w:val="18"/>
              </w:rPr>
              <w:t>+</w:t>
            </w:r>
            <w:r w:rsidR="00E03ABC">
              <w:rPr>
                <w:rFonts w:ascii="Arial" w:hAnsi="Arial" w:cs="Arial"/>
                <w:b/>
                <w:bCs/>
                <w:color w:val="215868" w:themeColor="accent5" w:themeShade="80"/>
                <w:sz w:val="18"/>
                <w:szCs w:val="18"/>
              </w:rPr>
              <w:t>15.5</w:t>
            </w:r>
            <w:r w:rsidRPr="00B75D3A">
              <w:rPr>
                <w:rFonts w:ascii="Arial" w:hAnsi="Arial" w:cs="Arial"/>
                <w:b/>
                <w:bCs/>
                <w:color w:val="215868" w:themeColor="accent5" w:themeShade="80"/>
                <w:sz w:val="18"/>
                <w:szCs w:val="18"/>
              </w:rPr>
              <w:t>%</w:t>
            </w:r>
          </w:p>
        </w:tc>
      </w:tr>
      <w:tr w:rsidR="007F5087" w:rsidRPr="007F5087" w14:paraId="1144520F" w14:textId="77777777" w:rsidTr="00D65642">
        <w:trPr>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4DC7A0E2" w14:textId="77777777" w:rsidR="002769A5" w:rsidRPr="007F5087" w:rsidRDefault="002769A5" w:rsidP="002769A5">
            <w:pPr>
              <w:pStyle w:val="NoSpacing"/>
              <w:jc w:val="right"/>
              <w:rPr>
                <w:rFonts w:ascii="Arial" w:hAnsi="Arial" w:cs="Arial"/>
                <w:b w:val="0"/>
                <w:bCs w:val="0"/>
                <w:color w:val="215868" w:themeColor="accent5" w:themeShade="80"/>
                <w:sz w:val="18"/>
                <w:szCs w:val="18"/>
              </w:rPr>
            </w:pPr>
            <w:r w:rsidRPr="007F5087">
              <w:rPr>
                <w:rFonts w:ascii="Arial" w:hAnsi="Arial" w:cs="Arial"/>
                <w:b w:val="0"/>
                <w:bCs w:val="0"/>
                <w:color w:val="215868" w:themeColor="accent5" w:themeShade="80"/>
                <w:sz w:val="18"/>
                <w:szCs w:val="18"/>
              </w:rPr>
              <w:t xml:space="preserve"> Fresh fruit latest 52 weeks</w:t>
            </w:r>
          </w:p>
        </w:tc>
        <w:tc>
          <w:tcPr>
            <w:tcW w:w="2130" w:type="dxa"/>
            <w:vAlign w:val="center"/>
          </w:tcPr>
          <w:p w14:paraId="7E73EC2B" w14:textId="56613F87"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E03ABC">
              <w:rPr>
                <w:rFonts w:ascii="Arial" w:hAnsi="Arial" w:cs="Arial"/>
                <w:color w:val="215868" w:themeColor="accent5" w:themeShade="80"/>
                <w:sz w:val="18"/>
                <w:szCs w:val="18"/>
              </w:rPr>
              <w:t>1.63</w:t>
            </w:r>
          </w:p>
        </w:tc>
        <w:tc>
          <w:tcPr>
            <w:tcW w:w="1702" w:type="dxa"/>
            <w:vAlign w:val="center"/>
          </w:tcPr>
          <w:p w14:paraId="4038274E" w14:textId="72C07730"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E03ABC">
              <w:rPr>
                <w:rFonts w:ascii="Arial" w:hAnsi="Arial" w:cs="Arial"/>
                <w:color w:val="215868" w:themeColor="accent5" w:themeShade="80"/>
                <w:sz w:val="18"/>
                <w:szCs w:val="18"/>
              </w:rPr>
              <w:t>10.4</w:t>
            </w:r>
            <w:r w:rsidRPr="007F5087">
              <w:rPr>
                <w:rFonts w:ascii="Arial" w:hAnsi="Arial" w:cs="Arial"/>
                <w:color w:val="215868" w:themeColor="accent5" w:themeShade="80"/>
                <w:sz w:val="18"/>
                <w:szCs w:val="18"/>
              </w:rPr>
              <w:t>%</w:t>
            </w:r>
          </w:p>
        </w:tc>
        <w:tc>
          <w:tcPr>
            <w:tcW w:w="1916" w:type="dxa"/>
            <w:vAlign w:val="center"/>
          </w:tcPr>
          <w:p w14:paraId="4548B493" w14:textId="2DD9E304"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E03ABC">
              <w:rPr>
                <w:rFonts w:ascii="Arial" w:hAnsi="Arial" w:cs="Arial"/>
                <w:color w:val="215868" w:themeColor="accent5" w:themeShade="80"/>
                <w:sz w:val="18"/>
                <w:szCs w:val="18"/>
              </w:rPr>
              <w:t>15.5</w:t>
            </w:r>
            <w:r w:rsidRPr="007F5087">
              <w:rPr>
                <w:rFonts w:ascii="Arial" w:hAnsi="Arial" w:cs="Arial"/>
                <w:color w:val="215868" w:themeColor="accent5" w:themeShade="80"/>
                <w:sz w:val="18"/>
                <w:szCs w:val="18"/>
              </w:rPr>
              <w:t>%</w:t>
            </w:r>
          </w:p>
        </w:tc>
      </w:tr>
      <w:tr w:rsidR="007F5087" w:rsidRPr="00B75D3A" w14:paraId="49DE74F5" w14:textId="77777777" w:rsidTr="00D6564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354E4AFC" w14:textId="385F5C28" w:rsidR="002769A5" w:rsidRPr="00B75D3A" w:rsidRDefault="002769A5" w:rsidP="002769A5">
            <w:pPr>
              <w:pStyle w:val="NoSpacing"/>
              <w:jc w:val="right"/>
              <w:rPr>
                <w:rFonts w:ascii="Arial" w:hAnsi="Arial" w:cs="Arial"/>
                <w:color w:val="215868" w:themeColor="accent5" w:themeShade="80"/>
                <w:sz w:val="18"/>
                <w:szCs w:val="18"/>
              </w:rPr>
            </w:pPr>
            <w:r w:rsidRPr="00B75D3A">
              <w:rPr>
                <w:rFonts w:ascii="Arial" w:hAnsi="Arial" w:cs="Arial"/>
                <w:color w:val="215868" w:themeColor="accent5" w:themeShade="80"/>
                <w:sz w:val="18"/>
                <w:szCs w:val="18"/>
              </w:rPr>
              <w:t xml:space="preserve">Fresh vegetables </w:t>
            </w:r>
            <w:r w:rsidR="00AB47E8">
              <w:rPr>
                <w:rFonts w:ascii="Arial" w:hAnsi="Arial" w:cs="Arial"/>
                <w:color w:val="215868" w:themeColor="accent5" w:themeShade="80"/>
                <w:sz w:val="18"/>
                <w:szCs w:val="18"/>
              </w:rPr>
              <w:t>June</w:t>
            </w:r>
            <w:r w:rsidRPr="00B75D3A">
              <w:rPr>
                <w:rFonts w:ascii="Arial" w:hAnsi="Arial" w:cs="Arial"/>
                <w:color w:val="215868" w:themeColor="accent5" w:themeShade="80"/>
                <w:sz w:val="18"/>
                <w:szCs w:val="18"/>
              </w:rPr>
              <w:t xml:space="preserve"> 2022</w:t>
            </w:r>
          </w:p>
        </w:tc>
        <w:tc>
          <w:tcPr>
            <w:tcW w:w="2130" w:type="dxa"/>
            <w:vAlign w:val="center"/>
          </w:tcPr>
          <w:p w14:paraId="179F7533" w14:textId="7AF809CF" w:rsidR="002769A5" w:rsidRPr="00B75D3A" w:rsidRDefault="002769A5" w:rsidP="002769A5">
            <w:pPr>
              <w:jc w:val="right"/>
              <w:cnfStyle w:val="000000100000" w:firstRow="0" w:lastRow="0" w:firstColumn="0" w:lastColumn="0" w:oddVBand="0" w:evenVBand="0" w:oddHBand="1" w:evenHBand="0" w:firstRowFirstColumn="0" w:firstRowLastColumn="0" w:lastRowFirstColumn="0" w:lastRowLastColumn="0"/>
              <w:rPr>
                <w:b/>
                <w:bCs/>
                <w:color w:val="215868" w:themeColor="accent5" w:themeShade="80"/>
              </w:rPr>
            </w:pPr>
            <w:r w:rsidRPr="00B75D3A">
              <w:rPr>
                <w:rFonts w:ascii="Arial" w:hAnsi="Arial" w:cs="Arial"/>
                <w:b/>
                <w:bCs/>
                <w:color w:val="215868" w:themeColor="accent5" w:themeShade="80"/>
                <w:sz w:val="18"/>
                <w:szCs w:val="18"/>
              </w:rPr>
              <w:t>$</w:t>
            </w:r>
            <w:r w:rsidR="00E03ABC">
              <w:rPr>
                <w:rFonts w:ascii="Arial" w:hAnsi="Arial" w:cs="Arial"/>
                <w:b/>
                <w:bCs/>
                <w:color w:val="215868" w:themeColor="accent5" w:themeShade="80"/>
                <w:sz w:val="18"/>
                <w:szCs w:val="18"/>
              </w:rPr>
              <w:t>1.99</w:t>
            </w:r>
          </w:p>
        </w:tc>
        <w:tc>
          <w:tcPr>
            <w:tcW w:w="1702" w:type="dxa"/>
            <w:vAlign w:val="center"/>
          </w:tcPr>
          <w:p w14:paraId="5B5FDC39" w14:textId="08A7A326" w:rsidR="002769A5" w:rsidRPr="00B75D3A" w:rsidRDefault="002769A5" w:rsidP="002769A5">
            <w:pPr>
              <w:jc w:val="right"/>
              <w:cnfStyle w:val="000000100000" w:firstRow="0" w:lastRow="0" w:firstColumn="0" w:lastColumn="0" w:oddVBand="0" w:evenVBand="0" w:oddHBand="1" w:evenHBand="0" w:firstRowFirstColumn="0" w:firstRowLastColumn="0" w:lastRowFirstColumn="0" w:lastRowLastColumn="0"/>
              <w:rPr>
                <w:b/>
                <w:bCs/>
                <w:color w:val="215868" w:themeColor="accent5" w:themeShade="80"/>
              </w:rPr>
            </w:pPr>
            <w:r w:rsidRPr="00B75D3A">
              <w:rPr>
                <w:rFonts w:ascii="Arial" w:hAnsi="Arial" w:cs="Arial"/>
                <w:b/>
                <w:bCs/>
                <w:color w:val="215868" w:themeColor="accent5" w:themeShade="80"/>
                <w:sz w:val="18"/>
                <w:szCs w:val="18"/>
              </w:rPr>
              <w:t>+</w:t>
            </w:r>
            <w:r w:rsidR="00E03ABC">
              <w:rPr>
                <w:rFonts w:ascii="Arial" w:hAnsi="Arial" w:cs="Arial"/>
                <w:b/>
                <w:bCs/>
                <w:color w:val="215868" w:themeColor="accent5" w:themeShade="80"/>
                <w:sz w:val="18"/>
                <w:szCs w:val="18"/>
              </w:rPr>
              <w:t>8.2</w:t>
            </w:r>
            <w:r w:rsidRPr="00B75D3A">
              <w:rPr>
                <w:rFonts w:ascii="Arial" w:hAnsi="Arial" w:cs="Arial"/>
                <w:b/>
                <w:bCs/>
                <w:color w:val="215868" w:themeColor="accent5" w:themeShade="80"/>
                <w:sz w:val="18"/>
                <w:szCs w:val="18"/>
              </w:rPr>
              <w:t>%</w:t>
            </w:r>
          </w:p>
        </w:tc>
        <w:tc>
          <w:tcPr>
            <w:tcW w:w="1916" w:type="dxa"/>
            <w:vAlign w:val="center"/>
          </w:tcPr>
          <w:p w14:paraId="0790677A" w14:textId="339A91AB" w:rsidR="002769A5" w:rsidRPr="00B75D3A" w:rsidRDefault="002769A5" w:rsidP="002769A5">
            <w:pPr>
              <w:jc w:val="right"/>
              <w:cnfStyle w:val="000000100000" w:firstRow="0" w:lastRow="0" w:firstColumn="0" w:lastColumn="0" w:oddVBand="0" w:evenVBand="0" w:oddHBand="1" w:evenHBand="0" w:firstRowFirstColumn="0" w:firstRowLastColumn="0" w:lastRowFirstColumn="0" w:lastRowLastColumn="0"/>
              <w:rPr>
                <w:b/>
                <w:bCs/>
                <w:color w:val="215868" w:themeColor="accent5" w:themeShade="80"/>
              </w:rPr>
            </w:pPr>
            <w:r w:rsidRPr="00B75D3A">
              <w:rPr>
                <w:rFonts w:ascii="Arial" w:hAnsi="Arial" w:cs="Arial"/>
                <w:b/>
                <w:bCs/>
                <w:color w:val="215868" w:themeColor="accent5" w:themeShade="80"/>
                <w:sz w:val="18"/>
                <w:szCs w:val="18"/>
              </w:rPr>
              <w:t>+</w:t>
            </w:r>
            <w:r w:rsidR="00E03ABC">
              <w:rPr>
                <w:rFonts w:ascii="Arial" w:hAnsi="Arial" w:cs="Arial"/>
                <w:b/>
                <w:bCs/>
                <w:color w:val="215868" w:themeColor="accent5" w:themeShade="80"/>
                <w:sz w:val="18"/>
                <w:szCs w:val="18"/>
              </w:rPr>
              <w:t>9.9</w:t>
            </w:r>
            <w:r w:rsidRPr="00B75D3A">
              <w:rPr>
                <w:rFonts w:ascii="Arial" w:hAnsi="Arial" w:cs="Arial"/>
                <w:b/>
                <w:bCs/>
                <w:color w:val="215868" w:themeColor="accent5" w:themeShade="80"/>
                <w:sz w:val="18"/>
                <w:szCs w:val="18"/>
              </w:rPr>
              <w:t>%</w:t>
            </w:r>
          </w:p>
        </w:tc>
      </w:tr>
      <w:tr w:rsidR="007F5087" w:rsidRPr="007F5087" w14:paraId="0E7328F7" w14:textId="77777777" w:rsidTr="00D65642">
        <w:trPr>
          <w:trHeight w:val="259"/>
        </w:trPr>
        <w:tc>
          <w:tcPr>
            <w:cnfStyle w:val="001000000000" w:firstRow="0" w:lastRow="0" w:firstColumn="1" w:lastColumn="0" w:oddVBand="0" w:evenVBand="0" w:oddHBand="0" w:evenHBand="0" w:firstRowFirstColumn="0" w:firstRowLastColumn="0" w:lastRowFirstColumn="0" w:lastRowLastColumn="0"/>
            <w:tcW w:w="4260" w:type="dxa"/>
          </w:tcPr>
          <w:p w14:paraId="7639B956" w14:textId="1EF08D42" w:rsidR="002769A5" w:rsidRPr="007F5087" w:rsidRDefault="002769A5" w:rsidP="002769A5">
            <w:pPr>
              <w:pStyle w:val="NoSpacing"/>
              <w:jc w:val="right"/>
              <w:rPr>
                <w:rFonts w:ascii="Arial" w:hAnsi="Arial" w:cs="Arial"/>
                <w:b w:val="0"/>
                <w:bCs w:val="0"/>
                <w:color w:val="215868" w:themeColor="accent5" w:themeShade="80"/>
                <w:sz w:val="18"/>
                <w:szCs w:val="18"/>
              </w:rPr>
            </w:pPr>
            <w:r w:rsidRPr="007F5087">
              <w:rPr>
                <w:rFonts w:ascii="Arial" w:hAnsi="Arial" w:cs="Arial"/>
                <w:b w:val="0"/>
                <w:bCs w:val="0"/>
                <w:color w:val="215868" w:themeColor="accent5" w:themeShade="80"/>
                <w:sz w:val="18"/>
                <w:szCs w:val="18"/>
              </w:rPr>
              <w:t>Fresh vegetables latest 52 weeks</w:t>
            </w:r>
          </w:p>
        </w:tc>
        <w:tc>
          <w:tcPr>
            <w:tcW w:w="2130" w:type="dxa"/>
            <w:vAlign w:val="center"/>
          </w:tcPr>
          <w:p w14:paraId="1F880C62" w14:textId="1FE702A4"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E03ABC">
              <w:rPr>
                <w:rFonts w:ascii="Arial" w:hAnsi="Arial" w:cs="Arial"/>
                <w:color w:val="215868" w:themeColor="accent5" w:themeShade="80"/>
                <w:sz w:val="18"/>
                <w:szCs w:val="18"/>
              </w:rPr>
              <w:t>1.86</w:t>
            </w:r>
          </w:p>
        </w:tc>
        <w:tc>
          <w:tcPr>
            <w:tcW w:w="1702" w:type="dxa"/>
            <w:vAlign w:val="center"/>
          </w:tcPr>
          <w:p w14:paraId="414FD40F" w14:textId="12386136"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E03ABC">
              <w:rPr>
                <w:rFonts w:ascii="Arial" w:hAnsi="Arial" w:cs="Arial"/>
                <w:color w:val="215868" w:themeColor="accent5" w:themeShade="80"/>
                <w:sz w:val="18"/>
                <w:szCs w:val="18"/>
              </w:rPr>
              <w:t>5.6</w:t>
            </w:r>
            <w:r w:rsidRPr="007F5087">
              <w:rPr>
                <w:rFonts w:ascii="Arial" w:hAnsi="Arial" w:cs="Arial"/>
                <w:color w:val="215868" w:themeColor="accent5" w:themeShade="80"/>
                <w:sz w:val="18"/>
                <w:szCs w:val="18"/>
              </w:rPr>
              <w:t>%</w:t>
            </w:r>
          </w:p>
        </w:tc>
        <w:tc>
          <w:tcPr>
            <w:tcW w:w="1916" w:type="dxa"/>
            <w:vAlign w:val="center"/>
          </w:tcPr>
          <w:p w14:paraId="2E870FBA" w14:textId="3D6606AA" w:rsidR="002769A5" w:rsidRPr="007F5087" w:rsidRDefault="002769A5" w:rsidP="002769A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7F5087">
              <w:rPr>
                <w:rFonts w:ascii="Arial" w:hAnsi="Arial" w:cs="Arial"/>
                <w:color w:val="215868" w:themeColor="accent5" w:themeShade="80"/>
                <w:sz w:val="18"/>
                <w:szCs w:val="18"/>
              </w:rPr>
              <w:t>+</w:t>
            </w:r>
            <w:r w:rsidR="00E03ABC">
              <w:rPr>
                <w:rFonts w:ascii="Arial" w:hAnsi="Arial" w:cs="Arial"/>
                <w:color w:val="215868" w:themeColor="accent5" w:themeShade="80"/>
                <w:sz w:val="18"/>
                <w:szCs w:val="18"/>
              </w:rPr>
              <w:t>9.2</w:t>
            </w:r>
            <w:r w:rsidRPr="007F5087">
              <w:rPr>
                <w:rFonts w:ascii="Arial" w:hAnsi="Arial" w:cs="Arial"/>
                <w:color w:val="215868" w:themeColor="accent5" w:themeShade="80"/>
                <w:sz w:val="18"/>
                <w:szCs w:val="18"/>
              </w:rPr>
              <w:t>%</w:t>
            </w:r>
          </w:p>
        </w:tc>
      </w:tr>
    </w:tbl>
    <w:p w14:paraId="0F3442BC" w14:textId="77777777" w:rsidR="00DD3DF6" w:rsidRPr="008A1AD9" w:rsidRDefault="00DD3DF6" w:rsidP="00DD3DF6">
      <w:pPr>
        <w:pStyle w:val="NoSpacing"/>
        <w:rPr>
          <w:rFonts w:ascii="Arial" w:hAnsi="Arial" w:cs="Arial"/>
          <w:sz w:val="6"/>
          <w:szCs w:val="6"/>
        </w:rPr>
      </w:pPr>
    </w:p>
    <w:p w14:paraId="62F0D49A" w14:textId="77777777" w:rsidR="00DD3DF6" w:rsidRPr="006879B2" w:rsidRDefault="00DD3DF6" w:rsidP="00DD3DF6">
      <w:pPr>
        <w:pStyle w:val="NoSpacing"/>
        <w:rPr>
          <w:rFonts w:ascii="Arial" w:hAnsi="Arial" w:cs="Arial"/>
          <w:sz w:val="16"/>
          <w:szCs w:val="16"/>
        </w:rPr>
      </w:pPr>
      <w:r>
        <w:rPr>
          <w:rFonts w:ascii="Arial" w:hAnsi="Arial" w:cs="Arial"/>
          <w:sz w:val="16"/>
          <w:szCs w:val="16"/>
        </w:rPr>
        <w:t>Source: IRI, Integrated Fresh, Total US, MULO, average price per volume and % gain versus YA and 2YA</w:t>
      </w:r>
    </w:p>
    <w:p w14:paraId="4C18FB86" w14:textId="55F2548B" w:rsidR="00D8582D" w:rsidRDefault="00D8582D" w:rsidP="001210D2">
      <w:pPr>
        <w:pStyle w:val="NoSpacing"/>
        <w:rPr>
          <w:rFonts w:ascii="Arial" w:hAnsi="Arial" w:cs="Arial"/>
          <w:sz w:val="20"/>
          <w:szCs w:val="20"/>
        </w:rPr>
      </w:pPr>
    </w:p>
    <w:p w14:paraId="4CA242BE" w14:textId="07E76298" w:rsidR="00C616F0" w:rsidRDefault="00C616F0" w:rsidP="001210D2">
      <w:pPr>
        <w:pStyle w:val="NoSpacing"/>
        <w:rPr>
          <w:rFonts w:ascii="Arial" w:hAnsi="Arial" w:cs="Arial"/>
          <w:sz w:val="20"/>
          <w:szCs w:val="20"/>
        </w:rPr>
      </w:pPr>
    </w:p>
    <w:p w14:paraId="6F28CDB0" w14:textId="77777777" w:rsidR="00BD7CB1" w:rsidRPr="00CF43CE" w:rsidRDefault="00BD7CB1" w:rsidP="00BD7CB1">
      <w:pPr>
        <w:pStyle w:val="NoSpacing"/>
        <w:rPr>
          <w:rFonts w:ascii="Arial" w:hAnsi="Arial" w:cs="Arial"/>
          <w:b/>
          <w:bCs/>
          <w:color w:val="595959" w:themeColor="text1" w:themeTint="A6"/>
          <w:sz w:val="24"/>
          <w:szCs w:val="24"/>
        </w:rPr>
      </w:pPr>
      <w:r>
        <w:rPr>
          <w:rFonts w:ascii="Arial" w:hAnsi="Arial" w:cs="Arial"/>
          <w:b/>
          <w:bCs/>
          <w:color w:val="595959" w:themeColor="text1" w:themeTint="A6"/>
          <w:sz w:val="24"/>
          <w:szCs w:val="24"/>
        </w:rPr>
        <w:t>June 2022 Sales</w:t>
      </w:r>
    </w:p>
    <w:p w14:paraId="0B67B900" w14:textId="2F545C63" w:rsidR="00BD7CB1" w:rsidRDefault="00BD7CB1" w:rsidP="00BD7CB1">
      <w:pPr>
        <w:pStyle w:val="NoSpacing"/>
        <w:rPr>
          <w:rFonts w:ascii="Arial" w:hAnsi="Arial" w:cs="Arial"/>
          <w:sz w:val="20"/>
          <w:szCs w:val="20"/>
        </w:rPr>
      </w:pPr>
      <w:r>
        <w:rPr>
          <w:rFonts w:ascii="Arial" w:hAnsi="Arial" w:cs="Arial"/>
          <w:sz w:val="20"/>
          <w:szCs w:val="20"/>
        </w:rPr>
        <w:t xml:space="preserve">The four June </w:t>
      </w:r>
      <w:r w:rsidRPr="006A0AAA">
        <w:rPr>
          <w:rFonts w:ascii="Arial" w:hAnsi="Arial" w:cs="Arial"/>
          <w:sz w:val="20"/>
          <w:szCs w:val="20"/>
        </w:rPr>
        <w:t>2022</w:t>
      </w:r>
      <w:r>
        <w:rPr>
          <w:rFonts w:ascii="Arial" w:hAnsi="Arial" w:cs="Arial"/>
          <w:sz w:val="20"/>
          <w:szCs w:val="20"/>
        </w:rPr>
        <w:t xml:space="preserve"> weeks</w:t>
      </w:r>
      <w:r w:rsidRPr="006A0AAA">
        <w:rPr>
          <w:rFonts w:ascii="Arial" w:hAnsi="Arial" w:cs="Arial"/>
          <w:sz w:val="20"/>
          <w:szCs w:val="20"/>
        </w:rPr>
        <w:t xml:space="preserve"> brought $</w:t>
      </w:r>
      <w:r>
        <w:rPr>
          <w:rFonts w:ascii="Arial" w:hAnsi="Arial" w:cs="Arial"/>
          <w:sz w:val="20"/>
          <w:szCs w:val="20"/>
        </w:rPr>
        <w:t xml:space="preserve">57.1 billion in total food and beverage sales, which was up </w:t>
      </w:r>
      <w:r w:rsidR="008A426C">
        <w:rPr>
          <w:rFonts w:ascii="Arial" w:hAnsi="Arial" w:cs="Arial"/>
          <w:sz w:val="20"/>
          <w:szCs w:val="20"/>
        </w:rPr>
        <w:t>+</w:t>
      </w:r>
      <w:r>
        <w:rPr>
          <w:rFonts w:ascii="Arial" w:hAnsi="Arial" w:cs="Arial"/>
          <w:sz w:val="20"/>
          <w:szCs w:val="20"/>
        </w:rPr>
        <w:t xml:space="preserve">7.6% versus year ago. This is an acceleration from </w:t>
      </w:r>
      <w:r w:rsidR="008A426C">
        <w:rPr>
          <w:rFonts w:ascii="Arial" w:hAnsi="Arial" w:cs="Arial"/>
          <w:sz w:val="20"/>
          <w:szCs w:val="20"/>
        </w:rPr>
        <w:t>+</w:t>
      </w:r>
      <w:r>
        <w:rPr>
          <w:rFonts w:ascii="Arial" w:hAnsi="Arial" w:cs="Arial"/>
          <w:sz w:val="20"/>
          <w:szCs w:val="20"/>
        </w:rPr>
        <w:t xml:space="preserve">6.5% in May 2022. June 2022 </w:t>
      </w:r>
      <w:r w:rsidR="008A426C">
        <w:rPr>
          <w:rFonts w:ascii="Arial" w:hAnsi="Arial" w:cs="Arial"/>
          <w:sz w:val="20"/>
          <w:szCs w:val="20"/>
        </w:rPr>
        <w:t xml:space="preserve">dollar </w:t>
      </w:r>
      <w:r>
        <w:rPr>
          <w:rFonts w:ascii="Arial" w:hAnsi="Arial" w:cs="Arial"/>
          <w:sz w:val="20"/>
          <w:szCs w:val="20"/>
        </w:rPr>
        <w:t xml:space="preserve">sales were up </w:t>
      </w:r>
      <w:r w:rsidR="008A426C">
        <w:rPr>
          <w:rFonts w:ascii="Arial" w:hAnsi="Arial" w:cs="Arial"/>
          <w:sz w:val="20"/>
          <w:szCs w:val="20"/>
        </w:rPr>
        <w:t>+</w:t>
      </w:r>
      <w:r>
        <w:rPr>
          <w:rFonts w:ascii="Arial" w:hAnsi="Arial" w:cs="Arial"/>
          <w:sz w:val="20"/>
          <w:szCs w:val="20"/>
        </w:rPr>
        <w:t xml:space="preserve">24.9% versus June 2019 — the pre-pandemic normal. All gains were inflation-boosted year-on-year, with unit sales down </w:t>
      </w:r>
      <w:r w:rsidR="008A426C">
        <w:rPr>
          <w:rFonts w:ascii="Arial" w:hAnsi="Arial" w:cs="Arial"/>
          <w:sz w:val="20"/>
          <w:szCs w:val="20"/>
        </w:rPr>
        <w:t>-</w:t>
      </w:r>
      <w:r>
        <w:rPr>
          <w:rFonts w:ascii="Arial" w:hAnsi="Arial" w:cs="Arial"/>
          <w:sz w:val="20"/>
          <w:szCs w:val="20"/>
        </w:rPr>
        <w:t xml:space="preserve">4.2%. This was slightly better than the -4.8% in May, but still down substantially from the -2.4% unit decline measured in April 2022. Much like seen in the surveys, consumers are compensating for the inflationary levels by buying fewer items. Perishables, including produce, seafood, meat, bakery and deli, had average dollar and unit performance, but center-store items did better than average in both dollars and units. </w:t>
      </w:r>
    </w:p>
    <w:p w14:paraId="2530E362" w14:textId="77777777" w:rsidR="00BD7CB1" w:rsidRDefault="00BD7CB1" w:rsidP="00BD7CB1">
      <w:pPr>
        <w:pStyle w:val="NoSpacing"/>
        <w:rPr>
          <w:rFonts w:ascii="Arial" w:hAnsi="Arial" w:cs="Arial"/>
          <w:sz w:val="20"/>
          <w:szCs w:val="20"/>
        </w:rPr>
      </w:pPr>
    </w:p>
    <w:tbl>
      <w:tblPr>
        <w:tblStyle w:val="LightShading-Accent5"/>
        <w:tblW w:w="10728" w:type="dxa"/>
        <w:tblBorders>
          <w:top w:val="none" w:sz="0" w:space="0" w:color="auto"/>
          <w:bottom w:val="none" w:sz="0" w:space="0" w:color="auto"/>
        </w:tblBorders>
        <w:tblLayout w:type="fixed"/>
        <w:tblLook w:val="04A0" w:firstRow="1" w:lastRow="0" w:firstColumn="1" w:lastColumn="0" w:noHBand="0" w:noVBand="1"/>
      </w:tblPr>
      <w:tblGrid>
        <w:gridCol w:w="2448"/>
        <w:gridCol w:w="504"/>
        <w:gridCol w:w="502"/>
        <w:gridCol w:w="1269"/>
        <w:gridCol w:w="1269"/>
        <w:gridCol w:w="1269"/>
        <w:gridCol w:w="1269"/>
        <w:gridCol w:w="1100"/>
        <w:gridCol w:w="1098"/>
      </w:tblGrid>
      <w:tr w:rsidR="00BD7CB1" w:rsidRPr="00706DE2" w14:paraId="2451FB36" w14:textId="77777777" w:rsidTr="00237E3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48" w:type="dxa"/>
            <w:vMerge w:val="restart"/>
            <w:tcBorders>
              <w:top w:val="none" w:sz="0" w:space="0" w:color="auto"/>
              <w:left w:val="none" w:sz="0" w:space="0" w:color="auto"/>
              <w:bottom w:val="none" w:sz="0" w:space="0" w:color="auto"/>
              <w:right w:val="none" w:sz="0" w:space="0" w:color="auto"/>
            </w:tcBorders>
            <w:shd w:val="clear" w:color="auto" w:fill="17365D" w:themeFill="text2" w:themeFillShade="BF"/>
            <w:hideMark/>
          </w:tcPr>
          <w:p w14:paraId="5F8FEAC9" w14:textId="77777777" w:rsidR="00BD7CB1" w:rsidRPr="00706DE2" w:rsidRDefault="00BD7CB1" w:rsidP="00237E35">
            <w:pPr>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June 2022</w:t>
            </w:r>
          </w:p>
        </w:tc>
        <w:tc>
          <w:tcPr>
            <w:tcW w:w="50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2F2F0619" w14:textId="77777777" w:rsidR="00BD7CB1" w:rsidRPr="00706DE2" w:rsidRDefault="00BD7CB1" w:rsidP="00237E3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p>
        </w:tc>
        <w:tc>
          <w:tcPr>
            <w:tcW w:w="7776" w:type="dxa"/>
            <w:gridSpan w:val="7"/>
            <w:tcBorders>
              <w:top w:val="none" w:sz="0" w:space="0" w:color="auto"/>
              <w:left w:val="none" w:sz="0" w:space="0" w:color="auto"/>
              <w:bottom w:val="none" w:sz="0" w:space="0" w:color="auto"/>
              <w:right w:val="none" w:sz="0" w:space="0" w:color="auto"/>
            </w:tcBorders>
            <w:shd w:val="clear" w:color="auto" w:fill="17365D" w:themeFill="text2" w:themeFillShade="BF"/>
          </w:tcPr>
          <w:p w14:paraId="3A09C832" w14:textId="77777777" w:rsidR="00BD7CB1" w:rsidRPr="00706DE2" w:rsidRDefault="00BD7CB1" w:rsidP="00237E3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706DE2">
              <w:rPr>
                <w:rFonts w:ascii="Arial" w:eastAsia="Times New Roman" w:hAnsi="Arial" w:cs="Arial"/>
                <w:color w:val="FFFFFF" w:themeColor="background1"/>
                <w:sz w:val="18"/>
                <w:szCs w:val="20"/>
              </w:rPr>
              <w:t>% sales change</w:t>
            </w:r>
            <w:r>
              <w:rPr>
                <w:rFonts w:ascii="Arial" w:eastAsia="Times New Roman" w:hAnsi="Arial" w:cs="Arial"/>
                <w:color w:val="FFFFFF" w:themeColor="background1"/>
                <w:sz w:val="18"/>
                <w:szCs w:val="20"/>
              </w:rPr>
              <w:t xml:space="preserve"> </w:t>
            </w:r>
            <w:r w:rsidRPr="00706DE2">
              <w:rPr>
                <w:rFonts w:ascii="Arial" w:eastAsia="Times New Roman" w:hAnsi="Arial" w:cs="Arial"/>
                <w:color w:val="FFFFFF" w:themeColor="background1"/>
                <w:sz w:val="18"/>
                <w:szCs w:val="20"/>
              </w:rPr>
              <w:t>versus year ago</w:t>
            </w:r>
          </w:p>
        </w:tc>
      </w:tr>
      <w:tr w:rsidR="00BD7CB1" w:rsidRPr="00706DE2" w14:paraId="7CFF67FC" w14:textId="77777777" w:rsidTr="00237E35">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48" w:type="dxa"/>
            <w:vMerge/>
            <w:tcBorders>
              <w:left w:val="none" w:sz="0" w:space="0" w:color="auto"/>
              <w:right w:val="none" w:sz="0" w:space="0" w:color="auto"/>
            </w:tcBorders>
            <w:hideMark/>
          </w:tcPr>
          <w:p w14:paraId="781F004F" w14:textId="77777777" w:rsidR="00BD7CB1" w:rsidRPr="00706DE2" w:rsidRDefault="00BD7CB1" w:rsidP="00237E35">
            <w:pPr>
              <w:rPr>
                <w:rFonts w:ascii="Arial" w:eastAsia="Times New Roman" w:hAnsi="Arial" w:cs="Arial"/>
                <w:color w:val="FFFFFF" w:themeColor="background1"/>
                <w:sz w:val="18"/>
                <w:szCs w:val="20"/>
              </w:rPr>
            </w:pPr>
          </w:p>
        </w:tc>
        <w:tc>
          <w:tcPr>
            <w:tcW w:w="1006" w:type="dxa"/>
            <w:gridSpan w:val="2"/>
            <w:tcBorders>
              <w:left w:val="none" w:sz="0" w:space="0" w:color="auto"/>
              <w:right w:val="none" w:sz="0" w:space="0" w:color="auto"/>
            </w:tcBorders>
            <w:shd w:val="clear" w:color="auto" w:fill="17365D" w:themeFill="text2" w:themeFillShade="BF"/>
          </w:tcPr>
          <w:p w14:paraId="585BD1A8" w14:textId="77777777" w:rsidR="00BD7CB1"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Dollar </w:t>
            </w:r>
          </w:p>
          <w:p w14:paraId="5586F6B7" w14:textId="77777777" w:rsidR="00BD7CB1" w:rsidRPr="00706DE2"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size</w:t>
            </w:r>
          </w:p>
        </w:tc>
        <w:tc>
          <w:tcPr>
            <w:tcW w:w="1269" w:type="dxa"/>
            <w:tcBorders>
              <w:left w:val="none" w:sz="0" w:space="0" w:color="auto"/>
              <w:right w:val="none" w:sz="0" w:space="0" w:color="auto"/>
            </w:tcBorders>
            <w:shd w:val="clear" w:color="auto" w:fill="17365D" w:themeFill="text2" w:themeFillShade="BF"/>
          </w:tcPr>
          <w:p w14:paraId="35B3BEC5" w14:textId="77777777" w:rsidR="00BD7CB1"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sidRPr="00706DE2">
              <w:rPr>
                <w:rFonts w:ascii="Arial" w:eastAsia="Times New Roman" w:hAnsi="Arial" w:cs="Arial"/>
                <w:b/>
                <w:color w:val="FFFFFF" w:themeColor="background1"/>
                <w:sz w:val="18"/>
                <w:szCs w:val="20"/>
              </w:rPr>
              <w:t>Dollar</w:t>
            </w:r>
            <w:r>
              <w:rPr>
                <w:rFonts w:ascii="Arial" w:eastAsia="Times New Roman" w:hAnsi="Arial" w:cs="Arial"/>
                <w:b/>
                <w:color w:val="FFFFFF" w:themeColor="background1"/>
                <w:sz w:val="18"/>
                <w:szCs w:val="20"/>
              </w:rPr>
              <w:t>s</w:t>
            </w:r>
          </w:p>
          <w:p w14:paraId="4BAA61CF" w14:textId="77777777" w:rsidR="00BD7CB1" w:rsidRPr="00706DE2"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vs. 2021</w:t>
            </w:r>
          </w:p>
        </w:tc>
        <w:tc>
          <w:tcPr>
            <w:tcW w:w="1269" w:type="dxa"/>
            <w:tcBorders>
              <w:left w:val="none" w:sz="0" w:space="0" w:color="auto"/>
              <w:right w:val="none" w:sz="0" w:space="0" w:color="auto"/>
            </w:tcBorders>
            <w:shd w:val="clear" w:color="auto" w:fill="17365D" w:themeFill="text2" w:themeFillShade="BF"/>
          </w:tcPr>
          <w:p w14:paraId="62771EA9" w14:textId="77777777" w:rsidR="00BD7CB1"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Dollars </w:t>
            </w:r>
            <w:r>
              <w:rPr>
                <w:rFonts w:ascii="Arial" w:eastAsia="Times New Roman" w:hAnsi="Arial" w:cs="Arial"/>
                <w:b/>
                <w:color w:val="FFFFFF" w:themeColor="background1"/>
                <w:sz w:val="18"/>
                <w:szCs w:val="20"/>
              </w:rPr>
              <w:br/>
              <w:t xml:space="preserve"> vs. 2020</w:t>
            </w:r>
          </w:p>
        </w:tc>
        <w:tc>
          <w:tcPr>
            <w:tcW w:w="1269" w:type="dxa"/>
            <w:tcBorders>
              <w:left w:val="none" w:sz="0" w:space="0" w:color="auto"/>
              <w:right w:val="none" w:sz="0" w:space="0" w:color="auto"/>
            </w:tcBorders>
            <w:shd w:val="clear" w:color="auto" w:fill="17365D" w:themeFill="text2" w:themeFillShade="BF"/>
          </w:tcPr>
          <w:p w14:paraId="0EE018C8" w14:textId="77777777" w:rsidR="00BD7CB1"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Dollars </w:t>
            </w:r>
            <w:r>
              <w:rPr>
                <w:rFonts w:ascii="Arial" w:eastAsia="Times New Roman" w:hAnsi="Arial" w:cs="Arial"/>
                <w:b/>
                <w:color w:val="FFFFFF" w:themeColor="background1"/>
                <w:sz w:val="18"/>
                <w:szCs w:val="20"/>
              </w:rPr>
              <w:br/>
              <w:t>vs. 2019</w:t>
            </w:r>
          </w:p>
        </w:tc>
        <w:tc>
          <w:tcPr>
            <w:tcW w:w="1269" w:type="dxa"/>
            <w:tcBorders>
              <w:left w:val="none" w:sz="0" w:space="0" w:color="auto"/>
              <w:right w:val="none" w:sz="0" w:space="0" w:color="auto"/>
            </w:tcBorders>
            <w:shd w:val="clear" w:color="auto" w:fill="17365D" w:themeFill="text2" w:themeFillShade="BF"/>
          </w:tcPr>
          <w:p w14:paraId="46236CE6" w14:textId="77777777" w:rsidR="00BD7CB1" w:rsidRPr="00706DE2"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Units</w:t>
            </w:r>
            <w:r>
              <w:rPr>
                <w:rFonts w:ascii="Arial" w:eastAsia="Times New Roman" w:hAnsi="Arial" w:cs="Arial"/>
                <w:b/>
                <w:color w:val="FFFFFF" w:themeColor="background1"/>
                <w:sz w:val="18"/>
                <w:szCs w:val="20"/>
              </w:rPr>
              <w:br/>
              <w:t xml:space="preserve"> vs. 2021</w:t>
            </w:r>
          </w:p>
        </w:tc>
        <w:tc>
          <w:tcPr>
            <w:tcW w:w="1100" w:type="dxa"/>
            <w:tcBorders>
              <w:left w:val="none" w:sz="0" w:space="0" w:color="auto"/>
              <w:right w:val="none" w:sz="0" w:space="0" w:color="auto"/>
            </w:tcBorders>
            <w:shd w:val="clear" w:color="auto" w:fill="17365D" w:themeFill="text2" w:themeFillShade="BF"/>
          </w:tcPr>
          <w:p w14:paraId="58158EE4" w14:textId="77777777" w:rsidR="00BD7CB1"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Units </w:t>
            </w:r>
            <w:r>
              <w:rPr>
                <w:rFonts w:ascii="Arial" w:eastAsia="Times New Roman" w:hAnsi="Arial" w:cs="Arial"/>
                <w:b/>
                <w:color w:val="FFFFFF" w:themeColor="background1"/>
                <w:sz w:val="18"/>
                <w:szCs w:val="20"/>
              </w:rPr>
              <w:br/>
              <w:t xml:space="preserve">vs. 2020 </w:t>
            </w:r>
          </w:p>
        </w:tc>
        <w:tc>
          <w:tcPr>
            <w:tcW w:w="1098" w:type="dxa"/>
            <w:tcBorders>
              <w:left w:val="none" w:sz="0" w:space="0" w:color="auto"/>
              <w:right w:val="none" w:sz="0" w:space="0" w:color="auto"/>
            </w:tcBorders>
            <w:shd w:val="clear" w:color="auto" w:fill="17365D" w:themeFill="text2" w:themeFillShade="BF"/>
          </w:tcPr>
          <w:p w14:paraId="4E17AAC7" w14:textId="77777777" w:rsidR="00BD7CB1"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Units vs. 2019</w:t>
            </w:r>
          </w:p>
        </w:tc>
      </w:tr>
      <w:tr w:rsidR="00BD7CB1" w:rsidRPr="00067996" w14:paraId="45DE8C99" w14:textId="77777777" w:rsidTr="00237E35">
        <w:trPr>
          <w:trHeight w:val="113"/>
        </w:trPr>
        <w:tc>
          <w:tcPr>
            <w:cnfStyle w:val="001000000000" w:firstRow="0" w:lastRow="0" w:firstColumn="1" w:lastColumn="0" w:oddVBand="0" w:evenVBand="0" w:oddHBand="0" w:evenHBand="0" w:firstRowFirstColumn="0" w:firstRowLastColumn="0" w:lastRowFirstColumn="0" w:lastRowLastColumn="0"/>
            <w:tcW w:w="2448" w:type="dxa"/>
            <w:noWrap/>
            <w:hideMark/>
          </w:tcPr>
          <w:p w14:paraId="6D452AA0" w14:textId="77777777" w:rsidR="00BD7CB1" w:rsidRPr="00067996" w:rsidRDefault="00BD7CB1" w:rsidP="00237E35">
            <w:pPr>
              <w:rPr>
                <w:rFonts w:ascii="Arial" w:eastAsia="Times New Roman" w:hAnsi="Arial" w:cs="Arial"/>
                <w:b w:val="0"/>
                <w:color w:val="215868" w:themeColor="accent5" w:themeShade="80"/>
                <w:sz w:val="18"/>
                <w:szCs w:val="18"/>
              </w:rPr>
            </w:pPr>
            <w:r w:rsidRPr="00067996">
              <w:rPr>
                <w:rFonts w:ascii="Arial" w:eastAsia="Times New Roman" w:hAnsi="Arial" w:cs="Arial"/>
                <w:b w:val="0"/>
                <w:color w:val="215868" w:themeColor="accent5" w:themeShade="80"/>
                <w:sz w:val="18"/>
                <w:szCs w:val="18"/>
              </w:rPr>
              <w:t>Total food and beverages</w:t>
            </w:r>
          </w:p>
        </w:tc>
        <w:tc>
          <w:tcPr>
            <w:tcW w:w="1006" w:type="dxa"/>
            <w:gridSpan w:val="2"/>
          </w:tcPr>
          <w:p w14:paraId="1181348A" w14:textId="77777777" w:rsidR="00BD7CB1" w:rsidRPr="00067996"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67996">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57.1</w:t>
            </w:r>
            <w:r w:rsidRPr="00067996">
              <w:rPr>
                <w:rFonts w:ascii="Arial" w:eastAsia="Times New Roman" w:hAnsi="Arial" w:cs="Arial"/>
                <w:color w:val="215868" w:themeColor="accent5" w:themeShade="80"/>
                <w:sz w:val="18"/>
                <w:szCs w:val="18"/>
              </w:rPr>
              <w:t>B</w:t>
            </w:r>
          </w:p>
        </w:tc>
        <w:tc>
          <w:tcPr>
            <w:tcW w:w="1269" w:type="dxa"/>
            <w:vAlign w:val="bottom"/>
          </w:tcPr>
          <w:p w14:paraId="24C941B7" w14:textId="77777777" w:rsidR="00BD7CB1" w:rsidRPr="00067996"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7.6%</w:t>
            </w:r>
          </w:p>
        </w:tc>
        <w:tc>
          <w:tcPr>
            <w:tcW w:w="1269" w:type="dxa"/>
            <w:vAlign w:val="bottom"/>
          </w:tcPr>
          <w:p w14:paraId="57EACA11" w14:textId="77777777" w:rsidR="00BD7CB1" w:rsidRPr="00067996"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8.8%</w:t>
            </w:r>
          </w:p>
        </w:tc>
        <w:tc>
          <w:tcPr>
            <w:tcW w:w="1269" w:type="dxa"/>
            <w:vAlign w:val="bottom"/>
          </w:tcPr>
          <w:p w14:paraId="6556DE0B" w14:textId="77777777" w:rsidR="00BD7CB1" w:rsidRPr="00067996"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24.9%</w:t>
            </w:r>
          </w:p>
        </w:tc>
        <w:tc>
          <w:tcPr>
            <w:tcW w:w="1269" w:type="dxa"/>
            <w:vAlign w:val="bottom"/>
          </w:tcPr>
          <w:p w14:paraId="50912D1A" w14:textId="77777777" w:rsidR="00BD7CB1" w:rsidRPr="00FB29BD"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FB29BD">
              <w:rPr>
                <w:rFonts w:ascii="Arial" w:hAnsi="Arial" w:cs="Arial"/>
                <w:color w:val="215868" w:themeColor="accent5" w:themeShade="80"/>
                <w:sz w:val="18"/>
                <w:szCs w:val="18"/>
              </w:rPr>
              <w:t>-4.2%</w:t>
            </w:r>
          </w:p>
        </w:tc>
        <w:tc>
          <w:tcPr>
            <w:tcW w:w="1100" w:type="dxa"/>
            <w:vAlign w:val="bottom"/>
          </w:tcPr>
          <w:p w14:paraId="6C7C27DE" w14:textId="77777777" w:rsidR="00BD7CB1" w:rsidRPr="00FB29BD"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B29BD">
              <w:rPr>
                <w:rFonts w:ascii="Arial" w:hAnsi="Arial" w:cs="Arial"/>
                <w:color w:val="215868" w:themeColor="accent5" w:themeShade="80"/>
                <w:sz w:val="18"/>
                <w:szCs w:val="18"/>
              </w:rPr>
              <w:t>-5.8%</w:t>
            </w:r>
          </w:p>
        </w:tc>
        <w:tc>
          <w:tcPr>
            <w:tcW w:w="1098" w:type="dxa"/>
            <w:vAlign w:val="bottom"/>
          </w:tcPr>
          <w:p w14:paraId="72125F4A" w14:textId="77777777" w:rsidR="00BD7CB1" w:rsidRPr="00FB29BD"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FB29BD">
              <w:rPr>
                <w:rFonts w:ascii="Arial" w:hAnsi="Arial" w:cs="Arial"/>
                <w:color w:val="215868" w:themeColor="accent5" w:themeShade="80"/>
                <w:sz w:val="18"/>
                <w:szCs w:val="18"/>
              </w:rPr>
              <w:t>0.6%</w:t>
            </w:r>
          </w:p>
        </w:tc>
      </w:tr>
      <w:tr w:rsidR="00BD7CB1" w:rsidRPr="00067996" w14:paraId="60227BBC" w14:textId="77777777" w:rsidTr="00237E3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48" w:type="dxa"/>
            <w:noWrap/>
          </w:tcPr>
          <w:p w14:paraId="05C4A706" w14:textId="77777777" w:rsidR="00BD7CB1" w:rsidRPr="00067996" w:rsidRDefault="00BD7CB1" w:rsidP="00237E35">
            <w:pPr>
              <w:rPr>
                <w:rFonts w:ascii="Arial" w:eastAsia="Times New Roman" w:hAnsi="Arial" w:cs="Arial"/>
                <w:b w:val="0"/>
                <w:bCs w:val="0"/>
                <w:color w:val="215868" w:themeColor="accent5" w:themeShade="80"/>
                <w:sz w:val="18"/>
                <w:szCs w:val="18"/>
              </w:rPr>
            </w:pPr>
            <w:r w:rsidRPr="00067996">
              <w:rPr>
                <w:rFonts w:ascii="Arial" w:eastAsia="Times New Roman" w:hAnsi="Arial" w:cs="Arial"/>
                <w:b w:val="0"/>
                <w:bCs w:val="0"/>
                <w:color w:val="215868" w:themeColor="accent5" w:themeShade="80"/>
                <w:sz w:val="18"/>
                <w:szCs w:val="18"/>
              </w:rPr>
              <w:t>Total grocery (center store)</w:t>
            </w:r>
          </w:p>
        </w:tc>
        <w:tc>
          <w:tcPr>
            <w:tcW w:w="1006" w:type="dxa"/>
            <w:gridSpan w:val="2"/>
          </w:tcPr>
          <w:p w14:paraId="644831B2" w14:textId="77777777" w:rsidR="00BD7CB1" w:rsidRPr="00067996"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067996">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27.4</w:t>
            </w:r>
            <w:r w:rsidRPr="00067996">
              <w:rPr>
                <w:rFonts w:ascii="Arial" w:eastAsia="Times New Roman" w:hAnsi="Arial" w:cs="Arial"/>
                <w:color w:val="215868" w:themeColor="accent5" w:themeShade="80"/>
                <w:sz w:val="18"/>
                <w:szCs w:val="18"/>
              </w:rPr>
              <w:t>B</w:t>
            </w:r>
          </w:p>
        </w:tc>
        <w:tc>
          <w:tcPr>
            <w:tcW w:w="1269" w:type="dxa"/>
            <w:vAlign w:val="bottom"/>
          </w:tcPr>
          <w:p w14:paraId="40A7736C" w14:textId="77777777" w:rsidR="00BD7CB1" w:rsidRPr="00067996"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10.0%</w:t>
            </w:r>
          </w:p>
        </w:tc>
        <w:tc>
          <w:tcPr>
            <w:tcW w:w="1269" w:type="dxa"/>
            <w:vAlign w:val="bottom"/>
          </w:tcPr>
          <w:p w14:paraId="7303D671" w14:textId="77777777" w:rsidR="00BD7CB1" w:rsidRPr="00067996"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11.6%</w:t>
            </w:r>
          </w:p>
        </w:tc>
        <w:tc>
          <w:tcPr>
            <w:tcW w:w="1269" w:type="dxa"/>
            <w:vAlign w:val="bottom"/>
          </w:tcPr>
          <w:p w14:paraId="75468F94" w14:textId="77777777" w:rsidR="00BD7CB1" w:rsidRPr="00067996"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28.6%</w:t>
            </w:r>
          </w:p>
        </w:tc>
        <w:tc>
          <w:tcPr>
            <w:tcW w:w="1269" w:type="dxa"/>
            <w:vAlign w:val="bottom"/>
          </w:tcPr>
          <w:p w14:paraId="2EFF1B93" w14:textId="77777777" w:rsidR="00BD7CB1" w:rsidRPr="00FB29BD"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FB29BD">
              <w:rPr>
                <w:rFonts w:ascii="Arial" w:hAnsi="Arial" w:cs="Arial"/>
                <w:color w:val="215868" w:themeColor="accent5" w:themeShade="80"/>
                <w:sz w:val="18"/>
                <w:szCs w:val="18"/>
              </w:rPr>
              <w:t>-3.8%</w:t>
            </w:r>
          </w:p>
        </w:tc>
        <w:tc>
          <w:tcPr>
            <w:tcW w:w="1100" w:type="dxa"/>
            <w:vAlign w:val="bottom"/>
          </w:tcPr>
          <w:p w14:paraId="0BD1A528" w14:textId="77777777" w:rsidR="00BD7CB1" w:rsidRPr="00FB29BD"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FB29BD">
              <w:rPr>
                <w:rFonts w:ascii="Arial" w:hAnsi="Arial" w:cs="Arial"/>
                <w:color w:val="215868" w:themeColor="accent5" w:themeShade="80"/>
                <w:sz w:val="18"/>
                <w:szCs w:val="18"/>
              </w:rPr>
              <w:t>-5.6%</w:t>
            </w:r>
          </w:p>
        </w:tc>
        <w:tc>
          <w:tcPr>
            <w:tcW w:w="1098" w:type="dxa"/>
            <w:vAlign w:val="bottom"/>
          </w:tcPr>
          <w:p w14:paraId="04B99F57" w14:textId="77777777" w:rsidR="00BD7CB1" w:rsidRPr="00FB29BD" w:rsidRDefault="00BD7CB1" w:rsidP="00237E3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FB29BD">
              <w:rPr>
                <w:rFonts w:ascii="Arial" w:hAnsi="Arial" w:cs="Arial"/>
                <w:color w:val="215868" w:themeColor="accent5" w:themeShade="80"/>
                <w:sz w:val="18"/>
                <w:szCs w:val="18"/>
              </w:rPr>
              <w:t>1.0%</w:t>
            </w:r>
          </w:p>
        </w:tc>
      </w:tr>
      <w:tr w:rsidR="00BD7CB1" w:rsidRPr="00067996" w14:paraId="7DF596E5" w14:textId="77777777" w:rsidTr="00237E35">
        <w:trPr>
          <w:trHeight w:val="113"/>
        </w:trPr>
        <w:tc>
          <w:tcPr>
            <w:cnfStyle w:val="001000000000" w:firstRow="0" w:lastRow="0" w:firstColumn="1" w:lastColumn="0" w:oddVBand="0" w:evenVBand="0" w:oddHBand="0" w:evenHBand="0" w:firstRowFirstColumn="0" w:firstRowLastColumn="0" w:lastRowFirstColumn="0" w:lastRowLastColumn="0"/>
            <w:tcW w:w="2448" w:type="dxa"/>
            <w:noWrap/>
          </w:tcPr>
          <w:p w14:paraId="25F1BECE" w14:textId="77777777" w:rsidR="00BD7CB1" w:rsidRPr="00067996" w:rsidRDefault="00BD7CB1" w:rsidP="00237E35">
            <w:pPr>
              <w:rPr>
                <w:rFonts w:ascii="Arial" w:eastAsia="Times New Roman" w:hAnsi="Arial" w:cs="Arial"/>
                <w:b w:val="0"/>
                <w:color w:val="215868" w:themeColor="accent5" w:themeShade="80"/>
                <w:sz w:val="18"/>
                <w:szCs w:val="18"/>
              </w:rPr>
            </w:pPr>
            <w:r w:rsidRPr="00067996">
              <w:rPr>
                <w:rFonts w:ascii="Arial" w:eastAsia="Times New Roman" w:hAnsi="Arial" w:cs="Arial"/>
                <w:b w:val="0"/>
                <w:color w:val="215868" w:themeColor="accent5" w:themeShade="80"/>
                <w:sz w:val="18"/>
                <w:szCs w:val="18"/>
              </w:rPr>
              <w:t xml:space="preserve">Total </w:t>
            </w:r>
            <w:r>
              <w:rPr>
                <w:rFonts w:ascii="Arial" w:eastAsia="Times New Roman" w:hAnsi="Arial" w:cs="Arial"/>
                <w:b w:val="0"/>
                <w:color w:val="215868" w:themeColor="accent5" w:themeShade="80"/>
                <w:sz w:val="18"/>
                <w:szCs w:val="18"/>
              </w:rPr>
              <w:t>perishables</w:t>
            </w:r>
          </w:p>
        </w:tc>
        <w:tc>
          <w:tcPr>
            <w:tcW w:w="1006" w:type="dxa"/>
            <w:gridSpan w:val="2"/>
          </w:tcPr>
          <w:p w14:paraId="4631A0B4" w14:textId="77777777" w:rsidR="00BD7CB1" w:rsidRPr="00067996"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67996">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25.8</w:t>
            </w:r>
            <w:r w:rsidRPr="00067996">
              <w:rPr>
                <w:rFonts w:ascii="Arial" w:eastAsia="Times New Roman" w:hAnsi="Arial" w:cs="Arial"/>
                <w:color w:val="215868" w:themeColor="accent5" w:themeShade="80"/>
                <w:sz w:val="18"/>
                <w:szCs w:val="18"/>
              </w:rPr>
              <w:t>B</w:t>
            </w:r>
          </w:p>
        </w:tc>
        <w:tc>
          <w:tcPr>
            <w:tcW w:w="1269" w:type="dxa"/>
            <w:vAlign w:val="bottom"/>
          </w:tcPr>
          <w:p w14:paraId="78EEF83F" w14:textId="77777777" w:rsidR="00BD7CB1" w:rsidRPr="00067996"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6.8%</w:t>
            </w:r>
          </w:p>
        </w:tc>
        <w:tc>
          <w:tcPr>
            <w:tcW w:w="1269" w:type="dxa"/>
            <w:vAlign w:val="bottom"/>
          </w:tcPr>
          <w:p w14:paraId="02B68772" w14:textId="77777777" w:rsidR="00BD7CB1" w:rsidRPr="00067996"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8.2%</w:t>
            </w:r>
          </w:p>
        </w:tc>
        <w:tc>
          <w:tcPr>
            <w:tcW w:w="1269" w:type="dxa"/>
            <w:vAlign w:val="bottom"/>
          </w:tcPr>
          <w:p w14:paraId="2F76CBF3" w14:textId="77777777" w:rsidR="00BD7CB1" w:rsidRPr="00067996"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067996">
              <w:rPr>
                <w:rFonts w:ascii="Arial" w:hAnsi="Arial" w:cs="Arial"/>
                <w:color w:val="215868" w:themeColor="accent5" w:themeShade="80"/>
                <w:sz w:val="18"/>
                <w:szCs w:val="18"/>
              </w:rPr>
              <w:t>23.0%</w:t>
            </w:r>
          </w:p>
        </w:tc>
        <w:tc>
          <w:tcPr>
            <w:tcW w:w="1269" w:type="dxa"/>
            <w:vAlign w:val="bottom"/>
          </w:tcPr>
          <w:p w14:paraId="7B7AF135" w14:textId="77777777" w:rsidR="00BD7CB1" w:rsidRPr="00FB29BD"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FB29BD">
              <w:rPr>
                <w:rFonts w:ascii="Arial" w:hAnsi="Arial" w:cs="Arial"/>
                <w:color w:val="215868" w:themeColor="accent5" w:themeShade="80"/>
                <w:sz w:val="18"/>
                <w:szCs w:val="18"/>
              </w:rPr>
              <w:t>-4.5%</w:t>
            </w:r>
          </w:p>
        </w:tc>
        <w:tc>
          <w:tcPr>
            <w:tcW w:w="1100" w:type="dxa"/>
            <w:vAlign w:val="bottom"/>
          </w:tcPr>
          <w:p w14:paraId="36847D7C" w14:textId="77777777" w:rsidR="00BD7CB1" w:rsidRPr="00FB29BD"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B29BD">
              <w:rPr>
                <w:rFonts w:ascii="Arial" w:hAnsi="Arial" w:cs="Arial"/>
                <w:color w:val="215868" w:themeColor="accent5" w:themeShade="80"/>
                <w:sz w:val="18"/>
                <w:szCs w:val="18"/>
              </w:rPr>
              <w:t>-5.8%</w:t>
            </w:r>
          </w:p>
        </w:tc>
        <w:tc>
          <w:tcPr>
            <w:tcW w:w="1098" w:type="dxa"/>
            <w:vAlign w:val="bottom"/>
          </w:tcPr>
          <w:p w14:paraId="13CEC203" w14:textId="77777777" w:rsidR="00BD7CB1" w:rsidRPr="00FB29BD" w:rsidRDefault="00BD7CB1" w:rsidP="00237E3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Pr="00FB29BD">
              <w:rPr>
                <w:rFonts w:ascii="Arial" w:hAnsi="Arial" w:cs="Arial"/>
                <w:color w:val="215868" w:themeColor="accent5" w:themeShade="80"/>
                <w:sz w:val="18"/>
                <w:szCs w:val="18"/>
              </w:rPr>
              <w:t>0.1%</w:t>
            </w:r>
          </w:p>
        </w:tc>
      </w:tr>
    </w:tbl>
    <w:p w14:paraId="0263B544" w14:textId="77777777" w:rsidR="00BD7CB1" w:rsidRPr="00B64ECF" w:rsidRDefault="00BD7CB1" w:rsidP="00BD7CB1">
      <w:pPr>
        <w:pStyle w:val="NoSpacing"/>
        <w:rPr>
          <w:rFonts w:ascii="Arial" w:hAnsi="Arial" w:cs="Arial"/>
          <w:sz w:val="12"/>
          <w:szCs w:val="16"/>
        </w:rPr>
      </w:pPr>
    </w:p>
    <w:p w14:paraId="462D979E" w14:textId="77777777" w:rsidR="00BD7CB1" w:rsidRDefault="00BD7CB1" w:rsidP="00BD7CB1">
      <w:pPr>
        <w:pStyle w:val="NoSpacing"/>
        <w:rPr>
          <w:rFonts w:ascii="Arial" w:hAnsi="Arial" w:cs="Arial"/>
          <w:color w:val="7F7F7F" w:themeColor="text1" w:themeTint="80"/>
          <w:sz w:val="16"/>
          <w:szCs w:val="16"/>
        </w:rPr>
      </w:pPr>
      <w:r w:rsidRPr="00A04CFB">
        <w:rPr>
          <w:rFonts w:ascii="Arial" w:hAnsi="Arial" w:cs="Arial"/>
          <w:color w:val="7F7F7F" w:themeColor="text1" w:themeTint="80"/>
          <w:sz w:val="16"/>
          <w:szCs w:val="16"/>
        </w:rPr>
        <w:t>Source: IRI, Integrated Fresh, Total US, MULO</w:t>
      </w:r>
    </w:p>
    <w:p w14:paraId="52BE2674" w14:textId="0F6EA919" w:rsidR="00C616F0" w:rsidRDefault="00C616F0" w:rsidP="001210D2">
      <w:pPr>
        <w:pStyle w:val="NoSpacing"/>
        <w:rPr>
          <w:rFonts w:ascii="Arial" w:hAnsi="Arial" w:cs="Arial"/>
          <w:sz w:val="20"/>
          <w:szCs w:val="20"/>
        </w:rPr>
      </w:pPr>
    </w:p>
    <w:p w14:paraId="2359F070" w14:textId="77777777" w:rsidR="00BD7CB1" w:rsidRDefault="00BD7CB1" w:rsidP="001210D2">
      <w:pPr>
        <w:pStyle w:val="NoSpacing"/>
        <w:rPr>
          <w:rFonts w:ascii="Arial" w:hAnsi="Arial" w:cs="Arial"/>
          <w:sz w:val="20"/>
          <w:szCs w:val="20"/>
        </w:rPr>
      </w:pPr>
    </w:p>
    <w:p w14:paraId="5C40F56A" w14:textId="7EDFD45D" w:rsidR="001C641C" w:rsidRDefault="00BD7CB1" w:rsidP="00CF43CE">
      <w:pPr>
        <w:pStyle w:val="NoSpacing"/>
        <w:rPr>
          <w:rFonts w:ascii="Arial" w:hAnsi="Arial" w:cs="Arial"/>
          <w:sz w:val="20"/>
          <w:szCs w:val="20"/>
        </w:rPr>
      </w:pPr>
      <w:r>
        <w:rPr>
          <w:rFonts w:ascii="Arial" w:hAnsi="Arial" w:cs="Arial"/>
          <w:sz w:val="20"/>
          <w:szCs w:val="20"/>
        </w:rPr>
        <w:t xml:space="preserve">June </w:t>
      </w:r>
      <w:r w:rsidR="00647DD6">
        <w:rPr>
          <w:rFonts w:ascii="Arial" w:hAnsi="Arial" w:cs="Arial"/>
          <w:sz w:val="20"/>
          <w:szCs w:val="20"/>
        </w:rPr>
        <w:t xml:space="preserve">2022 </w:t>
      </w:r>
      <w:r w:rsidR="00A96063">
        <w:rPr>
          <w:rFonts w:ascii="Arial" w:hAnsi="Arial" w:cs="Arial"/>
          <w:sz w:val="20"/>
          <w:szCs w:val="20"/>
        </w:rPr>
        <w:t xml:space="preserve">fresh </w:t>
      </w:r>
      <w:r w:rsidR="00891C7E">
        <w:rPr>
          <w:rFonts w:ascii="Arial" w:hAnsi="Arial" w:cs="Arial"/>
          <w:sz w:val="20"/>
          <w:szCs w:val="20"/>
        </w:rPr>
        <w:t xml:space="preserve">produce sales </w:t>
      </w:r>
      <w:r w:rsidR="00D046CF">
        <w:rPr>
          <w:rFonts w:ascii="Arial" w:hAnsi="Arial" w:cs="Arial"/>
          <w:sz w:val="20"/>
          <w:szCs w:val="20"/>
        </w:rPr>
        <w:t>reached $</w:t>
      </w:r>
      <w:r>
        <w:rPr>
          <w:rFonts w:ascii="Arial" w:hAnsi="Arial" w:cs="Arial"/>
          <w:sz w:val="20"/>
          <w:szCs w:val="20"/>
        </w:rPr>
        <w:t>6.1</w:t>
      </w:r>
      <w:r w:rsidR="00D046CF">
        <w:rPr>
          <w:rFonts w:ascii="Arial" w:hAnsi="Arial" w:cs="Arial"/>
          <w:sz w:val="20"/>
          <w:szCs w:val="20"/>
        </w:rPr>
        <w:t xml:space="preserve"> billion</w:t>
      </w:r>
      <w:r w:rsidR="001C641C">
        <w:rPr>
          <w:rFonts w:ascii="Arial" w:hAnsi="Arial" w:cs="Arial"/>
          <w:sz w:val="20"/>
          <w:szCs w:val="20"/>
        </w:rPr>
        <w:t xml:space="preserve">, surpassing the record set </w:t>
      </w:r>
      <w:r w:rsidR="008A426C">
        <w:rPr>
          <w:rFonts w:ascii="Arial" w:hAnsi="Arial" w:cs="Arial"/>
          <w:sz w:val="20"/>
          <w:szCs w:val="20"/>
        </w:rPr>
        <w:t xml:space="preserve">the prior year </w:t>
      </w:r>
      <w:r w:rsidR="00576505">
        <w:rPr>
          <w:rFonts w:ascii="Arial" w:hAnsi="Arial" w:cs="Arial"/>
          <w:sz w:val="20"/>
          <w:szCs w:val="20"/>
        </w:rPr>
        <w:t xml:space="preserve">by </w:t>
      </w:r>
      <w:r w:rsidR="00676B67">
        <w:rPr>
          <w:rFonts w:ascii="Arial" w:hAnsi="Arial" w:cs="Arial"/>
          <w:sz w:val="20"/>
          <w:szCs w:val="20"/>
        </w:rPr>
        <w:t>+</w:t>
      </w:r>
      <w:r>
        <w:rPr>
          <w:rFonts w:ascii="Arial" w:hAnsi="Arial" w:cs="Arial"/>
          <w:sz w:val="20"/>
          <w:szCs w:val="20"/>
        </w:rPr>
        <w:t>1.4</w:t>
      </w:r>
      <w:r w:rsidR="00576505">
        <w:rPr>
          <w:rFonts w:ascii="Arial" w:hAnsi="Arial" w:cs="Arial"/>
          <w:sz w:val="20"/>
          <w:szCs w:val="20"/>
        </w:rPr>
        <w:t>%</w:t>
      </w:r>
      <w:r w:rsidR="001C641C">
        <w:rPr>
          <w:rFonts w:ascii="Arial" w:hAnsi="Arial" w:cs="Arial"/>
          <w:sz w:val="20"/>
          <w:szCs w:val="20"/>
        </w:rPr>
        <w:t xml:space="preserve">. </w:t>
      </w:r>
      <w:r w:rsidR="00A96063">
        <w:rPr>
          <w:rFonts w:ascii="Arial" w:hAnsi="Arial" w:cs="Arial"/>
          <w:sz w:val="20"/>
          <w:szCs w:val="20"/>
        </w:rPr>
        <w:t>However, looking beyond dollars that were highly affected by inflation</w:t>
      </w:r>
      <w:r w:rsidR="006005FF">
        <w:rPr>
          <w:rFonts w:ascii="Arial" w:hAnsi="Arial" w:cs="Arial"/>
          <w:sz w:val="20"/>
          <w:szCs w:val="20"/>
        </w:rPr>
        <w:t>,</w:t>
      </w:r>
      <w:r w:rsidR="00A96063">
        <w:rPr>
          <w:rFonts w:ascii="Arial" w:hAnsi="Arial" w:cs="Arial"/>
          <w:sz w:val="20"/>
          <w:szCs w:val="20"/>
        </w:rPr>
        <w:t xml:space="preserve"> </w:t>
      </w:r>
      <w:r w:rsidR="001C641C">
        <w:rPr>
          <w:rFonts w:ascii="Arial" w:hAnsi="Arial" w:cs="Arial"/>
          <w:sz w:val="20"/>
          <w:szCs w:val="20"/>
        </w:rPr>
        <w:t>unit and volume decline</w:t>
      </w:r>
      <w:r w:rsidR="00676B67">
        <w:rPr>
          <w:rFonts w:ascii="Arial" w:hAnsi="Arial" w:cs="Arial"/>
          <w:sz w:val="20"/>
          <w:szCs w:val="20"/>
        </w:rPr>
        <w:t>d</w:t>
      </w:r>
      <w:r w:rsidR="008A426C">
        <w:rPr>
          <w:rFonts w:ascii="Arial" w:hAnsi="Arial" w:cs="Arial"/>
          <w:sz w:val="20"/>
          <w:szCs w:val="20"/>
        </w:rPr>
        <w:t xml:space="preserve"> versus June 2021</w:t>
      </w:r>
      <w:r w:rsidR="001C641C">
        <w:rPr>
          <w:rFonts w:ascii="Arial" w:hAnsi="Arial" w:cs="Arial"/>
          <w:sz w:val="20"/>
          <w:szCs w:val="20"/>
        </w:rPr>
        <w:t xml:space="preserve">. </w:t>
      </w:r>
      <w:r w:rsidR="00667BC4">
        <w:rPr>
          <w:rFonts w:ascii="Arial" w:hAnsi="Arial" w:cs="Arial"/>
          <w:sz w:val="20"/>
          <w:szCs w:val="20"/>
        </w:rPr>
        <w:t>“</w:t>
      </w:r>
      <w:r w:rsidR="00A96063">
        <w:rPr>
          <w:rFonts w:ascii="Arial" w:hAnsi="Arial" w:cs="Arial"/>
          <w:sz w:val="20"/>
          <w:szCs w:val="20"/>
        </w:rPr>
        <w:t>There are many forces at play relative to the volume pressure,” said Watson. “</w:t>
      </w:r>
      <w:r w:rsidR="00800D6D">
        <w:rPr>
          <w:rFonts w:ascii="Arial" w:hAnsi="Arial" w:cs="Arial"/>
          <w:sz w:val="20"/>
          <w:szCs w:val="20"/>
        </w:rPr>
        <w:t>Consumers are hyper</w:t>
      </w:r>
      <w:r w:rsidR="008A426C">
        <w:rPr>
          <w:rFonts w:ascii="Arial" w:hAnsi="Arial" w:cs="Arial"/>
          <w:sz w:val="20"/>
          <w:szCs w:val="20"/>
        </w:rPr>
        <w:t>-</w:t>
      </w:r>
      <w:r w:rsidR="00800D6D">
        <w:rPr>
          <w:rFonts w:ascii="Arial" w:hAnsi="Arial" w:cs="Arial"/>
          <w:sz w:val="20"/>
          <w:szCs w:val="20"/>
        </w:rPr>
        <w:t xml:space="preserve">focused on saving money, </w:t>
      </w:r>
      <w:r w:rsidR="00A81DD5">
        <w:rPr>
          <w:rFonts w:ascii="Arial" w:hAnsi="Arial" w:cs="Arial"/>
          <w:sz w:val="20"/>
          <w:szCs w:val="20"/>
        </w:rPr>
        <w:t>frozen and shelf-stable play a role</w:t>
      </w:r>
      <w:r w:rsidR="00A96063">
        <w:rPr>
          <w:rFonts w:ascii="Arial" w:hAnsi="Arial" w:cs="Arial"/>
          <w:sz w:val="20"/>
          <w:szCs w:val="20"/>
        </w:rPr>
        <w:t xml:space="preserve">, and there is the impact of </w:t>
      </w:r>
      <w:r w:rsidR="002741C9">
        <w:rPr>
          <w:rFonts w:ascii="Arial" w:hAnsi="Arial" w:cs="Arial"/>
          <w:sz w:val="20"/>
          <w:szCs w:val="20"/>
        </w:rPr>
        <w:t>supply chain disruption</w:t>
      </w:r>
      <w:r w:rsidR="0000075A">
        <w:rPr>
          <w:rFonts w:ascii="Arial" w:hAnsi="Arial" w:cs="Arial"/>
          <w:sz w:val="20"/>
          <w:szCs w:val="20"/>
        </w:rPr>
        <w:t xml:space="preserve"> and out-of-stocks.</w:t>
      </w:r>
      <w:r w:rsidR="00800D6D">
        <w:rPr>
          <w:rFonts w:ascii="Arial" w:hAnsi="Arial" w:cs="Arial"/>
          <w:sz w:val="20"/>
          <w:szCs w:val="20"/>
        </w:rPr>
        <w:t xml:space="preserve"> Opportunities for the summer months lie </w:t>
      </w:r>
      <w:r>
        <w:rPr>
          <w:rFonts w:ascii="Arial" w:hAnsi="Arial" w:cs="Arial"/>
          <w:sz w:val="20"/>
          <w:szCs w:val="20"/>
        </w:rPr>
        <w:t xml:space="preserve">with </w:t>
      </w:r>
      <w:r w:rsidR="00800D6D">
        <w:rPr>
          <w:rFonts w:ascii="Arial" w:hAnsi="Arial" w:cs="Arial"/>
          <w:sz w:val="20"/>
          <w:szCs w:val="20"/>
        </w:rPr>
        <w:t>outdoor entertaining</w:t>
      </w:r>
      <w:r>
        <w:rPr>
          <w:rFonts w:ascii="Arial" w:hAnsi="Arial" w:cs="Arial"/>
          <w:sz w:val="20"/>
          <w:szCs w:val="20"/>
        </w:rPr>
        <w:t>, on-the-go snacking and celebrating the summer holidays at home</w:t>
      </w:r>
      <w:r w:rsidR="00800D6D">
        <w:rPr>
          <w:rFonts w:ascii="Arial" w:hAnsi="Arial" w:cs="Arial"/>
          <w:sz w:val="20"/>
          <w:szCs w:val="20"/>
        </w:rPr>
        <w:t>.</w:t>
      </w:r>
      <w:r w:rsidR="00A84CAB">
        <w:rPr>
          <w:rFonts w:ascii="Arial" w:hAnsi="Arial" w:cs="Arial"/>
          <w:sz w:val="20"/>
          <w:szCs w:val="20"/>
        </w:rPr>
        <w:t>”</w:t>
      </w:r>
      <w:r w:rsidR="001C641C">
        <w:rPr>
          <w:rFonts w:ascii="Arial" w:hAnsi="Arial" w:cs="Arial"/>
          <w:sz w:val="20"/>
          <w:szCs w:val="20"/>
        </w:rPr>
        <w:t xml:space="preserve">  </w:t>
      </w:r>
    </w:p>
    <w:p w14:paraId="4313C97D" w14:textId="77777777" w:rsidR="00E97D52" w:rsidRDefault="00E97D52" w:rsidP="00CF43CE">
      <w:pPr>
        <w:pStyle w:val="NoSpacing"/>
        <w:rPr>
          <w:rFonts w:ascii="Arial" w:hAnsi="Arial" w:cs="Arial"/>
          <w:sz w:val="20"/>
          <w:szCs w:val="20"/>
        </w:rPr>
      </w:pPr>
    </w:p>
    <w:tbl>
      <w:tblPr>
        <w:tblStyle w:val="LightShading-Accent5"/>
        <w:tblW w:w="10728" w:type="dxa"/>
        <w:tblBorders>
          <w:top w:val="none" w:sz="0" w:space="0" w:color="auto"/>
          <w:bottom w:val="none" w:sz="0" w:space="0" w:color="auto"/>
        </w:tblBorders>
        <w:tblLayout w:type="fixed"/>
        <w:tblLook w:val="04A0" w:firstRow="1" w:lastRow="0" w:firstColumn="1" w:lastColumn="0" w:noHBand="0" w:noVBand="1"/>
      </w:tblPr>
      <w:tblGrid>
        <w:gridCol w:w="1872"/>
        <w:gridCol w:w="1265"/>
        <w:gridCol w:w="1265"/>
        <w:gridCol w:w="1265"/>
        <w:gridCol w:w="1265"/>
        <w:gridCol w:w="1265"/>
        <w:gridCol w:w="1265"/>
        <w:gridCol w:w="1266"/>
      </w:tblGrid>
      <w:tr w:rsidR="001729EA" w:rsidRPr="001729EA" w14:paraId="5E5E5D5E" w14:textId="77777777" w:rsidTr="001729EA">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17365D" w:themeFill="text2" w:themeFillShade="BF"/>
            <w:hideMark/>
          </w:tcPr>
          <w:p w14:paraId="69258784" w14:textId="24A6C6B8" w:rsidR="001729EA" w:rsidRPr="001729EA" w:rsidRDefault="00AB47E8" w:rsidP="00E97D52">
            <w:pPr>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June</w:t>
            </w:r>
            <w:r w:rsidR="00B75D3A">
              <w:rPr>
                <w:rFonts w:ascii="Arial" w:eastAsia="Times New Roman" w:hAnsi="Arial" w:cs="Arial"/>
                <w:color w:val="FFFFFF" w:themeColor="background1"/>
                <w:sz w:val="18"/>
                <w:szCs w:val="20"/>
              </w:rPr>
              <w:t xml:space="preserve"> </w:t>
            </w:r>
            <w:r w:rsidR="001729EA" w:rsidRPr="001729EA">
              <w:rPr>
                <w:rFonts w:ascii="Arial" w:eastAsia="Times New Roman" w:hAnsi="Arial" w:cs="Arial"/>
                <w:color w:val="FFFFFF" w:themeColor="background1"/>
                <w:sz w:val="18"/>
                <w:szCs w:val="20"/>
              </w:rPr>
              <w:t>202</w:t>
            </w:r>
            <w:r w:rsidR="0038781D">
              <w:rPr>
                <w:rFonts w:ascii="Arial" w:eastAsia="Times New Roman" w:hAnsi="Arial" w:cs="Arial"/>
                <w:color w:val="FFFFFF" w:themeColor="background1"/>
                <w:sz w:val="18"/>
                <w:szCs w:val="20"/>
              </w:rPr>
              <w:t>2</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5FCCBB40"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size</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C388075"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growth vs. ‘2</w:t>
            </w:r>
            <w:r w:rsidR="0038781D">
              <w:rPr>
                <w:rFonts w:ascii="Arial" w:eastAsia="Times New Roman" w:hAnsi="Arial" w:cs="Arial"/>
                <w:color w:val="FFFFFF" w:themeColor="background1"/>
                <w:sz w:val="18"/>
                <w:szCs w:val="20"/>
              </w:rPr>
              <w:t>1</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EA4EC29"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growth vs. ‘</w:t>
            </w:r>
            <w:r w:rsidR="0038781D">
              <w:rPr>
                <w:rFonts w:ascii="Arial" w:eastAsia="Times New Roman" w:hAnsi="Arial" w:cs="Arial"/>
                <w:color w:val="FFFFFF" w:themeColor="background1"/>
                <w:sz w:val="18"/>
                <w:szCs w:val="20"/>
              </w:rPr>
              <w:t>20</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0804AAB4"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Unit growth vs. ‘2</w:t>
            </w:r>
            <w:r w:rsidR="0038781D">
              <w:rPr>
                <w:rFonts w:ascii="Arial" w:eastAsia="Times New Roman" w:hAnsi="Arial" w:cs="Arial"/>
                <w:color w:val="FFFFFF" w:themeColor="background1"/>
                <w:sz w:val="18"/>
                <w:szCs w:val="20"/>
              </w:rPr>
              <w:t>1</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6156BA5"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Unit growth vs. ‘</w:t>
            </w:r>
            <w:r w:rsidR="0038781D">
              <w:rPr>
                <w:rFonts w:ascii="Arial" w:eastAsia="Times New Roman" w:hAnsi="Arial" w:cs="Arial"/>
                <w:color w:val="FFFFFF" w:themeColor="background1"/>
                <w:sz w:val="18"/>
                <w:szCs w:val="20"/>
              </w:rPr>
              <w:t>20</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6ECF71E1"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Volume growth vs. ‘2</w:t>
            </w:r>
            <w:r w:rsidR="0038781D">
              <w:rPr>
                <w:rFonts w:ascii="Arial" w:eastAsia="Times New Roman" w:hAnsi="Arial" w:cs="Arial"/>
                <w:color w:val="FFFFFF" w:themeColor="background1"/>
                <w:sz w:val="18"/>
                <w:szCs w:val="20"/>
              </w:rPr>
              <w:t>1</w:t>
            </w:r>
          </w:p>
        </w:tc>
        <w:tc>
          <w:tcPr>
            <w:tcW w:w="1266"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750B5E2"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Volume growth vs. ‘</w:t>
            </w:r>
            <w:r w:rsidR="0038781D">
              <w:rPr>
                <w:rFonts w:ascii="Arial" w:eastAsia="Times New Roman" w:hAnsi="Arial" w:cs="Arial"/>
                <w:color w:val="FFFFFF" w:themeColor="background1"/>
                <w:sz w:val="18"/>
                <w:szCs w:val="20"/>
              </w:rPr>
              <w:t>20</w:t>
            </w:r>
          </w:p>
        </w:tc>
      </w:tr>
      <w:tr w:rsidR="001729EA" w:rsidRPr="000A733E" w14:paraId="4C79F54A" w14:textId="77777777" w:rsidTr="001729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72" w:type="dxa"/>
            <w:tcBorders>
              <w:left w:val="none" w:sz="0" w:space="0" w:color="auto"/>
              <w:right w:val="none" w:sz="0" w:space="0" w:color="auto"/>
            </w:tcBorders>
            <w:noWrap/>
          </w:tcPr>
          <w:p w14:paraId="6530B6D0" w14:textId="77777777" w:rsidR="001729EA" w:rsidRPr="000A733E" w:rsidRDefault="001729EA" w:rsidP="00E97D52">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Total fresh produce</w:t>
            </w:r>
          </w:p>
        </w:tc>
        <w:tc>
          <w:tcPr>
            <w:tcW w:w="1265" w:type="dxa"/>
            <w:tcBorders>
              <w:left w:val="none" w:sz="0" w:space="0" w:color="auto"/>
              <w:right w:val="none" w:sz="0" w:space="0" w:color="auto"/>
            </w:tcBorders>
            <w:vAlign w:val="center"/>
          </w:tcPr>
          <w:p w14:paraId="18E23756" w14:textId="442FB850"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97D52">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6.1</w:t>
            </w:r>
            <w:r w:rsidRPr="00E97D52">
              <w:rPr>
                <w:rFonts w:ascii="Arial" w:eastAsia="Times New Roman" w:hAnsi="Arial" w:cs="Arial"/>
                <w:color w:val="17365D" w:themeColor="text2" w:themeShade="BF"/>
                <w:sz w:val="18"/>
                <w:szCs w:val="18"/>
              </w:rPr>
              <w:t>B</w:t>
            </w:r>
          </w:p>
        </w:tc>
        <w:tc>
          <w:tcPr>
            <w:tcW w:w="1265" w:type="dxa"/>
            <w:tcBorders>
              <w:left w:val="none" w:sz="0" w:space="0" w:color="auto"/>
              <w:right w:val="none" w:sz="0" w:space="0" w:color="auto"/>
            </w:tcBorders>
          </w:tcPr>
          <w:p w14:paraId="397195B1" w14:textId="4601503D"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91300">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1.4</w:t>
            </w:r>
            <w:r w:rsidRPr="005913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55886AA9" w14:textId="5EECA23C" w:rsidR="001729EA" w:rsidRPr="00E97D52" w:rsidRDefault="00B75D3A" w:rsidP="00E97D5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3.8</w:t>
            </w:r>
            <w:r w:rsidR="001729EA" w:rsidRPr="005913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6D70BA8C" w14:textId="0DE2B3D5"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6.0</w:t>
            </w:r>
            <w:r w:rsidRPr="000A05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18B16EF1" w14:textId="37A07B7A" w:rsidR="001729EA" w:rsidRPr="00E97D52" w:rsidRDefault="00CD2F2B"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8.5</w:t>
            </w:r>
            <w:r w:rsidR="001729EA" w:rsidRPr="007650CC">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69F9E48C" w14:textId="4F08A01D"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5.2</w:t>
            </w:r>
            <w:r w:rsidRPr="00E87888">
              <w:rPr>
                <w:rFonts w:ascii="Arial" w:eastAsia="Times New Roman" w:hAnsi="Arial" w:cs="Arial"/>
                <w:color w:val="17365D" w:themeColor="text2" w:themeShade="BF"/>
                <w:sz w:val="18"/>
                <w:szCs w:val="18"/>
              </w:rPr>
              <w:t>%</w:t>
            </w:r>
          </w:p>
        </w:tc>
        <w:tc>
          <w:tcPr>
            <w:tcW w:w="1266" w:type="dxa"/>
            <w:tcBorders>
              <w:left w:val="none" w:sz="0" w:space="0" w:color="auto"/>
              <w:right w:val="none" w:sz="0" w:space="0" w:color="auto"/>
            </w:tcBorders>
          </w:tcPr>
          <w:p w14:paraId="32C1B643" w14:textId="395E18A5" w:rsidR="001729EA" w:rsidRPr="00E97D52" w:rsidRDefault="00CD2F2B"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7.8</w:t>
            </w:r>
            <w:r w:rsidR="001729EA" w:rsidRPr="00560673">
              <w:rPr>
                <w:rFonts w:ascii="Arial" w:eastAsia="Times New Roman" w:hAnsi="Arial" w:cs="Arial"/>
                <w:color w:val="17365D" w:themeColor="text2" w:themeShade="BF"/>
                <w:sz w:val="18"/>
                <w:szCs w:val="18"/>
              </w:rPr>
              <w:t>%</w:t>
            </w:r>
          </w:p>
        </w:tc>
      </w:tr>
      <w:tr w:rsidR="00B75D3A" w:rsidRPr="000A733E" w14:paraId="00EC79C9" w14:textId="77777777" w:rsidTr="006E6284">
        <w:trPr>
          <w:trHeight w:val="113"/>
        </w:trPr>
        <w:tc>
          <w:tcPr>
            <w:cnfStyle w:val="001000000000" w:firstRow="0" w:lastRow="0" w:firstColumn="1" w:lastColumn="0" w:oddVBand="0" w:evenVBand="0" w:oddHBand="0" w:evenHBand="0" w:firstRowFirstColumn="0" w:firstRowLastColumn="0" w:lastRowFirstColumn="0" w:lastRowLastColumn="0"/>
            <w:tcW w:w="1872" w:type="dxa"/>
            <w:noWrap/>
          </w:tcPr>
          <w:p w14:paraId="21B21BAF" w14:textId="77777777" w:rsidR="00B75D3A" w:rsidRPr="000A733E" w:rsidRDefault="00B75D3A" w:rsidP="00B75D3A">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Fresh fruit</w:t>
            </w:r>
          </w:p>
        </w:tc>
        <w:tc>
          <w:tcPr>
            <w:tcW w:w="1265" w:type="dxa"/>
            <w:vAlign w:val="center"/>
          </w:tcPr>
          <w:p w14:paraId="48DCBDB3" w14:textId="695724E8" w:rsidR="00B75D3A" w:rsidRPr="00E97D52" w:rsidRDefault="00B75D3A" w:rsidP="00B75D3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rPr>
            </w:pPr>
            <w:r w:rsidRPr="00E97D52">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3.2</w:t>
            </w:r>
            <w:r w:rsidRPr="00E97D52">
              <w:rPr>
                <w:rFonts w:ascii="Arial" w:eastAsia="Times New Roman" w:hAnsi="Arial" w:cs="Arial"/>
                <w:color w:val="17365D" w:themeColor="text2" w:themeShade="BF"/>
                <w:sz w:val="18"/>
                <w:szCs w:val="18"/>
              </w:rPr>
              <w:t>B</w:t>
            </w:r>
          </w:p>
        </w:tc>
        <w:tc>
          <w:tcPr>
            <w:tcW w:w="1265" w:type="dxa"/>
          </w:tcPr>
          <w:p w14:paraId="57664D8C" w14:textId="2B486BAF" w:rsidR="00B75D3A" w:rsidRPr="00E97D52" w:rsidRDefault="00BD7CB1" w:rsidP="00B75D3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-0.3</w:t>
            </w:r>
            <w:r w:rsidR="00B75D3A" w:rsidRPr="00591300">
              <w:rPr>
                <w:rFonts w:ascii="Arial" w:eastAsia="Times New Roman" w:hAnsi="Arial" w:cs="Arial"/>
                <w:color w:val="17365D" w:themeColor="text2" w:themeShade="BF"/>
                <w:sz w:val="18"/>
                <w:szCs w:val="18"/>
              </w:rPr>
              <w:t>%</w:t>
            </w:r>
          </w:p>
        </w:tc>
        <w:tc>
          <w:tcPr>
            <w:tcW w:w="1265" w:type="dxa"/>
          </w:tcPr>
          <w:p w14:paraId="0AB9E5AE" w14:textId="147CD12D" w:rsidR="00B75D3A" w:rsidRPr="00E97D52" w:rsidRDefault="00B75D3A" w:rsidP="00B75D3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8.2</w:t>
            </w:r>
            <w:r w:rsidRPr="00591300">
              <w:rPr>
                <w:rFonts w:ascii="Arial" w:eastAsia="Times New Roman" w:hAnsi="Arial" w:cs="Arial"/>
                <w:color w:val="17365D" w:themeColor="text2" w:themeShade="BF"/>
                <w:sz w:val="18"/>
                <w:szCs w:val="18"/>
              </w:rPr>
              <w:t>%</w:t>
            </w:r>
          </w:p>
        </w:tc>
        <w:tc>
          <w:tcPr>
            <w:tcW w:w="1265" w:type="dxa"/>
          </w:tcPr>
          <w:p w14:paraId="18ACF451" w14:textId="2213234E" w:rsidR="00B75D3A" w:rsidRPr="00E97D52" w:rsidRDefault="00B75D3A" w:rsidP="00B75D3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6.5</w:t>
            </w:r>
            <w:r w:rsidRPr="000A0500">
              <w:rPr>
                <w:rFonts w:ascii="Arial" w:eastAsia="Times New Roman" w:hAnsi="Arial" w:cs="Arial"/>
                <w:color w:val="17365D" w:themeColor="text2" w:themeShade="BF"/>
                <w:sz w:val="18"/>
                <w:szCs w:val="18"/>
              </w:rPr>
              <w:t>%</w:t>
            </w:r>
          </w:p>
        </w:tc>
        <w:tc>
          <w:tcPr>
            <w:tcW w:w="1265" w:type="dxa"/>
          </w:tcPr>
          <w:p w14:paraId="3E25926E" w14:textId="0F738677" w:rsidR="00B75D3A" w:rsidRPr="00E97D52" w:rsidRDefault="00B75D3A" w:rsidP="00B75D3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6.9</w:t>
            </w:r>
            <w:r w:rsidRPr="007650CC">
              <w:rPr>
                <w:rFonts w:ascii="Arial" w:eastAsia="Times New Roman" w:hAnsi="Arial" w:cs="Arial"/>
                <w:color w:val="17365D" w:themeColor="text2" w:themeShade="BF"/>
                <w:sz w:val="18"/>
                <w:szCs w:val="18"/>
              </w:rPr>
              <w:t>%</w:t>
            </w:r>
          </w:p>
        </w:tc>
        <w:tc>
          <w:tcPr>
            <w:tcW w:w="1265" w:type="dxa"/>
          </w:tcPr>
          <w:p w14:paraId="426F58FB" w14:textId="72752145" w:rsidR="00B75D3A" w:rsidRPr="00E97D52" w:rsidRDefault="00B75D3A" w:rsidP="00B75D3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5.7</w:t>
            </w:r>
            <w:r w:rsidRPr="00E87888">
              <w:rPr>
                <w:rFonts w:ascii="Arial" w:eastAsia="Times New Roman" w:hAnsi="Arial" w:cs="Arial"/>
                <w:color w:val="17365D" w:themeColor="text2" w:themeShade="BF"/>
                <w:sz w:val="18"/>
                <w:szCs w:val="18"/>
              </w:rPr>
              <w:t>%</w:t>
            </w:r>
          </w:p>
        </w:tc>
        <w:tc>
          <w:tcPr>
            <w:tcW w:w="1266" w:type="dxa"/>
          </w:tcPr>
          <w:p w14:paraId="44B578EA" w14:textId="1A47717D" w:rsidR="00B75D3A" w:rsidRPr="00E97D52" w:rsidRDefault="00B75D3A" w:rsidP="00B75D3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6.3</w:t>
            </w:r>
            <w:r w:rsidRPr="00560673">
              <w:rPr>
                <w:rFonts w:ascii="Arial" w:eastAsia="Times New Roman" w:hAnsi="Arial" w:cs="Arial"/>
                <w:color w:val="17365D" w:themeColor="text2" w:themeShade="BF"/>
                <w:sz w:val="18"/>
                <w:szCs w:val="18"/>
              </w:rPr>
              <w:t>%</w:t>
            </w:r>
          </w:p>
        </w:tc>
      </w:tr>
      <w:tr w:rsidR="00B75D3A" w:rsidRPr="000A733E" w14:paraId="52DE1385" w14:textId="77777777" w:rsidTr="001729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72" w:type="dxa"/>
            <w:noWrap/>
          </w:tcPr>
          <w:p w14:paraId="7DC406A0" w14:textId="77777777" w:rsidR="00B75D3A" w:rsidRPr="000A733E" w:rsidRDefault="00B75D3A" w:rsidP="00B75D3A">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Fresh vegetables</w:t>
            </w:r>
          </w:p>
        </w:tc>
        <w:tc>
          <w:tcPr>
            <w:tcW w:w="1265" w:type="dxa"/>
            <w:vAlign w:val="center"/>
          </w:tcPr>
          <w:p w14:paraId="643F13CC" w14:textId="325AD246" w:rsidR="00B75D3A" w:rsidRPr="00E97D52" w:rsidRDefault="00B75D3A" w:rsidP="00B75D3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E97D52">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2.8</w:t>
            </w:r>
            <w:r w:rsidRPr="00E97D52">
              <w:rPr>
                <w:rFonts w:ascii="Arial" w:eastAsia="Times New Roman" w:hAnsi="Arial" w:cs="Arial"/>
                <w:color w:val="17365D" w:themeColor="text2" w:themeShade="BF"/>
                <w:sz w:val="18"/>
                <w:szCs w:val="18"/>
              </w:rPr>
              <w:t>B</w:t>
            </w:r>
          </w:p>
        </w:tc>
        <w:tc>
          <w:tcPr>
            <w:tcW w:w="1265" w:type="dxa"/>
          </w:tcPr>
          <w:p w14:paraId="62E753B2" w14:textId="5D6E3B68" w:rsidR="00B75D3A" w:rsidRPr="00E97D52" w:rsidRDefault="00B75D3A" w:rsidP="00B75D3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91300">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3.5</w:t>
            </w:r>
            <w:r w:rsidRPr="00591300">
              <w:rPr>
                <w:rFonts w:ascii="Arial" w:eastAsia="Times New Roman" w:hAnsi="Arial" w:cs="Arial"/>
                <w:color w:val="17365D" w:themeColor="text2" w:themeShade="BF"/>
                <w:sz w:val="18"/>
                <w:szCs w:val="18"/>
              </w:rPr>
              <w:t>%</w:t>
            </w:r>
          </w:p>
        </w:tc>
        <w:tc>
          <w:tcPr>
            <w:tcW w:w="1265" w:type="dxa"/>
          </w:tcPr>
          <w:p w14:paraId="5F82C4A8" w14:textId="095D2812" w:rsidR="00B75D3A" w:rsidRPr="00E97D52" w:rsidRDefault="00B75D3A" w:rsidP="00B75D3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1.1</w:t>
            </w:r>
            <w:r w:rsidRPr="00591300">
              <w:rPr>
                <w:rFonts w:ascii="Arial" w:eastAsia="Times New Roman" w:hAnsi="Arial" w:cs="Arial"/>
                <w:color w:val="17365D" w:themeColor="text2" w:themeShade="BF"/>
                <w:sz w:val="18"/>
                <w:szCs w:val="18"/>
              </w:rPr>
              <w:t>%</w:t>
            </w:r>
          </w:p>
        </w:tc>
        <w:tc>
          <w:tcPr>
            <w:tcW w:w="1265" w:type="dxa"/>
          </w:tcPr>
          <w:p w14:paraId="36BF3793" w14:textId="33E24F62" w:rsidR="00B75D3A" w:rsidRPr="00E97D52" w:rsidRDefault="00B75D3A" w:rsidP="00B75D3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5.7</w:t>
            </w:r>
            <w:r w:rsidRPr="000A0500">
              <w:rPr>
                <w:rFonts w:ascii="Arial" w:eastAsia="Times New Roman" w:hAnsi="Arial" w:cs="Arial"/>
                <w:color w:val="17365D" w:themeColor="text2" w:themeShade="BF"/>
                <w:sz w:val="18"/>
                <w:szCs w:val="18"/>
              </w:rPr>
              <w:t>%</w:t>
            </w:r>
          </w:p>
        </w:tc>
        <w:tc>
          <w:tcPr>
            <w:tcW w:w="1265" w:type="dxa"/>
          </w:tcPr>
          <w:p w14:paraId="60C3D45F" w14:textId="3EFE7466" w:rsidR="00B75D3A" w:rsidRPr="00E97D52" w:rsidRDefault="00B75D3A" w:rsidP="00B75D3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10.0</w:t>
            </w:r>
            <w:r w:rsidRPr="007650CC">
              <w:rPr>
                <w:rFonts w:ascii="Arial" w:eastAsia="Times New Roman" w:hAnsi="Arial" w:cs="Arial"/>
                <w:color w:val="17365D" w:themeColor="text2" w:themeShade="BF"/>
                <w:sz w:val="18"/>
                <w:szCs w:val="18"/>
              </w:rPr>
              <w:t>%</w:t>
            </w:r>
          </w:p>
        </w:tc>
        <w:tc>
          <w:tcPr>
            <w:tcW w:w="1265" w:type="dxa"/>
          </w:tcPr>
          <w:p w14:paraId="53B735C6" w14:textId="4EE1FDE6" w:rsidR="00B75D3A" w:rsidRPr="00E97D52" w:rsidRDefault="00B75D3A" w:rsidP="00B75D3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4.4</w:t>
            </w:r>
            <w:r w:rsidRPr="00E87888">
              <w:rPr>
                <w:rFonts w:ascii="Arial" w:eastAsia="Times New Roman" w:hAnsi="Arial" w:cs="Arial"/>
                <w:color w:val="17365D" w:themeColor="text2" w:themeShade="BF"/>
                <w:sz w:val="18"/>
                <w:szCs w:val="18"/>
              </w:rPr>
              <w:t>%</w:t>
            </w:r>
          </w:p>
        </w:tc>
        <w:tc>
          <w:tcPr>
            <w:tcW w:w="1266" w:type="dxa"/>
          </w:tcPr>
          <w:p w14:paraId="3696D109" w14:textId="7CBD90F3" w:rsidR="00B75D3A" w:rsidRPr="00E97D52" w:rsidRDefault="00B75D3A" w:rsidP="00B75D3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w:t>
            </w:r>
            <w:r w:rsidR="00BD7CB1">
              <w:rPr>
                <w:rFonts w:ascii="Arial" w:eastAsia="Times New Roman" w:hAnsi="Arial" w:cs="Arial"/>
                <w:color w:val="17365D" w:themeColor="text2" w:themeShade="BF"/>
                <w:sz w:val="18"/>
                <w:szCs w:val="18"/>
              </w:rPr>
              <w:t>10.1</w:t>
            </w:r>
            <w:r w:rsidRPr="00560673">
              <w:rPr>
                <w:rFonts w:ascii="Arial" w:eastAsia="Times New Roman" w:hAnsi="Arial" w:cs="Arial"/>
                <w:color w:val="17365D" w:themeColor="text2" w:themeShade="BF"/>
                <w:sz w:val="18"/>
                <w:szCs w:val="18"/>
              </w:rPr>
              <w:t>%</w:t>
            </w:r>
          </w:p>
        </w:tc>
      </w:tr>
    </w:tbl>
    <w:p w14:paraId="76F803AD" w14:textId="77777777" w:rsidR="00E97D52" w:rsidRPr="00B64ECF" w:rsidRDefault="00E97D52" w:rsidP="00E97D52">
      <w:pPr>
        <w:pStyle w:val="NoSpacing"/>
        <w:rPr>
          <w:rFonts w:ascii="Arial" w:hAnsi="Arial" w:cs="Arial"/>
          <w:sz w:val="12"/>
          <w:szCs w:val="16"/>
        </w:rPr>
      </w:pPr>
    </w:p>
    <w:p w14:paraId="7B8E71ED" w14:textId="39D7F5F7" w:rsidR="0053257C" w:rsidRDefault="00E97D52" w:rsidP="002D178D">
      <w:pPr>
        <w:pStyle w:val="NoSpacing"/>
        <w:rPr>
          <w:rFonts w:ascii="Arial" w:hAnsi="Arial" w:cs="Arial"/>
          <w:sz w:val="16"/>
          <w:szCs w:val="16"/>
        </w:rPr>
      </w:pPr>
      <w:r w:rsidRPr="005C6A11">
        <w:rPr>
          <w:rFonts w:ascii="Arial" w:hAnsi="Arial" w:cs="Arial"/>
          <w:sz w:val="16"/>
          <w:szCs w:val="16"/>
        </w:rPr>
        <w:t xml:space="preserve">Source: IRI, </w:t>
      </w:r>
      <w:r>
        <w:rPr>
          <w:rFonts w:ascii="Arial" w:hAnsi="Arial" w:cs="Arial"/>
          <w:sz w:val="16"/>
          <w:szCs w:val="16"/>
        </w:rPr>
        <w:t xml:space="preserve">Integrated Fresh, Total </w:t>
      </w:r>
      <w:r w:rsidRPr="005C6A11">
        <w:rPr>
          <w:rFonts w:ascii="Arial" w:hAnsi="Arial" w:cs="Arial"/>
          <w:sz w:val="16"/>
          <w:szCs w:val="16"/>
        </w:rPr>
        <w:t>US, MULO, % change vs. year ago.</w:t>
      </w:r>
    </w:p>
    <w:p w14:paraId="6F77542A" w14:textId="2CA580ED" w:rsidR="00800D6D" w:rsidRDefault="00800D6D">
      <w:pPr>
        <w:rPr>
          <w:rFonts w:ascii="Arial" w:hAnsi="Arial" w:cs="Arial"/>
          <w:color w:val="595959" w:themeColor="text1" w:themeTint="A6"/>
          <w:sz w:val="24"/>
        </w:rPr>
      </w:pPr>
      <w:r>
        <w:rPr>
          <w:rFonts w:ascii="Arial" w:hAnsi="Arial" w:cs="Arial"/>
          <w:color w:val="595959" w:themeColor="text1" w:themeTint="A6"/>
          <w:sz w:val="24"/>
        </w:rPr>
        <w:br w:type="page"/>
      </w:r>
    </w:p>
    <w:p w14:paraId="644FC7D5" w14:textId="77777777" w:rsidR="008E0FB8" w:rsidRPr="00C227BA" w:rsidRDefault="008E0FB8" w:rsidP="002D178D">
      <w:pPr>
        <w:pStyle w:val="NoSpacing"/>
        <w:rPr>
          <w:rFonts w:ascii="Arial" w:hAnsi="Arial" w:cs="Arial"/>
          <w:color w:val="595959" w:themeColor="text1" w:themeTint="A6"/>
          <w:sz w:val="24"/>
        </w:rPr>
      </w:pPr>
    </w:p>
    <w:tbl>
      <w:tblPr>
        <w:tblStyle w:val="LightShading-Accent5"/>
        <w:tblpPr w:leftFromText="180" w:rightFromText="180" w:vertAnchor="text" w:horzAnchor="margin" w:tblpXSpec="right" w:tblpY="320"/>
        <w:tblOverlap w:val="never"/>
        <w:tblW w:w="5701" w:type="dxa"/>
        <w:tblBorders>
          <w:top w:val="none" w:sz="0" w:space="0" w:color="auto"/>
          <w:bottom w:val="none" w:sz="0" w:space="0" w:color="auto"/>
        </w:tblBorders>
        <w:tblLook w:val="04A0" w:firstRow="1" w:lastRow="0" w:firstColumn="1" w:lastColumn="0" w:noHBand="0" w:noVBand="1"/>
      </w:tblPr>
      <w:tblGrid>
        <w:gridCol w:w="1843"/>
        <w:gridCol w:w="1276"/>
        <w:gridCol w:w="1291"/>
        <w:gridCol w:w="1291"/>
      </w:tblGrid>
      <w:tr w:rsidR="00A225AD" w:rsidRPr="00DE633B" w14:paraId="789E18F0" w14:textId="77777777" w:rsidTr="009D788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22B589CF" w14:textId="77777777" w:rsidR="00A225AD" w:rsidRPr="00DE633B" w:rsidRDefault="00A225AD" w:rsidP="00340AA9">
            <w:pPr>
              <w:rPr>
                <w:rFonts w:ascii="Arial" w:hAnsi="Arial" w:cs="Arial"/>
                <w:color w:val="FFFFFF" w:themeColor="background1"/>
                <w:sz w:val="18"/>
                <w:szCs w:val="20"/>
              </w:rPr>
            </w:pPr>
            <w:r>
              <w:rPr>
                <w:rFonts w:ascii="Arial" w:hAnsi="Arial" w:cs="Arial"/>
                <w:color w:val="FFFFFF" w:themeColor="background1"/>
                <w:sz w:val="18"/>
                <w:szCs w:val="20"/>
              </w:rPr>
              <w:t xml:space="preserve">Produce </w:t>
            </w:r>
            <w:r w:rsidRPr="00DE633B">
              <w:rPr>
                <w:rFonts w:ascii="Arial" w:hAnsi="Arial" w:cs="Arial"/>
                <w:color w:val="FFFFFF" w:themeColor="background1"/>
                <w:sz w:val="18"/>
                <w:szCs w:val="20"/>
              </w:rPr>
              <w:t>department</w:t>
            </w:r>
          </w:p>
        </w:tc>
        <w:tc>
          <w:tcPr>
            <w:tcW w:w="1276"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297495A7" w14:textId="77777777" w:rsidR="00A225AD" w:rsidRPr="00DE633B" w:rsidRDefault="00A225AD"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DE633B">
              <w:rPr>
                <w:rFonts w:ascii="Arial" w:hAnsi="Arial" w:cs="Arial"/>
                <w:color w:val="FFFFFF" w:themeColor="background1"/>
                <w:sz w:val="18"/>
                <w:szCs w:val="20"/>
              </w:rPr>
              <w:t xml:space="preserve">Dollar </w:t>
            </w:r>
            <w:r>
              <w:rPr>
                <w:rFonts w:ascii="Arial" w:hAnsi="Arial" w:cs="Arial"/>
                <w:color w:val="FFFFFF" w:themeColor="background1"/>
                <w:sz w:val="18"/>
                <w:szCs w:val="20"/>
              </w:rPr>
              <w:br/>
            </w:r>
            <w:r w:rsidRPr="00DE633B">
              <w:rPr>
                <w:rFonts w:ascii="Arial" w:hAnsi="Arial" w:cs="Arial"/>
                <w:color w:val="FFFFFF" w:themeColor="background1"/>
                <w:sz w:val="18"/>
                <w:szCs w:val="20"/>
              </w:rPr>
              <w:t>sales</w:t>
            </w:r>
          </w:p>
        </w:tc>
        <w:tc>
          <w:tcPr>
            <w:tcW w:w="1291"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F6EDA89" w14:textId="77777777" w:rsidR="009D7889" w:rsidRDefault="009D7889"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r>
              <w:rPr>
                <w:rFonts w:ascii="Arial" w:hAnsi="Arial" w:cs="Arial"/>
                <w:color w:val="FFFFFF" w:themeColor="background1"/>
                <w:sz w:val="18"/>
                <w:szCs w:val="20"/>
              </w:rPr>
              <w:t xml:space="preserve">$ </w:t>
            </w:r>
          </w:p>
          <w:p w14:paraId="789DFE22" w14:textId="5D3683E5" w:rsidR="00A225AD" w:rsidRPr="00DE633B" w:rsidRDefault="00A225AD"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vs. </w:t>
            </w:r>
            <w:r w:rsidR="009D7889">
              <w:rPr>
                <w:rFonts w:ascii="Arial" w:hAnsi="Arial" w:cs="Arial"/>
                <w:color w:val="FFFFFF" w:themeColor="background1"/>
                <w:sz w:val="18"/>
                <w:szCs w:val="20"/>
              </w:rPr>
              <w:t>YA</w:t>
            </w:r>
          </w:p>
        </w:tc>
        <w:tc>
          <w:tcPr>
            <w:tcW w:w="1291"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00F40F68" w14:textId="195B8A9C" w:rsidR="009D7889" w:rsidRDefault="00DB005E"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proofErr w:type="spellStart"/>
            <w:r>
              <w:rPr>
                <w:rFonts w:ascii="Arial" w:hAnsi="Arial" w:cs="Arial"/>
                <w:color w:val="FFFFFF" w:themeColor="background1"/>
                <w:sz w:val="18"/>
                <w:szCs w:val="20"/>
              </w:rPr>
              <w:t>l</w:t>
            </w:r>
            <w:r w:rsidR="009D7889">
              <w:rPr>
                <w:rFonts w:ascii="Arial" w:hAnsi="Arial" w:cs="Arial"/>
                <w:color w:val="FFFFFF" w:themeColor="background1"/>
                <w:sz w:val="18"/>
                <w:szCs w:val="20"/>
              </w:rPr>
              <w:t>bs</w:t>
            </w:r>
            <w:proofErr w:type="spellEnd"/>
            <w:r w:rsidR="009D7889">
              <w:rPr>
                <w:rFonts w:ascii="Arial" w:hAnsi="Arial" w:cs="Arial"/>
                <w:color w:val="FFFFFF" w:themeColor="background1"/>
                <w:sz w:val="18"/>
                <w:szCs w:val="20"/>
              </w:rPr>
              <w:t xml:space="preserve"> </w:t>
            </w:r>
          </w:p>
          <w:p w14:paraId="602B4FB7" w14:textId="2AC2744A" w:rsidR="00A225AD" w:rsidRPr="00DE633B" w:rsidRDefault="009D7889"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r>
      <w:tr w:rsidR="00A225AD" w:rsidRPr="00361BCC" w14:paraId="2B024870" w14:textId="77777777" w:rsidTr="00AF4FD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642F99E2" w14:textId="48AD2188" w:rsidR="00A225AD" w:rsidRPr="00361BCC" w:rsidRDefault="00DB005E" w:rsidP="00AF4FDD">
            <w:pPr>
              <w:pStyle w:val="NoSpacing"/>
              <w:rPr>
                <w:rFonts w:ascii="Arial" w:hAnsi="Arial" w:cs="Arial"/>
                <w:color w:val="215868" w:themeColor="accent5" w:themeShade="80"/>
                <w:sz w:val="18"/>
                <w:szCs w:val="18"/>
              </w:rPr>
            </w:pPr>
            <w:r>
              <w:rPr>
                <w:rFonts w:ascii="Arial" w:hAnsi="Arial" w:cs="Arial"/>
                <w:color w:val="215868" w:themeColor="accent5" w:themeShade="80"/>
                <w:sz w:val="18"/>
                <w:szCs w:val="18"/>
              </w:rPr>
              <w:t>J</w:t>
            </w:r>
            <w:r w:rsidR="00BD60AA">
              <w:rPr>
                <w:rFonts w:ascii="Arial" w:hAnsi="Arial" w:cs="Arial"/>
                <w:color w:val="215868" w:themeColor="accent5" w:themeShade="80"/>
                <w:sz w:val="18"/>
                <w:szCs w:val="18"/>
              </w:rPr>
              <w:t>une</w:t>
            </w:r>
            <w:r w:rsidR="00A96063">
              <w:rPr>
                <w:rFonts w:ascii="Arial" w:hAnsi="Arial" w:cs="Arial"/>
                <w:color w:val="215868" w:themeColor="accent5" w:themeShade="80"/>
                <w:sz w:val="18"/>
                <w:szCs w:val="18"/>
              </w:rPr>
              <w:t xml:space="preserve"> </w:t>
            </w:r>
            <w:r w:rsidR="00112E9A">
              <w:rPr>
                <w:rFonts w:ascii="Arial" w:hAnsi="Arial" w:cs="Arial"/>
                <w:color w:val="215868" w:themeColor="accent5" w:themeShade="80"/>
                <w:sz w:val="18"/>
                <w:szCs w:val="18"/>
              </w:rPr>
              <w:t>2022</w:t>
            </w:r>
          </w:p>
        </w:tc>
        <w:tc>
          <w:tcPr>
            <w:tcW w:w="1276" w:type="dxa"/>
            <w:tcBorders>
              <w:left w:val="none" w:sz="0" w:space="0" w:color="auto"/>
              <w:right w:val="none" w:sz="0" w:space="0" w:color="auto"/>
            </w:tcBorders>
            <w:vAlign w:val="center"/>
          </w:tcPr>
          <w:p w14:paraId="112F661F" w14:textId="398EED68" w:rsidR="00A225AD" w:rsidRPr="00361BCC" w:rsidRDefault="00A225AD"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sidRPr="00361BCC">
              <w:rPr>
                <w:rFonts w:ascii="Arial" w:hAnsi="Arial" w:cs="Arial"/>
                <w:b/>
                <w:bCs/>
                <w:color w:val="215868" w:themeColor="accent5" w:themeShade="80"/>
                <w:sz w:val="18"/>
                <w:szCs w:val="20"/>
              </w:rPr>
              <w:t>$</w:t>
            </w:r>
            <w:r w:rsidR="00BD7CB1">
              <w:rPr>
                <w:rFonts w:ascii="Arial" w:hAnsi="Arial" w:cs="Arial"/>
                <w:b/>
                <w:bCs/>
                <w:color w:val="215868" w:themeColor="accent5" w:themeShade="80"/>
                <w:sz w:val="18"/>
                <w:szCs w:val="20"/>
              </w:rPr>
              <w:t>6.082</w:t>
            </w:r>
            <w:r w:rsidRPr="00361BCC">
              <w:rPr>
                <w:rFonts w:ascii="Arial" w:hAnsi="Arial" w:cs="Arial"/>
                <w:b/>
                <w:bCs/>
                <w:color w:val="215868" w:themeColor="accent5" w:themeShade="80"/>
                <w:sz w:val="18"/>
                <w:szCs w:val="20"/>
              </w:rPr>
              <w:t>B</w:t>
            </w:r>
          </w:p>
        </w:tc>
        <w:tc>
          <w:tcPr>
            <w:tcW w:w="1291" w:type="dxa"/>
            <w:tcBorders>
              <w:left w:val="none" w:sz="0" w:space="0" w:color="auto"/>
              <w:right w:val="none" w:sz="0" w:space="0" w:color="auto"/>
            </w:tcBorders>
            <w:vAlign w:val="center"/>
          </w:tcPr>
          <w:p w14:paraId="626D5FC4" w14:textId="0243E927" w:rsidR="00A225AD" w:rsidRPr="00361BCC" w:rsidRDefault="00BA7456"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BD7CB1">
              <w:rPr>
                <w:rFonts w:ascii="Arial" w:hAnsi="Arial" w:cs="Arial"/>
                <w:b/>
                <w:bCs/>
                <w:color w:val="215868" w:themeColor="accent5" w:themeShade="80"/>
                <w:sz w:val="18"/>
                <w:szCs w:val="20"/>
              </w:rPr>
              <w:t>1.4</w:t>
            </w:r>
            <w:r w:rsidR="00A225AD" w:rsidRPr="00361BCC">
              <w:rPr>
                <w:rFonts w:ascii="Arial" w:hAnsi="Arial" w:cs="Arial"/>
                <w:b/>
                <w:bCs/>
                <w:color w:val="215868" w:themeColor="accent5" w:themeShade="80"/>
                <w:sz w:val="18"/>
                <w:szCs w:val="20"/>
              </w:rPr>
              <w:t>%</w:t>
            </w:r>
          </w:p>
        </w:tc>
        <w:tc>
          <w:tcPr>
            <w:tcW w:w="1291" w:type="dxa"/>
            <w:tcBorders>
              <w:left w:val="none" w:sz="0" w:space="0" w:color="auto"/>
              <w:right w:val="none" w:sz="0" w:space="0" w:color="auto"/>
            </w:tcBorders>
            <w:vAlign w:val="center"/>
          </w:tcPr>
          <w:p w14:paraId="18FFDE5D" w14:textId="7AEA4B8A" w:rsidR="00A225AD" w:rsidRPr="00361BCC" w:rsidRDefault="009D7889"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BD7CB1">
              <w:rPr>
                <w:rFonts w:ascii="Arial" w:hAnsi="Arial" w:cs="Arial"/>
                <w:b/>
                <w:bCs/>
                <w:color w:val="215868" w:themeColor="accent5" w:themeShade="80"/>
                <w:sz w:val="18"/>
                <w:szCs w:val="20"/>
              </w:rPr>
              <w:t>5.2</w:t>
            </w:r>
            <w:r w:rsidR="00A225AD" w:rsidRPr="00361BCC">
              <w:rPr>
                <w:rFonts w:ascii="Arial" w:hAnsi="Arial" w:cs="Arial"/>
                <w:b/>
                <w:bCs/>
                <w:color w:val="215868" w:themeColor="accent5" w:themeShade="80"/>
                <w:sz w:val="18"/>
                <w:szCs w:val="20"/>
              </w:rPr>
              <w:t>%</w:t>
            </w:r>
          </w:p>
        </w:tc>
      </w:tr>
      <w:tr w:rsidR="005B198A" w:rsidRPr="00E736B9" w14:paraId="0E6C1C11" w14:textId="77777777" w:rsidTr="00AF4FDD">
        <w:trPr>
          <w:trHeight w:val="25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11A1C270" w14:textId="6209E289" w:rsidR="005B198A" w:rsidRPr="00E736B9" w:rsidRDefault="005B198A" w:rsidP="005B198A">
            <w:pPr>
              <w:pStyle w:val="NoSpacing"/>
              <w:rPr>
                <w:rFonts w:ascii="Arial" w:hAnsi="Arial" w:cs="Arial"/>
                <w:b w:val="0"/>
                <w:color w:val="215868" w:themeColor="accent5" w:themeShade="80"/>
                <w:sz w:val="18"/>
                <w:szCs w:val="18"/>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xml:space="preserve">. </w:t>
            </w:r>
            <w:r w:rsidR="00BD60AA">
              <w:rPr>
                <w:rFonts w:ascii="Arial" w:hAnsi="Arial" w:cs="Arial"/>
                <w:b w:val="0"/>
                <w:color w:val="215868" w:themeColor="accent5" w:themeShade="80"/>
                <w:sz w:val="18"/>
                <w:szCs w:val="18"/>
              </w:rPr>
              <w:t>6/5</w:t>
            </w:r>
            <w:r>
              <w:rPr>
                <w:rFonts w:ascii="Arial" w:hAnsi="Arial" w:cs="Arial"/>
                <w:b w:val="0"/>
                <w:color w:val="215868" w:themeColor="accent5" w:themeShade="80"/>
                <w:sz w:val="18"/>
                <w:szCs w:val="18"/>
              </w:rPr>
              <w:t>/2022</w:t>
            </w:r>
          </w:p>
        </w:tc>
        <w:tc>
          <w:tcPr>
            <w:tcW w:w="1276" w:type="dxa"/>
            <w:vAlign w:val="center"/>
          </w:tcPr>
          <w:p w14:paraId="05ACFCB0" w14:textId="23055F72" w:rsidR="005B198A" w:rsidRPr="005B198A" w:rsidRDefault="005B198A" w:rsidP="005B198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1.552</w:t>
            </w:r>
            <w:r w:rsidRPr="005B198A">
              <w:rPr>
                <w:rFonts w:ascii="Arial" w:hAnsi="Arial" w:cs="Arial"/>
                <w:color w:val="215868" w:themeColor="accent5" w:themeShade="80"/>
                <w:sz w:val="18"/>
                <w:szCs w:val="20"/>
              </w:rPr>
              <w:t>B</w:t>
            </w:r>
          </w:p>
        </w:tc>
        <w:tc>
          <w:tcPr>
            <w:tcW w:w="1291" w:type="dxa"/>
            <w:vAlign w:val="center"/>
          </w:tcPr>
          <w:p w14:paraId="58668FAD" w14:textId="7B8BF0EA" w:rsidR="005B198A" w:rsidRPr="005B198A" w:rsidRDefault="002C4F5A" w:rsidP="005B198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2.9</w:t>
            </w:r>
            <w:r w:rsidR="005B198A" w:rsidRPr="005B198A">
              <w:rPr>
                <w:rFonts w:ascii="Arial" w:hAnsi="Arial" w:cs="Arial"/>
                <w:color w:val="215868" w:themeColor="accent5" w:themeShade="80"/>
                <w:sz w:val="18"/>
                <w:szCs w:val="20"/>
              </w:rPr>
              <w:t>%</w:t>
            </w:r>
          </w:p>
        </w:tc>
        <w:tc>
          <w:tcPr>
            <w:tcW w:w="1291" w:type="dxa"/>
            <w:vAlign w:val="center"/>
          </w:tcPr>
          <w:p w14:paraId="71A2D256" w14:textId="326F0216" w:rsidR="005B198A" w:rsidRPr="005B198A" w:rsidRDefault="005B198A" w:rsidP="005B198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3.8</w:t>
            </w:r>
            <w:r w:rsidRPr="005B198A">
              <w:rPr>
                <w:rFonts w:ascii="Arial" w:hAnsi="Arial" w:cs="Arial"/>
                <w:color w:val="215868" w:themeColor="accent5" w:themeShade="80"/>
                <w:sz w:val="18"/>
                <w:szCs w:val="20"/>
              </w:rPr>
              <w:t>%</w:t>
            </w:r>
          </w:p>
        </w:tc>
      </w:tr>
      <w:tr w:rsidR="005B198A" w:rsidRPr="00E736B9" w14:paraId="6851F49E" w14:textId="77777777" w:rsidTr="00AF4FD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647D5E2A" w14:textId="6C5E67AC" w:rsidR="005B198A" w:rsidRPr="00E736B9" w:rsidRDefault="005B198A" w:rsidP="005B198A">
            <w:pPr>
              <w:rPr>
                <w:color w:val="215868" w:themeColor="accent5" w:themeShade="80"/>
              </w:rPr>
            </w:pPr>
            <w:proofErr w:type="spellStart"/>
            <w:r w:rsidRPr="00E736B9">
              <w:rPr>
                <w:rFonts w:ascii="Arial" w:hAnsi="Arial" w:cs="Arial"/>
                <w:b w:val="0"/>
                <w:color w:val="215868" w:themeColor="accent5" w:themeShade="80"/>
                <w:sz w:val="18"/>
                <w:szCs w:val="18"/>
              </w:rPr>
              <w:t>w.e</w:t>
            </w:r>
            <w:proofErr w:type="spellEnd"/>
            <w:r w:rsidRPr="00E736B9">
              <w:rPr>
                <w:rFonts w:ascii="Arial" w:hAnsi="Arial" w:cs="Arial"/>
                <w:b w:val="0"/>
                <w:color w:val="215868" w:themeColor="accent5" w:themeShade="80"/>
                <w:sz w:val="18"/>
                <w:szCs w:val="18"/>
              </w:rPr>
              <w:t xml:space="preserve">. </w:t>
            </w:r>
            <w:r w:rsidR="00BD60AA">
              <w:rPr>
                <w:rFonts w:ascii="Arial" w:hAnsi="Arial" w:cs="Arial"/>
                <w:b w:val="0"/>
                <w:color w:val="215868" w:themeColor="accent5" w:themeShade="80"/>
                <w:sz w:val="18"/>
                <w:szCs w:val="18"/>
              </w:rPr>
              <w:t>6/12</w:t>
            </w:r>
            <w:r>
              <w:rPr>
                <w:rFonts w:ascii="Arial" w:hAnsi="Arial" w:cs="Arial"/>
                <w:b w:val="0"/>
                <w:color w:val="215868" w:themeColor="accent5" w:themeShade="80"/>
                <w:sz w:val="18"/>
                <w:szCs w:val="18"/>
              </w:rPr>
              <w:t>/2022</w:t>
            </w:r>
          </w:p>
        </w:tc>
        <w:tc>
          <w:tcPr>
            <w:tcW w:w="1276" w:type="dxa"/>
            <w:tcBorders>
              <w:left w:val="none" w:sz="0" w:space="0" w:color="auto"/>
              <w:right w:val="none" w:sz="0" w:space="0" w:color="auto"/>
            </w:tcBorders>
            <w:vAlign w:val="center"/>
          </w:tcPr>
          <w:p w14:paraId="38924E9F" w14:textId="54F7B371" w:rsidR="005B198A" w:rsidRPr="005B198A" w:rsidRDefault="005B198A" w:rsidP="005B198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1.519</w:t>
            </w:r>
            <w:r w:rsidRPr="005B198A">
              <w:rPr>
                <w:rFonts w:ascii="Arial" w:hAnsi="Arial" w:cs="Arial"/>
                <w:color w:val="215868" w:themeColor="accent5" w:themeShade="80"/>
                <w:sz w:val="18"/>
                <w:szCs w:val="20"/>
              </w:rPr>
              <w:t>B</w:t>
            </w:r>
          </w:p>
        </w:tc>
        <w:tc>
          <w:tcPr>
            <w:tcW w:w="1291" w:type="dxa"/>
            <w:tcBorders>
              <w:left w:val="none" w:sz="0" w:space="0" w:color="auto"/>
              <w:right w:val="none" w:sz="0" w:space="0" w:color="auto"/>
            </w:tcBorders>
            <w:vAlign w:val="center"/>
          </w:tcPr>
          <w:p w14:paraId="5FDEE9AD" w14:textId="7C04FBC5" w:rsidR="005B198A" w:rsidRPr="005B198A" w:rsidRDefault="005B198A" w:rsidP="005B198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1.1</w:t>
            </w:r>
            <w:r w:rsidRPr="005B198A">
              <w:rPr>
                <w:rFonts w:ascii="Arial" w:hAnsi="Arial" w:cs="Arial"/>
                <w:color w:val="215868" w:themeColor="accent5" w:themeShade="80"/>
                <w:sz w:val="18"/>
                <w:szCs w:val="20"/>
              </w:rPr>
              <w:t>%</w:t>
            </w:r>
          </w:p>
        </w:tc>
        <w:tc>
          <w:tcPr>
            <w:tcW w:w="1291" w:type="dxa"/>
            <w:tcBorders>
              <w:left w:val="none" w:sz="0" w:space="0" w:color="auto"/>
              <w:right w:val="none" w:sz="0" w:space="0" w:color="auto"/>
            </w:tcBorders>
            <w:vAlign w:val="center"/>
          </w:tcPr>
          <w:p w14:paraId="05B7695E" w14:textId="2905A122" w:rsidR="005B198A" w:rsidRPr="005B198A" w:rsidRDefault="005B198A" w:rsidP="005B198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6.0</w:t>
            </w:r>
            <w:r w:rsidRPr="005B198A">
              <w:rPr>
                <w:rFonts w:ascii="Arial" w:hAnsi="Arial" w:cs="Arial"/>
                <w:color w:val="215868" w:themeColor="accent5" w:themeShade="80"/>
                <w:sz w:val="18"/>
                <w:szCs w:val="20"/>
              </w:rPr>
              <w:t>%</w:t>
            </w:r>
          </w:p>
        </w:tc>
      </w:tr>
      <w:tr w:rsidR="005B198A" w:rsidRPr="00E736B9" w14:paraId="0D2847A6" w14:textId="77777777" w:rsidTr="00AF4FDD">
        <w:trPr>
          <w:trHeight w:val="25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B223774" w14:textId="4CD4D584" w:rsidR="005B198A" w:rsidRPr="00E736B9" w:rsidRDefault="005B198A" w:rsidP="005B198A">
            <w:pPr>
              <w:rPr>
                <w:color w:val="215868" w:themeColor="accent5" w:themeShade="80"/>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xml:space="preserve">. </w:t>
            </w:r>
            <w:r w:rsidR="00BD60AA">
              <w:rPr>
                <w:rFonts w:ascii="Arial" w:hAnsi="Arial" w:cs="Arial"/>
                <w:b w:val="0"/>
                <w:color w:val="215868" w:themeColor="accent5" w:themeShade="80"/>
                <w:sz w:val="18"/>
                <w:szCs w:val="18"/>
              </w:rPr>
              <w:t>6/19</w:t>
            </w:r>
            <w:r>
              <w:rPr>
                <w:rFonts w:ascii="Arial" w:hAnsi="Arial" w:cs="Arial"/>
                <w:b w:val="0"/>
                <w:color w:val="215868" w:themeColor="accent5" w:themeShade="80"/>
                <w:sz w:val="18"/>
                <w:szCs w:val="18"/>
              </w:rPr>
              <w:t>/2022</w:t>
            </w:r>
          </w:p>
        </w:tc>
        <w:tc>
          <w:tcPr>
            <w:tcW w:w="1276" w:type="dxa"/>
            <w:vAlign w:val="center"/>
          </w:tcPr>
          <w:p w14:paraId="5AB61FC0" w14:textId="025FA185" w:rsidR="005B198A" w:rsidRPr="005B198A" w:rsidRDefault="005B198A" w:rsidP="005B198A">
            <w:pPr>
              <w:jc w:val="right"/>
              <w:cnfStyle w:val="000000000000" w:firstRow="0" w:lastRow="0" w:firstColumn="0" w:lastColumn="0" w:oddVBand="0" w:evenVBand="0" w:oddHBand="0" w:evenHBand="0" w:firstRowFirstColumn="0" w:firstRowLastColumn="0" w:lastRowFirstColumn="0" w:lastRowLastColumn="0"/>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1.536</w:t>
            </w:r>
            <w:r w:rsidRPr="005B198A">
              <w:rPr>
                <w:rFonts w:ascii="Arial" w:hAnsi="Arial" w:cs="Arial"/>
                <w:color w:val="215868" w:themeColor="accent5" w:themeShade="80"/>
                <w:sz w:val="18"/>
                <w:szCs w:val="20"/>
              </w:rPr>
              <w:t>B</w:t>
            </w:r>
          </w:p>
        </w:tc>
        <w:tc>
          <w:tcPr>
            <w:tcW w:w="1291" w:type="dxa"/>
            <w:vAlign w:val="center"/>
          </w:tcPr>
          <w:p w14:paraId="17ECF4F3" w14:textId="3D58479A" w:rsidR="005B198A" w:rsidRPr="005B198A" w:rsidRDefault="005B198A" w:rsidP="005B198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0.6</w:t>
            </w:r>
            <w:r w:rsidRPr="005B198A">
              <w:rPr>
                <w:rFonts w:ascii="Arial" w:hAnsi="Arial" w:cs="Arial"/>
                <w:color w:val="215868" w:themeColor="accent5" w:themeShade="80"/>
                <w:sz w:val="18"/>
                <w:szCs w:val="20"/>
              </w:rPr>
              <w:t>%</w:t>
            </w:r>
          </w:p>
        </w:tc>
        <w:tc>
          <w:tcPr>
            <w:tcW w:w="1291" w:type="dxa"/>
            <w:vAlign w:val="center"/>
          </w:tcPr>
          <w:p w14:paraId="787DCCD7" w14:textId="52B1AB73" w:rsidR="005B198A" w:rsidRPr="005B198A" w:rsidRDefault="002C4F5A" w:rsidP="005B198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5.9</w:t>
            </w:r>
            <w:r w:rsidR="005B198A" w:rsidRPr="005B198A">
              <w:rPr>
                <w:rFonts w:ascii="Arial" w:hAnsi="Arial" w:cs="Arial"/>
                <w:color w:val="215868" w:themeColor="accent5" w:themeShade="80"/>
                <w:sz w:val="18"/>
                <w:szCs w:val="20"/>
              </w:rPr>
              <w:t>%</w:t>
            </w:r>
          </w:p>
        </w:tc>
      </w:tr>
      <w:tr w:rsidR="005B198A" w:rsidRPr="00E736B9" w14:paraId="480D89B1" w14:textId="77777777" w:rsidTr="00AF4FD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5D516260" w14:textId="16AF0008" w:rsidR="005B198A" w:rsidRPr="00E736B9" w:rsidRDefault="005B198A" w:rsidP="005B198A">
            <w:pPr>
              <w:rPr>
                <w:color w:val="215868" w:themeColor="accent5" w:themeShade="80"/>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xml:space="preserve">. </w:t>
            </w:r>
            <w:r w:rsidR="00BD60AA">
              <w:rPr>
                <w:rFonts w:ascii="Arial" w:hAnsi="Arial" w:cs="Arial"/>
                <w:b w:val="0"/>
                <w:color w:val="215868" w:themeColor="accent5" w:themeShade="80"/>
                <w:sz w:val="18"/>
                <w:szCs w:val="18"/>
              </w:rPr>
              <w:t>6/26</w:t>
            </w:r>
            <w:r>
              <w:rPr>
                <w:rFonts w:ascii="Arial" w:hAnsi="Arial" w:cs="Arial"/>
                <w:b w:val="0"/>
                <w:color w:val="215868" w:themeColor="accent5" w:themeShade="80"/>
                <w:sz w:val="18"/>
                <w:szCs w:val="18"/>
              </w:rPr>
              <w:t>/2022</w:t>
            </w:r>
          </w:p>
        </w:tc>
        <w:tc>
          <w:tcPr>
            <w:tcW w:w="1276" w:type="dxa"/>
            <w:tcBorders>
              <w:left w:val="none" w:sz="0" w:space="0" w:color="auto"/>
              <w:right w:val="none" w:sz="0" w:space="0" w:color="auto"/>
            </w:tcBorders>
            <w:vAlign w:val="center"/>
          </w:tcPr>
          <w:p w14:paraId="1637EA20" w14:textId="4D27FA79" w:rsidR="005B198A" w:rsidRPr="005B198A" w:rsidRDefault="005B198A" w:rsidP="005B198A">
            <w:pPr>
              <w:jc w:val="right"/>
              <w:cnfStyle w:val="000000100000" w:firstRow="0" w:lastRow="0" w:firstColumn="0" w:lastColumn="0" w:oddVBand="0" w:evenVBand="0" w:oddHBand="1" w:evenHBand="0" w:firstRowFirstColumn="0" w:firstRowLastColumn="0" w:lastRowFirstColumn="0" w:lastRowLastColumn="0"/>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1.475</w:t>
            </w:r>
            <w:r w:rsidRPr="005B198A">
              <w:rPr>
                <w:rFonts w:ascii="Arial" w:hAnsi="Arial" w:cs="Arial"/>
                <w:color w:val="215868" w:themeColor="accent5" w:themeShade="80"/>
                <w:sz w:val="18"/>
                <w:szCs w:val="20"/>
              </w:rPr>
              <w:t>B</w:t>
            </w:r>
          </w:p>
        </w:tc>
        <w:tc>
          <w:tcPr>
            <w:tcW w:w="1291" w:type="dxa"/>
            <w:tcBorders>
              <w:left w:val="none" w:sz="0" w:space="0" w:color="auto"/>
              <w:right w:val="none" w:sz="0" w:space="0" w:color="auto"/>
            </w:tcBorders>
            <w:vAlign w:val="center"/>
          </w:tcPr>
          <w:p w14:paraId="7A1D7AA7" w14:textId="20CE388A" w:rsidR="005B198A" w:rsidRPr="005B198A" w:rsidRDefault="002C4F5A" w:rsidP="005B198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1.1</w:t>
            </w:r>
            <w:r w:rsidR="005B198A" w:rsidRPr="005B198A">
              <w:rPr>
                <w:rFonts w:ascii="Arial" w:hAnsi="Arial" w:cs="Arial"/>
                <w:color w:val="215868" w:themeColor="accent5" w:themeShade="80"/>
                <w:sz w:val="18"/>
                <w:szCs w:val="20"/>
              </w:rPr>
              <w:t>%</w:t>
            </w:r>
          </w:p>
        </w:tc>
        <w:tc>
          <w:tcPr>
            <w:tcW w:w="1291" w:type="dxa"/>
            <w:tcBorders>
              <w:left w:val="none" w:sz="0" w:space="0" w:color="auto"/>
              <w:right w:val="none" w:sz="0" w:space="0" w:color="auto"/>
            </w:tcBorders>
            <w:vAlign w:val="center"/>
          </w:tcPr>
          <w:p w14:paraId="57F75F3D" w14:textId="66F82A6F" w:rsidR="005B198A" w:rsidRPr="005B198A" w:rsidRDefault="005B198A" w:rsidP="005B198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5B198A">
              <w:rPr>
                <w:rFonts w:ascii="Arial" w:hAnsi="Arial" w:cs="Arial"/>
                <w:color w:val="215868" w:themeColor="accent5" w:themeShade="80"/>
                <w:sz w:val="18"/>
                <w:szCs w:val="20"/>
              </w:rPr>
              <w:t>-</w:t>
            </w:r>
            <w:r w:rsidR="00BD7CB1">
              <w:rPr>
                <w:rFonts w:ascii="Arial" w:hAnsi="Arial" w:cs="Arial"/>
                <w:color w:val="215868" w:themeColor="accent5" w:themeShade="80"/>
                <w:sz w:val="18"/>
                <w:szCs w:val="20"/>
              </w:rPr>
              <w:t>5.1</w:t>
            </w:r>
            <w:r w:rsidRPr="005B198A">
              <w:rPr>
                <w:rFonts w:ascii="Arial" w:hAnsi="Arial" w:cs="Arial"/>
                <w:color w:val="215868" w:themeColor="accent5" w:themeShade="80"/>
                <w:sz w:val="18"/>
                <w:szCs w:val="20"/>
              </w:rPr>
              <w:t>%</w:t>
            </w:r>
          </w:p>
        </w:tc>
      </w:tr>
    </w:tbl>
    <w:p w14:paraId="2E1C73C4" w14:textId="7FAA003C" w:rsidR="00253765" w:rsidRDefault="002C4F5A" w:rsidP="00D4285A">
      <w:pPr>
        <w:spacing w:after="0" w:line="240" w:lineRule="auto"/>
        <w:rPr>
          <w:rFonts w:ascii="Arial" w:hAnsi="Arial" w:cs="Arial"/>
          <w:sz w:val="20"/>
          <w:szCs w:val="20"/>
        </w:rPr>
      </w:pPr>
      <w:r>
        <w:rPr>
          <w:rFonts w:ascii="Arial" w:hAnsi="Arial" w:cs="Arial"/>
          <w:sz w:val="20"/>
          <w:szCs w:val="20"/>
        </w:rPr>
        <w:t xml:space="preserve">Each of the </w:t>
      </w:r>
      <w:r w:rsidR="00BD7CB1">
        <w:rPr>
          <w:rFonts w:ascii="Arial" w:hAnsi="Arial" w:cs="Arial"/>
          <w:sz w:val="20"/>
          <w:szCs w:val="20"/>
        </w:rPr>
        <w:t xml:space="preserve">June </w:t>
      </w:r>
      <w:r>
        <w:rPr>
          <w:rFonts w:ascii="Arial" w:hAnsi="Arial" w:cs="Arial"/>
          <w:sz w:val="20"/>
          <w:szCs w:val="20"/>
        </w:rPr>
        <w:t xml:space="preserve">weeks generated between $1.4 and $1.6 billion in fresh produce sales. The </w:t>
      </w:r>
      <w:r w:rsidR="008A426C">
        <w:rPr>
          <w:rFonts w:ascii="Arial" w:hAnsi="Arial" w:cs="Arial"/>
          <w:sz w:val="20"/>
          <w:szCs w:val="20"/>
        </w:rPr>
        <w:t>first week</w:t>
      </w:r>
      <w:r>
        <w:rPr>
          <w:rFonts w:ascii="Arial" w:hAnsi="Arial" w:cs="Arial"/>
          <w:sz w:val="20"/>
          <w:szCs w:val="20"/>
        </w:rPr>
        <w:t xml:space="preserve"> was the strongest, at $1.</w:t>
      </w:r>
      <w:r w:rsidR="00A072B4">
        <w:rPr>
          <w:rFonts w:ascii="Arial" w:hAnsi="Arial" w:cs="Arial"/>
          <w:sz w:val="20"/>
          <w:szCs w:val="20"/>
        </w:rPr>
        <w:t>5</w:t>
      </w:r>
      <w:r w:rsidR="008A426C">
        <w:rPr>
          <w:rFonts w:ascii="Arial" w:hAnsi="Arial" w:cs="Arial"/>
          <w:sz w:val="20"/>
          <w:szCs w:val="20"/>
        </w:rPr>
        <w:t>5</w:t>
      </w:r>
      <w:r>
        <w:rPr>
          <w:rFonts w:ascii="Arial" w:hAnsi="Arial" w:cs="Arial"/>
          <w:sz w:val="20"/>
          <w:szCs w:val="20"/>
        </w:rPr>
        <w:t xml:space="preserve"> billion</w:t>
      </w:r>
      <w:r w:rsidR="008A426C">
        <w:rPr>
          <w:rFonts w:ascii="Arial" w:hAnsi="Arial" w:cs="Arial"/>
          <w:sz w:val="20"/>
          <w:szCs w:val="20"/>
        </w:rPr>
        <w:t>; however, the third week which proceeded Father’s Day, also saw $1.536B in sales</w:t>
      </w:r>
      <w:r w:rsidR="002F2661">
        <w:rPr>
          <w:rFonts w:ascii="Arial" w:hAnsi="Arial" w:cs="Arial"/>
          <w:sz w:val="20"/>
          <w:szCs w:val="20"/>
        </w:rPr>
        <w:t>.</w:t>
      </w:r>
      <w:r>
        <w:rPr>
          <w:rFonts w:ascii="Arial" w:hAnsi="Arial" w:cs="Arial"/>
          <w:sz w:val="20"/>
          <w:szCs w:val="20"/>
        </w:rPr>
        <w:t xml:space="preserve"> </w:t>
      </w:r>
      <w:r w:rsidR="00A072B4">
        <w:rPr>
          <w:rFonts w:ascii="Arial" w:hAnsi="Arial" w:cs="Arial"/>
          <w:sz w:val="20"/>
          <w:szCs w:val="20"/>
        </w:rPr>
        <w:t>V</w:t>
      </w:r>
      <w:r>
        <w:rPr>
          <w:rFonts w:ascii="Arial" w:hAnsi="Arial" w:cs="Arial"/>
          <w:sz w:val="20"/>
          <w:szCs w:val="20"/>
        </w:rPr>
        <w:t xml:space="preserve">olume </w:t>
      </w:r>
      <w:r w:rsidR="00A072B4">
        <w:rPr>
          <w:rFonts w:ascii="Arial" w:hAnsi="Arial" w:cs="Arial"/>
          <w:sz w:val="20"/>
          <w:szCs w:val="20"/>
        </w:rPr>
        <w:t xml:space="preserve">sales, on the other hand, </w:t>
      </w:r>
      <w:r>
        <w:rPr>
          <w:rFonts w:ascii="Arial" w:hAnsi="Arial" w:cs="Arial"/>
          <w:sz w:val="20"/>
          <w:szCs w:val="20"/>
        </w:rPr>
        <w:t>w</w:t>
      </w:r>
      <w:r w:rsidR="00A072B4">
        <w:rPr>
          <w:rFonts w:ascii="Arial" w:hAnsi="Arial" w:cs="Arial"/>
          <w:sz w:val="20"/>
          <w:szCs w:val="20"/>
        </w:rPr>
        <w:t>ere</w:t>
      </w:r>
      <w:r>
        <w:rPr>
          <w:rFonts w:ascii="Arial" w:hAnsi="Arial" w:cs="Arial"/>
          <w:sz w:val="20"/>
          <w:szCs w:val="20"/>
        </w:rPr>
        <w:t xml:space="preserve"> down consistently, whether an everyday or holiday week</w:t>
      </w:r>
      <w:r w:rsidR="008A426C">
        <w:rPr>
          <w:rFonts w:ascii="Arial" w:hAnsi="Arial" w:cs="Arial"/>
          <w:sz w:val="20"/>
          <w:szCs w:val="20"/>
        </w:rPr>
        <w:t>, from June 2021 levels</w:t>
      </w:r>
      <w:r>
        <w:rPr>
          <w:rFonts w:ascii="Arial" w:hAnsi="Arial" w:cs="Arial"/>
          <w:sz w:val="20"/>
          <w:szCs w:val="20"/>
        </w:rPr>
        <w:t>.</w:t>
      </w:r>
      <w:r w:rsidR="002F2661">
        <w:rPr>
          <w:rFonts w:ascii="Arial" w:hAnsi="Arial" w:cs="Arial"/>
          <w:sz w:val="20"/>
          <w:szCs w:val="20"/>
        </w:rPr>
        <w:t xml:space="preserve"> </w:t>
      </w:r>
    </w:p>
    <w:p w14:paraId="3D60D6F7" w14:textId="7608788F" w:rsidR="00253765" w:rsidRDefault="00253765" w:rsidP="00D4285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521DE452" wp14:editId="46536706">
                <wp:simplePos x="0" y="0"/>
                <wp:positionH relativeFrom="column">
                  <wp:posOffset>3100126</wp:posOffset>
                </wp:positionH>
                <wp:positionV relativeFrom="paragraph">
                  <wp:posOffset>2346</wp:posOffset>
                </wp:positionV>
                <wp:extent cx="3547745" cy="20066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200660"/>
                        </a:xfrm>
                        <a:prstGeom prst="rect">
                          <a:avLst/>
                        </a:prstGeom>
                        <a:solidFill>
                          <a:srgbClr val="FFFFFF"/>
                        </a:solidFill>
                        <a:ln>
                          <a:noFill/>
                        </a:ln>
                      </wps:spPr>
                      <wps:txbx>
                        <w:txbxContent>
                          <w:p w14:paraId="61B6AA1E" w14:textId="77777777" w:rsidR="00112E9A" w:rsidRDefault="00112E9A" w:rsidP="0053257C">
                            <w:pPr>
                              <w:pStyle w:val="NoSpacing"/>
                            </w:pPr>
                            <w:r>
                              <w:rPr>
                                <w:rFonts w:ascii="Arial" w:hAnsi="Arial" w:cs="Arial"/>
                                <w:sz w:val="16"/>
                                <w:szCs w:val="16"/>
                              </w:rPr>
                              <w:t>Source: IRI, Integrated Fresh, Total US, MULO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DE452" id="_x0000_t202" coordsize="21600,21600" o:spt="202" path="m,l,21600r21600,l21600,xe">
                <v:stroke joinstyle="miter"/>
                <v:path gradientshapeok="t" o:connecttype="rect"/>
              </v:shapetype>
              <v:shape id="Text Box 7" o:spid="_x0000_s1026" type="#_x0000_t202" style="position:absolute;margin-left:244.1pt;margin-top:.2pt;width:279.3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" stroked="f">
                <v:textbox>
                  <w:txbxContent>
                    <w:p w14:paraId="61B6AA1E" w14:textId="77777777" w:rsidR="00112E9A" w:rsidRDefault="00112E9A" w:rsidP="0053257C">
                      <w:pPr>
                        <w:pStyle w:val="NoSpacing"/>
                      </w:pPr>
                      <w:r>
                        <w:rPr>
                          <w:rFonts w:ascii="Arial" w:hAnsi="Arial" w:cs="Arial"/>
                          <w:sz w:val="16"/>
                          <w:szCs w:val="16"/>
                        </w:rPr>
                        <w:t>Source: IRI, Integrated Fresh, Total US, MULO</w:t>
                      </w:r>
                    </w:p>
                  </w:txbxContent>
                </v:textbox>
                <w10:wrap type="square"/>
              </v:shape>
            </w:pict>
          </mc:Fallback>
        </mc:AlternateContent>
      </w:r>
    </w:p>
    <w:p w14:paraId="03B014E3" w14:textId="1345130E" w:rsidR="005567F4" w:rsidRDefault="006B581A" w:rsidP="00D4285A">
      <w:pPr>
        <w:spacing w:after="0" w:line="240" w:lineRule="auto"/>
        <w:rPr>
          <w:rFonts w:ascii="Arial" w:hAnsi="Arial" w:cs="Arial"/>
          <w:sz w:val="20"/>
          <w:szCs w:val="20"/>
        </w:rPr>
      </w:pPr>
      <w:r>
        <w:rPr>
          <w:rFonts w:ascii="Arial" w:hAnsi="Arial" w:cs="Arial"/>
          <w:sz w:val="20"/>
          <w:szCs w:val="20"/>
        </w:rPr>
        <w:t>Sales patterns crossed over in the second quarter of 2022. Whereas fruit had been leading the 2021 and early 2022 growth, vegetables took over as the year-on-year growth leader</w:t>
      </w:r>
      <w:r w:rsidR="005A7C11">
        <w:rPr>
          <w:rFonts w:ascii="Arial" w:hAnsi="Arial" w:cs="Arial"/>
          <w:sz w:val="20"/>
          <w:szCs w:val="20"/>
        </w:rPr>
        <w:t xml:space="preserve"> come June. In part, this is due to vegetables showing higher inflation than fruit and in part it is because of going up against softer sales in June 2021 whereas fruit has the harder path to growth coming off a very strong 2021. </w:t>
      </w:r>
      <w:r w:rsidR="008A426C">
        <w:rPr>
          <w:rFonts w:ascii="Arial" w:hAnsi="Arial" w:cs="Arial"/>
          <w:sz w:val="20"/>
          <w:szCs w:val="20"/>
        </w:rPr>
        <w:t xml:space="preserve">“Shoppers continue to have around 79-80% of meals made in the home, as well as a continue boom in healthy snacking. Both trends favor produce strength, even despite year-over-year price increases,” said Parker. </w:t>
      </w:r>
    </w:p>
    <w:p w14:paraId="7AF020BD" w14:textId="7E6319D5" w:rsidR="00824EAC" w:rsidRDefault="00824EAC" w:rsidP="00D4285A">
      <w:pPr>
        <w:spacing w:after="0" w:line="240" w:lineRule="auto"/>
        <w:rPr>
          <w:rFonts w:ascii="Arial" w:hAnsi="Arial" w:cs="Arial"/>
          <w:sz w:val="20"/>
          <w:szCs w:val="20"/>
        </w:rPr>
      </w:pPr>
    </w:p>
    <w:p w14:paraId="3AE2F20C" w14:textId="2E891FB4" w:rsidR="00824EAC" w:rsidRDefault="006B581A" w:rsidP="00D4285A">
      <w:pPr>
        <w:spacing w:after="0" w:line="240" w:lineRule="auto"/>
        <w:rPr>
          <w:rFonts w:ascii="Arial" w:hAnsi="Arial" w:cs="Arial"/>
          <w:sz w:val="20"/>
          <w:szCs w:val="20"/>
        </w:rPr>
      </w:pPr>
      <w:r>
        <w:rPr>
          <w:noProof/>
        </w:rPr>
        <w:drawing>
          <wp:inline distT="0" distB="0" distL="0" distR="0" wp14:anchorId="5D91FC14" wp14:editId="38ADECF7">
            <wp:extent cx="6750685" cy="2859206"/>
            <wp:effectExtent l="0" t="0" r="0" b="0"/>
            <wp:docPr id="8" name="Chart 8">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B2008E" w14:textId="77777777" w:rsidR="0068309E" w:rsidRDefault="0068309E" w:rsidP="0068309E">
      <w:pPr>
        <w:pStyle w:val="NoSpacing"/>
        <w:rPr>
          <w:rFonts w:ascii="Arial" w:hAnsi="Arial" w:cs="Arial"/>
          <w:sz w:val="16"/>
          <w:szCs w:val="16"/>
        </w:rPr>
      </w:pPr>
      <w:r w:rsidRPr="00B35CE9">
        <w:rPr>
          <w:rFonts w:ascii="Arial" w:hAnsi="Arial" w:cs="Arial"/>
          <w:sz w:val="16"/>
          <w:szCs w:val="16"/>
        </w:rPr>
        <w:t>Source</w:t>
      </w:r>
      <w:r>
        <w:rPr>
          <w:rFonts w:ascii="Arial" w:hAnsi="Arial" w:cs="Arial"/>
          <w:sz w:val="16"/>
          <w:szCs w:val="16"/>
        </w:rPr>
        <w:t>: IRI Integrated Fresh, Total U.S., MULO</w:t>
      </w:r>
    </w:p>
    <w:p w14:paraId="3CCC5188" w14:textId="77777777" w:rsidR="0068309E" w:rsidRDefault="0068309E" w:rsidP="00151CCC">
      <w:pPr>
        <w:pStyle w:val="NoSpacing"/>
        <w:rPr>
          <w:rFonts w:ascii="Arial" w:hAnsi="Arial" w:cs="Arial"/>
          <w:sz w:val="20"/>
          <w:szCs w:val="20"/>
        </w:rPr>
      </w:pPr>
    </w:p>
    <w:p w14:paraId="05609152" w14:textId="77777777" w:rsidR="000A543A" w:rsidRDefault="000A543A" w:rsidP="00160D1A">
      <w:pPr>
        <w:pStyle w:val="NoSpacing"/>
        <w:rPr>
          <w:rFonts w:ascii="Arial" w:hAnsi="Arial" w:cs="Arial"/>
          <w:b/>
          <w:color w:val="595959" w:themeColor="text1" w:themeTint="A6"/>
          <w:sz w:val="24"/>
          <w:szCs w:val="24"/>
        </w:rPr>
      </w:pPr>
    </w:p>
    <w:p w14:paraId="64B3B221" w14:textId="5DC9080B" w:rsidR="00C573F6" w:rsidRPr="00507D74" w:rsidRDefault="00043B43" w:rsidP="00160D1A">
      <w:pPr>
        <w:pStyle w:val="NoSpacing"/>
        <w:rPr>
          <w:rFonts w:ascii="Arial" w:hAnsi="Arial" w:cs="Arial"/>
          <w:b/>
          <w:color w:val="595959" w:themeColor="text1" w:themeTint="A6"/>
          <w:sz w:val="24"/>
          <w:szCs w:val="24"/>
        </w:rPr>
      </w:pPr>
      <w:r w:rsidRPr="00507D74">
        <w:rPr>
          <w:rFonts w:ascii="Arial" w:hAnsi="Arial" w:cs="Arial"/>
          <w:b/>
          <w:color w:val="595959" w:themeColor="text1" w:themeTint="A6"/>
          <w:sz w:val="24"/>
          <w:szCs w:val="24"/>
        </w:rPr>
        <w:t xml:space="preserve">Fresh </w:t>
      </w:r>
      <w:r w:rsidR="00C23843">
        <w:rPr>
          <w:rFonts w:ascii="Arial" w:hAnsi="Arial" w:cs="Arial"/>
          <w:b/>
          <w:color w:val="595959" w:themeColor="text1" w:themeTint="A6"/>
          <w:sz w:val="24"/>
          <w:szCs w:val="24"/>
        </w:rPr>
        <w:t xml:space="preserve">Produce </w:t>
      </w:r>
      <w:r w:rsidRPr="00507D74">
        <w:rPr>
          <w:rFonts w:ascii="Arial" w:hAnsi="Arial" w:cs="Arial"/>
          <w:b/>
          <w:color w:val="595959" w:themeColor="text1" w:themeTint="A6"/>
          <w:sz w:val="24"/>
          <w:szCs w:val="24"/>
        </w:rPr>
        <w:t>Share</w:t>
      </w:r>
      <w:r w:rsidR="00EB33CE">
        <w:rPr>
          <w:rFonts w:ascii="Arial" w:hAnsi="Arial" w:cs="Arial"/>
          <w:b/>
          <w:color w:val="595959" w:themeColor="text1" w:themeTint="A6"/>
          <w:sz w:val="24"/>
          <w:szCs w:val="24"/>
        </w:rPr>
        <w:t xml:space="preserve"> </w:t>
      </w:r>
      <w:r w:rsidR="00C23843">
        <w:rPr>
          <w:rFonts w:ascii="Arial" w:hAnsi="Arial" w:cs="Arial"/>
          <w:b/>
          <w:color w:val="595959" w:themeColor="text1" w:themeTint="A6"/>
          <w:sz w:val="24"/>
          <w:szCs w:val="24"/>
        </w:rPr>
        <w:t>of Total Fruits and Vegetables</w:t>
      </w:r>
    </w:p>
    <w:p w14:paraId="5CC596CB" w14:textId="6DC2EDE1" w:rsidR="00AC0CDA" w:rsidRDefault="00BE121B" w:rsidP="00AC0CDA">
      <w:pPr>
        <w:pStyle w:val="NoSpacing"/>
        <w:rPr>
          <w:rFonts w:ascii="Arial" w:hAnsi="Arial" w:cs="Arial"/>
          <w:sz w:val="20"/>
          <w:szCs w:val="20"/>
        </w:rPr>
      </w:pPr>
      <w:r>
        <w:rPr>
          <w:rFonts w:ascii="Arial" w:hAnsi="Arial" w:cs="Arial"/>
          <w:sz w:val="20"/>
          <w:szCs w:val="20"/>
        </w:rPr>
        <w:t>Frozen and s</w:t>
      </w:r>
      <w:r w:rsidR="00770809">
        <w:rPr>
          <w:rFonts w:ascii="Arial" w:hAnsi="Arial" w:cs="Arial"/>
          <w:sz w:val="20"/>
          <w:szCs w:val="20"/>
        </w:rPr>
        <w:t>helf-stable fruits</w:t>
      </w:r>
      <w:r w:rsidR="00135BE7">
        <w:rPr>
          <w:rFonts w:ascii="Arial" w:hAnsi="Arial" w:cs="Arial"/>
          <w:sz w:val="20"/>
          <w:szCs w:val="20"/>
        </w:rPr>
        <w:t xml:space="preserve"> and vegetables</w:t>
      </w:r>
      <w:r w:rsidR="00551D01">
        <w:rPr>
          <w:rFonts w:ascii="Arial" w:hAnsi="Arial" w:cs="Arial"/>
          <w:sz w:val="20"/>
          <w:szCs w:val="20"/>
        </w:rPr>
        <w:t xml:space="preserve"> </w:t>
      </w:r>
      <w:r w:rsidR="00770809">
        <w:rPr>
          <w:rFonts w:ascii="Arial" w:hAnsi="Arial" w:cs="Arial"/>
          <w:sz w:val="20"/>
          <w:szCs w:val="20"/>
        </w:rPr>
        <w:t xml:space="preserve">had </w:t>
      </w:r>
      <w:r w:rsidR="00E33D11">
        <w:rPr>
          <w:rFonts w:ascii="Arial" w:hAnsi="Arial" w:cs="Arial"/>
          <w:sz w:val="20"/>
          <w:szCs w:val="20"/>
        </w:rPr>
        <w:t xml:space="preserve">double-digit inflation in </w:t>
      </w:r>
      <w:r>
        <w:rPr>
          <w:rFonts w:ascii="Arial" w:hAnsi="Arial" w:cs="Arial"/>
          <w:sz w:val="20"/>
          <w:szCs w:val="20"/>
        </w:rPr>
        <w:t>June</w:t>
      </w:r>
      <w:r w:rsidR="00E90227">
        <w:rPr>
          <w:rFonts w:ascii="Arial" w:hAnsi="Arial" w:cs="Arial"/>
          <w:sz w:val="20"/>
          <w:szCs w:val="20"/>
        </w:rPr>
        <w:t xml:space="preserve"> </w:t>
      </w:r>
      <w:r w:rsidR="00E33D11">
        <w:rPr>
          <w:rFonts w:ascii="Arial" w:hAnsi="Arial" w:cs="Arial"/>
          <w:sz w:val="20"/>
          <w:szCs w:val="20"/>
        </w:rPr>
        <w:t>2022 compared with 2021. This resulted in above average dollar gains.</w:t>
      </w:r>
      <w:r w:rsidR="00770809">
        <w:rPr>
          <w:rFonts w:ascii="Arial" w:hAnsi="Arial" w:cs="Arial"/>
          <w:sz w:val="20"/>
          <w:szCs w:val="20"/>
        </w:rPr>
        <w:t xml:space="preserve"> </w:t>
      </w:r>
      <w:r w:rsidR="00334F5C">
        <w:rPr>
          <w:rFonts w:ascii="Arial" w:hAnsi="Arial" w:cs="Arial"/>
          <w:sz w:val="20"/>
          <w:szCs w:val="20"/>
        </w:rPr>
        <w:t>Both frozen and shelf-stable are heavily impacted by supply chain disruptions</w:t>
      </w:r>
      <w:r w:rsidR="00E33D11">
        <w:rPr>
          <w:rFonts w:ascii="Arial" w:hAnsi="Arial" w:cs="Arial"/>
          <w:sz w:val="20"/>
          <w:szCs w:val="20"/>
        </w:rPr>
        <w:t>.</w:t>
      </w:r>
      <w:r w:rsidR="00334F5C">
        <w:rPr>
          <w:rFonts w:ascii="Arial" w:hAnsi="Arial" w:cs="Arial"/>
          <w:sz w:val="20"/>
          <w:szCs w:val="20"/>
        </w:rPr>
        <w:t xml:space="preserve"> </w:t>
      </w:r>
      <w:r w:rsidR="00E33D11">
        <w:rPr>
          <w:rFonts w:ascii="Arial" w:hAnsi="Arial" w:cs="Arial"/>
          <w:sz w:val="20"/>
          <w:szCs w:val="20"/>
        </w:rPr>
        <w:t xml:space="preserve">Both </w:t>
      </w:r>
      <w:r w:rsidR="00334F5C">
        <w:rPr>
          <w:rFonts w:ascii="Arial" w:hAnsi="Arial" w:cs="Arial"/>
          <w:sz w:val="20"/>
          <w:szCs w:val="20"/>
        </w:rPr>
        <w:t>assortment</w:t>
      </w:r>
      <w:r w:rsidR="00891C7E">
        <w:rPr>
          <w:rFonts w:ascii="Arial" w:hAnsi="Arial" w:cs="Arial"/>
          <w:sz w:val="20"/>
          <w:szCs w:val="20"/>
        </w:rPr>
        <w:t xml:space="preserve"> and</w:t>
      </w:r>
      <w:r w:rsidR="00334F5C">
        <w:rPr>
          <w:rFonts w:ascii="Arial" w:hAnsi="Arial" w:cs="Arial"/>
          <w:sz w:val="20"/>
          <w:szCs w:val="20"/>
        </w:rPr>
        <w:t xml:space="preserve"> inventory levels have been down significantly over recent months</w:t>
      </w:r>
      <w:r w:rsidR="008A426C">
        <w:rPr>
          <w:rFonts w:ascii="Arial" w:hAnsi="Arial" w:cs="Arial"/>
          <w:sz w:val="20"/>
          <w:szCs w:val="20"/>
        </w:rPr>
        <w:t xml:space="preserve"> in these </w:t>
      </w:r>
      <w:proofErr w:type="spellStart"/>
      <w:r w:rsidR="008A426C">
        <w:rPr>
          <w:rFonts w:ascii="Arial" w:hAnsi="Arial" w:cs="Arial"/>
          <w:sz w:val="20"/>
          <w:szCs w:val="20"/>
        </w:rPr>
        <w:t>arease</w:t>
      </w:r>
      <w:proofErr w:type="spellEnd"/>
      <w:r w:rsidR="00334F5C">
        <w:rPr>
          <w:rFonts w:ascii="Arial" w:hAnsi="Arial" w:cs="Arial"/>
          <w:sz w:val="20"/>
          <w:szCs w:val="20"/>
        </w:rPr>
        <w:t>.</w:t>
      </w:r>
      <w:r w:rsidR="00135BE7">
        <w:rPr>
          <w:rFonts w:ascii="Arial" w:hAnsi="Arial" w:cs="Arial"/>
          <w:sz w:val="20"/>
          <w:szCs w:val="20"/>
        </w:rPr>
        <w:t xml:space="preserve"> </w:t>
      </w:r>
    </w:p>
    <w:p w14:paraId="2336DEC9" w14:textId="77777777" w:rsidR="00770809" w:rsidRPr="00B265F0" w:rsidRDefault="00770809" w:rsidP="00770809">
      <w:pPr>
        <w:pStyle w:val="NoSpacing"/>
        <w:rPr>
          <w:rFonts w:ascii="Arial" w:hAnsi="Arial" w:cs="Arial"/>
          <w:sz w:val="16"/>
          <w:szCs w:val="16"/>
        </w:rPr>
      </w:pPr>
    </w:p>
    <w:tbl>
      <w:tblPr>
        <w:tblStyle w:val="LightShading-Accent5"/>
        <w:tblW w:w="10620" w:type="dxa"/>
        <w:tblBorders>
          <w:top w:val="none" w:sz="0" w:space="0" w:color="auto"/>
          <w:bottom w:val="none" w:sz="0" w:space="0" w:color="auto"/>
        </w:tblBorders>
        <w:tblLook w:val="04A0" w:firstRow="1" w:lastRow="0" w:firstColumn="1" w:lastColumn="0" w:noHBand="0" w:noVBand="1"/>
      </w:tblPr>
      <w:tblGrid>
        <w:gridCol w:w="2700"/>
        <w:gridCol w:w="1584"/>
        <w:gridCol w:w="1584"/>
        <w:gridCol w:w="1584"/>
        <w:gridCol w:w="1584"/>
        <w:gridCol w:w="1584"/>
      </w:tblGrid>
      <w:tr w:rsidR="00770809" w:rsidRPr="00B265F0" w14:paraId="6403B5CC" w14:textId="77777777" w:rsidTr="00BC21C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B0D9439" w14:textId="4C9AAA66" w:rsidR="00770809" w:rsidRPr="00B265F0" w:rsidRDefault="005A1FB0" w:rsidP="001F29DC">
            <w:pPr>
              <w:pStyle w:val="NoSpacing"/>
              <w:rPr>
                <w:rFonts w:ascii="Arial" w:hAnsi="Arial" w:cs="Arial"/>
                <w:color w:val="FFFFFF" w:themeColor="background1"/>
                <w:sz w:val="18"/>
                <w:szCs w:val="20"/>
              </w:rPr>
            </w:pPr>
            <w:r>
              <w:rPr>
                <w:rFonts w:ascii="Arial" w:hAnsi="Arial" w:cs="Arial"/>
                <w:color w:val="FFFFFF" w:themeColor="background1"/>
                <w:sz w:val="18"/>
                <w:szCs w:val="20"/>
              </w:rPr>
              <w:t>June</w:t>
            </w:r>
            <w:r w:rsidR="00253765">
              <w:rPr>
                <w:rFonts w:ascii="Arial" w:hAnsi="Arial" w:cs="Arial"/>
                <w:color w:val="FFFFFF" w:themeColor="background1"/>
                <w:sz w:val="18"/>
                <w:szCs w:val="20"/>
              </w:rPr>
              <w:t xml:space="preserve"> </w:t>
            </w:r>
            <w:r w:rsidR="00112E9A">
              <w:rPr>
                <w:rFonts w:ascii="Arial" w:hAnsi="Arial" w:cs="Arial"/>
                <w:color w:val="FFFFFF" w:themeColor="background1"/>
                <w:sz w:val="18"/>
                <w:szCs w:val="20"/>
              </w:rPr>
              <w:t>2022</w:t>
            </w:r>
          </w:p>
        </w:tc>
        <w:tc>
          <w:tcPr>
            <w:tcW w:w="158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22FC01F6"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Dollar</w:t>
            </w:r>
            <w:r>
              <w:rPr>
                <w:rFonts w:ascii="Arial" w:hAnsi="Arial" w:cs="Arial"/>
                <w:color w:val="FFFFFF" w:themeColor="background1"/>
                <w:sz w:val="18"/>
                <w:szCs w:val="20"/>
              </w:rPr>
              <w:br/>
              <w:t>sales</w:t>
            </w:r>
          </w:p>
        </w:tc>
        <w:tc>
          <w:tcPr>
            <w:tcW w:w="1584"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38E3F723"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 gains v</w:t>
            </w:r>
            <w:r>
              <w:rPr>
                <w:rFonts w:ascii="Arial" w:hAnsi="Arial" w:cs="Arial"/>
                <w:color w:val="FFFFFF" w:themeColor="background1"/>
                <w:sz w:val="18"/>
                <w:szCs w:val="20"/>
              </w:rPr>
              <w:t>s. 202</w:t>
            </w:r>
            <w:r w:rsidR="00112E9A">
              <w:rPr>
                <w:rFonts w:ascii="Arial" w:hAnsi="Arial" w:cs="Arial"/>
                <w:color w:val="FFFFFF" w:themeColor="background1"/>
                <w:sz w:val="18"/>
                <w:szCs w:val="20"/>
              </w:rPr>
              <w:t>1</w:t>
            </w:r>
          </w:p>
        </w:tc>
        <w:tc>
          <w:tcPr>
            <w:tcW w:w="1584"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1C8CB91B"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w:t>
            </w:r>
            <w:r>
              <w:rPr>
                <w:rFonts w:ascii="Arial" w:hAnsi="Arial" w:cs="Arial"/>
                <w:color w:val="FFFFFF" w:themeColor="background1"/>
                <w:sz w:val="18"/>
                <w:szCs w:val="20"/>
              </w:rPr>
              <w:br/>
            </w:r>
            <w:r w:rsidRPr="00B265F0">
              <w:rPr>
                <w:rFonts w:ascii="Arial" w:hAnsi="Arial" w:cs="Arial"/>
                <w:color w:val="FFFFFF" w:themeColor="background1"/>
                <w:sz w:val="18"/>
                <w:szCs w:val="20"/>
              </w:rPr>
              <w:t xml:space="preserve"> gains v</w:t>
            </w:r>
            <w:r>
              <w:rPr>
                <w:rFonts w:ascii="Arial" w:hAnsi="Arial" w:cs="Arial"/>
                <w:color w:val="FFFFFF" w:themeColor="background1"/>
                <w:sz w:val="18"/>
                <w:szCs w:val="20"/>
              </w:rPr>
              <w:t>s. 20</w:t>
            </w:r>
            <w:r w:rsidR="00112E9A">
              <w:rPr>
                <w:rFonts w:ascii="Arial" w:hAnsi="Arial" w:cs="Arial"/>
                <w:color w:val="FFFFFF" w:themeColor="background1"/>
                <w:sz w:val="18"/>
                <w:szCs w:val="20"/>
              </w:rPr>
              <w:t>20</w:t>
            </w:r>
          </w:p>
        </w:tc>
        <w:tc>
          <w:tcPr>
            <w:tcW w:w="158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5DA60DE9"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Average price per unit</w:t>
            </w:r>
          </w:p>
        </w:tc>
        <w:tc>
          <w:tcPr>
            <w:tcW w:w="158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467079F6"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Increase price vs. YA</w:t>
            </w:r>
          </w:p>
        </w:tc>
      </w:tr>
      <w:tr w:rsidR="00770809" w:rsidRPr="00E43E81" w14:paraId="5658F647" w14:textId="77777777" w:rsidTr="00BC21C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right w:val="none" w:sz="0" w:space="0" w:color="auto"/>
            </w:tcBorders>
          </w:tcPr>
          <w:p w14:paraId="7D622E5E" w14:textId="77777777" w:rsidR="00770809" w:rsidRPr="000D5031" w:rsidRDefault="00770809" w:rsidP="001F29DC">
            <w:pPr>
              <w:pStyle w:val="NoSpacing"/>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Fresh produce department</w:t>
            </w:r>
          </w:p>
        </w:tc>
        <w:tc>
          <w:tcPr>
            <w:tcW w:w="1584" w:type="dxa"/>
            <w:tcBorders>
              <w:left w:val="none" w:sz="0" w:space="0" w:color="auto"/>
              <w:right w:val="none" w:sz="0" w:space="0" w:color="auto"/>
            </w:tcBorders>
            <w:vAlign w:val="center"/>
          </w:tcPr>
          <w:p w14:paraId="3A99D57E" w14:textId="4A0F899B" w:rsidR="00770809" w:rsidRPr="000D5031" w:rsidRDefault="006D4E7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b/>
                <w:bCs/>
                <w:color w:val="215868" w:themeColor="accent5" w:themeShade="80"/>
                <w:sz w:val="18"/>
                <w:szCs w:val="20"/>
              </w:rPr>
              <w:t>$</w:t>
            </w:r>
            <w:r w:rsidR="00BE121B">
              <w:rPr>
                <w:rFonts w:ascii="Arial" w:hAnsi="Arial" w:cs="Arial"/>
                <w:b/>
                <w:bCs/>
                <w:color w:val="215868" w:themeColor="accent5" w:themeShade="80"/>
                <w:sz w:val="18"/>
                <w:szCs w:val="20"/>
              </w:rPr>
              <w:t>6.1</w:t>
            </w:r>
            <w:r w:rsidR="00770809" w:rsidRPr="00361BCC">
              <w:rPr>
                <w:rFonts w:ascii="Arial" w:hAnsi="Arial" w:cs="Arial"/>
                <w:b/>
                <w:bCs/>
                <w:color w:val="215868" w:themeColor="accent5" w:themeShade="80"/>
                <w:sz w:val="18"/>
                <w:szCs w:val="20"/>
              </w:rPr>
              <w:t>B</w:t>
            </w:r>
          </w:p>
        </w:tc>
        <w:tc>
          <w:tcPr>
            <w:tcW w:w="1584" w:type="dxa"/>
            <w:tcBorders>
              <w:left w:val="none" w:sz="0" w:space="0" w:color="auto"/>
              <w:right w:val="none" w:sz="0" w:space="0" w:color="auto"/>
            </w:tcBorders>
            <w:vAlign w:val="center"/>
          </w:tcPr>
          <w:p w14:paraId="3AA01AAA" w14:textId="144DA8CC" w:rsidR="00770809" w:rsidRPr="000D5031"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b/>
                <w:bCs/>
                <w:color w:val="215868" w:themeColor="accent5" w:themeShade="80"/>
                <w:sz w:val="18"/>
                <w:szCs w:val="20"/>
              </w:rPr>
              <w:t>+</w:t>
            </w:r>
            <w:r w:rsidR="00BE121B">
              <w:rPr>
                <w:rFonts w:ascii="Arial" w:hAnsi="Arial" w:cs="Arial"/>
                <w:b/>
                <w:bCs/>
                <w:color w:val="215868" w:themeColor="accent5" w:themeShade="80"/>
                <w:sz w:val="18"/>
                <w:szCs w:val="20"/>
              </w:rPr>
              <w:t>1.4</w:t>
            </w:r>
            <w:r w:rsidR="00770809" w:rsidRPr="00361BCC">
              <w:rPr>
                <w:rFonts w:ascii="Arial" w:hAnsi="Arial" w:cs="Arial"/>
                <w:b/>
                <w:bCs/>
                <w:color w:val="215868" w:themeColor="accent5" w:themeShade="80"/>
                <w:sz w:val="18"/>
                <w:szCs w:val="20"/>
              </w:rPr>
              <w:t>%</w:t>
            </w:r>
          </w:p>
        </w:tc>
        <w:tc>
          <w:tcPr>
            <w:tcW w:w="1584" w:type="dxa"/>
            <w:tcBorders>
              <w:left w:val="none" w:sz="0" w:space="0" w:color="auto"/>
              <w:right w:val="none" w:sz="0" w:space="0" w:color="auto"/>
            </w:tcBorders>
            <w:vAlign w:val="center"/>
          </w:tcPr>
          <w:p w14:paraId="2B2BC812" w14:textId="6E090EAB" w:rsidR="00770809" w:rsidRPr="000D5031" w:rsidRDefault="00253765"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rPr>
            </w:pPr>
            <w:r>
              <w:rPr>
                <w:rFonts w:ascii="Arial" w:hAnsi="Arial" w:cs="Arial"/>
                <w:b/>
                <w:bCs/>
                <w:color w:val="215868" w:themeColor="accent5" w:themeShade="80"/>
                <w:sz w:val="18"/>
                <w:szCs w:val="20"/>
              </w:rPr>
              <w:t>+</w:t>
            </w:r>
            <w:r w:rsidR="00BE121B">
              <w:rPr>
                <w:rFonts w:ascii="Arial" w:hAnsi="Arial" w:cs="Arial"/>
                <w:b/>
                <w:bCs/>
                <w:color w:val="215868" w:themeColor="accent5" w:themeShade="80"/>
                <w:sz w:val="18"/>
                <w:szCs w:val="20"/>
              </w:rPr>
              <w:t>17.6</w:t>
            </w:r>
            <w:r w:rsidR="00770809" w:rsidRPr="00361BCC">
              <w:rPr>
                <w:rFonts w:ascii="Arial" w:hAnsi="Arial" w:cs="Arial"/>
                <w:b/>
                <w:bCs/>
                <w:color w:val="215868" w:themeColor="accent5" w:themeShade="80"/>
                <w:sz w:val="18"/>
                <w:szCs w:val="20"/>
              </w:rPr>
              <w:t>%</w:t>
            </w:r>
          </w:p>
        </w:tc>
        <w:tc>
          <w:tcPr>
            <w:tcW w:w="1584" w:type="dxa"/>
            <w:tcBorders>
              <w:left w:val="none" w:sz="0" w:space="0" w:color="auto"/>
              <w:right w:val="none" w:sz="0" w:space="0" w:color="auto"/>
            </w:tcBorders>
          </w:tcPr>
          <w:p w14:paraId="49A72BFC" w14:textId="218100A4" w:rsidR="00770809" w:rsidRPr="00361BCC" w:rsidRDefault="00770809"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BE121B">
              <w:rPr>
                <w:rFonts w:ascii="Arial" w:hAnsi="Arial" w:cs="Arial"/>
                <w:b/>
                <w:bCs/>
                <w:color w:val="215868" w:themeColor="accent5" w:themeShade="80"/>
                <w:sz w:val="18"/>
                <w:szCs w:val="20"/>
              </w:rPr>
              <w:t>2.61</w:t>
            </w:r>
          </w:p>
        </w:tc>
        <w:tc>
          <w:tcPr>
            <w:tcW w:w="1584" w:type="dxa"/>
            <w:tcBorders>
              <w:left w:val="none" w:sz="0" w:space="0" w:color="auto"/>
              <w:right w:val="none" w:sz="0" w:space="0" w:color="auto"/>
            </w:tcBorders>
          </w:tcPr>
          <w:p w14:paraId="2D4F4D65" w14:textId="18D8A399" w:rsidR="00770809" w:rsidRPr="00361BCC"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BE121B">
              <w:rPr>
                <w:rFonts w:ascii="Arial" w:hAnsi="Arial" w:cs="Arial"/>
                <w:b/>
                <w:bCs/>
                <w:color w:val="215868" w:themeColor="accent5" w:themeShade="80"/>
                <w:sz w:val="18"/>
                <w:szCs w:val="20"/>
              </w:rPr>
              <w:t>8.0</w:t>
            </w:r>
            <w:r w:rsidR="00770809">
              <w:rPr>
                <w:rFonts w:ascii="Arial" w:hAnsi="Arial" w:cs="Arial"/>
                <w:b/>
                <w:bCs/>
                <w:color w:val="215868" w:themeColor="accent5" w:themeShade="80"/>
                <w:sz w:val="18"/>
                <w:szCs w:val="20"/>
              </w:rPr>
              <w:t>%</w:t>
            </w:r>
          </w:p>
        </w:tc>
      </w:tr>
      <w:tr w:rsidR="00770809" w:rsidRPr="00E43E81" w14:paraId="6436AB32" w14:textId="77777777" w:rsidTr="00BC21CA">
        <w:trPr>
          <w:trHeight w:val="227"/>
        </w:trPr>
        <w:tc>
          <w:tcPr>
            <w:cnfStyle w:val="001000000000" w:firstRow="0" w:lastRow="0" w:firstColumn="1" w:lastColumn="0" w:oddVBand="0" w:evenVBand="0" w:oddHBand="0" w:evenHBand="0" w:firstRowFirstColumn="0" w:firstRowLastColumn="0" w:lastRowFirstColumn="0" w:lastRowLastColumn="0"/>
            <w:tcW w:w="2700" w:type="dxa"/>
          </w:tcPr>
          <w:p w14:paraId="2DECF2C9" w14:textId="77777777" w:rsidR="00770809" w:rsidRPr="000D5031" w:rsidRDefault="00770809" w:rsidP="001F29DC">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 xml:space="preserve">Shelf stable fruits </w:t>
            </w:r>
          </w:p>
        </w:tc>
        <w:tc>
          <w:tcPr>
            <w:tcW w:w="1584" w:type="dxa"/>
          </w:tcPr>
          <w:p w14:paraId="762ADF8F" w14:textId="27B63DE4"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5A7C11">
              <w:rPr>
                <w:rFonts w:ascii="Arial" w:hAnsi="Arial" w:cs="Arial"/>
                <w:color w:val="215868" w:themeColor="accent5" w:themeShade="80"/>
                <w:sz w:val="18"/>
                <w:szCs w:val="20"/>
              </w:rPr>
              <w:t>316.9</w:t>
            </w:r>
            <w:r w:rsidR="006D4E7C">
              <w:rPr>
                <w:rFonts w:ascii="Arial" w:hAnsi="Arial" w:cs="Arial"/>
                <w:color w:val="215868" w:themeColor="accent5" w:themeShade="80"/>
                <w:sz w:val="18"/>
                <w:szCs w:val="20"/>
              </w:rPr>
              <w:t>M</w:t>
            </w:r>
          </w:p>
        </w:tc>
        <w:tc>
          <w:tcPr>
            <w:tcW w:w="1584" w:type="dxa"/>
          </w:tcPr>
          <w:p w14:paraId="65CF6948" w14:textId="661C9FE6"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5A7C11">
              <w:rPr>
                <w:rFonts w:ascii="Arial" w:hAnsi="Arial" w:cs="Arial"/>
                <w:color w:val="215868" w:themeColor="accent5" w:themeShade="80"/>
                <w:sz w:val="18"/>
                <w:szCs w:val="20"/>
              </w:rPr>
              <w:t>9.4</w:t>
            </w:r>
            <w:r w:rsidR="00770809" w:rsidRPr="000D5031">
              <w:rPr>
                <w:rFonts w:ascii="Arial" w:hAnsi="Arial" w:cs="Arial"/>
                <w:color w:val="215868" w:themeColor="accent5" w:themeShade="80"/>
                <w:sz w:val="18"/>
                <w:szCs w:val="20"/>
              </w:rPr>
              <w:t>%</w:t>
            </w:r>
          </w:p>
        </w:tc>
        <w:tc>
          <w:tcPr>
            <w:tcW w:w="1584" w:type="dxa"/>
          </w:tcPr>
          <w:p w14:paraId="6106E491" w14:textId="5DCD97C4" w:rsidR="00770809" w:rsidRPr="000D5031" w:rsidRDefault="00E33D11"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highlight w:val="red"/>
              </w:rPr>
            </w:pPr>
            <w:r>
              <w:rPr>
                <w:rFonts w:ascii="Arial" w:hAnsi="Arial" w:cs="Arial"/>
                <w:color w:val="215868" w:themeColor="accent5" w:themeShade="80"/>
                <w:sz w:val="18"/>
                <w:szCs w:val="20"/>
              </w:rPr>
              <w:t>+</w:t>
            </w:r>
            <w:r w:rsidR="005A7C11">
              <w:rPr>
                <w:rFonts w:ascii="Arial" w:hAnsi="Arial" w:cs="Arial"/>
                <w:color w:val="215868" w:themeColor="accent5" w:themeShade="80"/>
                <w:sz w:val="18"/>
                <w:szCs w:val="20"/>
              </w:rPr>
              <w:t>11.7</w:t>
            </w:r>
            <w:r w:rsidR="00770809" w:rsidRPr="000D5031">
              <w:rPr>
                <w:rFonts w:ascii="Arial" w:hAnsi="Arial" w:cs="Arial"/>
                <w:color w:val="215868" w:themeColor="accent5" w:themeShade="80"/>
                <w:sz w:val="18"/>
                <w:szCs w:val="20"/>
              </w:rPr>
              <w:t>%</w:t>
            </w:r>
          </w:p>
        </w:tc>
        <w:tc>
          <w:tcPr>
            <w:tcW w:w="1584" w:type="dxa"/>
          </w:tcPr>
          <w:p w14:paraId="607B80B7" w14:textId="7D478A16" w:rsidR="00770809"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BE121B">
              <w:rPr>
                <w:rFonts w:ascii="Arial" w:hAnsi="Arial" w:cs="Arial"/>
                <w:color w:val="215868" w:themeColor="accent5" w:themeShade="80"/>
                <w:sz w:val="18"/>
                <w:szCs w:val="20"/>
              </w:rPr>
              <w:t>3.09</w:t>
            </w:r>
          </w:p>
        </w:tc>
        <w:tc>
          <w:tcPr>
            <w:tcW w:w="1584" w:type="dxa"/>
          </w:tcPr>
          <w:p w14:paraId="7D05D7D9" w14:textId="12E3A0C6" w:rsidR="00770809"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BE121B">
              <w:rPr>
                <w:rFonts w:ascii="Arial" w:hAnsi="Arial" w:cs="Arial"/>
                <w:color w:val="215868" w:themeColor="accent5" w:themeShade="80"/>
                <w:sz w:val="18"/>
                <w:szCs w:val="20"/>
              </w:rPr>
              <w:t>14.9</w:t>
            </w:r>
            <w:r w:rsidR="00E33D11">
              <w:rPr>
                <w:rFonts w:ascii="Arial" w:hAnsi="Arial" w:cs="Arial"/>
                <w:color w:val="215868" w:themeColor="accent5" w:themeShade="80"/>
                <w:sz w:val="18"/>
                <w:szCs w:val="20"/>
              </w:rPr>
              <w:t>%</w:t>
            </w:r>
          </w:p>
        </w:tc>
      </w:tr>
      <w:tr w:rsidR="00253765" w:rsidRPr="00E43E81" w14:paraId="136DBAD7" w14:textId="77777777" w:rsidTr="00BC21C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right w:val="none" w:sz="0" w:space="0" w:color="auto"/>
            </w:tcBorders>
          </w:tcPr>
          <w:p w14:paraId="205297AD" w14:textId="77777777" w:rsidR="00253765" w:rsidRPr="000D5031" w:rsidRDefault="00253765" w:rsidP="00253765">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Shelf stable vegetables</w:t>
            </w:r>
          </w:p>
        </w:tc>
        <w:tc>
          <w:tcPr>
            <w:tcW w:w="1584" w:type="dxa"/>
            <w:tcBorders>
              <w:left w:val="none" w:sz="0" w:space="0" w:color="auto"/>
              <w:right w:val="none" w:sz="0" w:space="0" w:color="auto"/>
            </w:tcBorders>
          </w:tcPr>
          <w:p w14:paraId="1B917AA7" w14:textId="742F8C83" w:rsidR="00253765" w:rsidRPr="000D5031" w:rsidRDefault="00253765" w:rsidP="002537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5A7C11">
              <w:rPr>
                <w:rFonts w:ascii="Arial" w:hAnsi="Arial" w:cs="Arial"/>
                <w:color w:val="215868" w:themeColor="accent5" w:themeShade="80"/>
                <w:sz w:val="18"/>
                <w:szCs w:val="20"/>
              </w:rPr>
              <w:t>395.3</w:t>
            </w:r>
            <w:r>
              <w:rPr>
                <w:rFonts w:ascii="Arial" w:hAnsi="Arial" w:cs="Arial"/>
                <w:color w:val="215868" w:themeColor="accent5" w:themeShade="80"/>
                <w:sz w:val="18"/>
                <w:szCs w:val="20"/>
              </w:rPr>
              <w:t>M</w:t>
            </w:r>
          </w:p>
        </w:tc>
        <w:tc>
          <w:tcPr>
            <w:tcW w:w="1584" w:type="dxa"/>
            <w:tcBorders>
              <w:left w:val="none" w:sz="0" w:space="0" w:color="auto"/>
              <w:right w:val="none" w:sz="0" w:space="0" w:color="auto"/>
            </w:tcBorders>
          </w:tcPr>
          <w:p w14:paraId="371B11FD" w14:textId="1B9204E9" w:rsidR="00253765" w:rsidRPr="000D5031" w:rsidRDefault="00253765" w:rsidP="002537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5A7C11">
              <w:rPr>
                <w:rFonts w:ascii="Arial" w:hAnsi="Arial" w:cs="Arial"/>
                <w:color w:val="215868" w:themeColor="accent5" w:themeShade="80"/>
                <w:sz w:val="18"/>
                <w:szCs w:val="20"/>
              </w:rPr>
              <w:t>9.4</w:t>
            </w:r>
            <w:r w:rsidRPr="000D5031">
              <w:rPr>
                <w:rFonts w:ascii="Arial" w:hAnsi="Arial" w:cs="Arial"/>
                <w:color w:val="215868" w:themeColor="accent5" w:themeShade="80"/>
                <w:sz w:val="18"/>
                <w:szCs w:val="20"/>
              </w:rPr>
              <w:t>%</w:t>
            </w:r>
          </w:p>
        </w:tc>
        <w:tc>
          <w:tcPr>
            <w:tcW w:w="1584" w:type="dxa"/>
            <w:tcBorders>
              <w:left w:val="none" w:sz="0" w:space="0" w:color="auto"/>
              <w:right w:val="none" w:sz="0" w:space="0" w:color="auto"/>
            </w:tcBorders>
          </w:tcPr>
          <w:p w14:paraId="248DEF07" w14:textId="5003FC86" w:rsidR="00253765" w:rsidRPr="000D5031" w:rsidRDefault="005A7C11" w:rsidP="002537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highlight w:val="red"/>
              </w:rPr>
            </w:pPr>
            <w:r>
              <w:rPr>
                <w:rFonts w:ascii="Arial" w:hAnsi="Arial" w:cs="Arial"/>
                <w:color w:val="215868" w:themeColor="accent5" w:themeShade="80"/>
                <w:sz w:val="18"/>
                <w:szCs w:val="20"/>
              </w:rPr>
              <w:t>+4.5</w:t>
            </w:r>
            <w:r w:rsidR="00253765" w:rsidRPr="000D5031">
              <w:rPr>
                <w:rFonts w:ascii="Arial" w:hAnsi="Arial" w:cs="Arial"/>
                <w:color w:val="215868" w:themeColor="accent5" w:themeShade="80"/>
                <w:sz w:val="18"/>
                <w:szCs w:val="20"/>
              </w:rPr>
              <w:t>%</w:t>
            </w:r>
          </w:p>
        </w:tc>
        <w:tc>
          <w:tcPr>
            <w:tcW w:w="1584" w:type="dxa"/>
            <w:tcBorders>
              <w:left w:val="none" w:sz="0" w:space="0" w:color="auto"/>
              <w:right w:val="none" w:sz="0" w:space="0" w:color="auto"/>
            </w:tcBorders>
          </w:tcPr>
          <w:p w14:paraId="7417AA65" w14:textId="53038E79" w:rsidR="00253765" w:rsidRDefault="00253765" w:rsidP="002537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BE121B">
              <w:rPr>
                <w:rFonts w:ascii="Arial" w:hAnsi="Arial" w:cs="Arial"/>
                <w:color w:val="215868" w:themeColor="accent5" w:themeShade="80"/>
                <w:sz w:val="18"/>
                <w:szCs w:val="20"/>
              </w:rPr>
              <w:t>1.43</w:t>
            </w:r>
          </w:p>
        </w:tc>
        <w:tc>
          <w:tcPr>
            <w:tcW w:w="1584" w:type="dxa"/>
            <w:tcBorders>
              <w:left w:val="none" w:sz="0" w:space="0" w:color="auto"/>
              <w:right w:val="none" w:sz="0" w:space="0" w:color="auto"/>
            </w:tcBorders>
          </w:tcPr>
          <w:p w14:paraId="4AF0D023" w14:textId="411C95DB" w:rsidR="00253765" w:rsidRDefault="00253765" w:rsidP="002537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BE121B">
              <w:rPr>
                <w:rFonts w:ascii="Arial" w:hAnsi="Arial" w:cs="Arial"/>
                <w:color w:val="215868" w:themeColor="accent5" w:themeShade="80"/>
                <w:sz w:val="18"/>
                <w:szCs w:val="20"/>
              </w:rPr>
              <w:t>13.8</w:t>
            </w:r>
            <w:r w:rsidR="00E33D11">
              <w:rPr>
                <w:rFonts w:ascii="Arial" w:hAnsi="Arial" w:cs="Arial"/>
                <w:color w:val="215868" w:themeColor="accent5" w:themeShade="80"/>
                <w:sz w:val="18"/>
                <w:szCs w:val="20"/>
              </w:rPr>
              <w:t>%</w:t>
            </w:r>
          </w:p>
        </w:tc>
      </w:tr>
      <w:tr w:rsidR="00253765" w:rsidRPr="00E43E81" w14:paraId="5F847BCF" w14:textId="77777777" w:rsidTr="00BC21CA">
        <w:trPr>
          <w:trHeight w:val="227"/>
        </w:trPr>
        <w:tc>
          <w:tcPr>
            <w:cnfStyle w:val="001000000000" w:firstRow="0" w:lastRow="0" w:firstColumn="1" w:lastColumn="0" w:oddVBand="0" w:evenVBand="0" w:oddHBand="0" w:evenHBand="0" w:firstRowFirstColumn="0" w:firstRowLastColumn="0" w:lastRowFirstColumn="0" w:lastRowLastColumn="0"/>
            <w:tcW w:w="2700" w:type="dxa"/>
          </w:tcPr>
          <w:p w14:paraId="73A581B3" w14:textId="77777777" w:rsidR="00253765" w:rsidRPr="000D5031" w:rsidRDefault="00253765" w:rsidP="00253765">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Frozen fruits and vegetables</w:t>
            </w:r>
          </w:p>
        </w:tc>
        <w:tc>
          <w:tcPr>
            <w:tcW w:w="1584" w:type="dxa"/>
          </w:tcPr>
          <w:p w14:paraId="2F6DA7B0" w14:textId="2173FBB4" w:rsidR="00253765" w:rsidRPr="000D5031" w:rsidRDefault="00253765" w:rsidP="0025376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20"/>
              </w:rPr>
              <w:t>$</w:t>
            </w:r>
            <w:r w:rsidR="005A7C11">
              <w:rPr>
                <w:rFonts w:ascii="Arial" w:hAnsi="Arial" w:cs="Arial"/>
                <w:color w:val="215868" w:themeColor="accent5" w:themeShade="80"/>
                <w:sz w:val="18"/>
                <w:szCs w:val="20"/>
              </w:rPr>
              <w:t>551.0</w:t>
            </w:r>
            <w:r>
              <w:rPr>
                <w:rFonts w:ascii="Arial" w:hAnsi="Arial" w:cs="Arial"/>
                <w:color w:val="215868" w:themeColor="accent5" w:themeShade="80"/>
                <w:sz w:val="18"/>
                <w:szCs w:val="20"/>
              </w:rPr>
              <w:t>M</w:t>
            </w:r>
          </w:p>
        </w:tc>
        <w:tc>
          <w:tcPr>
            <w:tcW w:w="1584" w:type="dxa"/>
          </w:tcPr>
          <w:p w14:paraId="1CC6E7ED" w14:textId="2400ABCB" w:rsidR="00253765" w:rsidRPr="000D5031" w:rsidRDefault="00253765" w:rsidP="0025376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20"/>
              </w:rPr>
              <w:t>+</w:t>
            </w:r>
            <w:r w:rsidR="00BE121B">
              <w:rPr>
                <w:rFonts w:ascii="Arial" w:hAnsi="Arial" w:cs="Arial"/>
                <w:color w:val="215868" w:themeColor="accent5" w:themeShade="80"/>
                <w:sz w:val="18"/>
                <w:szCs w:val="20"/>
              </w:rPr>
              <w:t>11.1</w:t>
            </w:r>
            <w:r w:rsidRPr="000D5031">
              <w:rPr>
                <w:rFonts w:ascii="Arial" w:hAnsi="Arial" w:cs="Arial"/>
                <w:color w:val="215868" w:themeColor="accent5" w:themeShade="80"/>
                <w:sz w:val="18"/>
                <w:szCs w:val="20"/>
              </w:rPr>
              <w:t>%</w:t>
            </w:r>
          </w:p>
        </w:tc>
        <w:tc>
          <w:tcPr>
            <w:tcW w:w="1584" w:type="dxa"/>
          </w:tcPr>
          <w:p w14:paraId="15BC3289" w14:textId="730AD262" w:rsidR="00253765" w:rsidRPr="000D5031" w:rsidRDefault="00BE121B" w:rsidP="0025376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+2.4</w:t>
            </w:r>
            <w:r w:rsidR="00253765" w:rsidRPr="000D5031">
              <w:rPr>
                <w:rFonts w:ascii="Arial" w:hAnsi="Arial" w:cs="Arial"/>
                <w:color w:val="215868" w:themeColor="accent5" w:themeShade="80"/>
                <w:sz w:val="18"/>
                <w:szCs w:val="20"/>
              </w:rPr>
              <w:t>%</w:t>
            </w:r>
          </w:p>
        </w:tc>
        <w:tc>
          <w:tcPr>
            <w:tcW w:w="1584" w:type="dxa"/>
          </w:tcPr>
          <w:p w14:paraId="6FEB7786" w14:textId="0B68972A" w:rsidR="00253765" w:rsidRPr="000D5031" w:rsidRDefault="00253765" w:rsidP="0025376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20"/>
              </w:rPr>
              <w:t>$</w:t>
            </w:r>
            <w:r w:rsidR="00BE121B">
              <w:rPr>
                <w:rFonts w:ascii="Arial" w:hAnsi="Arial" w:cs="Arial"/>
                <w:color w:val="215868" w:themeColor="accent5" w:themeShade="80"/>
                <w:sz w:val="18"/>
                <w:szCs w:val="20"/>
              </w:rPr>
              <w:t>2.98</w:t>
            </w:r>
          </w:p>
        </w:tc>
        <w:tc>
          <w:tcPr>
            <w:tcW w:w="1584" w:type="dxa"/>
          </w:tcPr>
          <w:p w14:paraId="37555401" w14:textId="4EFE9A0F" w:rsidR="00253765" w:rsidRPr="000D5031" w:rsidRDefault="00253765" w:rsidP="0025376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20"/>
              </w:rPr>
              <w:t>+</w:t>
            </w:r>
            <w:r w:rsidR="00BE121B">
              <w:rPr>
                <w:rFonts w:ascii="Arial" w:hAnsi="Arial" w:cs="Arial"/>
                <w:color w:val="215868" w:themeColor="accent5" w:themeShade="80"/>
                <w:sz w:val="18"/>
                <w:szCs w:val="20"/>
              </w:rPr>
              <w:t>13.5</w:t>
            </w:r>
            <w:r w:rsidR="00E33D11">
              <w:rPr>
                <w:rFonts w:ascii="Arial" w:hAnsi="Arial" w:cs="Arial"/>
                <w:color w:val="215868" w:themeColor="accent5" w:themeShade="80"/>
                <w:sz w:val="18"/>
                <w:szCs w:val="20"/>
              </w:rPr>
              <w:t>%</w:t>
            </w:r>
          </w:p>
        </w:tc>
      </w:tr>
    </w:tbl>
    <w:p w14:paraId="788E9F0B" w14:textId="77777777" w:rsidR="00770809" w:rsidRPr="00B265F0" w:rsidRDefault="00770809" w:rsidP="00770809">
      <w:pPr>
        <w:pStyle w:val="NoSpacing"/>
        <w:rPr>
          <w:rFonts w:ascii="Arial" w:hAnsi="Arial" w:cs="Arial"/>
          <w:sz w:val="10"/>
          <w:szCs w:val="10"/>
        </w:rPr>
      </w:pPr>
    </w:p>
    <w:p w14:paraId="127869F3" w14:textId="77777777" w:rsidR="00770809" w:rsidRPr="00B35CE9" w:rsidRDefault="00770809" w:rsidP="00770809">
      <w:pPr>
        <w:pStyle w:val="NoSpacing"/>
        <w:rPr>
          <w:rFonts w:ascii="Arial" w:hAnsi="Arial" w:cs="Arial"/>
          <w:sz w:val="16"/>
          <w:szCs w:val="16"/>
        </w:rPr>
      </w:pPr>
      <w:r w:rsidRPr="00B265F0">
        <w:rPr>
          <w:rFonts w:ascii="Arial" w:hAnsi="Arial" w:cs="Arial"/>
          <w:sz w:val="16"/>
          <w:szCs w:val="16"/>
        </w:rPr>
        <w:t>Source: IRI</w:t>
      </w:r>
      <w:r>
        <w:rPr>
          <w:rFonts w:ascii="Arial" w:hAnsi="Arial" w:cs="Arial"/>
          <w:sz w:val="16"/>
          <w:szCs w:val="16"/>
        </w:rPr>
        <w:t xml:space="preserve"> Integrated Fresh, </w:t>
      </w:r>
      <w:r w:rsidRPr="00B265F0">
        <w:rPr>
          <w:rFonts w:ascii="Arial" w:hAnsi="Arial" w:cs="Arial"/>
          <w:sz w:val="16"/>
          <w:szCs w:val="16"/>
        </w:rPr>
        <w:t>Total US, MULO</w:t>
      </w:r>
    </w:p>
    <w:p w14:paraId="308559FB" w14:textId="5B6B997C" w:rsidR="00770809" w:rsidRDefault="00770809" w:rsidP="00770809">
      <w:pPr>
        <w:pStyle w:val="NoSpacing"/>
        <w:rPr>
          <w:rFonts w:ascii="Arial" w:hAnsi="Arial" w:cs="Arial"/>
          <w:sz w:val="20"/>
          <w:szCs w:val="20"/>
        </w:rPr>
      </w:pPr>
    </w:p>
    <w:p w14:paraId="262053E3" w14:textId="37EC2A18" w:rsidR="00E90227" w:rsidRDefault="00E46A69" w:rsidP="00770809">
      <w:pPr>
        <w:pStyle w:val="NoSpacing"/>
        <w:rPr>
          <w:rFonts w:ascii="Arial" w:hAnsi="Arial" w:cs="Arial"/>
          <w:sz w:val="20"/>
          <w:szCs w:val="20"/>
        </w:rPr>
      </w:pPr>
      <w:r>
        <w:rPr>
          <w:rFonts w:ascii="Arial" w:hAnsi="Arial" w:cs="Arial"/>
          <w:sz w:val="20"/>
          <w:szCs w:val="20"/>
        </w:rPr>
        <w:t>In the first quarter of 2022, just under 80% of total fruit and vegetable dollars were generated by the fresh produce department.</w:t>
      </w:r>
      <w:r w:rsidR="00A81DD5">
        <w:rPr>
          <w:rFonts w:ascii="Arial" w:hAnsi="Arial" w:cs="Arial"/>
          <w:sz w:val="20"/>
          <w:szCs w:val="20"/>
        </w:rPr>
        <w:t xml:space="preserve"> </w:t>
      </w:r>
      <w:r w:rsidR="000377D1">
        <w:rPr>
          <w:rFonts w:ascii="Arial" w:hAnsi="Arial" w:cs="Arial"/>
          <w:sz w:val="20"/>
          <w:szCs w:val="20"/>
        </w:rPr>
        <w:t xml:space="preserve">Summer is typically the strongest selling season for fresh produce and 2022 is no different. The share of fresh produce dollars </w:t>
      </w:r>
      <w:r w:rsidR="004314BF">
        <w:rPr>
          <w:rFonts w:ascii="Arial" w:hAnsi="Arial" w:cs="Arial"/>
          <w:sz w:val="20"/>
          <w:szCs w:val="20"/>
        </w:rPr>
        <w:t xml:space="preserve">in the second quarter ticked up to 82% and it reached 82.8% in June, despite below-average inflation. </w:t>
      </w:r>
    </w:p>
    <w:p w14:paraId="283184BA" w14:textId="77777777" w:rsidR="00E90227" w:rsidRDefault="00E90227" w:rsidP="00770809">
      <w:pPr>
        <w:pStyle w:val="NoSpacing"/>
        <w:rPr>
          <w:rFonts w:ascii="Arial" w:hAnsi="Arial" w:cs="Arial"/>
          <w:sz w:val="20"/>
          <w:szCs w:val="20"/>
        </w:rPr>
      </w:pPr>
    </w:p>
    <w:p w14:paraId="6D01AD83" w14:textId="4ED5DEE0" w:rsidR="00C05AA1" w:rsidRDefault="007A36E0" w:rsidP="00770809">
      <w:pPr>
        <w:pStyle w:val="NoSpacing"/>
        <w:rPr>
          <w:rFonts w:ascii="Arial" w:hAnsi="Arial" w:cs="Arial"/>
          <w:sz w:val="20"/>
          <w:szCs w:val="20"/>
        </w:rPr>
      </w:pPr>
      <w:r>
        <w:rPr>
          <w:rFonts w:ascii="Arial" w:hAnsi="Arial" w:cs="Arial"/>
          <w:sz w:val="20"/>
          <w:szCs w:val="20"/>
        </w:rPr>
        <w:lastRenderedPageBreak/>
        <w:t xml:space="preserve">As a share of total </w:t>
      </w:r>
      <w:r w:rsidR="00EA277C">
        <w:rPr>
          <w:rFonts w:ascii="Arial" w:hAnsi="Arial" w:cs="Arial"/>
          <w:sz w:val="20"/>
          <w:szCs w:val="20"/>
        </w:rPr>
        <w:t xml:space="preserve">pounds </w:t>
      </w:r>
      <w:r>
        <w:rPr>
          <w:rFonts w:ascii="Arial" w:hAnsi="Arial" w:cs="Arial"/>
          <w:sz w:val="20"/>
          <w:szCs w:val="20"/>
        </w:rPr>
        <w:t xml:space="preserve">sold across </w:t>
      </w:r>
      <w:r w:rsidR="00A81DD5">
        <w:rPr>
          <w:rFonts w:ascii="Arial" w:hAnsi="Arial" w:cs="Arial"/>
          <w:sz w:val="20"/>
          <w:szCs w:val="20"/>
        </w:rPr>
        <w:t>the three areas</w:t>
      </w:r>
      <w:r>
        <w:rPr>
          <w:rFonts w:ascii="Arial" w:hAnsi="Arial" w:cs="Arial"/>
          <w:sz w:val="20"/>
          <w:szCs w:val="20"/>
        </w:rPr>
        <w:t xml:space="preserve">, fresh produce made up </w:t>
      </w:r>
      <w:r w:rsidR="00E90227">
        <w:rPr>
          <w:rFonts w:ascii="Arial" w:hAnsi="Arial" w:cs="Arial"/>
          <w:sz w:val="20"/>
          <w:szCs w:val="20"/>
        </w:rPr>
        <w:t>8</w:t>
      </w:r>
      <w:r w:rsidR="004314BF">
        <w:rPr>
          <w:rFonts w:ascii="Arial" w:hAnsi="Arial" w:cs="Arial"/>
          <w:sz w:val="20"/>
          <w:szCs w:val="20"/>
        </w:rPr>
        <w:t>3.3</w:t>
      </w:r>
      <w:r w:rsidR="00215410">
        <w:rPr>
          <w:rFonts w:ascii="Arial" w:hAnsi="Arial" w:cs="Arial"/>
          <w:sz w:val="20"/>
          <w:szCs w:val="20"/>
        </w:rPr>
        <w:t>%</w:t>
      </w:r>
      <w:r w:rsidR="004314BF">
        <w:rPr>
          <w:rFonts w:ascii="Arial" w:hAnsi="Arial" w:cs="Arial"/>
          <w:sz w:val="20"/>
          <w:szCs w:val="20"/>
        </w:rPr>
        <w:t xml:space="preserve"> in June and 82.5% in the entire second quarter. Shelf-stable tends to represent a higher share in pounds than in dollars because of the lower price per volume. </w:t>
      </w:r>
      <w:r w:rsidR="008A426C">
        <w:rPr>
          <w:rFonts w:ascii="Arial" w:hAnsi="Arial" w:cs="Arial"/>
          <w:sz w:val="20"/>
          <w:szCs w:val="20"/>
        </w:rPr>
        <w:t xml:space="preserve">“With sales shares between fruit and vegetable spaces in the store holding steady, we are not expecting frozen or canned to fresh swap outs to increase – all three spaces are seen as unique by consumers in most produce categories,” said Parker. </w:t>
      </w:r>
    </w:p>
    <w:p w14:paraId="53C7F7C1" w14:textId="39788B12" w:rsidR="00E33D11" w:rsidRDefault="00E33D11" w:rsidP="00770809">
      <w:pPr>
        <w:pStyle w:val="NoSpacing"/>
        <w:rPr>
          <w:rFonts w:ascii="Arial" w:hAnsi="Arial" w:cs="Arial"/>
          <w:sz w:val="20"/>
          <w:szCs w:val="20"/>
        </w:rPr>
      </w:pPr>
    </w:p>
    <w:p w14:paraId="607BFC51" w14:textId="6F76CEAE" w:rsidR="00E33D11" w:rsidRDefault="000377D1" w:rsidP="00770809">
      <w:pPr>
        <w:pStyle w:val="NoSpacing"/>
        <w:rPr>
          <w:rFonts w:ascii="Arial" w:hAnsi="Arial" w:cs="Arial"/>
          <w:sz w:val="20"/>
          <w:szCs w:val="20"/>
        </w:rPr>
      </w:pPr>
      <w:r>
        <w:rPr>
          <w:noProof/>
        </w:rPr>
        <w:drawing>
          <wp:inline distT="0" distB="0" distL="0" distR="0" wp14:anchorId="69E8410B" wp14:editId="75AA4326">
            <wp:extent cx="6393815" cy="2702257"/>
            <wp:effectExtent l="0" t="0" r="6985" b="3175"/>
            <wp:docPr id="12" name="Chart 12">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Arial" w:hAnsi="Arial" w:cs="Arial"/>
          <w:sz w:val="20"/>
          <w:szCs w:val="20"/>
        </w:rPr>
        <w:t>b</w:t>
      </w:r>
    </w:p>
    <w:p w14:paraId="55311572" w14:textId="411D5E8D" w:rsidR="003508FD" w:rsidRPr="00983F3F" w:rsidRDefault="003508FD" w:rsidP="00983F3F">
      <w:pPr>
        <w:spacing w:after="0" w:line="240" w:lineRule="auto"/>
        <w:rPr>
          <w:rFonts w:ascii="Arial" w:hAnsi="Arial" w:cs="Arial"/>
          <w:color w:val="000000" w:themeColor="text1"/>
          <w:sz w:val="10"/>
          <w:szCs w:val="10"/>
          <w:shd w:val="clear" w:color="auto" w:fill="FFFFFF"/>
        </w:rPr>
      </w:pPr>
    </w:p>
    <w:p w14:paraId="0751DC13" w14:textId="77777777" w:rsidR="008111C0" w:rsidRDefault="008111C0" w:rsidP="00983F3F">
      <w:pPr>
        <w:spacing w:after="0" w:line="240" w:lineRule="auto"/>
        <w:rPr>
          <w:rFonts w:ascii="Arial" w:hAnsi="Arial" w:cs="Arial"/>
          <w:sz w:val="16"/>
          <w:szCs w:val="16"/>
        </w:rPr>
      </w:pPr>
      <w:r w:rsidRPr="00507D74">
        <w:rPr>
          <w:rFonts w:ascii="Arial" w:hAnsi="Arial" w:cs="Arial"/>
          <w:sz w:val="16"/>
          <w:szCs w:val="16"/>
        </w:rPr>
        <w:t>Source: Source: IRI Integrated Fresh, Total U.S., MULO</w:t>
      </w:r>
    </w:p>
    <w:p w14:paraId="6A747D79" w14:textId="32DB7BC7" w:rsidR="008111C0" w:rsidRDefault="008111C0" w:rsidP="0053257C">
      <w:pPr>
        <w:spacing w:after="0" w:line="240" w:lineRule="auto"/>
        <w:rPr>
          <w:rFonts w:ascii="Arial" w:hAnsi="Arial" w:cs="Arial"/>
          <w:sz w:val="20"/>
          <w:shd w:val="clear" w:color="auto" w:fill="FFFFFF"/>
        </w:rPr>
      </w:pPr>
    </w:p>
    <w:p w14:paraId="29284688" w14:textId="77777777" w:rsidR="00215410" w:rsidRDefault="00215410" w:rsidP="0053257C">
      <w:pPr>
        <w:spacing w:after="0" w:line="240" w:lineRule="auto"/>
        <w:rPr>
          <w:rFonts w:ascii="Arial" w:hAnsi="Arial" w:cs="Arial"/>
          <w:sz w:val="20"/>
          <w:shd w:val="clear" w:color="auto" w:fill="FFFFFF"/>
        </w:rPr>
      </w:pPr>
    </w:p>
    <w:p w14:paraId="6839CE99" w14:textId="77777777" w:rsidR="002137F5" w:rsidRPr="00CF309B" w:rsidRDefault="006C3FCE" w:rsidP="006069A6">
      <w:pPr>
        <w:pStyle w:val="NoSpacing"/>
        <w:rPr>
          <w:rFonts w:ascii="Arial" w:hAnsi="Arial" w:cs="Arial"/>
          <w:b/>
          <w:color w:val="595959" w:themeColor="text1" w:themeTint="A6"/>
          <w:sz w:val="24"/>
          <w:szCs w:val="24"/>
        </w:rPr>
      </w:pPr>
      <w:r w:rsidRPr="00CF309B">
        <w:rPr>
          <w:rFonts w:ascii="Arial" w:hAnsi="Arial" w:cs="Arial"/>
          <w:b/>
          <w:color w:val="595959" w:themeColor="text1" w:themeTint="A6"/>
          <w:sz w:val="24"/>
          <w:szCs w:val="24"/>
        </w:rPr>
        <w:t xml:space="preserve">Fresh Produce </w:t>
      </w:r>
      <w:r w:rsidR="002137F5" w:rsidRPr="00CF309B">
        <w:rPr>
          <w:rFonts w:ascii="Arial" w:hAnsi="Arial" w:cs="Arial"/>
          <w:b/>
          <w:color w:val="595959" w:themeColor="text1" w:themeTint="A6"/>
          <w:sz w:val="24"/>
          <w:szCs w:val="24"/>
        </w:rPr>
        <w:t>Dollars versus Volume</w:t>
      </w:r>
    </w:p>
    <w:p w14:paraId="0CB7AB49" w14:textId="7DD429DD" w:rsidR="0005157F" w:rsidRDefault="00223410" w:rsidP="006069A6">
      <w:pPr>
        <w:pStyle w:val="NoSpacing"/>
        <w:rPr>
          <w:rFonts w:ascii="Arial" w:hAnsi="Arial" w:cs="Arial"/>
          <w:sz w:val="20"/>
          <w:szCs w:val="20"/>
        </w:rPr>
      </w:pPr>
      <w:r>
        <w:rPr>
          <w:rFonts w:ascii="Arial" w:hAnsi="Arial" w:cs="Arial"/>
          <w:sz w:val="20"/>
          <w:szCs w:val="20"/>
        </w:rPr>
        <w:t>Fresh produce pound sales trailed behind year ago levels all throughout 2021</w:t>
      </w:r>
      <w:r w:rsidR="001A0E90">
        <w:rPr>
          <w:rFonts w:ascii="Arial" w:hAnsi="Arial" w:cs="Arial"/>
          <w:sz w:val="20"/>
          <w:szCs w:val="20"/>
        </w:rPr>
        <w:t xml:space="preserve"> and the first quarter of 2022</w:t>
      </w:r>
      <w:r>
        <w:rPr>
          <w:rFonts w:ascii="Arial" w:hAnsi="Arial" w:cs="Arial"/>
          <w:sz w:val="20"/>
          <w:szCs w:val="20"/>
        </w:rPr>
        <w:t xml:space="preserve">. In </w:t>
      </w:r>
      <w:r w:rsidR="004314BF">
        <w:rPr>
          <w:rFonts w:ascii="Arial" w:hAnsi="Arial" w:cs="Arial"/>
          <w:sz w:val="20"/>
          <w:szCs w:val="20"/>
        </w:rPr>
        <w:t xml:space="preserve">the second quarter of </w:t>
      </w:r>
      <w:r>
        <w:rPr>
          <w:rFonts w:ascii="Arial" w:hAnsi="Arial" w:cs="Arial"/>
          <w:sz w:val="20"/>
          <w:szCs w:val="20"/>
        </w:rPr>
        <w:t xml:space="preserve">2022, pound </w:t>
      </w:r>
      <w:r w:rsidR="001A0E90">
        <w:rPr>
          <w:rFonts w:ascii="Arial" w:hAnsi="Arial" w:cs="Arial"/>
          <w:sz w:val="20"/>
          <w:szCs w:val="20"/>
        </w:rPr>
        <w:t xml:space="preserve">sales were down </w:t>
      </w:r>
      <w:r w:rsidR="00676B67">
        <w:rPr>
          <w:rFonts w:ascii="Arial" w:hAnsi="Arial" w:cs="Arial"/>
          <w:sz w:val="20"/>
          <w:szCs w:val="20"/>
        </w:rPr>
        <w:t>-</w:t>
      </w:r>
      <w:r w:rsidR="004314BF">
        <w:rPr>
          <w:rFonts w:ascii="Arial" w:hAnsi="Arial" w:cs="Arial"/>
          <w:sz w:val="20"/>
          <w:szCs w:val="20"/>
        </w:rPr>
        <w:t>4.7</w:t>
      </w:r>
      <w:r w:rsidR="001A0E90">
        <w:rPr>
          <w:rFonts w:ascii="Arial" w:hAnsi="Arial" w:cs="Arial"/>
          <w:sz w:val="20"/>
          <w:szCs w:val="20"/>
        </w:rPr>
        <w:t>%</w:t>
      </w:r>
      <w:r w:rsidR="00135BE7">
        <w:rPr>
          <w:rFonts w:ascii="Arial" w:hAnsi="Arial" w:cs="Arial"/>
          <w:sz w:val="20"/>
          <w:szCs w:val="20"/>
        </w:rPr>
        <w:t xml:space="preserve"> year-on-year</w:t>
      </w:r>
      <w:r w:rsidR="00581F51">
        <w:rPr>
          <w:rFonts w:ascii="Arial" w:hAnsi="Arial" w:cs="Arial"/>
          <w:sz w:val="20"/>
          <w:szCs w:val="20"/>
        </w:rPr>
        <w:t>. Pounds saw an even greater year-on-year drop in June, at -5.2%</w:t>
      </w:r>
      <w:r w:rsidR="00E6448D">
        <w:rPr>
          <w:rFonts w:ascii="Arial" w:hAnsi="Arial" w:cs="Arial"/>
          <w:sz w:val="20"/>
          <w:szCs w:val="20"/>
        </w:rPr>
        <w:t xml:space="preserve"> — its lowest level since the second quarter of 2021</w:t>
      </w:r>
      <w:r>
        <w:rPr>
          <w:rFonts w:ascii="Arial" w:hAnsi="Arial" w:cs="Arial"/>
          <w:sz w:val="20"/>
          <w:szCs w:val="20"/>
        </w:rPr>
        <w:t xml:space="preserve">. </w:t>
      </w:r>
      <w:r w:rsidR="001A0E90">
        <w:rPr>
          <w:rFonts w:ascii="Arial" w:hAnsi="Arial" w:cs="Arial"/>
          <w:sz w:val="20"/>
          <w:szCs w:val="20"/>
        </w:rPr>
        <w:t xml:space="preserve">Importantly, compared with 2019, the pre-pandemic normal, dollars remain </w:t>
      </w:r>
      <w:r w:rsidR="00676B67">
        <w:rPr>
          <w:rFonts w:ascii="Arial" w:hAnsi="Arial" w:cs="Arial"/>
          <w:sz w:val="20"/>
          <w:szCs w:val="20"/>
        </w:rPr>
        <w:t>+</w:t>
      </w:r>
      <w:r w:rsidR="00F700E5">
        <w:rPr>
          <w:rFonts w:ascii="Arial" w:hAnsi="Arial" w:cs="Arial"/>
          <w:sz w:val="20"/>
          <w:szCs w:val="20"/>
        </w:rPr>
        <w:t>17.</w:t>
      </w:r>
      <w:r w:rsidR="00581F51">
        <w:rPr>
          <w:rFonts w:ascii="Arial" w:hAnsi="Arial" w:cs="Arial"/>
          <w:sz w:val="20"/>
          <w:szCs w:val="20"/>
        </w:rPr>
        <w:t>6</w:t>
      </w:r>
      <w:r w:rsidR="001A0E90">
        <w:rPr>
          <w:rFonts w:ascii="Arial" w:hAnsi="Arial" w:cs="Arial"/>
          <w:sz w:val="20"/>
          <w:szCs w:val="20"/>
        </w:rPr>
        <w:t xml:space="preserve">% ahead </w:t>
      </w:r>
      <w:r w:rsidR="00E648E4">
        <w:rPr>
          <w:rFonts w:ascii="Arial" w:hAnsi="Arial" w:cs="Arial"/>
          <w:sz w:val="20"/>
          <w:szCs w:val="20"/>
        </w:rPr>
        <w:t xml:space="preserve">(green triangles) </w:t>
      </w:r>
      <w:r w:rsidR="00581F51">
        <w:rPr>
          <w:rFonts w:ascii="Arial" w:hAnsi="Arial" w:cs="Arial"/>
          <w:sz w:val="20"/>
          <w:szCs w:val="20"/>
        </w:rPr>
        <w:t xml:space="preserve">and pounds stayed above </w:t>
      </w:r>
      <w:r w:rsidR="00F700E5">
        <w:rPr>
          <w:rFonts w:ascii="Arial" w:hAnsi="Arial" w:cs="Arial"/>
          <w:sz w:val="20"/>
          <w:szCs w:val="20"/>
        </w:rPr>
        <w:t xml:space="preserve">2019 levels by </w:t>
      </w:r>
      <w:r w:rsidR="008A426C">
        <w:rPr>
          <w:rFonts w:ascii="Arial" w:hAnsi="Arial" w:cs="Arial"/>
          <w:sz w:val="20"/>
          <w:szCs w:val="20"/>
        </w:rPr>
        <w:t>+</w:t>
      </w:r>
      <w:r w:rsidR="00581F51">
        <w:rPr>
          <w:rFonts w:ascii="Arial" w:hAnsi="Arial" w:cs="Arial"/>
          <w:sz w:val="20"/>
          <w:szCs w:val="20"/>
        </w:rPr>
        <w:t>1.1</w:t>
      </w:r>
      <w:r w:rsidR="00F700E5">
        <w:rPr>
          <w:rFonts w:ascii="Arial" w:hAnsi="Arial" w:cs="Arial"/>
          <w:sz w:val="20"/>
          <w:szCs w:val="20"/>
        </w:rPr>
        <w:t>%</w:t>
      </w:r>
      <w:r w:rsidR="00F122CD">
        <w:rPr>
          <w:rFonts w:ascii="Arial" w:hAnsi="Arial" w:cs="Arial"/>
          <w:sz w:val="20"/>
          <w:szCs w:val="20"/>
        </w:rPr>
        <w:t xml:space="preserve"> (purple squares)</w:t>
      </w:r>
      <w:r w:rsidR="00E648E4">
        <w:rPr>
          <w:rFonts w:ascii="Arial" w:hAnsi="Arial" w:cs="Arial"/>
          <w:sz w:val="20"/>
          <w:szCs w:val="20"/>
        </w:rPr>
        <w:t>.</w:t>
      </w:r>
      <w:r w:rsidR="00F122CD">
        <w:rPr>
          <w:rFonts w:ascii="Arial" w:hAnsi="Arial" w:cs="Arial"/>
          <w:sz w:val="20"/>
          <w:szCs w:val="20"/>
        </w:rPr>
        <w:t xml:space="preserve"> </w:t>
      </w:r>
    </w:p>
    <w:p w14:paraId="21AE6872" w14:textId="52842E4B" w:rsidR="00AC478B" w:rsidRDefault="00AC478B" w:rsidP="009D1A60">
      <w:pPr>
        <w:pStyle w:val="NoSpacing"/>
        <w:rPr>
          <w:noProof/>
        </w:rPr>
      </w:pPr>
    </w:p>
    <w:p w14:paraId="33F0DBEC" w14:textId="4039F016" w:rsidR="00BA5935" w:rsidRDefault="006B581A" w:rsidP="009D1A60">
      <w:pPr>
        <w:pStyle w:val="NoSpacing"/>
        <w:rPr>
          <w:noProof/>
        </w:rPr>
      </w:pPr>
      <w:r>
        <w:rPr>
          <w:noProof/>
        </w:rPr>
        <w:drawing>
          <wp:inline distT="0" distB="0" distL="0" distR="0" wp14:anchorId="09BC5E87" wp14:editId="2DE599B8">
            <wp:extent cx="6750685" cy="2931795"/>
            <wp:effectExtent l="0" t="0" r="0" b="1905"/>
            <wp:docPr id="4" name="Chart 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962AB8" w14:textId="77777777" w:rsidR="00BA5935" w:rsidRPr="009D1A60" w:rsidRDefault="00BA5935" w:rsidP="009D1A60">
      <w:pPr>
        <w:pStyle w:val="NoSpacing"/>
      </w:pPr>
    </w:p>
    <w:p w14:paraId="3AE9A45F" w14:textId="77777777" w:rsidR="00441E8F" w:rsidRPr="00CF309B" w:rsidRDefault="00441E8F" w:rsidP="00441E8F">
      <w:pPr>
        <w:pStyle w:val="NoSpacing"/>
        <w:rPr>
          <w:rFonts w:ascii="Arial" w:hAnsi="Arial" w:cs="Arial"/>
          <w:sz w:val="16"/>
          <w:szCs w:val="16"/>
        </w:rPr>
      </w:pPr>
      <w:r w:rsidRPr="00CF309B">
        <w:rPr>
          <w:rFonts w:ascii="Arial" w:hAnsi="Arial" w:cs="Arial"/>
          <w:sz w:val="16"/>
          <w:szCs w:val="16"/>
        </w:rPr>
        <w:t>Source: Source: IRI</w:t>
      </w:r>
      <w:r w:rsidR="00906C46">
        <w:rPr>
          <w:rFonts w:ascii="Arial" w:hAnsi="Arial" w:cs="Arial"/>
          <w:sz w:val="16"/>
          <w:szCs w:val="16"/>
        </w:rPr>
        <w:t xml:space="preserve"> Integrated Fresh</w:t>
      </w:r>
      <w:r w:rsidRPr="00CF309B">
        <w:rPr>
          <w:rFonts w:ascii="Arial" w:hAnsi="Arial" w:cs="Arial"/>
          <w:sz w:val="16"/>
          <w:szCs w:val="16"/>
        </w:rPr>
        <w:t>, Total U.S., MULO</w:t>
      </w:r>
      <w:r w:rsidR="00AA6AEB">
        <w:rPr>
          <w:rFonts w:ascii="Arial" w:hAnsi="Arial" w:cs="Arial"/>
          <w:sz w:val="16"/>
          <w:szCs w:val="16"/>
        </w:rPr>
        <w:t xml:space="preserve"> </w:t>
      </w:r>
    </w:p>
    <w:p w14:paraId="3053AAE0" w14:textId="77777777" w:rsidR="00043B43" w:rsidRPr="00CF309B" w:rsidRDefault="00043B43" w:rsidP="006069A6">
      <w:pPr>
        <w:pStyle w:val="NoSpacing"/>
        <w:rPr>
          <w:rFonts w:ascii="Arial" w:hAnsi="Arial" w:cs="Arial"/>
          <w:sz w:val="20"/>
          <w:szCs w:val="20"/>
        </w:rPr>
      </w:pPr>
    </w:p>
    <w:p w14:paraId="14CF2F77" w14:textId="5A5C7AD4" w:rsidR="00EF524A" w:rsidRDefault="00E6448D" w:rsidP="007C430F">
      <w:pPr>
        <w:pStyle w:val="NoSpacing"/>
        <w:rPr>
          <w:rFonts w:ascii="Arial" w:hAnsi="Arial" w:cs="Arial"/>
          <w:color w:val="000000" w:themeColor="text1"/>
          <w:sz w:val="20"/>
          <w:szCs w:val="18"/>
          <w:shd w:val="clear" w:color="auto" w:fill="FFFFFF"/>
        </w:rPr>
      </w:pPr>
      <w:r>
        <w:rPr>
          <w:rFonts w:ascii="Arial" w:hAnsi="Arial" w:cs="Arial"/>
          <w:color w:val="000000" w:themeColor="text1"/>
          <w:sz w:val="20"/>
          <w:szCs w:val="18"/>
          <w:shd w:val="clear" w:color="auto" w:fill="FFFFFF"/>
        </w:rPr>
        <w:t>“</w:t>
      </w:r>
      <w:r w:rsidR="00581F51">
        <w:rPr>
          <w:rFonts w:ascii="Arial" w:hAnsi="Arial" w:cs="Arial"/>
          <w:color w:val="000000" w:themeColor="text1"/>
          <w:sz w:val="20"/>
          <w:szCs w:val="18"/>
          <w:shd w:val="clear" w:color="auto" w:fill="FFFFFF"/>
        </w:rPr>
        <w:t>Fruit had been experiencing some volume pressure lately, but managed to reverse that on much better prices in June</w:t>
      </w:r>
      <w:r>
        <w:rPr>
          <w:rFonts w:ascii="Arial" w:hAnsi="Arial" w:cs="Arial"/>
          <w:color w:val="000000" w:themeColor="text1"/>
          <w:sz w:val="20"/>
          <w:szCs w:val="18"/>
          <w:shd w:val="clear" w:color="auto" w:fill="FFFFFF"/>
        </w:rPr>
        <w:t xml:space="preserve">,” </w:t>
      </w:r>
      <w:r w:rsidR="00581F51">
        <w:rPr>
          <w:rFonts w:ascii="Arial" w:hAnsi="Arial" w:cs="Arial"/>
          <w:color w:val="000000" w:themeColor="text1"/>
          <w:sz w:val="20"/>
          <w:szCs w:val="18"/>
          <w:shd w:val="clear" w:color="auto" w:fill="FFFFFF"/>
        </w:rPr>
        <w:t xml:space="preserve">Parker </w:t>
      </w:r>
      <w:r>
        <w:rPr>
          <w:rFonts w:ascii="Arial" w:hAnsi="Arial" w:cs="Arial"/>
          <w:color w:val="000000" w:themeColor="text1"/>
          <w:sz w:val="20"/>
          <w:szCs w:val="18"/>
          <w:shd w:val="clear" w:color="auto" w:fill="FFFFFF"/>
        </w:rPr>
        <w:t>explained. “Vegetable</w:t>
      </w:r>
      <w:r w:rsidR="00581F51">
        <w:rPr>
          <w:rFonts w:ascii="Arial" w:hAnsi="Arial" w:cs="Arial"/>
          <w:color w:val="000000" w:themeColor="text1"/>
          <w:sz w:val="20"/>
          <w:szCs w:val="18"/>
          <w:shd w:val="clear" w:color="auto" w:fill="FFFFFF"/>
        </w:rPr>
        <w:t xml:space="preserve"> pounds are down year-on-year as well, but also still well ahead of the 2019 pre-pandemic normal</w:t>
      </w:r>
      <w:r>
        <w:rPr>
          <w:rFonts w:ascii="Arial" w:hAnsi="Arial" w:cs="Arial"/>
          <w:color w:val="000000" w:themeColor="text1"/>
          <w:sz w:val="20"/>
          <w:szCs w:val="18"/>
          <w:shd w:val="clear" w:color="auto" w:fill="FFFFFF"/>
        </w:rPr>
        <w:t>.”</w:t>
      </w:r>
      <w:r w:rsidR="00991296">
        <w:rPr>
          <w:rFonts w:ascii="Arial" w:hAnsi="Arial" w:cs="Arial"/>
          <w:color w:val="000000" w:themeColor="text1"/>
          <w:sz w:val="20"/>
          <w:szCs w:val="18"/>
          <w:shd w:val="clear" w:color="auto" w:fill="FFFFFF"/>
        </w:rPr>
        <w:t xml:space="preserve"> </w:t>
      </w:r>
    </w:p>
    <w:p w14:paraId="32003095" w14:textId="77777777" w:rsidR="00F700E5" w:rsidRDefault="00F700E5" w:rsidP="007C430F">
      <w:pPr>
        <w:pStyle w:val="NoSpacing"/>
        <w:rPr>
          <w:rFonts w:ascii="Arial" w:hAnsi="Arial" w:cs="Arial"/>
          <w:color w:val="000000" w:themeColor="text1"/>
          <w:sz w:val="20"/>
          <w:szCs w:val="18"/>
          <w:shd w:val="clear" w:color="auto" w:fill="FFFFFF"/>
        </w:rPr>
      </w:pPr>
    </w:p>
    <w:tbl>
      <w:tblPr>
        <w:tblStyle w:val="LightShading-Accent5"/>
        <w:tblW w:w="10631" w:type="dxa"/>
        <w:tblBorders>
          <w:top w:val="none" w:sz="0" w:space="0" w:color="auto"/>
          <w:bottom w:val="none" w:sz="0" w:space="0" w:color="auto"/>
        </w:tblBorders>
        <w:tblLook w:val="04A0" w:firstRow="1" w:lastRow="0" w:firstColumn="1" w:lastColumn="0" w:noHBand="0" w:noVBand="1"/>
      </w:tblPr>
      <w:tblGrid>
        <w:gridCol w:w="962"/>
        <w:gridCol w:w="319"/>
        <w:gridCol w:w="513"/>
        <w:gridCol w:w="337"/>
        <w:gridCol w:w="850"/>
        <w:gridCol w:w="850"/>
        <w:gridCol w:w="850"/>
        <w:gridCol w:w="850"/>
        <w:gridCol w:w="850"/>
        <w:gridCol w:w="850"/>
        <w:gridCol w:w="850"/>
        <w:gridCol w:w="850"/>
        <w:gridCol w:w="850"/>
        <w:gridCol w:w="850"/>
      </w:tblGrid>
      <w:tr w:rsidR="00FA74C5" w:rsidRPr="00CF309B" w14:paraId="54D27BD5" w14:textId="77777777" w:rsidTr="00FA74C5">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62" w:type="dxa"/>
            <w:shd w:val="clear" w:color="auto" w:fill="17365D" w:themeFill="text2" w:themeFillShade="BF"/>
          </w:tcPr>
          <w:p w14:paraId="41D9731B" w14:textId="77777777" w:rsidR="00FA74C5" w:rsidRPr="00CF309B" w:rsidRDefault="00FA74C5" w:rsidP="00EC62BA">
            <w:pPr>
              <w:pStyle w:val="NoSpacing"/>
              <w:jc w:val="center"/>
              <w:rPr>
                <w:rFonts w:ascii="Arial" w:hAnsi="Arial" w:cs="Arial"/>
                <w:color w:val="FFFFFF" w:themeColor="background1"/>
                <w:sz w:val="18"/>
                <w:szCs w:val="18"/>
              </w:rPr>
            </w:pPr>
          </w:p>
        </w:tc>
        <w:tc>
          <w:tcPr>
            <w:tcW w:w="832" w:type="dxa"/>
            <w:gridSpan w:val="2"/>
            <w:shd w:val="clear" w:color="auto" w:fill="17365D" w:themeFill="text2" w:themeFillShade="BF"/>
          </w:tcPr>
          <w:p w14:paraId="6CFA624D" w14:textId="77777777" w:rsidR="00FA74C5" w:rsidRPr="00CF309B" w:rsidRDefault="00FA74C5"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8837" w:type="dxa"/>
            <w:gridSpan w:val="11"/>
            <w:shd w:val="clear" w:color="auto" w:fill="17365D" w:themeFill="text2" w:themeFillShade="BF"/>
          </w:tcPr>
          <w:p w14:paraId="5C2A10C7" w14:textId="78BFB11B" w:rsidR="00FA74C5" w:rsidRPr="00CF309B" w:rsidRDefault="00FA74C5"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F309B">
              <w:rPr>
                <w:rFonts w:ascii="Arial" w:hAnsi="Arial" w:cs="Arial"/>
                <w:color w:val="FFFFFF" w:themeColor="background1"/>
                <w:sz w:val="18"/>
                <w:szCs w:val="18"/>
              </w:rPr>
              <w:t>Growth over comparable period</w:t>
            </w:r>
          </w:p>
        </w:tc>
      </w:tr>
      <w:tr w:rsidR="00FA74C5" w:rsidRPr="00CF309B" w14:paraId="2188E4FF" w14:textId="77777777" w:rsidTr="00FA74C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281" w:type="dxa"/>
            <w:gridSpan w:val="2"/>
            <w:shd w:val="clear" w:color="auto" w:fill="17365D" w:themeFill="text2" w:themeFillShade="BF"/>
            <w:vAlign w:val="center"/>
          </w:tcPr>
          <w:p w14:paraId="29E5768B" w14:textId="77777777" w:rsidR="00FA74C5" w:rsidRPr="00CF309B" w:rsidRDefault="00FA74C5" w:rsidP="00D44AC8">
            <w:pPr>
              <w:pStyle w:val="NoSpacing"/>
              <w:jc w:val="right"/>
              <w:rPr>
                <w:rFonts w:ascii="Arial" w:hAnsi="Arial" w:cs="Arial"/>
                <w:color w:val="FFFFFF" w:themeColor="background1"/>
                <w:sz w:val="18"/>
                <w:szCs w:val="18"/>
              </w:rPr>
            </w:pPr>
          </w:p>
        </w:tc>
        <w:tc>
          <w:tcPr>
            <w:tcW w:w="850" w:type="dxa"/>
            <w:gridSpan w:val="2"/>
            <w:shd w:val="clear" w:color="auto" w:fill="17365D" w:themeFill="text2" w:themeFillShade="BF"/>
            <w:vAlign w:val="center"/>
          </w:tcPr>
          <w:p w14:paraId="63017601" w14:textId="77777777" w:rsidR="00FA74C5" w:rsidRPr="003C245B"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850" w:type="dxa"/>
            <w:shd w:val="clear" w:color="auto" w:fill="17365D" w:themeFill="text2" w:themeFillShade="BF"/>
            <w:vAlign w:val="center"/>
          </w:tcPr>
          <w:p w14:paraId="4A18F774" w14:textId="77777777" w:rsidR="00FA74C5" w:rsidRPr="003C245B"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2020</w:t>
            </w:r>
          </w:p>
        </w:tc>
        <w:tc>
          <w:tcPr>
            <w:tcW w:w="850" w:type="dxa"/>
            <w:shd w:val="clear" w:color="auto" w:fill="17365D" w:themeFill="text2" w:themeFillShade="BF"/>
            <w:vAlign w:val="center"/>
          </w:tcPr>
          <w:p w14:paraId="3AD9F6FB" w14:textId="345B94E0"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21</w:t>
            </w:r>
          </w:p>
        </w:tc>
        <w:tc>
          <w:tcPr>
            <w:tcW w:w="850" w:type="dxa"/>
            <w:shd w:val="clear" w:color="auto" w:fill="17365D" w:themeFill="text2" w:themeFillShade="BF"/>
            <w:vAlign w:val="center"/>
          </w:tcPr>
          <w:p w14:paraId="56E4CCDB" w14:textId="79790FAF"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21</w:t>
            </w:r>
          </w:p>
        </w:tc>
        <w:tc>
          <w:tcPr>
            <w:tcW w:w="850" w:type="dxa"/>
            <w:shd w:val="clear" w:color="auto" w:fill="17365D" w:themeFill="text2" w:themeFillShade="BF"/>
            <w:vAlign w:val="center"/>
          </w:tcPr>
          <w:p w14:paraId="2293C6F3" w14:textId="1E5D39A4"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850" w:type="dxa"/>
            <w:shd w:val="clear" w:color="auto" w:fill="17365D" w:themeFill="text2" w:themeFillShade="BF"/>
            <w:vAlign w:val="center"/>
          </w:tcPr>
          <w:p w14:paraId="1A442681" w14:textId="5AB2F491"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850" w:type="dxa"/>
            <w:shd w:val="clear" w:color="auto" w:fill="17365D" w:themeFill="text2" w:themeFillShade="BF"/>
            <w:vAlign w:val="center"/>
          </w:tcPr>
          <w:p w14:paraId="4385EE9E" w14:textId="22D4D9C4"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22</w:t>
            </w:r>
          </w:p>
        </w:tc>
        <w:tc>
          <w:tcPr>
            <w:tcW w:w="850" w:type="dxa"/>
            <w:shd w:val="clear" w:color="auto" w:fill="17365D" w:themeFill="text2" w:themeFillShade="BF"/>
            <w:vAlign w:val="center"/>
          </w:tcPr>
          <w:p w14:paraId="1C76D19F" w14:textId="11890A13"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22</w:t>
            </w:r>
          </w:p>
        </w:tc>
        <w:tc>
          <w:tcPr>
            <w:tcW w:w="850" w:type="dxa"/>
            <w:shd w:val="clear" w:color="auto" w:fill="17365D" w:themeFill="text2" w:themeFillShade="BF"/>
            <w:vAlign w:val="center"/>
          </w:tcPr>
          <w:p w14:paraId="7DD4E35E" w14:textId="0FA446E5"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Jun 22</w:t>
            </w:r>
          </w:p>
        </w:tc>
        <w:tc>
          <w:tcPr>
            <w:tcW w:w="850" w:type="dxa"/>
            <w:shd w:val="clear" w:color="auto" w:fill="17365D" w:themeFill="text2" w:themeFillShade="BF"/>
            <w:vAlign w:val="center"/>
          </w:tcPr>
          <w:p w14:paraId="041FEF61" w14:textId="4E21B2CB"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YA</w:t>
            </w:r>
          </w:p>
        </w:tc>
        <w:tc>
          <w:tcPr>
            <w:tcW w:w="850" w:type="dxa"/>
            <w:shd w:val="clear" w:color="auto" w:fill="17365D" w:themeFill="text2" w:themeFillShade="BF"/>
            <w:vAlign w:val="center"/>
          </w:tcPr>
          <w:p w14:paraId="582F16C2" w14:textId="2A0FD017"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2019</w:t>
            </w:r>
          </w:p>
        </w:tc>
      </w:tr>
      <w:tr w:rsidR="00FA74C5" w:rsidRPr="00E43E81" w14:paraId="63E25688" w14:textId="77777777" w:rsidTr="00FA74C5">
        <w:trPr>
          <w:trHeight w:val="140"/>
        </w:trPr>
        <w:tc>
          <w:tcPr>
            <w:cnfStyle w:val="001000000000" w:firstRow="0" w:lastRow="0" w:firstColumn="1" w:lastColumn="0" w:oddVBand="0" w:evenVBand="0" w:oddHBand="0" w:evenHBand="0" w:firstRowFirstColumn="0" w:firstRowLastColumn="0" w:lastRowFirstColumn="0" w:lastRowLastColumn="0"/>
            <w:tcW w:w="1281" w:type="dxa"/>
            <w:gridSpan w:val="2"/>
            <w:vAlign w:val="center"/>
          </w:tcPr>
          <w:p w14:paraId="1BC5E048" w14:textId="77777777" w:rsidR="00FA74C5" w:rsidRPr="00E43E81" w:rsidRDefault="00FA74C5" w:rsidP="003A7E92">
            <w:pPr>
              <w:rPr>
                <w:rFonts w:ascii="Arial" w:hAnsi="Arial" w:cs="Arial"/>
                <w:color w:val="215868" w:themeColor="accent5" w:themeShade="80"/>
                <w:sz w:val="18"/>
                <w:szCs w:val="18"/>
              </w:rPr>
            </w:pPr>
            <w:r w:rsidRPr="00E43E81">
              <w:rPr>
                <w:rFonts w:ascii="Arial" w:hAnsi="Arial" w:cs="Arial"/>
                <w:color w:val="215868" w:themeColor="accent5" w:themeShade="80"/>
                <w:sz w:val="18"/>
                <w:szCs w:val="18"/>
              </w:rPr>
              <w:t>Fruit</w:t>
            </w:r>
          </w:p>
        </w:tc>
        <w:tc>
          <w:tcPr>
            <w:tcW w:w="850" w:type="dxa"/>
            <w:gridSpan w:val="2"/>
            <w:vAlign w:val="center"/>
          </w:tcPr>
          <w:p w14:paraId="1139F53D" w14:textId="77777777" w:rsidR="00FA74C5" w:rsidRPr="00E43E81" w:rsidRDefault="00FA74C5"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vAlign w:val="center"/>
          </w:tcPr>
          <w:p w14:paraId="7781D8C8" w14:textId="77777777" w:rsidR="00FA74C5" w:rsidRPr="00E43E81" w:rsidRDefault="00FA74C5"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vAlign w:val="center"/>
          </w:tcPr>
          <w:p w14:paraId="4B6676A1" w14:textId="77777777" w:rsidR="00FA74C5" w:rsidRPr="00E43E81" w:rsidRDefault="00FA74C5"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34E1CFA3" w14:textId="77777777" w:rsidR="00FA74C5" w:rsidRPr="00E43E81" w:rsidRDefault="00FA74C5"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55E76F30" w14:textId="77777777" w:rsidR="00FA74C5" w:rsidRPr="00E43E81" w:rsidRDefault="00FA74C5"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2AA16F83" w14:textId="77777777" w:rsidR="00FA74C5" w:rsidRPr="00E43E81" w:rsidRDefault="00FA74C5"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0E3FBDB9" w14:textId="77777777" w:rsidR="00FA74C5" w:rsidRPr="00E43E81" w:rsidRDefault="00FA74C5"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63E23AFE" w14:textId="77777777" w:rsidR="00FA74C5" w:rsidRPr="00E43E81" w:rsidRDefault="00FA74C5"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4EFAFB8B" w14:textId="15547391" w:rsidR="00FA74C5" w:rsidRPr="00E43E81" w:rsidRDefault="00FA74C5"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3E5E2079" w14:textId="6B23943E" w:rsidR="00FA74C5" w:rsidRPr="00E43E81" w:rsidRDefault="00FA74C5"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3C1099A0" w14:textId="77777777" w:rsidR="00FA74C5" w:rsidRPr="00E43E81" w:rsidRDefault="00FA74C5"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r>
      <w:tr w:rsidR="00FA74C5" w:rsidRPr="00EF524A" w14:paraId="5AEC7600" w14:textId="77777777" w:rsidTr="00FA74C5">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281" w:type="dxa"/>
            <w:gridSpan w:val="2"/>
            <w:vAlign w:val="center"/>
          </w:tcPr>
          <w:p w14:paraId="7D1E7D37" w14:textId="77777777" w:rsidR="00FA74C5" w:rsidRPr="00EF524A" w:rsidRDefault="00FA74C5" w:rsidP="00FA74C5">
            <w:pPr>
              <w:pStyle w:val="NoSpacing"/>
              <w:jc w:val="right"/>
              <w:rPr>
                <w:rFonts w:ascii="Arial" w:hAnsi="Arial" w:cs="Arial"/>
                <w:b w:val="0"/>
                <w:color w:val="215868" w:themeColor="accent5" w:themeShade="80"/>
                <w:sz w:val="18"/>
                <w:szCs w:val="18"/>
              </w:rPr>
            </w:pPr>
            <w:r w:rsidRPr="00EF524A">
              <w:rPr>
                <w:rFonts w:ascii="Arial" w:hAnsi="Arial" w:cs="Arial"/>
                <w:b w:val="0"/>
                <w:color w:val="215868" w:themeColor="accent5" w:themeShade="80"/>
                <w:sz w:val="18"/>
                <w:szCs w:val="18"/>
              </w:rPr>
              <w:t xml:space="preserve">   Dollars</w:t>
            </w:r>
          </w:p>
        </w:tc>
        <w:tc>
          <w:tcPr>
            <w:tcW w:w="850" w:type="dxa"/>
            <w:gridSpan w:val="2"/>
            <w:vAlign w:val="bottom"/>
          </w:tcPr>
          <w:p w14:paraId="15B690B5" w14:textId="2D5E8518"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-0.2</w:t>
            </w:r>
            <w:r w:rsidRPr="00EF524A">
              <w:rPr>
                <w:rFonts w:ascii="Arial" w:hAnsi="Arial" w:cs="Arial"/>
                <w:bCs/>
                <w:color w:val="215868"/>
                <w:sz w:val="18"/>
                <w:szCs w:val="18"/>
              </w:rPr>
              <w:t>%</w:t>
            </w:r>
          </w:p>
        </w:tc>
        <w:tc>
          <w:tcPr>
            <w:tcW w:w="850" w:type="dxa"/>
            <w:vAlign w:val="bottom"/>
          </w:tcPr>
          <w:p w14:paraId="17DA2E9F" w14:textId="31E8E4EC"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sidRPr="00EF524A">
              <w:rPr>
                <w:rFonts w:ascii="Arial" w:hAnsi="Arial" w:cs="Arial"/>
                <w:bCs/>
                <w:color w:val="215868"/>
                <w:sz w:val="18"/>
                <w:szCs w:val="18"/>
              </w:rPr>
              <w:t>+</w:t>
            </w:r>
            <w:r>
              <w:rPr>
                <w:rFonts w:ascii="Arial" w:hAnsi="Arial" w:cs="Arial"/>
                <w:bCs/>
                <w:color w:val="215868"/>
                <w:sz w:val="18"/>
                <w:szCs w:val="18"/>
              </w:rPr>
              <w:t>8.7</w:t>
            </w:r>
            <w:r w:rsidRPr="00EF524A">
              <w:rPr>
                <w:rFonts w:ascii="Arial" w:hAnsi="Arial" w:cs="Arial"/>
                <w:bCs/>
                <w:color w:val="215868"/>
                <w:sz w:val="18"/>
                <w:szCs w:val="18"/>
              </w:rPr>
              <w:t>%</w:t>
            </w:r>
          </w:p>
        </w:tc>
        <w:tc>
          <w:tcPr>
            <w:tcW w:w="850" w:type="dxa"/>
            <w:vAlign w:val="bottom"/>
          </w:tcPr>
          <w:p w14:paraId="283B4C73" w14:textId="4E5BDF02"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+5.1</w:t>
            </w:r>
            <w:r w:rsidRPr="00EF524A">
              <w:rPr>
                <w:rFonts w:ascii="Arial" w:hAnsi="Arial" w:cs="Arial"/>
                <w:bCs/>
                <w:color w:val="215868"/>
                <w:sz w:val="18"/>
                <w:szCs w:val="18"/>
              </w:rPr>
              <w:t>%</w:t>
            </w:r>
          </w:p>
        </w:tc>
        <w:tc>
          <w:tcPr>
            <w:tcW w:w="850" w:type="dxa"/>
          </w:tcPr>
          <w:p w14:paraId="05F0A495" w14:textId="76FC154B"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+4.5</w:t>
            </w:r>
            <w:r w:rsidRPr="00EF524A">
              <w:rPr>
                <w:rFonts w:ascii="Arial" w:hAnsi="Arial" w:cs="Arial"/>
                <w:bCs/>
                <w:color w:val="215868"/>
                <w:sz w:val="18"/>
                <w:szCs w:val="18"/>
              </w:rPr>
              <w:t>%</w:t>
            </w:r>
          </w:p>
        </w:tc>
        <w:tc>
          <w:tcPr>
            <w:tcW w:w="850" w:type="dxa"/>
          </w:tcPr>
          <w:p w14:paraId="7BE6A292" w14:textId="269A829D"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+6.2</w:t>
            </w:r>
            <w:r w:rsidRPr="00EF524A">
              <w:rPr>
                <w:rFonts w:ascii="Arial" w:hAnsi="Arial" w:cs="Arial"/>
                <w:bCs/>
                <w:color w:val="215868"/>
                <w:sz w:val="18"/>
                <w:szCs w:val="18"/>
              </w:rPr>
              <w:t>%</w:t>
            </w:r>
          </w:p>
        </w:tc>
        <w:tc>
          <w:tcPr>
            <w:tcW w:w="850" w:type="dxa"/>
          </w:tcPr>
          <w:p w14:paraId="59F7AEF4" w14:textId="14B767C5"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Pr>
                <w:rFonts w:ascii="Arial" w:hAnsi="Arial" w:cs="Arial"/>
                <w:bCs/>
                <w:color w:val="215868" w:themeColor="accent5" w:themeShade="80"/>
                <w:sz w:val="18"/>
                <w:szCs w:val="18"/>
              </w:rPr>
              <w:t>10.9</w:t>
            </w:r>
            <w:r w:rsidRPr="00EF524A">
              <w:rPr>
                <w:rFonts w:ascii="Arial" w:hAnsi="Arial" w:cs="Arial"/>
                <w:bCs/>
                <w:color w:val="215868" w:themeColor="accent5" w:themeShade="80"/>
                <w:sz w:val="18"/>
                <w:szCs w:val="18"/>
              </w:rPr>
              <w:t>%</w:t>
            </w:r>
          </w:p>
        </w:tc>
        <w:tc>
          <w:tcPr>
            <w:tcW w:w="850" w:type="dxa"/>
          </w:tcPr>
          <w:p w14:paraId="0DFFA07C" w14:textId="30F90A73"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Pr>
                <w:rFonts w:ascii="Arial" w:hAnsi="Arial" w:cs="Arial"/>
                <w:bCs/>
                <w:color w:val="215868" w:themeColor="accent5" w:themeShade="80"/>
                <w:sz w:val="18"/>
                <w:szCs w:val="18"/>
              </w:rPr>
              <w:t>10.2</w:t>
            </w:r>
            <w:r w:rsidRPr="00EF524A">
              <w:rPr>
                <w:rFonts w:ascii="Arial" w:hAnsi="Arial" w:cs="Arial"/>
                <w:bCs/>
                <w:color w:val="215868" w:themeColor="accent5" w:themeShade="80"/>
                <w:sz w:val="18"/>
                <w:szCs w:val="18"/>
              </w:rPr>
              <w:t>%</w:t>
            </w:r>
          </w:p>
        </w:tc>
        <w:tc>
          <w:tcPr>
            <w:tcW w:w="850" w:type="dxa"/>
          </w:tcPr>
          <w:p w14:paraId="483B56F7" w14:textId="39BE030B"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sidR="005E13EA">
              <w:rPr>
                <w:rFonts w:ascii="Arial" w:hAnsi="Arial" w:cs="Arial"/>
                <w:bCs/>
                <w:color w:val="215868" w:themeColor="accent5" w:themeShade="80"/>
                <w:sz w:val="18"/>
                <w:szCs w:val="18"/>
              </w:rPr>
              <w:t>4.2</w:t>
            </w:r>
            <w:r w:rsidRPr="00EF524A">
              <w:rPr>
                <w:rFonts w:ascii="Arial" w:hAnsi="Arial" w:cs="Arial"/>
                <w:bCs/>
                <w:color w:val="215868" w:themeColor="accent5" w:themeShade="80"/>
                <w:sz w:val="18"/>
                <w:szCs w:val="18"/>
              </w:rPr>
              <w:t>%</w:t>
            </w:r>
          </w:p>
        </w:tc>
        <w:tc>
          <w:tcPr>
            <w:tcW w:w="850" w:type="dxa"/>
          </w:tcPr>
          <w:p w14:paraId="0B316AC7" w14:textId="72FB8260"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581F51">
              <w:rPr>
                <w:rFonts w:ascii="Arial" w:hAnsi="Arial" w:cs="Arial"/>
                <w:bCs/>
                <w:color w:val="215868" w:themeColor="accent5" w:themeShade="80"/>
                <w:sz w:val="18"/>
                <w:szCs w:val="18"/>
              </w:rPr>
              <w:t>3.2</w:t>
            </w:r>
            <w:r>
              <w:rPr>
                <w:rFonts w:ascii="Arial" w:hAnsi="Arial" w:cs="Arial"/>
                <w:bCs/>
                <w:color w:val="215868" w:themeColor="accent5" w:themeShade="80"/>
                <w:sz w:val="18"/>
                <w:szCs w:val="18"/>
              </w:rPr>
              <w:t>B</w:t>
            </w:r>
          </w:p>
        </w:tc>
        <w:tc>
          <w:tcPr>
            <w:tcW w:w="850" w:type="dxa"/>
          </w:tcPr>
          <w:p w14:paraId="22BC605C" w14:textId="22DAC6E6" w:rsidR="00FA74C5" w:rsidRPr="00EF524A" w:rsidRDefault="00581F51"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-0.3</w:t>
            </w:r>
            <w:r w:rsidR="00FA74C5" w:rsidRPr="00EF524A">
              <w:rPr>
                <w:rFonts w:ascii="Arial" w:hAnsi="Arial" w:cs="Arial"/>
                <w:bCs/>
                <w:color w:val="215868" w:themeColor="accent5" w:themeShade="80"/>
                <w:sz w:val="18"/>
                <w:szCs w:val="18"/>
              </w:rPr>
              <w:t>%</w:t>
            </w:r>
          </w:p>
        </w:tc>
        <w:tc>
          <w:tcPr>
            <w:tcW w:w="850" w:type="dxa"/>
          </w:tcPr>
          <w:p w14:paraId="2FC95C73" w14:textId="619528AA"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581F51">
              <w:rPr>
                <w:rFonts w:ascii="Arial" w:hAnsi="Arial" w:cs="Arial"/>
                <w:bCs/>
                <w:color w:val="215868" w:themeColor="accent5" w:themeShade="80"/>
                <w:sz w:val="18"/>
                <w:szCs w:val="18"/>
              </w:rPr>
              <w:t>18.9</w:t>
            </w:r>
            <w:r w:rsidRPr="00EF524A">
              <w:rPr>
                <w:rFonts w:ascii="Arial" w:hAnsi="Arial" w:cs="Arial"/>
                <w:bCs/>
                <w:color w:val="215868" w:themeColor="accent5" w:themeShade="80"/>
                <w:sz w:val="18"/>
                <w:szCs w:val="18"/>
              </w:rPr>
              <w:t>%</w:t>
            </w:r>
          </w:p>
        </w:tc>
      </w:tr>
      <w:tr w:rsidR="00FA74C5" w:rsidRPr="00E43E81" w14:paraId="3476271B" w14:textId="77777777" w:rsidTr="00FA74C5">
        <w:trPr>
          <w:trHeight w:val="140"/>
        </w:trPr>
        <w:tc>
          <w:tcPr>
            <w:cnfStyle w:val="001000000000" w:firstRow="0" w:lastRow="0" w:firstColumn="1" w:lastColumn="0" w:oddVBand="0" w:evenVBand="0" w:oddHBand="0" w:evenHBand="0" w:firstRowFirstColumn="0" w:firstRowLastColumn="0" w:lastRowFirstColumn="0" w:lastRowLastColumn="0"/>
            <w:tcW w:w="1281" w:type="dxa"/>
            <w:gridSpan w:val="2"/>
            <w:vAlign w:val="center"/>
          </w:tcPr>
          <w:p w14:paraId="3C77D01E" w14:textId="77777777" w:rsidR="00FA74C5" w:rsidRPr="00E43E81" w:rsidRDefault="00FA74C5" w:rsidP="00FA74C5">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Volume</w:t>
            </w:r>
          </w:p>
        </w:tc>
        <w:tc>
          <w:tcPr>
            <w:tcW w:w="850" w:type="dxa"/>
            <w:gridSpan w:val="2"/>
            <w:vAlign w:val="bottom"/>
          </w:tcPr>
          <w:p w14:paraId="5B77DAE0" w14:textId="4B2A03E1" w:rsidR="00FA74C5" w:rsidRPr="00EF524A"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-0.6</w:t>
            </w:r>
            <w:r w:rsidRPr="00EF524A">
              <w:rPr>
                <w:rFonts w:ascii="Arial" w:hAnsi="Arial" w:cs="Arial"/>
                <w:color w:val="215868"/>
                <w:sz w:val="18"/>
                <w:szCs w:val="18"/>
              </w:rPr>
              <w:t>%</w:t>
            </w:r>
          </w:p>
        </w:tc>
        <w:tc>
          <w:tcPr>
            <w:tcW w:w="850" w:type="dxa"/>
            <w:vAlign w:val="bottom"/>
          </w:tcPr>
          <w:p w14:paraId="2014A442" w14:textId="08B1A478"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+8.8%</w:t>
            </w:r>
          </w:p>
        </w:tc>
        <w:tc>
          <w:tcPr>
            <w:tcW w:w="850" w:type="dxa"/>
            <w:vAlign w:val="bottom"/>
          </w:tcPr>
          <w:p w14:paraId="52EE4C7F" w14:textId="31CCBE58"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-0.5%</w:t>
            </w:r>
          </w:p>
        </w:tc>
        <w:tc>
          <w:tcPr>
            <w:tcW w:w="850" w:type="dxa"/>
          </w:tcPr>
          <w:p w14:paraId="1AF979C8" w14:textId="3295E934"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-5.1%</w:t>
            </w:r>
          </w:p>
        </w:tc>
        <w:tc>
          <w:tcPr>
            <w:tcW w:w="850" w:type="dxa"/>
          </w:tcPr>
          <w:p w14:paraId="6FC1B8BB" w14:textId="0D832A70"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-0.6%</w:t>
            </w:r>
          </w:p>
        </w:tc>
        <w:tc>
          <w:tcPr>
            <w:tcW w:w="850" w:type="dxa"/>
          </w:tcPr>
          <w:p w14:paraId="75D8DE48" w14:textId="3904B9C4"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-1.1%</w:t>
            </w:r>
          </w:p>
        </w:tc>
        <w:tc>
          <w:tcPr>
            <w:tcW w:w="850" w:type="dxa"/>
          </w:tcPr>
          <w:p w14:paraId="1BD47635" w14:textId="083E156A"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-3.7</w:t>
            </w:r>
            <w:r w:rsidRPr="00E43E81">
              <w:rPr>
                <w:rFonts w:ascii="Arial" w:hAnsi="Arial" w:cs="Arial"/>
                <w:color w:val="215868" w:themeColor="accent5" w:themeShade="80"/>
                <w:sz w:val="18"/>
                <w:szCs w:val="18"/>
              </w:rPr>
              <w:t>%</w:t>
            </w:r>
          </w:p>
        </w:tc>
        <w:tc>
          <w:tcPr>
            <w:tcW w:w="850" w:type="dxa"/>
          </w:tcPr>
          <w:p w14:paraId="14C8E331" w14:textId="2811330F"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5E13EA">
              <w:rPr>
                <w:rFonts w:ascii="Arial" w:hAnsi="Arial" w:cs="Arial"/>
                <w:color w:val="215868" w:themeColor="accent5" w:themeShade="80"/>
                <w:sz w:val="18"/>
                <w:szCs w:val="18"/>
              </w:rPr>
              <w:t>4.8</w:t>
            </w:r>
            <w:r w:rsidRPr="00E43E81">
              <w:rPr>
                <w:rFonts w:ascii="Arial" w:hAnsi="Arial" w:cs="Arial"/>
                <w:color w:val="215868" w:themeColor="accent5" w:themeShade="80"/>
                <w:sz w:val="18"/>
                <w:szCs w:val="18"/>
              </w:rPr>
              <w:t>%</w:t>
            </w:r>
          </w:p>
        </w:tc>
        <w:tc>
          <w:tcPr>
            <w:tcW w:w="850" w:type="dxa"/>
          </w:tcPr>
          <w:p w14:paraId="24ED1C4B" w14:textId="29F00316" w:rsidR="00FA74C5" w:rsidRDefault="00581F51"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2.1</w:t>
            </w:r>
            <w:r w:rsidR="00FA74C5">
              <w:rPr>
                <w:rFonts w:ascii="Arial" w:hAnsi="Arial" w:cs="Arial"/>
                <w:color w:val="215868" w:themeColor="accent5" w:themeShade="80"/>
                <w:sz w:val="18"/>
                <w:szCs w:val="18"/>
              </w:rPr>
              <w:t>B</w:t>
            </w:r>
          </w:p>
        </w:tc>
        <w:tc>
          <w:tcPr>
            <w:tcW w:w="850" w:type="dxa"/>
          </w:tcPr>
          <w:p w14:paraId="40C78115" w14:textId="23D51A74" w:rsidR="00FA74C5" w:rsidRPr="00E43E81"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w:t>
            </w:r>
            <w:r w:rsidR="00581F51">
              <w:rPr>
                <w:rFonts w:ascii="Arial" w:hAnsi="Arial" w:cs="Arial"/>
                <w:bCs/>
                <w:color w:val="215868" w:themeColor="accent5" w:themeShade="80"/>
                <w:sz w:val="18"/>
                <w:szCs w:val="18"/>
              </w:rPr>
              <w:t>5.7</w:t>
            </w:r>
            <w:r w:rsidRPr="00EF524A">
              <w:rPr>
                <w:rFonts w:ascii="Arial" w:hAnsi="Arial" w:cs="Arial"/>
                <w:bCs/>
                <w:color w:val="215868" w:themeColor="accent5" w:themeShade="80"/>
                <w:sz w:val="18"/>
                <w:szCs w:val="18"/>
              </w:rPr>
              <w:t>%</w:t>
            </w:r>
          </w:p>
        </w:tc>
        <w:tc>
          <w:tcPr>
            <w:tcW w:w="850" w:type="dxa"/>
          </w:tcPr>
          <w:p w14:paraId="40AFD473" w14:textId="3D717D43" w:rsidR="00FA74C5" w:rsidRPr="00E43E81" w:rsidRDefault="00581F51"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+0.8</w:t>
            </w:r>
            <w:r w:rsidR="00FA74C5" w:rsidRPr="00EF524A">
              <w:rPr>
                <w:rFonts w:ascii="Arial" w:hAnsi="Arial" w:cs="Arial"/>
                <w:bCs/>
                <w:color w:val="215868" w:themeColor="accent5" w:themeShade="80"/>
                <w:sz w:val="18"/>
                <w:szCs w:val="18"/>
              </w:rPr>
              <w:t>%</w:t>
            </w:r>
          </w:p>
        </w:tc>
      </w:tr>
      <w:tr w:rsidR="00FA74C5" w:rsidRPr="00E43E81" w14:paraId="086B8DCB" w14:textId="77777777" w:rsidTr="00FA74C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81" w:type="dxa"/>
            <w:gridSpan w:val="2"/>
            <w:vAlign w:val="center"/>
          </w:tcPr>
          <w:p w14:paraId="33C6FCCB" w14:textId="77777777" w:rsidR="00FA74C5" w:rsidRPr="00E43E81" w:rsidRDefault="00FA74C5" w:rsidP="00FA74C5">
            <w:pPr>
              <w:pStyle w:val="NoSpacing"/>
              <w:rPr>
                <w:rFonts w:ascii="Arial" w:hAnsi="Arial" w:cs="Arial"/>
                <w:color w:val="215868" w:themeColor="accent5" w:themeShade="80"/>
                <w:sz w:val="18"/>
                <w:szCs w:val="18"/>
              </w:rPr>
            </w:pPr>
            <w:r w:rsidRPr="00E43E81">
              <w:rPr>
                <w:rFonts w:ascii="Arial" w:hAnsi="Arial" w:cs="Arial"/>
                <w:color w:val="215868" w:themeColor="accent5" w:themeShade="80"/>
                <w:sz w:val="18"/>
                <w:szCs w:val="18"/>
              </w:rPr>
              <w:t>Vegetables</w:t>
            </w:r>
          </w:p>
        </w:tc>
        <w:tc>
          <w:tcPr>
            <w:tcW w:w="850" w:type="dxa"/>
            <w:gridSpan w:val="2"/>
            <w:vAlign w:val="bottom"/>
          </w:tcPr>
          <w:p w14:paraId="73DCC43F" w14:textId="77777777"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850" w:type="dxa"/>
            <w:vAlign w:val="bottom"/>
          </w:tcPr>
          <w:p w14:paraId="7761902E" w14:textId="77777777"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850" w:type="dxa"/>
            <w:vAlign w:val="bottom"/>
          </w:tcPr>
          <w:p w14:paraId="74E5391B" w14:textId="77777777"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850" w:type="dxa"/>
          </w:tcPr>
          <w:p w14:paraId="18CCBF84" w14:textId="77777777" w:rsidR="00FA74C5" w:rsidRDefault="00FA74C5" w:rsidP="00FA74C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850" w:type="dxa"/>
          </w:tcPr>
          <w:p w14:paraId="01DBE46D" w14:textId="77777777" w:rsidR="00FA74C5" w:rsidRDefault="00FA74C5" w:rsidP="00FA74C5">
            <w:pPr>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850" w:type="dxa"/>
          </w:tcPr>
          <w:p w14:paraId="6BD6E949" w14:textId="77777777" w:rsidR="00FA74C5" w:rsidRPr="00E43E81" w:rsidRDefault="00FA74C5" w:rsidP="00FA74C5">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2EC07E7F" w14:textId="77777777" w:rsidR="00FA74C5" w:rsidRPr="00E43E81" w:rsidRDefault="00FA74C5" w:rsidP="00FA74C5">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6CFBC54D" w14:textId="77777777" w:rsidR="00FA74C5" w:rsidRPr="00E43E81" w:rsidRDefault="00FA74C5" w:rsidP="00FA74C5">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7096CAC7" w14:textId="79C09AB3" w:rsidR="00FA74C5" w:rsidRPr="00E43E81" w:rsidRDefault="00FA74C5" w:rsidP="00FA74C5">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29C1AAF9" w14:textId="37631E86" w:rsidR="00FA74C5" w:rsidRPr="00E43E81" w:rsidRDefault="00FA74C5" w:rsidP="00FA74C5">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850" w:type="dxa"/>
          </w:tcPr>
          <w:p w14:paraId="05C8EE53" w14:textId="77777777" w:rsidR="00FA74C5" w:rsidRPr="00E43E81" w:rsidRDefault="00FA74C5" w:rsidP="00FA74C5">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r>
      <w:tr w:rsidR="00FA74C5" w:rsidRPr="00E43E81" w14:paraId="21073A7E" w14:textId="77777777" w:rsidTr="00FA74C5">
        <w:trPr>
          <w:trHeight w:val="140"/>
        </w:trPr>
        <w:tc>
          <w:tcPr>
            <w:cnfStyle w:val="001000000000" w:firstRow="0" w:lastRow="0" w:firstColumn="1" w:lastColumn="0" w:oddVBand="0" w:evenVBand="0" w:oddHBand="0" w:evenHBand="0" w:firstRowFirstColumn="0" w:firstRowLastColumn="0" w:lastRowFirstColumn="0" w:lastRowLastColumn="0"/>
            <w:tcW w:w="1281" w:type="dxa"/>
            <w:gridSpan w:val="2"/>
            <w:vAlign w:val="center"/>
          </w:tcPr>
          <w:p w14:paraId="212B5B99" w14:textId="77777777" w:rsidR="00FA74C5" w:rsidRPr="00E43E81" w:rsidRDefault="00FA74C5" w:rsidP="00FA74C5">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Dollars</w:t>
            </w:r>
          </w:p>
        </w:tc>
        <w:tc>
          <w:tcPr>
            <w:tcW w:w="850" w:type="dxa"/>
            <w:gridSpan w:val="2"/>
            <w:vAlign w:val="bottom"/>
          </w:tcPr>
          <w:p w14:paraId="1765AE90" w14:textId="72591C81" w:rsidR="00FA74C5" w:rsidRPr="00EF524A"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EF524A">
              <w:rPr>
                <w:rFonts w:ascii="Arial" w:hAnsi="Arial" w:cs="Arial"/>
                <w:color w:val="215868"/>
                <w:sz w:val="18"/>
                <w:szCs w:val="18"/>
              </w:rPr>
              <w:t>+</w:t>
            </w:r>
            <w:r>
              <w:rPr>
                <w:rFonts w:ascii="Arial" w:hAnsi="Arial" w:cs="Arial"/>
                <w:color w:val="215868"/>
                <w:sz w:val="18"/>
                <w:szCs w:val="18"/>
              </w:rPr>
              <w:t>3.9</w:t>
            </w:r>
            <w:r w:rsidRPr="00EF524A">
              <w:rPr>
                <w:rFonts w:ascii="Arial" w:hAnsi="Arial" w:cs="Arial"/>
                <w:color w:val="215868"/>
                <w:sz w:val="18"/>
                <w:szCs w:val="18"/>
              </w:rPr>
              <w:t>%</w:t>
            </w:r>
          </w:p>
        </w:tc>
        <w:tc>
          <w:tcPr>
            <w:tcW w:w="850" w:type="dxa"/>
            <w:vAlign w:val="bottom"/>
          </w:tcPr>
          <w:p w14:paraId="32E683B5" w14:textId="21A20A32"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+14.8%</w:t>
            </w:r>
          </w:p>
        </w:tc>
        <w:tc>
          <w:tcPr>
            <w:tcW w:w="850" w:type="dxa"/>
            <w:vAlign w:val="bottom"/>
          </w:tcPr>
          <w:p w14:paraId="505795D6" w14:textId="430CA0F4"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+4.7%</w:t>
            </w:r>
          </w:p>
        </w:tc>
        <w:tc>
          <w:tcPr>
            <w:tcW w:w="850" w:type="dxa"/>
          </w:tcPr>
          <w:p w14:paraId="4B1C1FD6" w14:textId="16BEDA07"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-7.1%</w:t>
            </w:r>
          </w:p>
        </w:tc>
        <w:tc>
          <w:tcPr>
            <w:tcW w:w="850" w:type="dxa"/>
          </w:tcPr>
          <w:p w14:paraId="10FE4091" w14:textId="07896E09"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-2.3%</w:t>
            </w:r>
          </w:p>
        </w:tc>
        <w:tc>
          <w:tcPr>
            <w:tcW w:w="850" w:type="dxa"/>
          </w:tcPr>
          <w:p w14:paraId="04FFBCC4" w14:textId="7AC5FC90"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+0.1%</w:t>
            </w:r>
          </w:p>
        </w:tc>
        <w:tc>
          <w:tcPr>
            <w:tcW w:w="850" w:type="dxa"/>
          </w:tcPr>
          <w:p w14:paraId="61F9669F" w14:textId="289A7C87"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-0.4</w:t>
            </w:r>
            <w:r w:rsidRPr="00E43E81">
              <w:rPr>
                <w:rFonts w:ascii="Arial" w:hAnsi="Arial" w:cs="Arial"/>
                <w:color w:val="215868" w:themeColor="accent5" w:themeShade="80"/>
                <w:sz w:val="18"/>
              </w:rPr>
              <w:t>%</w:t>
            </w:r>
          </w:p>
        </w:tc>
        <w:tc>
          <w:tcPr>
            <w:tcW w:w="850" w:type="dxa"/>
          </w:tcPr>
          <w:p w14:paraId="046A612B" w14:textId="54BF3968" w:rsidR="00FA74C5" w:rsidRDefault="005E13EA"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color w:val="215868" w:themeColor="accent5" w:themeShade="80"/>
                <w:sz w:val="18"/>
              </w:rPr>
              <w:t>+2.9</w:t>
            </w:r>
            <w:r w:rsidR="00FA74C5" w:rsidRPr="00E43E81">
              <w:rPr>
                <w:rFonts w:ascii="Arial" w:hAnsi="Arial" w:cs="Arial"/>
                <w:color w:val="215868" w:themeColor="accent5" w:themeShade="80"/>
                <w:sz w:val="18"/>
              </w:rPr>
              <w:t>%</w:t>
            </w:r>
          </w:p>
        </w:tc>
        <w:tc>
          <w:tcPr>
            <w:tcW w:w="850" w:type="dxa"/>
          </w:tcPr>
          <w:p w14:paraId="3FA0D484" w14:textId="7E413CC9" w:rsidR="00FA74C5"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bCs/>
                <w:color w:val="215868" w:themeColor="accent5" w:themeShade="80"/>
                <w:sz w:val="18"/>
                <w:szCs w:val="18"/>
              </w:rPr>
              <w:t>$</w:t>
            </w:r>
            <w:r w:rsidR="00581F51">
              <w:rPr>
                <w:rFonts w:ascii="Arial" w:hAnsi="Arial" w:cs="Arial"/>
                <w:bCs/>
                <w:color w:val="215868" w:themeColor="accent5" w:themeShade="80"/>
                <w:sz w:val="18"/>
                <w:szCs w:val="18"/>
              </w:rPr>
              <w:t>2.8</w:t>
            </w:r>
            <w:r>
              <w:rPr>
                <w:rFonts w:ascii="Arial" w:hAnsi="Arial" w:cs="Arial"/>
                <w:bCs/>
                <w:color w:val="215868" w:themeColor="accent5" w:themeShade="80"/>
                <w:sz w:val="18"/>
                <w:szCs w:val="18"/>
              </w:rPr>
              <w:t>B</w:t>
            </w:r>
          </w:p>
        </w:tc>
        <w:tc>
          <w:tcPr>
            <w:tcW w:w="850" w:type="dxa"/>
          </w:tcPr>
          <w:p w14:paraId="37E2BD2D" w14:textId="22455917" w:rsidR="00FA74C5" w:rsidRPr="00E43E81"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sidRPr="00EF524A">
              <w:rPr>
                <w:rFonts w:ascii="Arial" w:hAnsi="Arial" w:cs="Arial"/>
                <w:bCs/>
                <w:color w:val="215868" w:themeColor="accent5" w:themeShade="80"/>
                <w:sz w:val="18"/>
                <w:szCs w:val="18"/>
              </w:rPr>
              <w:t>+</w:t>
            </w:r>
            <w:r w:rsidR="00581F51">
              <w:rPr>
                <w:rFonts w:ascii="Arial" w:hAnsi="Arial" w:cs="Arial"/>
                <w:bCs/>
                <w:color w:val="215868" w:themeColor="accent5" w:themeShade="80"/>
                <w:sz w:val="18"/>
                <w:szCs w:val="18"/>
              </w:rPr>
              <w:t>3.5</w:t>
            </w:r>
            <w:r w:rsidRPr="00EF524A">
              <w:rPr>
                <w:rFonts w:ascii="Arial" w:hAnsi="Arial" w:cs="Arial"/>
                <w:bCs/>
                <w:color w:val="215868" w:themeColor="accent5" w:themeShade="80"/>
                <w:sz w:val="18"/>
                <w:szCs w:val="18"/>
              </w:rPr>
              <w:t>%</w:t>
            </w:r>
          </w:p>
        </w:tc>
        <w:tc>
          <w:tcPr>
            <w:tcW w:w="850" w:type="dxa"/>
          </w:tcPr>
          <w:p w14:paraId="108031E8" w14:textId="4FB10358" w:rsidR="00FA74C5" w:rsidRPr="00E43E81" w:rsidRDefault="00FA74C5" w:rsidP="00FA74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bCs/>
                <w:color w:val="215868" w:themeColor="accent5" w:themeShade="80"/>
                <w:sz w:val="18"/>
                <w:szCs w:val="18"/>
              </w:rPr>
              <w:t>+</w:t>
            </w:r>
            <w:r w:rsidR="00581F51">
              <w:rPr>
                <w:rFonts w:ascii="Arial" w:hAnsi="Arial" w:cs="Arial"/>
                <w:bCs/>
                <w:color w:val="215868" w:themeColor="accent5" w:themeShade="80"/>
                <w:sz w:val="18"/>
                <w:szCs w:val="18"/>
              </w:rPr>
              <w:t>16.2</w:t>
            </w:r>
            <w:r w:rsidRPr="00EF524A">
              <w:rPr>
                <w:rFonts w:ascii="Arial" w:hAnsi="Arial" w:cs="Arial"/>
                <w:bCs/>
                <w:color w:val="215868" w:themeColor="accent5" w:themeShade="80"/>
                <w:sz w:val="18"/>
                <w:szCs w:val="18"/>
              </w:rPr>
              <w:t>%</w:t>
            </w:r>
          </w:p>
        </w:tc>
      </w:tr>
      <w:tr w:rsidR="00FA74C5" w:rsidRPr="00E43E81" w14:paraId="43A744ED" w14:textId="77777777" w:rsidTr="00FA74C5">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281" w:type="dxa"/>
            <w:gridSpan w:val="2"/>
            <w:vAlign w:val="center"/>
          </w:tcPr>
          <w:p w14:paraId="2D5BC9DE" w14:textId="77777777" w:rsidR="00FA74C5" w:rsidRPr="00E43E81" w:rsidRDefault="00FA74C5" w:rsidP="00FA74C5">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Volume</w:t>
            </w:r>
          </w:p>
        </w:tc>
        <w:tc>
          <w:tcPr>
            <w:tcW w:w="850" w:type="dxa"/>
            <w:gridSpan w:val="2"/>
            <w:vAlign w:val="bottom"/>
          </w:tcPr>
          <w:p w14:paraId="355C182D" w14:textId="3C9BCCA6" w:rsidR="00FA74C5" w:rsidRPr="00EF524A"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+1.7</w:t>
            </w:r>
            <w:r w:rsidRPr="00EF524A">
              <w:rPr>
                <w:rFonts w:ascii="Arial" w:hAnsi="Arial" w:cs="Arial"/>
                <w:color w:val="215868"/>
                <w:sz w:val="18"/>
                <w:szCs w:val="18"/>
              </w:rPr>
              <w:t>%</w:t>
            </w:r>
          </w:p>
        </w:tc>
        <w:tc>
          <w:tcPr>
            <w:tcW w:w="850" w:type="dxa"/>
            <w:vAlign w:val="bottom"/>
          </w:tcPr>
          <w:p w14:paraId="2918379D" w14:textId="51CBC7BE"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+14.2%</w:t>
            </w:r>
          </w:p>
        </w:tc>
        <w:tc>
          <w:tcPr>
            <w:tcW w:w="850" w:type="dxa"/>
            <w:vAlign w:val="bottom"/>
          </w:tcPr>
          <w:p w14:paraId="211A3D88" w14:textId="2EC2143F"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+13.5%</w:t>
            </w:r>
          </w:p>
        </w:tc>
        <w:tc>
          <w:tcPr>
            <w:tcW w:w="850" w:type="dxa"/>
          </w:tcPr>
          <w:p w14:paraId="06B7466D" w14:textId="6D80E197"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-11.7%</w:t>
            </w:r>
          </w:p>
        </w:tc>
        <w:tc>
          <w:tcPr>
            <w:tcW w:w="850" w:type="dxa"/>
          </w:tcPr>
          <w:p w14:paraId="40158A08" w14:textId="77463885"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-5.1%</w:t>
            </w:r>
          </w:p>
        </w:tc>
        <w:tc>
          <w:tcPr>
            <w:tcW w:w="850" w:type="dxa"/>
          </w:tcPr>
          <w:p w14:paraId="155D24DC" w14:textId="6F0E25FC"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-5.7%</w:t>
            </w:r>
          </w:p>
        </w:tc>
        <w:tc>
          <w:tcPr>
            <w:tcW w:w="850" w:type="dxa"/>
          </w:tcPr>
          <w:p w14:paraId="315BB821" w14:textId="016F5A2B"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-6.0</w:t>
            </w:r>
            <w:r w:rsidRPr="00E43E81">
              <w:rPr>
                <w:rFonts w:ascii="Arial" w:hAnsi="Arial" w:cs="Arial"/>
                <w:color w:val="215868" w:themeColor="accent5" w:themeShade="80"/>
                <w:sz w:val="18"/>
              </w:rPr>
              <w:t>%</w:t>
            </w:r>
          </w:p>
        </w:tc>
        <w:tc>
          <w:tcPr>
            <w:tcW w:w="850" w:type="dxa"/>
          </w:tcPr>
          <w:p w14:paraId="28025221" w14:textId="559A4216" w:rsidR="00FA74C5"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rPr>
              <w:t>-</w:t>
            </w:r>
            <w:r w:rsidR="005E13EA">
              <w:rPr>
                <w:rFonts w:ascii="Arial" w:hAnsi="Arial" w:cs="Arial"/>
                <w:color w:val="215868" w:themeColor="accent5" w:themeShade="80"/>
                <w:sz w:val="18"/>
              </w:rPr>
              <w:t>4.6</w:t>
            </w:r>
            <w:r w:rsidRPr="00E43E81">
              <w:rPr>
                <w:rFonts w:ascii="Arial" w:hAnsi="Arial" w:cs="Arial"/>
                <w:color w:val="215868" w:themeColor="accent5" w:themeShade="80"/>
                <w:sz w:val="18"/>
              </w:rPr>
              <w:t>%</w:t>
            </w:r>
          </w:p>
        </w:tc>
        <w:tc>
          <w:tcPr>
            <w:tcW w:w="850" w:type="dxa"/>
          </w:tcPr>
          <w:p w14:paraId="286BF450" w14:textId="13F942EA" w:rsidR="00FA74C5" w:rsidRDefault="00581F51"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szCs w:val="18"/>
              </w:rPr>
              <w:t>1.4</w:t>
            </w:r>
            <w:r w:rsidR="00FA74C5">
              <w:rPr>
                <w:rFonts w:ascii="Arial" w:hAnsi="Arial" w:cs="Arial"/>
                <w:color w:val="215868" w:themeColor="accent5" w:themeShade="80"/>
                <w:sz w:val="18"/>
                <w:szCs w:val="18"/>
              </w:rPr>
              <w:t>B</w:t>
            </w:r>
          </w:p>
        </w:tc>
        <w:tc>
          <w:tcPr>
            <w:tcW w:w="850" w:type="dxa"/>
          </w:tcPr>
          <w:p w14:paraId="26B3AA46" w14:textId="6A219DB2" w:rsidR="00FA74C5" w:rsidRPr="00E43E81"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bCs/>
                <w:color w:val="215868" w:themeColor="accent5" w:themeShade="80"/>
                <w:sz w:val="18"/>
                <w:szCs w:val="18"/>
              </w:rPr>
              <w:t>-</w:t>
            </w:r>
            <w:r w:rsidR="00581F51">
              <w:rPr>
                <w:rFonts w:ascii="Arial" w:hAnsi="Arial" w:cs="Arial"/>
                <w:bCs/>
                <w:color w:val="215868" w:themeColor="accent5" w:themeShade="80"/>
                <w:sz w:val="18"/>
                <w:szCs w:val="18"/>
              </w:rPr>
              <w:t>4.4</w:t>
            </w:r>
            <w:r w:rsidRPr="00EF524A">
              <w:rPr>
                <w:rFonts w:ascii="Arial" w:hAnsi="Arial" w:cs="Arial"/>
                <w:bCs/>
                <w:color w:val="215868" w:themeColor="accent5" w:themeShade="80"/>
                <w:sz w:val="18"/>
                <w:szCs w:val="18"/>
              </w:rPr>
              <w:t>%</w:t>
            </w:r>
          </w:p>
        </w:tc>
        <w:tc>
          <w:tcPr>
            <w:tcW w:w="850" w:type="dxa"/>
          </w:tcPr>
          <w:p w14:paraId="55980290" w14:textId="45686F4E" w:rsidR="00FA74C5" w:rsidRPr="00E43E81" w:rsidRDefault="00FA74C5" w:rsidP="00FA74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bCs/>
                <w:color w:val="215868" w:themeColor="accent5" w:themeShade="80"/>
                <w:sz w:val="18"/>
                <w:szCs w:val="18"/>
              </w:rPr>
              <w:t>+</w:t>
            </w:r>
            <w:r w:rsidR="00581F51">
              <w:rPr>
                <w:rFonts w:ascii="Arial" w:hAnsi="Arial" w:cs="Arial"/>
                <w:bCs/>
                <w:color w:val="215868" w:themeColor="accent5" w:themeShade="80"/>
                <w:sz w:val="18"/>
                <w:szCs w:val="18"/>
              </w:rPr>
              <w:t>1.7</w:t>
            </w:r>
            <w:r w:rsidRPr="00EF524A">
              <w:rPr>
                <w:rFonts w:ascii="Arial" w:hAnsi="Arial" w:cs="Arial"/>
                <w:bCs/>
                <w:color w:val="215868" w:themeColor="accent5" w:themeShade="80"/>
                <w:sz w:val="18"/>
                <w:szCs w:val="18"/>
              </w:rPr>
              <w:t>%</w:t>
            </w:r>
          </w:p>
        </w:tc>
      </w:tr>
    </w:tbl>
    <w:p w14:paraId="030C002F" w14:textId="77777777" w:rsidR="00315642" w:rsidRPr="002E09F5" w:rsidRDefault="00FE5D0F" w:rsidP="006069A6">
      <w:pPr>
        <w:pStyle w:val="NoSpacing"/>
        <w:rPr>
          <w:rFonts w:ascii="Arial" w:hAnsi="Arial" w:cs="Arial"/>
          <w:sz w:val="6"/>
          <w:szCs w:val="10"/>
        </w:rPr>
      </w:pPr>
      <w:r w:rsidRPr="002E09F5">
        <w:rPr>
          <w:rFonts w:ascii="Arial" w:hAnsi="Arial" w:cs="Arial"/>
          <w:sz w:val="6"/>
          <w:szCs w:val="10"/>
        </w:rPr>
        <w:t xml:space="preserve"> </w:t>
      </w:r>
    </w:p>
    <w:p w14:paraId="7E6FB482" w14:textId="77777777" w:rsidR="00441E8F" w:rsidRDefault="00441E8F" w:rsidP="00441E8F">
      <w:pPr>
        <w:pStyle w:val="NoSpacing"/>
        <w:rPr>
          <w:rFonts w:ascii="Arial" w:hAnsi="Arial" w:cs="Arial"/>
          <w:sz w:val="16"/>
          <w:szCs w:val="16"/>
        </w:rPr>
      </w:pPr>
      <w:r w:rsidRPr="00CF309B">
        <w:rPr>
          <w:rFonts w:ascii="Arial" w:hAnsi="Arial" w:cs="Arial"/>
          <w:sz w:val="16"/>
          <w:szCs w:val="16"/>
        </w:rPr>
        <w:t>Source:</w:t>
      </w:r>
      <w:r w:rsidR="00BA516E" w:rsidRPr="00CF309B">
        <w:rPr>
          <w:rFonts w:ascii="Arial" w:hAnsi="Arial" w:cs="Arial"/>
          <w:sz w:val="16"/>
          <w:szCs w:val="16"/>
        </w:rPr>
        <w:t xml:space="preserve"> IRI</w:t>
      </w:r>
      <w:r w:rsidR="00906C46">
        <w:rPr>
          <w:rFonts w:ascii="Arial" w:hAnsi="Arial" w:cs="Arial"/>
          <w:sz w:val="16"/>
          <w:szCs w:val="16"/>
        </w:rPr>
        <w:t xml:space="preserve"> Integrated Fresh,</w:t>
      </w:r>
      <w:r w:rsidR="00BA516E" w:rsidRPr="00CF309B">
        <w:rPr>
          <w:rFonts w:ascii="Arial" w:hAnsi="Arial" w:cs="Arial"/>
          <w:sz w:val="16"/>
          <w:szCs w:val="16"/>
        </w:rPr>
        <w:t xml:space="preserve"> Total U.S., MULO</w:t>
      </w:r>
    </w:p>
    <w:p w14:paraId="1E6CCA3B" w14:textId="3D862E78" w:rsidR="00517D7F" w:rsidRDefault="00517D7F" w:rsidP="00CB6454">
      <w:pPr>
        <w:pStyle w:val="NoSpacing"/>
        <w:rPr>
          <w:rFonts w:ascii="Arial" w:hAnsi="Arial" w:cs="Arial"/>
          <w:b/>
          <w:color w:val="595959" w:themeColor="text1" w:themeTint="A6"/>
          <w:sz w:val="24"/>
          <w:szCs w:val="24"/>
        </w:rPr>
      </w:pPr>
    </w:p>
    <w:p w14:paraId="5FB188E2" w14:textId="77777777" w:rsidR="009F5C6A" w:rsidRDefault="009F5C6A" w:rsidP="00CB6454">
      <w:pPr>
        <w:pStyle w:val="NoSpacing"/>
        <w:rPr>
          <w:rFonts w:ascii="Arial" w:hAnsi="Arial" w:cs="Arial"/>
          <w:b/>
          <w:color w:val="595959" w:themeColor="text1" w:themeTint="A6"/>
          <w:sz w:val="24"/>
          <w:szCs w:val="24"/>
        </w:rPr>
      </w:pPr>
    </w:p>
    <w:p w14:paraId="7EA9214F" w14:textId="3AFA4A54" w:rsidR="00CB6454" w:rsidRPr="00B34F5D" w:rsidRDefault="00CB6454" w:rsidP="009F5C6A">
      <w:pPr>
        <w:spacing w:after="0"/>
        <w:rPr>
          <w:rFonts w:ascii="Arial" w:hAnsi="Arial" w:cs="Arial"/>
          <w:b/>
          <w:color w:val="595959" w:themeColor="text1" w:themeTint="A6"/>
          <w:sz w:val="24"/>
          <w:szCs w:val="24"/>
        </w:rPr>
      </w:pPr>
      <w:r w:rsidRPr="00B34F5D">
        <w:rPr>
          <w:rFonts w:ascii="Arial" w:hAnsi="Arial" w:cs="Arial"/>
          <w:b/>
          <w:color w:val="595959" w:themeColor="text1" w:themeTint="A6"/>
          <w:sz w:val="24"/>
          <w:szCs w:val="24"/>
        </w:rPr>
        <w:t>Fresh Fruit</w:t>
      </w:r>
      <w:r w:rsidR="00EB33CE">
        <w:rPr>
          <w:rFonts w:ascii="Arial" w:hAnsi="Arial" w:cs="Arial"/>
          <w:b/>
          <w:color w:val="595959" w:themeColor="text1" w:themeTint="A6"/>
          <w:sz w:val="24"/>
          <w:szCs w:val="24"/>
        </w:rPr>
        <w:t xml:space="preserve"> Sales in </w:t>
      </w:r>
      <w:r w:rsidR="00581F51">
        <w:rPr>
          <w:rFonts w:ascii="Arial" w:hAnsi="Arial" w:cs="Arial"/>
          <w:b/>
          <w:color w:val="595959" w:themeColor="text1" w:themeTint="A6"/>
          <w:sz w:val="24"/>
          <w:szCs w:val="24"/>
        </w:rPr>
        <w:t>June</w:t>
      </w:r>
    </w:p>
    <w:p w14:paraId="0A2BF398" w14:textId="52E581E5" w:rsidR="00BB3051" w:rsidRDefault="00CB6454" w:rsidP="00CB6454">
      <w:pPr>
        <w:pStyle w:val="NoSpacing"/>
        <w:rPr>
          <w:rFonts w:ascii="Arial" w:hAnsi="Arial" w:cs="Arial"/>
          <w:sz w:val="20"/>
          <w:szCs w:val="20"/>
        </w:rPr>
      </w:pPr>
      <w:r>
        <w:rPr>
          <w:rFonts w:ascii="Arial" w:hAnsi="Arial" w:cs="Arial"/>
          <w:sz w:val="20"/>
          <w:szCs w:val="20"/>
        </w:rPr>
        <w:t>“</w:t>
      </w:r>
      <w:r w:rsidR="002839FE">
        <w:rPr>
          <w:rFonts w:ascii="Arial" w:hAnsi="Arial" w:cs="Arial"/>
          <w:sz w:val="20"/>
          <w:szCs w:val="20"/>
        </w:rPr>
        <w:t xml:space="preserve">In </w:t>
      </w:r>
      <w:r w:rsidR="00BE4D67">
        <w:rPr>
          <w:rFonts w:ascii="Arial" w:hAnsi="Arial" w:cs="Arial"/>
          <w:sz w:val="20"/>
          <w:szCs w:val="20"/>
        </w:rPr>
        <w:t xml:space="preserve">June </w:t>
      </w:r>
      <w:r w:rsidR="002839FE">
        <w:rPr>
          <w:rFonts w:ascii="Arial" w:hAnsi="Arial" w:cs="Arial"/>
          <w:sz w:val="20"/>
          <w:szCs w:val="20"/>
        </w:rPr>
        <w:t>2022</w:t>
      </w:r>
      <w:r w:rsidR="00731950">
        <w:rPr>
          <w:rFonts w:ascii="Arial" w:hAnsi="Arial" w:cs="Arial"/>
          <w:sz w:val="20"/>
          <w:szCs w:val="20"/>
        </w:rPr>
        <w:t xml:space="preserve">, </w:t>
      </w:r>
      <w:r w:rsidR="002839FE">
        <w:rPr>
          <w:rFonts w:ascii="Arial" w:hAnsi="Arial" w:cs="Arial"/>
          <w:sz w:val="20"/>
          <w:szCs w:val="20"/>
        </w:rPr>
        <w:t xml:space="preserve">berries sales continued to </w:t>
      </w:r>
      <w:r w:rsidR="00BE4D67">
        <w:rPr>
          <w:rFonts w:ascii="Arial" w:hAnsi="Arial" w:cs="Arial"/>
          <w:sz w:val="20"/>
          <w:szCs w:val="20"/>
        </w:rPr>
        <w:t xml:space="preserve">dominate but are no longer the slam-dunk growth driver they have been throughout the pandemic. Berries had slight dollar sales in June of +0.8% but pounds were flat,” Parker said. </w:t>
      </w:r>
      <w:r w:rsidRPr="00B35CE9">
        <w:rPr>
          <w:rFonts w:ascii="Arial" w:hAnsi="Arial" w:cs="Arial"/>
          <w:sz w:val="20"/>
          <w:szCs w:val="20"/>
        </w:rPr>
        <w:t>“</w:t>
      </w:r>
      <w:r w:rsidR="00BE4D67">
        <w:rPr>
          <w:rFonts w:ascii="Arial" w:hAnsi="Arial" w:cs="Arial"/>
          <w:sz w:val="20"/>
          <w:szCs w:val="20"/>
        </w:rPr>
        <w:t xml:space="preserve">Mixed fruit and mandarins </w:t>
      </w:r>
      <w:r w:rsidR="002839FE">
        <w:rPr>
          <w:rFonts w:ascii="Arial" w:hAnsi="Arial" w:cs="Arial"/>
          <w:sz w:val="20"/>
          <w:szCs w:val="20"/>
        </w:rPr>
        <w:t xml:space="preserve">dropped out of the top 10, and </w:t>
      </w:r>
      <w:r w:rsidR="00BE4D67">
        <w:rPr>
          <w:rFonts w:ascii="Arial" w:hAnsi="Arial" w:cs="Arial"/>
          <w:sz w:val="20"/>
          <w:szCs w:val="20"/>
        </w:rPr>
        <w:t>peaches and pineapples</w:t>
      </w:r>
      <w:r w:rsidR="002839FE">
        <w:rPr>
          <w:rFonts w:ascii="Arial" w:hAnsi="Arial" w:cs="Arial"/>
          <w:sz w:val="20"/>
          <w:szCs w:val="20"/>
        </w:rPr>
        <w:t xml:space="preserve"> made their inroads. Volume sales were a mix with increases for grapes</w:t>
      </w:r>
      <w:r w:rsidR="00BE4D67">
        <w:rPr>
          <w:rFonts w:ascii="Arial" w:hAnsi="Arial" w:cs="Arial"/>
          <w:sz w:val="20"/>
          <w:szCs w:val="20"/>
        </w:rPr>
        <w:t>, oranges and pineapples</w:t>
      </w:r>
      <w:r w:rsidR="009B4A81">
        <w:rPr>
          <w:rFonts w:ascii="Arial" w:hAnsi="Arial" w:cs="Arial"/>
          <w:sz w:val="20"/>
          <w:szCs w:val="20"/>
        </w:rPr>
        <w:t xml:space="preserve"> but down results for all other top 10 sellers</w:t>
      </w:r>
      <w:r w:rsidR="00F33BE2">
        <w:rPr>
          <w:rFonts w:ascii="Arial" w:hAnsi="Arial" w:cs="Arial"/>
          <w:sz w:val="20"/>
          <w:szCs w:val="20"/>
        </w:rPr>
        <w:t>.</w:t>
      </w:r>
      <w:r w:rsidR="00365D81">
        <w:rPr>
          <w:rFonts w:ascii="Arial" w:hAnsi="Arial" w:cs="Arial"/>
          <w:sz w:val="20"/>
          <w:szCs w:val="20"/>
        </w:rPr>
        <w:t>”</w:t>
      </w:r>
      <w:r w:rsidR="00BB3051">
        <w:rPr>
          <w:rFonts w:ascii="Arial" w:hAnsi="Arial" w:cs="Arial"/>
          <w:sz w:val="20"/>
          <w:szCs w:val="20"/>
        </w:rPr>
        <w:t xml:space="preserve"> </w:t>
      </w:r>
    </w:p>
    <w:p w14:paraId="114F402F" w14:textId="77777777" w:rsidR="005E2F61" w:rsidRDefault="005E2F61" w:rsidP="00CB6454">
      <w:pPr>
        <w:pStyle w:val="NoSpacing"/>
        <w:rPr>
          <w:rFonts w:ascii="Arial" w:hAnsi="Arial" w:cs="Arial"/>
          <w:sz w:val="20"/>
          <w:szCs w:val="20"/>
        </w:rPr>
      </w:pPr>
    </w:p>
    <w:tbl>
      <w:tblPr>
        <w:tblStyle w:val="LightShading-Accent5"/>
        <w:tblW w:w="10631" w:type="dxa"/>
        <w:tblBorders>
          <w:top w:val="none" w:sz="0" w:space="0" w:color="auto"/>
          <w:bottom w:val="none" w:sz="0" w:space="0" w:color="auto"/>
        </w:tblBorders>
        <w:tblLayout w:type="fixed"/>
        <w:tblLook w:val="04A0" w:firstRow="1" w:lastRow="0" w:firstColumn="1" w:lastColumn="0" w:noHBand="0" w:noVBand="1"/>
      </w:tblPr>
      <w:tblGrid>
        <w:gridCol w:w="1170"/>
        <w:gridCol w:w="175"/>
        <w:gridCol w:w="722"/>
        <w:gridCol w:w="123"/>
        <w:gridCol w:w="728"/>
        <w:gridCol w:w="116"/>
        <w:gridCol w:w="733"/>
        <w:gridCol w:w="112"/>
        <w:gridCol w:w="844"/>
        <w:gridCol w:w="844"/>
        <w:gridCol w:w="844"/>
        <w:gridCol w:w="844"/>
        <w:gridCol w:w="844"/>
        <w:gridCol w:w="844"/>
        <w:gridCol w:w="844"/>
        <w:gridCol w:w="844"/>
      </w:tblGrid>
      <w:tr w:rsidR="00DD2F0B" w:rsidRPr="0003007F" w14:paraId="3DFD75C2" w14:textId="77777777" w:rsidTr="00DD2F0B">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067" w:type="dxa"/>
            <w:gridSpan w:val="3"/>
            <w:shd w:val="clear" w:color="auto" w:fill="17365D" w:themeFill="text2" w:themeFillShade="BF"/>
          </w:tcPr>
          <w:p w14:paraId="285E05F8" w14:textId="77777777" w:rsidR="00DD2F0B" w:rsidRPr="00AB1306" w:rsidRDefault="00DD2F0B" w:rsidP="00422C9B">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851" w:type="dxa"/>
            <w:gridSpan w:val="2"/>
            <w:shd w:val="clear" w:color="auto" w:fill="17365D" w:themeFill="text2" w:themeFillShade="BF"/>
          </w:tcPr>
          <w:p w14:paraId="668BD2C0" w14:textId="77777777" w:rsidR="00DD2F0B" w:rsidRPr="00AB1306" w:rsidRDefault="00DD2F0B"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849" w:type="dxa"/>
            <w:gridSpan w:val="2"/>
            <w:shd w:val="clear" w:color="auto" w:fill="17365D" w:themeFill="text2" w:themeFillShade="BF"/>
          </w:tcPr>
          <w:p w14:paraId="112830F6" w14:textId="77777777" w:rsidR="00DD2F0B" w:rsidRPr="00AB1306" w:rsidRDefault="00DD2F0B"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6864" w:type="dxa"/>
            <w:gridSpan w:val="9"/>
            <w:shd w:val="clear" w:color="auto" w:fill="17365D" w:themeFill="text2" w:themeFillShade="BF"/>
          </w:tcPr>
          <w:p w14:paraId="3A17CC18" w14:textId="5B637263" w:rsidR="00DD2F0B" w:rsidRPr="0003007F" w:rsidRDefault="00DD2F0B"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1306">
              <w:rPr>
                <w:rFonts w:ascii="Arial" w:hAnsi="Arial" w:cs="Arial"/>
                <w:color w:val="FFFFFF" w:themeColor="background1"/>
                <w:sz w:val="18"/>
                <w:szCs w:val="18"/>
              </w:rPr>
              <w:t>Dollar sal</w:t>
            </w:r>
            <w:r>
              <w:rPr>
                <w:rFonts w:ascii="Arial" w:hAnsi="Arial" w:cs="Arial"/>
                <w:color w:val="FFFFFF" w:themeColor="background1"/>
                <w:sz w:val="18"/>
                <w:szCs w:val="18"/>
              </w:rPr>
              <w:t>es increase over comparable period YA</w:t>
            </w:r>
          </w:p>
        </w:tc>
      </w:tr>
      <w:tr w:rsidR="00DD2F0B" w:rsidRPr="0003007F" w14:paraId="74BF3700" w14:textId="77777777" w:rsidTr="00DD2F0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345" w:type="dxa"/>
            <w:gridSpan w:val="2"/>
            <w:shd w:val="clear" w:color="auto" w:fill="17365D" w:themeFill="text2" w:themeFillShade="BF"/>
          </w:tcPr>
          <w:p w14:paraId="3F9B606E" w14:textId="77777777" w:rsidR="00DD2F0B" w:rsidRPr="000F7932" w:rsidRDefault="00DD2F0B" w:rsidP="00F103B9">
            <w:pPr>
              <w:pStyle w:val="NoSpacing"/>
              <w:rPr>
                <w:rFonts w:ascii="Arial" w:hAnsi="Arial" w:cs="Arial"/>
                <w:color w:val="FFFFFF" w:themeColor="background1"/>
                <w:sz w:val="18"/>
                <w:szCs w:val="18"/>
              </w:rPr>
            </w:pPr>
          </w:p>
        </w:tc>
        <w:tc>
          <w:tcPr>
            <w:tcW w:w="845" w:type="dxa"/>
            <w:gridSpan w:val="2"/>
            <w:shd w:val="clear" w:color="auto" w:fill="17365D" w:themeFill="text2" w:themeFillShade="BF"/>
            <w:vAlign w:val="bottom"/>
          </w:tcPr>
          <w:p w14:paraId="46CF2457" w14:textId="77777777" w:rsidR="00DD2F0B" w:rsidRPr="000F7932" w:rsidRDefault="00DD2F0B" w:rsidP="00DD2F0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844" w:type="dxa"/>
            <w:gridSpan w:val="2"/>
            <w:shd w:val="clear" w:color="auto" w:fill="17365D" w:themeFill="text2" w:themeFillShade="BF"/>
            <w:vAlign w:val="bottom"/>
          </w:tcPr>
          <w:p w14:paraId="13B20948" w14:textId="77777777" w:rsidR="00DD2F0B" w:rsidRPr="000F7932" w:rsidRDefault="00DD2F0B" w:rsidP="00DD2F0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w:t>
            </w:r>
            <w:r w:rsidRPr="000F7932">
              <w:rPr>
                <w:rFonts w:ascii="Arial" w:hAnsi="Arial" w:cs="Arial"/>
                <w:b/>
                <w:color w:val="FFFFFF" w:themeColor="background1"/>
                <w:sz w:val="18"/>
                <w:szCs w:val="18"/>
              </w:rPr>
              <w:t>20</w:t>
            </w:r>
          </w:p>
        </w:tc>
        <w:tc>
          <w:tcPr>
            <w:tcW w:w="845" w:type="dxa"/>
            <w:gridSpan w:val="2"/>
            <w:shd w:val="clear" w:color="auto" w:fill="17365D" w:themeFill="text2" w:themeFillShade="BF"/>
            <w:vAlign w:val="bottom"/>
          </w:tcPr>
          <w:p w14:paraId="301AC34F" w14:textId="08B3D72B" w:rsidR="00DD2F0B" w:rsidRPr="000F7932"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0F7932">
              <w:rPr>
                <w:rFonts w:ascii="Arial" w:hAnsi="Arial" w:cs="Arial"/>
                <w:b/>
                <w:color w:val="FFFFFF" w:themeColor="background1"/>
                <w:sz w:val="18"/>
                <w:szCs w:val="18"/>
              </w:rPr>
              <w:t>Q1 21</w:t>
            </w:r>
          </w:p>
        </w:tc>
        <w:tc>
          <w:tcPr>
            <w:tcW w:w="844" w:type="dxa"/>
            <w:shd w:val="clear" w:color="auto" w:fill="17365D" w:themeFill="text2" w:themeFillShade="BF"/>
            <w:vAlign w:val="bottom"/>
          </w:tcPr>
          <w:p w14:paraId="0DC3715D" w14:textId="76524617" w:rsidR="00DD2F0B" w:rsidRPr="000F7932"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w:t>
            </w:r>
            <w:r w:rsidRPr="000F7932">
              <w:rPr>
                <w:rFonts w:ascii="Arial" w:hAnsi="Arial" w:cs="Arial"/>
                <w:b/>
                <w:color w:val="FFFFFF" w:themeColor="background1"/>
                <w:sz w:val="18"/>
                <w:szCs w:val="18"/>
              </w:rPr>
              <w:t xml:space="preserve"> 21</w:t>
            </w:r>
          </w:p>
        </w:tc>
        <w:tc>
          <w:tcPr>
            <w:tcW w:w="844" w:type="dxa"/>
            <w:shd w:val="clear" w:color="auto" w:fill="17365D" w:themeFill="text2" w:themeFillShade="BF"/>
            <w:vAlign w:val="bottom"/>
          </w:tcPr>
          <w:p w14:paraId="1DE0B116" w14:textId="4D57C668" w:rsidR="00DD2F0B"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844" w:type="dxa"/>
            <w:shd w:val="clear" w:color="auto" w:fill="17365D" w:themeFill="text2" w:themeFillShade="BF"/>
            <w:vAlign w:val="bottom"/>
          </w:tcPr>
          <w:p w14:paraId="4FF66A97" w14:textId="27B4D369" w:rsidR="00DD2F0B"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844" w:type="dxa"/>
            <w:shd w:val="clear" w:color="auto" w:fill="17365D" w:themeFill="text2" w:themeFillShade="BF"/>
            <w:vAlign w:val="bottom"/>
          </w:tcPr>
          <w:p w14:paraId="049C0CDE" w14:textId="77777777" w:rsidR="00DD2F0B"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
          <w:p w14:paraId="147A02D7" w14:textId="5F1F3125" w:rsidR="00DD2F0B"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22</w:t>
            </w:r>
          </w:p>
        </w:tc>
        <w:tc>
          <w:tcPr>
            <w:tcW w:w="844" w:type="dxa"/>
            <w:shd w:val="clear" w:color="auto" w:fill="17365D" w:themeFill="text2" w:themeFillShade="BF"/>
            <w:vAlign w:val="bottom"/>
          </w:tcPr>
          <w:p w14:paraId="4B0DB5D5" w14:textId="4BC3FEB8" w:rsidR="00DD2F0B"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22</w:t>
            </w:r>
          </w:p>
        </w:tc>
        <w:tc>
          <w:tcPr>
            <w:tcW w:w="844" w:type="dxa"/>
            <w:shd w:val="clear" w:color="auto" w:fill="17365D" w:themeFill="text2" w:themeFillShade="BF"/>
            <w:vAlign w:val="bottom"/>
          </w:tcPr>
          <w:p w14:paraId="3B63F547" w14:textId="42FF12F4" w:rsidR="00DD2F0B" w:rsidRPr="000F7932"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Jun 22</w:t>
            </w:r>
          </w:p>
        </w:tc>
        <w:tc>
          <w:tcPr>
            <w:tcW w:w="844" w:type="dxa"/>
            <w:shd w:val="clear" w:color="auto" w:fill="17365D" w:themeFill="text2" w:themeFillShade="BF"/>
            <w:vAlign w:val="bottom"/>
          </w:tcPr>
          <w:p w14:paraId="04C57725" w14:textId="5C847B3A" w:rsidR="00DD2F0B" w:rsidRPr="000F7932"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w:t>
            </w:r>
            <w:r w:rsidRPr="000F7932">
              <w:rPr>
                <w:rFonts w:ascii="Arial" w:hAnsi="Arial" w:cs="Arial"/>
                <w:b/>
                <w:color w:val="FFFFFF" w:themeColor="background1"/>
                <w:sz w:val="18"/>
                <w:szCs w:val="18"/>
              </w:rPr>
              <w:t xml:space="preserve"> </w:t>
            </w:r>
            <w:r>
              <w:rPr>
                <w:rFonts w:ascii="Arial" w:hAnsi="Arial" w:cs="Arial"/>
                <w:b/>
                <w:color w:val="FFFFFF" w:themeColor="background1"/>
                <w:sz w:val="18"/>
                <w:szCs w:val="18"/>
              </w:rPr>
              <w:br/>
            </w:r>
            <w:r w:rsidRPr="000F7932">
              <w:rPr>
                <w:rFonts w:ascii="Arial" w:hAnsi="Arial" w:cs="Arial"/>
                <w:b/>
                <w:color w:val="FFFFFF" w:themeColor="background1"/>
                <w:sz w:val="18"/>
                <w:szCs w:val="18"/>
              </w:rPr>
              <w:t xml:space="preserve">vs </w:t>
            </w:r>
            <w:r>
              <w:rPr>
                <w:rFonts w:ascii="Arial" w:hAnsi="Arial" w:cs="Arial"/>
                <w:b/>
                <w:color w:val="FFFFFF" w:themeColor="background1"/>
                <w:sz w:val="18"/>
                <w:szCs w:val="18"/>
              </w:rPr>
              <w:t>YA</w:t>
            </w:r>
          </w:p>
        </w:tc>
        <w:tc>
          <w:tcPr>
            <w:tcW w:w="844" w:type="dxa"/>
            <w:shd w:val="clear" w:color="auto" w:fill="17365D" w:themeFill="text2" w:themeFillShade="BF"/>
            <w:vAlign w:val="bottom"/>
          </w:tcPr>
          <w:p w14:paraId="26786B75" w14:textId="46025FBA" w:rsidR="00DD2F0B" w:rsidRPr="000F7932" w:rsidRDefault="00DD2F0B" w:rsidP="00DD2F0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roofErr w:type="spellStart"/>
            <w:r>
              <w:rPr>
                <w:rFonts w:ascii="Arial" w:hAnsi="Arial" w:cs="Arial"/>
                <w:b/>
                <w:color w:val="FFFFFF" w:themeColor="background1"/>
                <w:sz w:val="18"/>
                <w:szCs w:val="18"/>
              </w:rPr>
              <w:t>lbs</w:t>
            </w:r>
            <w:proofErr w:type="spellEnd"/>
            <w:r>
              <w:rPr>
                <w:rFonts w:ascii="Arial" w:hAnsi="Arial" w:cs="Arial"/>
                <w:b/>
                <w:color w:val="FFFFFF" w:themeColor="background1"/>
                <w:sz w:val="18"/>
                <w:szCs w:val="18"/>
              </w:rPr>
              <w:t xml:space="preserve"> vs YA</w:t>
            </w:r>
          </w:p>
        </w:tc>
      </w:tr>
      <w:tr w:rsidR="00DD2F0B" w:rsidRPr="00091E61" w14:paraId="0CA2F74A" w14:textId="77777777" w:rsidTr="000811E7">
        <w:trPr>
          <w:trHeight w:val="298"/>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66ADF07C" w14:textId="77777777" w:rsidR="00DD2F0B" w:rsidRPr="00091E61" w:rsidRDefault="00DD2F0B" w:rsidP="00DD2F0B">
            <w:pPr>
              <w:pStyle w:val="NoSpacing"/>
              <w:rPr>
                <w:rFonts w:ascii="Arial" w:hAnsi="Arial" w:cs="Arial"/>
                <w:color w:val="17365D" w:themeColor="text2" w:themeShade="BF"/>
                <w:sz w:val="18"/>
                <w:szCs w:val="18"/>
              </w:rPr>
            </w:pPr>
            <w:r w:rsidRPr="00091E61">
              <w:rPr>
                <w:rFonts w:ascii="Arial" w:hAnsi="Arial" w:cs="Arial"/>
                <w:color w:val="17365D" w:themeColor="text2" w:themeShade="BF"/>
                <w:sz w:val="18"/>
                <w:szCs w:val="18"/>
              </w:rPr>
              <w:t>Fresh fruit</w:t>
            </w:r>
          </w:p>
        </w:tc>
        <w:tc>
          <w:tcPr>
            <w:tcW w:w="1020" w:type="dxa"/>
            <w:gridSpan w:val="3"/>
            <w:vAlign w:val="center"/>
          </w:tcPr>
          <w:p w14:paraId="39EFBE0F" w14:textId="79A27A34"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-0.2</w:t>
            </w:r>
            <w:r w:rsidRPr="00091E61">
              <w:rPr>
                <w:rFonts w:ascii="Arial" w:hAnsi="Arial" w:cs="Arial"/>
                <w:b/>
                <w:bCs/>
                <w:color w:val="17365D" w:themeColor="text2" w:themeShade="BF"/>
                <w:sz w:val="18"/>
                <w:szCs w:val="18"/>
              </w:rPr>
              <w:t>%</w:t>
            </w:r>
          </w:p>
        </w:tc>
        <w:tc>
          <w:tcPr>
            <w:tcW w:w="844" w:type="dxa"/>
            <w:gridSpan w:val="2"/>
            <w:vAlign w:val="center"/>
          </w:tcPr>
          <w:p w14:paraId="3D5B0656" w14:textId="639FCB0F"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+8.7</w:t>
            </w:r>
            <w:r w:rsidRPr="00091E61">
              <w:rPr>
                <w:rFonts w:ascii="Arial" w:hAnsi="Arial" w:cs="Arial"/>
                <w:b/>
                <w:bCs/>
                <w:color w:val="17365D" w:themeColor="text2" w:themeShade="BF"/>
                <w:sz w:val="18"/>
                <w:szCs w:val="18"/>
              </w:rPr>
              <w:t>%</w:t>
            </w:r>
          </w:p>
        </w:tc>
        <w:tc>
          <w:tcPr>
            <w:tcW w:w="845" w:type="dxa"/>
            <w:gridSpan w:val="2"/>
            <w:vAlign w:val="center"/>
          </w:tcPr>
          <w:p w14:paraId="680EF69E" w14:textId="6178A30E"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+5.1</w:t>
            </w:r>
            <w:r w:rsidRPr="00091E61">
              <w:rPr>
                <w:rFonts w:ascii="Arial" w:hAnsi="Arial" w:cs="Arial"/>
                <w:b/>
                <w:bCs/>
                <w:color w:val="17365D" w:themeColor="text2" w:themeShade="BF"/>
                <w:sz w:val="18"/>
                <w:szCs w:val="18"/>
              </w:rPr>
              <w:t>%</w:t>
            </w:r>
          </w:p>
        </w:tc>
        <w:tc>
          <w:tcPr>
            <w:tcW w:w="844" w:type="dxa"/>
            <w:vAlign w:val="center"/>
          </w:tcPr>
          <w:p w14:paraId="21180263" w14:textId="2CD779D7"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+4.5</w:t>
            </w:r>
            <w:r w:rsidRPr="00091E61">
              <w:rPr>
                <w:rFonts w:ascii="Arial" w:hAnsi="Arial" w:cs="Arial"/>
                <w:b/>
                <w:bCs/>
                <w:color w:val="17365D" w:themeColor="text2" w:themeShade="BF"/>
                <w:sz w:val="18"/>
                <w:szCs w:val="18"/>
              </w:rPr>
              <w:t>%</w:t>
            </w:r>
          </w:p>
        </w:tc>
        <w:tc>
          <w:tcPr>
            <w:tcW w:w="844" w:type="dxa"/>
            <w:vAlign w:val="center"/>
          </w:tcPr>
          <w:p w14:paraId="31205487" w14:textId="3715B793"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w:t>
            </w:r>
            <w:r w:rsidRPr="00091E61">
              <w:rPr>
                <w:rFonts w:ascii="Arial" w:hAnsi="Arial" w:cs="Arial"/>
                <w:b/>
                <w:bCs/>
                <w:color w:val="17365D" w:themeColor="text2" w:themeShade="BF"/>
                <w:sz w:val="18"/>
                <w:szCs w:val="18"/>
              </w:rPr>
              <w:t>6</w:t>
            </w:r>
            <w:r>
              <w:rPr>
                <w:rFonts w:ascii="Arial" w:hAnsi="Arial" w:cs="Arial"/>
                <w:b/>
                <w:bCs/>
                <w:color w:val="17365D" w:themeColor="text2" w:themeShade="BF"/>
                <w:sz w:val="18"/>
                <w:szCs w:val="18"/>
              </w:rPr>
              <w:t>.2</w:t>
            </w:r>
            <w:r w:rsidRPr="00091E61">
              <w:rPr>
                <w:rFonts w:ascii="Arial" w:hAnsi="Arial" w:cs="Arial"/>
                <w:b/>
                <w:bCs/>
                <w:color w:val="17365D" w:themeColor="text2" w:themeShade="BF"/>
                <w:sz w:val="18"/>
                <w:szCs w:val="18"/>
              </w:rPr>
              <w:t>%</w:t>
            </w:r>
          </w:p>
        </w:tc>
        <w:tc>
          <w:tcPr>
            <w:tcW w:w="844" w:type="dxa"/>
            <w:vAlign w:val="center"/>
          </w:tcPr>
          <w:p w14:paraId="40577A3D" w14:textId="764C7CD0"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+10.</w:t>
            </w:r>
            <w:r>
              <w:rPr>
                <w:rFonts w:ascii="Arial" w:hAnsi="Arial" w:cs="Arial"/>
                <w:b/>
                <w:bCs/>
                <w:color w:val="17365D" w:themeColor="text2" w:themeShade="BF"/>
                <w:sz w:val="18"/>
                <w:szCs w:val="18"/>
              </w:rPr>
              <w:t>9</w:t>
            </w:r>
            <w:r w:rsidRPr="00091E61">
              <w:rPr>
                <w:rFonts w:ascii="Arial" w:hAnsi="Arial" w:cs="Arial"/>
                <w:b/>
                <w:bCs/>
                <w:color w:val="17365D" w:themeColor="text2" w:themeShade="BF"/>
                <w:sz w:val="18"/>
                <w:szCs w:val="18"/>
              </w:rPr>
              <w:t>%</w:t>
            </w:r>
          </w:p>
        </w:tc>
        <w:tc>
          <w:tcPr>
            <w:tcW w:w="844" w:type="dxa"/>
            <w:vAlign w:val="center"/>
          </w:tcPr>
          <w:p w14:paraId="4976E3FE" w14:textId="590242C0"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w:t>
            </w:r>
            <w:r>
              <w:rPr>
                <w:rFonts w:ascii="Arial" w:hAnsi="Arial" w:cs="Arial"/>
                <w:b/>
                <w:bCs/>
                <w:color w:val="17365D" w:themeColor="text2" w:themeShade="BF"/>
                <w:sz w:val="18"/>
                <w:szCs w:val="18"/>
              </w:rPr>
              <w:t>10.2</w:t>
            </w:r>
            <w:r w:rsidRPr="00091E61">
              <w:rPr>
                <w:rFonts w:ascii="Arial" w:hAnsi="Arial" w:cs="Arial"/>
                <w:b/>
                <w:bCs/>
                <w:color w:val="17365D" w:themeColor="text2" w:themeShade="BF"/>
                <w:sz w:val="18"/>
                <w:szCs w:val="18"/>
              </w:rPr>
              <w:t>%</w:t>
            </w:r>
          </w:p>
        </w:tc>
        <w:tc>
          <w:tcPr>
            <w:tcW w:w="844" w:type="dxa"/>
            <w:vAlign w:val="center"/>
          </w:tcPr>
          <w:p w14:paraId="355736E6" w14:textId="523F53A0" w:rsidR="00DD2F0B"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w:t>
            </w:r>
            <w:r w:rsidR="005E13EA">
              <w:rPr>
                <w:rFonts w:ascii="Arial" w:hAnsi="Arial" w:cs="Arial"/>
                <w:b/>
                <w:bCs/>
                <w:color w:val="17365D" w:themeColor="text2" w:themeShade="BF"/>
                <w:sz w:val="18"/>
                <w:szCs w:val="18"/>
              </w:rPr>
              <w:t>4.2</w:t>
            </w:r>
            <w:r w:rsidRPr="00091E61">
              <w:rPr>
                <w:rFonts w:ascii="Arial" w:hAnsi="Arial" w:cs="Arial"/>
                <w:b/>
                <w:bCs/>
                <w:color w:val="17365D" w:themeColor="text2" w:themeShade="BF"/>
                <w:sz w:val="18"/>
                <w:szCs w:val="18"/>
              </w:rPr>
              <w:t>%</w:t>
            </w:r>
          </w:p>
        </w:tc>
        <w:tc>
          <w:tcPr>
            <w:tcW w:w="844" w:type="dxa"/>
            <w:vAlign w:val="center"/>
          </w:tcPr>
          <w:p w14:paraId="76F93CAA" w14:textId="73854B3F"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w:t>
            </w:r>
            <w:r w:rsidR="000933A2">
              <w:rPr>
                <w:rFonts w:ascii="Arial" w:hAnsi="Arial" w:cs="Arial"/>
                <w:b/>
                <w:bCs/>
                <w:color w:val="17365D" w:themeColor="text2" w:themeShade="BF"/>
                <w:sz w:val="18"/>
                <w:szCs w:val="18"/>
              </w:rPr>
              <w:t>3.2</w:t>
            </w:r>
            <w:r w:rsidRPr="00091E61">
              <w:rPr>
                <w:rFonts w:ascii="Arial" w:hAnsi="Arial" w:cs="Arial"/>
                <w:b/>
                <w:bCs/>
                <w:color w:val="17365D" w:themeColor="text2" w:themeShade="BF"/>
                <w:sz w:val="18"/>
                <w:szCs w:val="18"/>
              </w:rPr>
              <w:t>B</w:t>
            </w:r>
          </w:p>
        </w:tc>
        <w:tc>
          <w:tcPr>
            <w:tcW w:w="844" w:type="dxa"/>
            <w:vAlign w:val="center"/>
          </w:tcPr>
          <w:p w14:paraId="52994309" w14:textId="5F6F3DFD" w:rsidR="00DD2F0B" w:rsidRPr="00A052A1" w:rsidRDefault="000933A2"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18"/>
                <w:szCs w:val="18"/>
              </w:rPr>
            </w:pPr>
            <w:r>
              <w:rPr>
                <w:rFonts w:ascii="Arial" w:hAnsi="Arial" w:cs="Arial"/>
                <w:b/>
                <w:color w:val="17365D" w:themeColor="text2" w:themeShade="BF"/>
                <w:sz w:val="18"/>
                <w:szCs w:val="18"/>
              </w:rPr>
              <w:t>-0.3</w:t>
            </w:r>
            <w:r w:rsidR="00DD2F0B" w:rsidRPr="00A052A1">
              <w:rPr>
                <w:rFonts w:ascii="Arial" w:hAnsi="Arial" w:cs="Arial"/>
                <w:b/>
                <w:color w:val="17365D" w:themeColor="text2" w:themeShade="BF"/>
                <w:sz w:val="18"/>
                <w:szCs w:val="18"/>
              </w:rPr>
              <w:t>%</w:t>
            </w:r>
          </w:p>
        </w:tc>
        <w:tc>
          <w:tcPr>
            <w:tcW w:w="844" w:type="dxa"/>
            <w:vAlign w:val="center"/>
          </w:tcPr>
          <w:p w14:paraId="5CADA515" w14:textId="47E3F1FE" w:rsidR="00DD2F0B" w:rsidRPr="009B4A8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9B4A81">
              <w:rPr>
                <w:rFonts w:ascii="Arial" w:hAnsi="Arial" w:cs="Arial"/>
                <w:b/>
                <w:bCs/>
                <w:color w:val="215868" w:themeColor="accent5" w:themeShade="80"/>
                <w:sz w:val="18"/>
                <w:szCs w:val="18"/>
              </w:rPr>
              <w:t>-</w:t>
            </w:r>
            <w:r w:rsidR="000933A2">
              <w:rPr>
                <w:rFonts w:ascii="Arial" w:hAnsi="Arial" w:cs="Arial"/>
                <w:b/>
                <w:bCs/>
                <w:color w:val="215868" w:themeColor="accent5" w:themeShade="80"/>
                <w:sz w:val="18"/>
                <w:szCs w:val="18"/>
              </w:rPr>
              <w:t>5.7</w:t>
            </w:r>
            <w:r w:rsidRPr="009B4A81">
              <w:rPr>
                <w:rFonts w:ascii="Arial" w:hAnsi="Arial" w:cs="Arial"/>
                <w:b/>
                <w:bCs/>
                <w:color w:val="215868" w:themeColor="accent5" w:themeShade="80"/>
                <w:sz w:val="18"/>
                <w:szCs w:val="18"/>
              </w:rPr>
              <w:t>%</w:t>
            </w:r>
          </w:p>
        </w:tc>
      </w:tr>
      <w:tr w:rsidR="00DD2F0B" w:rsidRPr="00E407FC" w14:paraId="5BEE13FC" w14:textId="77777777" w:rsidTr="000811E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62F5917F" w14:textId="77777777" w:rsidR="00DD2F0B" w:rsidRPr="00E407FC" w:rsidRDefault="00DD2F0B" w:rsidP="000811E7">
            <w:pPr>
              <w:pStyle w:val="NoSpacing"/>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Berries</w:t>
            </w:r>
          </w:p>
        </w:tc>
        <w:tc>
          <w:tcPr>
            <w:tcW w:w="1020" w:type="dxa"/>
            <w:gridSpan w:val="3"/>
            <w:vAlign w:val="center"/>
          </w:tcPr>
          <w:p w14:paraId="01DB9726" w14:textId="56BD2298" w:rsidR="00DD2F0B" w:rsidRPr="00091E61"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+4.4</w:t>
            </w:r>
            <w:r w:rsidRPr="00091E61">
              <w:rPr>
                <w:rFonts w:ascii="Arial" w:hAnsi="Arial" w:cs="Arial"/>
                <w:color w:val="17365D" w:themeColor="text2" w:themeShade="BF"/>
                <w:sz w:val="18"/>
                <w:szCs w:val="18"/>
              </w:rPr>
              <w:t>%</w:t>
            </w:r>
          </w:p>
        </w:tc>
        <w:tc>
          <w:tcPr>
            <w:tcW w:w="844" w:type="dxa"/>
            <w:gridSpan w:val="2"/>
            <w:vAlign w:val="center"/>
          </w:tcPr>
          <w:p w14:paraId="60423065" w14:textId="60466D34"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+14.2</w:t>
            </w:r>
            <w:r w:rsidRPr="00E407FC">
              <w:rPr>
                <w:rFonts w:ascii="Arial" w:hAnsi="Arial" w:cs="Arial"/>
                <w:color w:val="17365D" w:themeColor="text2" w:themeShade="BF"/>
                <w:sz w:val="18"/>
                <w:szCs w:val="18"/>
              </w:rPr>
              <w:t>%</w:t>
            </w:r>
          </w:p>
        </w:tc>
        <w:tc>
          <w:tcPr>
            <w:tcW w:w="845" w:type="dxa"/>
            <w:gridSpan w:val="2"/>
            <w:vAlign w:val="center"/>
          </w:tcPr>
          <w:p w14:paraId="6647773F" w14:textId="5F9ECFE7"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+10.9</w:t>
            </w:r>
            <w:r w:rsidRPr="00E407FC">
              <w:rPr>
                <w:rFonts w:ascii="Arial" w:hAnsi="Arial" w:cs="Arial"/>
                <w:color w:val="17365D" w:themeColor="text2" w:themeShade="BF"/>
                <w:sz w:val="18"/>
                <w:szCs w:val="18"/>
              </w:rPr>
              <w:t>%</w:t>
            </w:r>
          </w:p>
        </w:tc>
        <w:tc>
          <w:tcPr>
            <w:tcW w:w="844" w:type="dxa"/>
            <w:vAlign w:val="center"/>
          </w:tcPr>
          <w:p w14:paraId="5EB69396" w14:textId="308C31B0"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+9.2</w:t>
            </w:r>
            <w:r w:rsidRPr="00E407FC">
              <w:rPr>
                <w:rFonts w:ascii="Arial" w:hAnsi="Arial" w:cs="Arial"/>
                <w:color w:val="17365D" w:themeColor="text2" w:themeShade="BF"/>
                <w:sz w:val="18"/>
                <w:szCs w:val="18"/>
              </w:rPr>
              <w:t>%</w:t>
            </w:r>
          </w:p>
        </w:tc>
        <w:tc>
          <w:tcPr>
            <w:tcW w:w="844" w:type="dxa"/>
            <w:vAlign w:val="center"/>
          </w:tcPr>
          <w:p w14:paraId="1D48CA52" w14:textId="11267B6E"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+11.2</w:t>
            </w:r>
            <w:r w:rsidRPr="00E407FC">
              <w:rPr>
                <w:rFonts w:ascii="Arial" w:hAnsi="Arial" w:cs="Arial"/>
                <w:color w:val="17365D" w:themeColor="text2" w:themeShade="BF"/>
                <w:sz w:val="18"/>
                <w:szCs w:val="18"/>
              </w:rPr>
              <w:t>%</w:t>
            </w:r>
          </w:p>
        </w:tc>
        <w:tc>
          <w:tcPr>
            <w:tcW w:w="844" w:type="dxa"/>
            <w:vAlign w:val="center"/>
          </w:tcPr>
          <w:p w14:paraId="0C8663B0" w14:textId="6F63B899"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+16.</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844" w:type="dxa"/>
            <w:vAlign w:val="center"/>
          </w:tcPr>
          <w:p w14:paraId="5BEAEAD4" w14:textId="01B29678"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14.7</w:t>
            </w:r>
            <w:r w:rsidRPr="00E407FC">
              <w:rPr>
                <w:rFonts w:ascii="Arial" w:hAnsi="Arial" w:cs="Arial"/>
                <w:bCs/>
                <w:color w:val="17365D" w:themeColor="text2" w:themeShade="BF"/>
                <w:sz w:val="18"/>
                <w:szCs w:val="18"/>
              </w:rPr>
              <w:t>%</w:t>
            </w:r>
          </w:p>
        </w:tc>
        <w:tc>
          <w:tcPr>
            <w:tcW w:w="844" w:type="dxa"/>
            <w:vAlign w:val="center"/>
          </w:tcPr>
          <w:p w14:paraId="0DC6DD18" w14:textId="5598DC8E"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sidR="005E13EA">
              <w:rPr>
                <w:rFonts w:ascii="Arial" w:hAnsi="Arial" w:cs="Arial"/>
                <w:bCs/>
                <w:color w:val="17365D" w:themeColor="text2" w:themeShade="BF"/>
                <w:sz w:val="18"/>
                <w:szCs w:val="18"/>
              </w:rPr>
              <w:t>4.6</w:t>
            </w:r>
            <w:r w:rsidRPr="00E407FC">
              <w:rPr>
                <w:rFonts w:ascii="Arial" w:hAnsi="Arial" w:cs="Arial"/>
                <w:bCs/>
                <w:color w:val="17365D" w:themeColor="text2" w:themeShade="BF"/>
                <w:sz w:val="18"/>
                <w:szCs w:val="18"/>
              </w:rPr>
              <w:t>%</w:t>
            </w:r>
          </w:p>
        </w:tc>
        <w:tc>
          <w:tcPr>
            <w:tcW w:w="844" w:type="dxa"/>
            <w:vAlign w:val="center"/>
          </w:tcPr>
          <w:p w14:paraId="1AAB1DBF" w14:textId="1954B976"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704</w:t>
            </w:r>
            <w:r w:rsidRPr="00E407FC">
              <w:rPr>
                <w:rFonts w:ascii="Arial" w:hAnsi="Arial" w:cs="Arial"/>
                <w:bCs/>
                <w:color w:val="17365D" w:themeColor="text2" w:themeShade="BF"/>
                <w:sz w:val="18"/>
                <w:szCs w:val="18"/>
              </w:rPr>
              <w:t>M</w:t>
            </w:r>
          </w:p>
        </w:tc>
        <w:tc>
          <w:tcPr>
            <w:tcW w:w="844" w:type="dxa"/>
            <w:vAlign w:val="center"/>
          </w:tcPr>
          <w:p w14:paraId="31A0F4D1" w14:textId="309C277C"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0.8</w:t>
            </w:r>
            <w:r w:rsidRPr="00E407FC">
              <w:rPr>
                <w:rFonts w:ascii="Arial" w:hAnsi="Arial" w:cs="Arial"/>
                <w:bCs/>
                <w:color w:val="17365D" w:themeColor="text2" w:themeShade="BF"/>
                <w:sz w:val="18"/>
                <w:szCs w:val="18"/>
              </w:rPr>
              <w:t>%</w:t>
            </w:r>
          </w:p>
        </w:tc>
        <w:tc>
          <w:tcPr>
            <w:tcW w:w="844" w:type="dxa"/>
            <w:vAlign w:val="center"/>
          </w:tcPr>
          <w:p w14:paraId="06DCB3E5" w14:textId="71F35CC4" w:rsidR="00DD2F0B" w:rsidRPr="009B4A81" w:rsidRDefault="000933A2"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-0.1</w:t>
            </w:r>
            <w:r w:rsidR="00DD2F0B" w:rsidRPr="009B4A81">
              <w:rPr>
                <w:rFonts w:ascii="Arial" w:hAnsi="Arial" w:cs="Arial"/>
                <w:color w:val="215868" w:themeColor="accent5" w:themeShade="80"/>
                <w:sz w:val="18"/>
                <w:szCs w:val="18"/>
              </w:rPr>
              <w:t>%</w:t>
            </w:r>
          </w:p>
        </w:tc>
      </w:tr>
      <w:tr w:rsidR="00DD2F0B" w:rsidRPr="00E407FC" w14:paraId="5E0FA04D" w14:textId="77777777" w:rsidTr="000811E7">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0450ED95" w14:textId="5C90822D" w:rsidR="00DD2F0B" w:rsidRPr="00E407FC" w:rsidRDefault="00DD2F0B" w:rsidP="000811E7">
            <w:pPr>
              <w:pStyle w:val="NoSpacing"/>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Melons</w:t>
            </w:r>
          </w:p>
        </w:tc>
        <w:tc>
          <w:tcPr>
            <w:tcW w:w="1020" w:type="dxa"/>
            <w:gridSpan w:val="3"/>
            <w:vAlign w:val="center"/>
          </w:tcPr>
          <w:p w14:paraId="2FB712D2" w14:textId="77777777" w:rsidR="00DD2F0B" w:rsidRPr="00091E6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w:t>
            </w:r>
            <w:r w:rsidRPr="00091E61">
              <w:rPr>
                <w:rFonts w:ascii="Arial" w:hAnsi="Arial" w:cs="Arial"/>
                <w:color w:val="17365D" w:themeColor="text2" w:themeShade="BF"/>
                <w:sz w:val="18"/>
                <w:szCs w:val="18"/>
              </w:rPr>
              <w:t>%</w:t>
            </w:r>
          </w:p>
        </w:tc>
        <w:tc>
          <w:tcPr>
            <w:tcW w:w="844" w:type="dxa"/>
            <w:gridSpan w:val="2"/>
            <w:vAlign w:val="center"/>
          </w:tcPr>
          <w:p w14:paraId="1D59C3C7" w14:textId="77777777"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+9.5</w:t>
            </w:r>
            <w:r w:rsidRPr="00E407FC">
              <w:rPr>
                <w:rFonts w:ascii="Arial" w:hAnsi="Arial" w:cs="Arial"/>
                <w:color w:val="17365D" w:themeColor="text2" w:themeShade="BF"/>
                <w:sz w:val="18"/>
                <w:szCs w:val="18"/>
              </w:rPr>
              <w:t>%</w:t>
            </w:r>
          </w:p>
        </w:tc>
        <w:tc>
          <w:tcPr>
            <w:tcW w:w="845" w:type="dxa"/>
            <w:gridSpan w:val="2"/>
            <w:vAlign w:val="center"/>
          </w:tcPr>
          <w:p w14:paraId="17B879B2" w14:textId="77777777"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10</w:t>
            </w:r>
            <w:r>
              <w:rPr>
                <w:rFonts w:ascii="Arial" w:hAnsi="Arial" w:cs="Arial"/>
                <w:color w:val="17365D" w:themeColor="text2" w:themeShade="BF"/>
                <w:sz w:val="18"/>
                <w:szCs w:val="18"/>
              </w:rPr>
              <w:t>.0</w:t>
            </w:r>
            <w:r w:rsidRPr="00E407FC">
              <w:rPr>
                <w:rFonts w:ascii="Arial" w:hAnsi="Arial" w:cs="Arial"/>
                <w:color w:val="17365D" w:themeColor="text2" w:themeShade="BF"/>
                <w:sz w:val="18"/>
                <w:szCs w:val="18"/>
              </w:rPr>
              <w:t>%</w:t>
            </w:r>
          </w:p>
        </w:tc>
        <w:tc>
          <w:tcPr>
            <w:tcW w:w="844" w:type="dxa"/>
            <w:vAlign w:val="center"/>
          </w:tcPr>
          <w:p w14:paraId="1B215152" w14:textId="77777777"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+14.1</w:t>
            </w:r>
            <w:r w:rsidRPr="00E407FC">
              <w:rPr>
                <w:rFonts w:ascii="Arial" w:hAnsi="Arial" w:cs="Arial"/>
                <w:color w:val="17365D" w:themeColor="text2" w:themeShade="BF"/>
                <w:sz w:val="18"/>
                <w:szCs w:val="18"/>
              </w:rPr>
              <w:t>%</w:t>
            </w:r>
          </w:p>
        </w:tc>
        <w:tc>
          <w:tcPr>
            <w:tcW w:w="844" w:type="dxa"/>
            <w:vAlign w:val="center"/>
          </w:tcPr>
          <w:p w14:paraId="68397E58" w14:textId="77777777"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+5.8</w:t>
            </w:r>
            <w:r w:rsidRPr="00E407FC">
              <w:rPr>
                <w:rFonts w:ascii="Arial" w:hAnsi="Arial" w:cs="Arial"/>
                <w:color w:val="17365D" w:themeColor="text2" w:themeShade="BF"/>
                <w:sz w:val="18"/>
                <w:szCs w:val="18"/>
              </w:rPr>
              <w:t>%</w:t>
            </w:r>
          </w:p>
        </w:tc>
        <w:tc>
          <w:tcPr>
            <w:tcW w:w="844" w:type="dxa"/>
            <w:vAlign w:val="center"/>
          </w:tcPr>
          <w:p w14:paraId="00B0E1B8" w14:textId="77777777"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+23.</w:t>
            </w:r>
            <w:r>
              <w:rPr>
                <w:rFonts w:ascii="Arial" w:hAnsi="Arial" w:cs="Arial"/>
                <w:bCs/>
                <w:color w:val="17365D" w:themeColor="text2" w:themeShade="BF"/>
                <w:sz w:val="18"/>
                <w:szCs w:val="18"/>
              </w:rPr>
              <w:t>2</w:t>
            </w:r>
            <w:r w:rsidRPr="00E407FC">
              <w:rPr>
                <w:rFonts w:ascii="Arial" w:hAnsi="Arial" w:cs="Arial"/>
                <w:bCs/>
                <w:color w:val="17365D" w:themeColor="text2" w:themeShade="BF"/>
                <w:sz w:val="18"/>
                <w:szCs w:val="18"/>
              </w:rPr>
              <w:t>%</w:t>
            </w:r>
          </w:p>
        </w:tc>
        <w:tc>
          <w:tcPr>
            <w:tcW w:w="844" w:type="dxa"/>
          </w:tcPr>
          <w:p w14:paraId="1CD00AF7" w14:textId="77777777"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Pr>
                <w:rFonts w:ascii="Arial" w:hAnsi="Arial" w:cs="Arial"/>
                <w:bCs/>
                <w:color w:val="17365D" w:themeColor="text2" w:themeShade="BF"/>
                <w:sz w:val="18"/>
                <w:szCs w:val="18"/>
              </w:rPr>
              <w:t>27.7</w:t>
            </w:r>
            <w:r w:rsidRPr="00C7349C">
              <w:rPr>
                <w:rFonts w:ascii="Arial" w:hAnsi="Arial" w:cs="Arial"/>
                <w:bCs/>
                <w:color w:val="17365D" w:themeColor="text2" w:themeShade="BF"/>
                <w:sz w:val="18"/>
                <w:szCs w:val="18"/>
              </w:rPr>
              <w:t>%</w:t>
            </w:r>
          </w:p>
        </w:tc>
        <w:tc>
          <w:tcPr>
            <w:tcW w:w="844" w:type="dxa"/>
          </w:tcPr>
          <w:p w14:paraId="60CDEE3F" w14:textId="4DA9C728"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sidR="005E13EA">
              <w:rPr>
                <w:rFonts w:ascii="Arial" w:hAnsi="Arial" w:cs="Arial"/>
                <w:bCs/>
                <w:color w:val="17365D" w:themeColor="text2" w:themeShade="BF"/>
                <w:sz w:val="18"/>
                <w:szCs w:val="18"/>
              </w:rPr>
              <w:t>7.4</w:t>
            </w:r>
            <w:r w:rsidRPr="00C7349C">
              <w:rPr>
                <w:rFonts w:ascii="Arial" w:hAnsi="Arial" w:cs="Arial"/>
                <w:bCs/>
                <w:color w:val="17365D" w:themeColor="text2" w:themeShade="BF"/>
                <w:sz w:val="18"/>
                <w:szCs w:val="18"/>
              </w:rPr>
              <w:t>%</w:t>
            </w:r>
          </w:p>
        </w:tc>
        <w:tc>
          <w:tcPr>
            <w:tcW w:w="844" w:type="dxa"/>
            <w:vAlign w:val="center"/>
          </w:tcPr>
          <w:p w14:paraId="74416545" w14:textId="5698CAF2"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453</w:t>
            </w:r>
            <w:r w:rsidRPr="00E407FC">
              <w:rPr>
                <w:rFonts w:ascii="Arial" w:hAnsi="Arial" w:cs="Arial"/>
                <w:bCs/>
                <w:color w:val="17365D" w:themeColor="text2" w:themeShade="BF"/>
                <w:sz w:val="18"/>
                <w:szCs w:val="18"/>
              </w:rPr>
              <w:t>M</w:t>
            </w:r>
          </w:p>
        </w:tc>
        <w:tc>
          <w:tcPr>
            <w:tcW w:w="844" w:type="dxa"/>
            <w:vAlign w:val="center"/>
          </w:tcPr>
          <w:p w14:paraId="0BD6EE9C" w14:textId="353EB17F" w:rsidR="00DD2F0B" w:rsidRDefault="00DD2F0B" w:rsidP="00DD2F0B">
            <w:pPr>
              <w:jc w:val="right"/>
              <w:cnfStyle w:val="000000000000" w:firstRow="0" w:lastRow="0" w:firstColumn="0" w:lastColumn="0" w:oddVBand="0" w:evenVBand="0" w:oddHBand="0" w:evenHBand="0" w:firstRowFirstColumn="0" w:firstRowLastColumn="0" w:lastRowFirstColumn="0" w:lastRowLastColumn="0"/>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7.4</w:t>
            </w:r>
            <w:r w:rsidRPr="00E407FC">
              <w:rPr>
                <w:rFonts w:ascii="Arial" w:hAnsi="Arial" w:cs="Arial"/>
                <w:bCs/>
                <w:color w:val="17365D" w:themeColor="text2" w:themeShade="BF"/>
                <w:sz w:val="18"/>
                <w:szCs w:val="18"/>
              </w:rPr>
              <w:t>%</w:t>
            </w:r>
          </w:p>
        </w:tc>
        <w:tc>
          <w:tcPr>
            <w:tcW w:w="844" w:type="dxa"/>
            <w:vAlign w:val="center"/>
          </w:tcPr>
          <w:p w14:paraId="4F8C8D25" w14:textId="1FD0601E" w:rsidR="00DD2F0B" w:rsidRPr="009B4A8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9B4A81">
              <w:rPr>
                <w:rFonts w:ascii="Arial" w:hAnsi="Arial" w:cs="Arial"/>
                <w:color w:val="215868" w:themeColor="accent5" w:themeShade="80"/>
                <w:sz w:val="18"/>
                <w:szCs w:val="18"/>
              </w:rPr>
              <w:t>-</w:t>
            </w:r>
            <w:r w:rsidR="000933A2">
              <w:rPr>
                <w:rFonts w:ascii="Arial" w:hAnsi="Arial" w:cs="Arial"/>
                <w:color w:val="215868" w:themeColor="accent5" w:themeShade="80"/>
                <w:sz w:val="18"/>
                <w:szCs w:val="18"/>
              </w:rPr>
              <w:t>1.7</w:t>
            </w:r>
            <w:r w:rsidRPr="009B4A81">
              <w:rPr>
                <w:rFonts w:ascii="Arial" w:hAnsi="Arial" w:cs="Arial"/>
                <w:color w:val="215868" w:themeColor="accent5" w:themeShade="80"/>
                <w:sz w:val="18"/>
                <w:szCs w:val="18"/>
              </w:rPr>
              <w:t>%</w:t>
            </w:r>
          </w:p>
        </w:tc>
      </w:tr>
      <w:tr w:rsidR="00DD2F0B" w:rsidRPr="00E407FC" w14:paraId="16006628" w14:textId="77777777" w:rsidTr="000811E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57818270" w14:textId="31835A18" w:rsidR="00DD2F0B" w:rsidRPr="00E407FC" w:rsidRDefault="00DD2F0B" w:rsidP="000811E7">
            <w:pPr>
              <w:pStyle w:val="NoSpacing"/>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Apples</w:t>
            </w:r>
          </w:p>
        </w:tc>
        <w:tc>
          <w:tcPr>
            <w:tcW w:w="1020" w:type="dxa"/>
            <w:gridSpan w:val="3"/>
            <w:vAlign w:val="center"/>
          </w:tcPr>
          <w:p w14:paraId="1E75DF00" w14:textId="5FDD376F" w:rsidR="00DD2F0B" w:rsidRPr="00091E61"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+0.0</w:t>
            </w:r>
            <w:r w:rsidRPr="00091E61">
              <w:rPr>
                <w:rFonts w:ascii="Arial" w:hAnsi="Arial" w:cs="Arial"/>
                <w:color w:val="17365D" w:themeColor="text2" w:themeShade="BF"/>
                <w:sz w:val="18"/>
                <w:szCs w:val="18"/>
              </w:rPr>
              <w:t>%</w:t>
            </w:r>
          </w:p>
        </w:tc>
        <w:tc>
          <w:tcPr>
            <w:tcW w:w="844" w:type="dxa"/>
            <w:gridSpan w:val="2"/>
            <w:vAlign w:val="center"/>
          </w:tcPr>
          <w:p w14:paraId="2AF8D473" w14:textId="0867F618"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+1.8</w:t>
            </w:r>
            <w:r w:rsidRPr="00E407FC">
              <w:rPr>
                <w:rFonts w:ascii="Arial" w:hAnsi="Arial" w:cs="Arial"/>
                <w:color w:val="17365D" w:themeColor="text2" w:themeShade="BF"/>
                <w:sz w:val="18"/>
                <w:szCs w:val="18"/>
              </w:rPr>
              <w:t>%</w:t>
            </w:r>
          </w:p>
        </w:tc>
        <w:tc>
          <w:tcPr>
            <w:tcW w:w="845" w:type="dxa"/>
            <w:gridSpan w:val="2"/>
            <w:vAlign w:val="center"/>
          </w:tcPr>
          <w:p w14:paraId="26FB0443" w14:textId="49782033"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0.7</w:t>
            </w:r>
            <w:r w:rsidRPr="00E407FC">
              <w:rPr>
                <w:rFonts w:ascii="Arial" w:hAnsi="Arial" w:cs="Arial"/>
                <w:color w:val="17365D" w:themeColor="text2" w:themeShade="BF"/>
                <w:sz w:val="18"/>
                <w:szCs w:val="18"/>
              </w:rPr>
              <w:t>%</w:t>
            </w:r>
          </w:p>
        </w:tc>
        <w:tc>
          <w:tcPr>
            <w:tcW w:w="844" w:type="dxa"/>
            <w:vAlign w:val="center"/>
          </w:tcPr>
          <w:p w14:paraId="06DF58EF" w14:textId="1438F8E5"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+3.4</w:t>
            </w:r>
            <w:r w:rsidRPr="00E407FC">
              <w:rPr>
                <w:rFonts w:ascii="Arial" w:hAnsi="Arial" w:cs="Arial"/>
                <w:color w:val="17365D" w:themeColor="text2" w:themeShade="BF"/>
                <w:sz w:val="18"/>
                <w:szCs w:val="18"/>
              </w:rPr>
              <w:t>%</w:t>
            </w:r>
          </w:p>
        </w:tc>
        <w:tc>
          <w:tcPr>
            <w:tcW w:w="844" w:type="dxa"/>
            <w:vAlign w:val="center"/>
          </w:tcPr>
          <w:p w14:paraId="41636D17" w14:textId="12FA8D32"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+8.9</w:t>
            </w:r>
            <w:r w:rsidRPr="00E407FC">
              <w:rPr>
                <w:rFonts w:ascii="Arial" w:hAnsi="Arial" w:cs="Arial"/>
                <w:color w:val="17365D" w:themeColor="text2" w:themeShade="BF"/>
                <w:sz w:val="18"/>
                <w:szCs w:val="18"/>
              </w:rPr>
              <w:t>%</w:t>
            </w:r>
          </w:p>
        </w:tc>
        <w:tc>
          <w:tcPr>
            <w:tcW w:w="844" w:type="dxa"/>
            <w:vAlign w:val="center"/>
          </w:tcPr>
          <w:p w14:paraId="1E5CE1E6" w14:textId="02F7D9BF"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+7.</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844" w:type="dxa"/>
          </w:tcPr>
          <w:p w14:paraId="4A0AC33B" w14:textId="1FFDA15D"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Pr>
                <w:rFonts w:ascii="Arial" w:hAnsi="Arial" w:cs="Arial"/>
                <w:bCs/>
                <w:color w:val="17365D" w:themeColor="text2" w:themeShade="BF"/>
                <w:sz w:val="18"/>
                <w:szCs w:val="18"/>
              </w:rPr>
              <w:t>7.8</w:t>
            </w:r>
            <w:r w:rsidRPr="00C7349C">
              <w:rPr>
                <w:rFonts w:ascii="Arial" w:hAnsi="Arial" w:cs="Arial"/>
                <w:bCs/>
                <w:color w:val="17365D" w:themeColor="text2" w:themeShade="BF"/>
                <w:sz w:val="18"/>
                <w:szCs w:val="18"/>
              </w:rPr>
              <w:t>%</w:t>
            </w:r>
          </w:p>
        </w:tc>
        <w:tc>
          <w:tcPr>
            <w:tcW w:w="844" w:type="dxa"/>
          </w:tcPr>
          <w:p w14:paraId="627779A1" w14:textId="231731F1"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sidR="005E13EA">
              <w:rPr>
                <w:rFonts w:ascii="Arial" w:hAnsi="Arial" w:cs="Arial"/>
                <w:bCs/>
                <w:color w:val="17365D" w:themeColor="text2" w:themeShade="BF"/>
                <w:sz w:val="18"/>
                <w:szCs w:val="18"/>
              </w:rPr>
              <w:t>7.1</w:t>
            </w:r>
            <w:r w:rsidRPr="00C7349C">
              <w:rPr>
                <w:rFonts w:ascii="Arial" w:hAnsi="Arial" w:cs="Arial"/>
                <w:bCs/>
                <w:color w:val="17365D" w:themeColor="text2" w:themeShade="BF"/>
                <w:sz w:val="18"/>
                <w:szCs w:val="18"/>
              </w:rPr>
              <w:t>%</w:t>
            </w:r>
          </w:p>
        </w:tc>
        <w:tc>
          <w:tcPr>
            <w:tcW w:w="844" w:type="dxa"/>
            <w:vAlign w:val="center"/>
          </w:tcPr>
          <w:p w14:paraId="6C530686" w14:textId="22744F19" w:rsidR="00DD2F0B" w:rsidRPr="00E407FC"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292</w:t>
            </w:r>
            <w:r w:rsidRPr="00E407FC">
              <w:rPr>
                <w:rFonts w:ascii="Arial" w:hAnsi="Arial" w:cs="Arial"/>
                <w:bCs/>
                <w:color w:val="17365D" w:themeColor="text2" w:themeShade="BF"/>
                <w:sz w:val="18"/>
                <w:szCs w:val="18"/>
              </w:rPr>
              <w:t>M</w:t>
            </w:r>
          </w:p>
        </w:tc>
        <w:tc>
          <w:tcPr>
            <w:tcW w:w="844" w:type="dxa"/>
            <w:vAlign w:val="center"/>
          </w:tcPr>
          <w:p w14:paraId="482E37F1" w14:textId="18D80705" w:rsidR="00DD2F0B" w:rsidRDefault="00DD2F0B" w:rsidP="00DD2F0B">
            <w:pPr>
              <w:jc w:val="right"/>
              <w:cnfStyle w:val="000000100000" w:firstRow="0" w:lastRow="0" w:firstColumn="0" w:lastColumn="0" w:oddVBand="0" w:evenVBand="0" w:oddHBand="1" w:evenHBand="0" w:firstRowFirstColumn="0" w:firstRowLastColumn="0" w:lastRowFirstColumn="0" w:lastRowLastColumn="0"/>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5.4</w:t>
            </w:r>
            <w:r w:rsidRPr="00E407FC">
              <w:rPr>
                <w:rFonts w:ascii="Arial" w:hAnsi="Arial" w:cs="Arial"/>
                <w:bCs/>
                <w:color w:val="17365D" w:themeColor="text2" w:themeShade="BF"/>
                <w:sz w:val="18"/>
                <w:szCs w:val="18"/>
              </w:rPr>
              <w:t>%</w:t>
            </w:r>
          </w:p>
        </w:tc>
        <w:tc>
          <w:tcPr>
            <w:tcW w:w="844" w:type="dxa"/>
            <w:vAlign w:val="center"/>
          </w:tcPr>
          <w:p w14:paraId="3024FCBB" w14:textId="5955DED3" w:rsidR="00DD2F0B" w:rsidRPr="009B4A81" w:rsidRDefault="00DD2F0B" w:rsidP="00DD2F0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9B4A81">
              <w:rPr>
                <w:rFonts w:ascii="Arial" w:hAnsi="Arial" w:cs="Arial"/>
                <w:color w:val="215868" w:themeColor="accent5" w:themeShade="80"/>
                <w:sz w:val="18"/>
                <w:szCs w:val="18"/>
              </w:rPr>
              <w:t>-</w:t>
            </w:r>
            <w:r w:rsidR="000933A2">
              <w:rPr>
                <w:rFonts w:ascii="Arial" w:hAnsi="Arial" w:cs="Arial"/>
                <w:color w:val="215868" w:themeColor="accent5" w:themeShade="80"/>
                <w:sz w:val="18"/>
                <w:szCs w:val="18"/>
              </w:rPr>
              <w:t>1.4</w:t>
            </w:r>
            <w:r w:rsidRPr="009B4A81">
              <w:rPr>
                <w:rFonts w:ascii="Arial" w:hAnsi="Arial" w:cs="Arial"/>
                <w:color w:val="215868" w:themeColor="accent5" w:themeShade="80"/>
                <w:sz w:val="18"/>
                <w:szCs w:val="18"/>
              </w:rPr>
              <w:t>%</w:t>
            </w:r>
          </w:p>
        </w:tc>
      </w:tr>
      <w:tr w:rsidR="000933A2" w:rsidRPr="00E407FC" w14:paraId="64648E7F" w14:textId="77777777" w:rsidTr="00237E35">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6CE895DC" w14:textId="77777777" w:rsidR="000933A2" w:rsidRPr="00E407FC" w:rsidRDefault="000933A2" w:rsidP="00237E35">
            <w:pPr>
              <w:pStyle w:val="NoSpacing"/>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Bananas</w:t>
            </w:r>
          </w:p>
        </w:tc>
        <w:tc>
          <w:tcPr>
            <w:tcW w:w="1020" w:type="dxa"/>
            <w:gridSpan w:val="3"/>
            <w:vAlign w:val="center"/>
          </w:tcPr>
          <w:p w14:paraId="31C9FDDA" w14:textId="77777777" w:rsidR="000933A2" w:rsidRPr="00091E61"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-0.9</w:t>
            </w:r>
            <w:r w:rsidRPr="00091E61">
              <w:rPr>
                <w:rFonts w:ascii="Arial" w:hAnsi="Arial" w:cs="Arial"/>
                <w:color w:val="17365D" w:themeColor="text2" w:themeShade="BF"/>
                <w:sz w:val="18"/>
                <w:szCs w:val="18"/>
              </w:rPr>
              <w:t>%</w:t>
            </w:r>
          </w:p>
        </w:tc>
        <w:tc>
          <w:tcPr>
            <w:tcW w:w="844" w:type="dxa"/>
            <w:gridSpan w:val="2"/>
            <w:vAlign w:val="center"/>
          </w:tcPr>
          <w:p w14:paraId="2D1C6173" w14:textId="77777777" w:rsidR="000933A2" w:rsidRPr="00E407FC"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+3.6</w:t>
            </w:r>
            <w:r w:rsidRPr="00E407FC">
              <w:rPr>
                <w:rFonts w:ascii="Arial" w:hAnsi="Arial" w:cs="Arial"/>
                <w:color w:val="17365D" w:themeColor="text2" w:themeShade="BF"/>
                <w:sz w:val="18"/>
                <w:szCs w:val="18"/>
              </w:rPr>
              <w:t>%</w:t>
            </w:r>
          </w:p>
        </w:tc>
        <w:tc>
          <w:tcPr>
            <w:tcW w:w="845" w:type="dxa"/>
            <w:gridSpan w:val="2"/>
            <w:vAlign w:val="center"/>
          </w:tcPr>
          <w:p w14:paraId="34D336AB" w14:textId="77777777" w:rsidR="000933A2" w:rsidRPr="00E407FC"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0.6</w:t>
            </w:r>
            <w:r w:rsidRPr="00E407FC">
              <w:rPr>
                <w:rFonts w:ascii="Arial" w:hAnsi="Arial" w:cs="Arial"/>
                <w:color w:val="17365D" w:themeColor="text2" w:themeShade="BF"/>
                <w:sz w:val="18"/>
                <w:szCs w:val="18"/>
              </w:rPr>
              <w:t>%</w:t>
            </w:r>
          </w:p>
        </w:tc>
        <w:tc>
          <w:tcPr>
            <w:tcW w:w="844" w:type="dxa"/>
            <w:vAlign w:val="center"/>
          </w:tcPr>
          <w:p w14:paraId="25E51950" w14:textId="77777777" w:rsidR="000933A2" w:rsidRPr="00E407FC"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1.8</w:t>
            </w:r>
            <w:r w:rsidRPr="00E407FC">
              <w:rPr>
                <w:rFonts w:ascii="Arial" w:hAnsi="Arial" w:cs="Arial"/>
                <w:color w:val="17365D" w:themeColor="text2" w:themeShade="BF"/>
                <w:sz w:val="18"/>
                <w:szCs w:val="18"/>
              </w:rPr>
              <w:t>%</w:t>
            </w:r>
          </w:p>
        </w:tc>
        <w:tc>
          <w:tcPr>
            <w:tcW w:w="844" w:type="dxa"/>
            <w:vAlign w:val="center"/>
          </w:tcPr>
          <w:p w14:paraId="6108C7B6" w14:textId="77777777" w:rsidR="000933A2" w:rsidRPr="00E407FC"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4</w:t>
            </w:r>
            <w:r>
              <w:rPr>
                <w:rFonts w:ascii="Arial" w:hAnsi="Arial" w:cs="Arial"/>
                <w:color w:val="17365D" w:themeColor="text2" w:themeShade="BF"/>
                <w:sz w:val="18"/>
                <w:szCs w:val="18"/>
              </w:rPr>
              <w:t>.2</w:t>
            </w:r>
            <w:r w:rsidRPr="00E407FC">
              <w:rPr>
                <w:rFonts w:ascii="Arial" w:hAnsi="Arial" w:cs="Arial"/>
                <w:color w:val="17365D" w:themeColor="text2" w:themeShade="BF"/>
                <w:sz w:val="18"/>
                <w:szCs w:val="18"/>
              </w:rPr>
              <w:t>%</w:t>
            </w:r>
          </w:p>
        </w:tc>
        <w:tc>
          <w:tcPr>
            <w:tcW w:w="844" w:type="dxa"/>
            <w:vAlign w:val="center"/>
          </w:tcPr>
          <w:p w14:paraId="28E26D0E" w14:textId="77777777" w:rsidR="000933A2" w:rsidRPr="00E407FC"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+3.0%</w:t>
            </w:r>
          </w:p>
        </w:tc>
        <w:tc>
          <w:tcPr>
            <w:tcW w:w="844" w:type="dxa"/>
          </w:tcPr>
          <w:p w14:paraId="117E870F" w14:textId="77777777" w:rsidR="000933A2" w:rsidRPr="00E407FC"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-0.8</w:t>
            </w:r>
            <w:r w:rsidRPr="00C7349C">
              <w:rPr>
                <w:rFonts w:ascii="Arial" w:hAnsi="Arial" w:cs="Arial"/>
                <w:bCs/>
                <w:color w:val="17365D" w:themeColor="text2" w:themeShade="BF"/>
                <w:sz w:val="18"/>
                <w:szCs w:val="18"/>
              </w:rPr>
              <w:t>%</w:t>
            </w:r>
          </w:p>
        </w:tc>
        <w:tc>
          <w:tcPr>
            <w:tcW w:w="844" w:type="dxa"/>
          </w:tcPr>
          <w:p w14:paraId="3E0FFD2D" w14:textId="77777777" w:rsidR="000933A2" w:rsidRPr="00E407FC"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-2.4</w:t>
            </w:r>
            <w:r w:rsidRPr="00C7349C">
              <w:rPr>
                <w:rFonts w:ascii="Arial" w:hAnsi="Arial" w:cs="Arial"/>
                <w:bCs/>
                <w:color w:val="17365D" w:themeColor="text2" w:themeShade="BF"/>
                <w:sz w:val="18"/>
                <w:szCs w:val="18"/>
              </w:rPr>
              <w:t>%</w:t>
            </w:r>
          </w:p>
        </w:tc>
        <w:tc>
          <w:tcPr>
            <w:tcW w:w="844" w:type="dxa"/>
            <w:vAlign w:val="center"/>
          </w:tcPr>
          <w:p w14:paraId="06708011" w14:textId="45B3198F" w:rsidR="000933A2" w:rsidRPr="00E407FC"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265</w:t>
            </w:r>
            <w:r w:rsidRPr="00E407FC">
              <w:rPr>
                <w:rFonts w:ascii="Arial" w:hAnsi="Arial" w:cs="Arial"/>
                <w:bCs/>
                <w:color w:val="17365D" w:themeColor="text2" w:themeShade="BF"/>
                <w:sz w:val="18"/>
                <w:szCs w:val="18"/>
              </w:rPr>
              <w:t>M</w:t>
            </w:r>
          </w:p>
        </w:tc>
        <w:tc>
          <w:tcPr>
            <w:tcW w:w="844" w:type="dxa"/>
            <w:vAlign w:val="center"/>
          </w:tcPr>
          <w:p w14:paraId="24EDC20D" w14:textId="0BC32505" w:rsidR="000933A2" w:rsidRDefault="000933A2" w:rsidP="00237E35">
            <w:pPr>
              <w:jc w:val="right"/>
              <w:cnfStyle w:val="000000000000" w:firstRow="0" w:lastRow="0" w:firstColumn="0" w:lastColumn="0" w:oddVBand="0" w:evenVBand="0" w:oddHBand="0" w:evenHBand="0" w:firstRowFirstColumn="0" w:firstRowLastColumn="0" w:lastRowFirstColumn="0" w:lastRowLastColumn="0"/>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3.3</w:t>
            </w:r>
            <w:r w:rsidRPr="00E407FC">
              <w:rPr>
                <w:rFonts w:ascii="Arial" w:hAnsi="Arial" w:cs="Arial"/>
                <w:bCs/>
                <w:color w:val="17365D" w:themeColor="text2" w:themeShade="BF"/>
                <w:sz w:val="18"/>
                <w:szCs w:val="18"/>
              </w:rPr>
              <w:t>%</w:t>
            </w:r>
          </w:p>
        </w:tc>
        <w:tc>
          <w:tcPr>
            <w:tcW w:w="844" w:type="dxa"/>
            <w:vAlign w:val="center"/>
          </w:tcPr>
          <w:p w14:paraId="503A3733" w14:textId="03928F76" w:rsidR="000933A2" w:rsidRPr="009B4A81"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9B4A81">
              <w:rPr>
                <w:rFonts w:ascii="Arial" w:hAnsi="Arial" w:cs="Arial"/>
                <w:color w:val="215868" w:themeColor="accent5" w:themeShade="80"/>
                <w:sz w:val="18"/>
                <w:szCs w:val="18"/>
              </w:rPr>
              <w:t>-</w:t>
            </w:r>
            <w:r>
              <w:rPr>
                <w:rFonts w:ascii="Arial" w:hAnsi="Arial" w:cs="Arial"/>
                <w:color w:val="215868" w:themeColor="accent5" w:themeShade="80"/>
                <w:sz w:val="18"/>
                <w:szCs w:val="18"/>
              </w:rPr>
              <w:t>2.6</w:t>
            </w:r>
            <w:r w:rsidRPr="009B4A81">
              <w:rPr>
                <w:rFonts w:ascii="Arial" w:hAnsi="Arial" w:cs="Arial"/>
                <w:color w:val="215868" w:themeColor="accent5" w:themeShade="80"/>
                <w:sz w:val="18"/>
                <w:szCs w:val="18"/>
              </w:rPr>
              <w:t>%</w:t>
            </w:r>
          </w:p>
        </w:tc>
      </w:tr>
      <w:tr w:rsidR="005E13EA" w:rsidRPr="00E407FC" w14:paraId="31E57C90" w14:textId="77777777" w:rsidTr="00237E3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54D91204" w14:textId="77777777" w:rsidR="005E13EA" w:rsidRPr="00E407FC" w:rsidRDefault="005E13EA" w:rsidP="00237E35">
            <w:pPr>
              <w:pStyle w:val="NoSpacing"/>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Grapes</w:t>
            </w:r>
          </w:p>
        </w:tc>
        <w:tc>
          <w:tcPr>
            <w:tcW w:w="1020" w:type="dxa"/>
            <w:gridSpan w:val="3"/>
            <w:vAlign w:val="center"/>
          </w:tcPr>
          <w:p w14:paraId="26950802" w14:textId="77777777" w:rsidR="005E13EA" w:rsidRPr="00091E61"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-3.1</w:t>
            </w:r>
            <w:r w:rsidRPr="00091E61">
              <w:rPr>
                <w:rFonts w:ascii="Arial" w:hAnsi="Arial" w:cs="Arial"/>
                <w:color w:val="17365D" w:themeColor="text2" w:themeShade="BF"/>
                <w:sz w:val="18"/>
                <w:szCs w:val="18"/>
              </w:rPr>
              <w:t>%</w:t>
            </w:r>
          </w:p>
        </w:tc>
        <w:tc>
          <w:tcPr>
            <w:tcW w:w="844" w:type="dxa"/>
            <w:gridSpan w:val="2"/>
            <w:vAlign w:val="center"/>
          </w:tcPr>
          <w:p w14:paraId="3E61056D"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+0.1</w:t>
            </w:r>
            <w:r w:rsidRPr="00E407FC">
              <w:rPr>
                <w:rFonts w:ascii="Arial" w:hAnsi="Arial" w:cs="Arial"/>
                <w:color w:val="17365D" w:themeColor="text2" w:themeShade="BF"/>
                <w:sz w:val="18"/>
                <w:szCs w:val="18"/>
              </w:rPr>
              <w:t>%</w:t>
            </w:r>
          </w:p>
        </w:tc>
        <w:tc>
          <w:tcPr>
            <w:tcW w:w="845" w:type="dxa"/>
            <w:gridSpan w:val="2"/>
            <w:vAlign w:val="center"/>
          </w:tcPr>
          <w:p w14:paraId="2B19F221"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+2.9</w:t>
            </w:r>
            <w:r w:rsidRPr="00E407FC">
              <w:rPr>
                <w:rFonts w:ascii="Arial" w:hAnsi="Arial" w:cs="Arial"/>
                <w:color w:val="17365D" w:themeColor="text2" w:themeShade="BF"/>
                <w:sz w:val="18"/>
                <w:szCs w:val="18"/>
              </w:rPr>
              <w:t>%</w:t>
            </w:r>
          </w:p>
        </w:tc>
        <w:tc>
          <w:tcPr>
            <w:tcW w:w="844" w:type="dxa"/>
            <w:vAlign w:val="center"/>
          </w:tcPr>
          <w:p w14:paraId="1D6A9310"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+3.5</w:t>
            </w:r>
            <w:r w:rsidRPr="00E407FC">
              <w:rPr>
                <w:rFonts w:ascii="Arial" w:hAnsi="Arial" w:cs="Arial"/>
                <w:color w:val="17365D" w:themeColor="text2" w:themeShade="BF"/>
                <w:sz w:val="18"/>
                <w:szCs w:val="18"/>
              </w:rPr>
              <w:t>%</w:t>
            </w:r>
          </w:p>
        </w:tc>
        <w:tc>
          <w:tcPr>
            <w:tcW w:w="844" w:type="dxa"/>
            <w:vAlign w:val="center"/>
          </w:tcPr>
          <w:p w14:paraId="1C9893B2"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+6.9</w:t>
            </w:r>
            <w:r w:rsidRPr="00E407FC">
              <w:rPr>
                <w:rFonts w:ascii="Arial" w:hAnsi="Arial" w:cs="Arial"/>
                <w:color w:val="17365D" w:themeColor="text2" w:themeShade="BF"/>
                <w:sz w:val="18"/>
                <w:szCs w:val="18"/>
              </w:rPr>
              <w:t>%</w:t>
            </w:r>
          </w:p>
        </w:tc>
        <w:tc>
          <w:tcPr>
            <w:tcW w:w="844" w:type="dxa"/>
            <w:vAlign w:val="center"/>
          </w:tcPr>
          <w:p w14:paraId="2466E710"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+11.</w:t>
            </w:r>
            <w:r>
              <w:rPr>
                <w:rFonts w:ascii="Arial" w:hAnsi="Arial" w:cs="Arial"/>
                <w:bCs/>
                <w:color w:val="17365D" w:themeColor="text2" w:themeShade="BF"/>
                <w:sz w:val="18"/>
                <w:szCs w:val="18"/>
              </w:rPr>
              <w:t>8</w:t>
            </w:r>
            <w:r w:rsidRPr="00E407FC">
              <w:rPr>
                <w:rFonts w:ascii="Arial" w:hAnsi="Arial" w:cs="Arial"/>
                <w:bCs/>
                <w:color w:val="17365D" w:themeColor="text2" w:themeShade="BF"/>
                <w:sz w:val="18"/>
                <w:szCs w:val="18"/>
              </w:rPr>
              <w:t>%</w:t>
            </w:r>
          </w:p>
        </w:tc>
        <w:tc>
          <w:tcPr>
            <w:tcW w:w="844" w:type="dxa"/>
          </w:tcPr>
          <w:p w14:paraId="1ABB0AA9"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Pr>
                <w:rFonts w:ascii="Arial" w:hAnsi="Arial" w:cs="Arial"/>
                <w:bCs/>
                <w:color w:val="17365D" w:themeColor="text2" w:themeShade="BF"/>
                <w:sz w:val="18"/>
                <w:szCs w:val="18"/>
              </w:rPr>
              <w:t>4.8</w:t>
            </w:r>
            <w:r w:rsidRPr="00C7349C">
              <w:rPr>
                <w:rFonts w:ascii="Arial" w:hAnsi="Arial" w:cs="Arial"/>
                <w:bCs/>
                <w:color w:val="17365D" w:themeColor="text2" w:themeShade="BF"/>
                <w:sz w:val="18"/>
                <w:szCs w:val="18"/>
              </w:rPr>
              <w:t>%</w:t>
            </w:r>
          </w:p>
        </w:tc>
        <w:tc>
          <w:tcPr>
            <w:tcW w:w="844" w:type="dxa"/>
          </w:tcPr>
          <w:p w14:paraId="1494B191" w14:textId="074394AC"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Pr>
                <w:rFonts w:ascii="Arial" w:hAnsi="Arial" w:cs="Arial"/>
                <w:bCs/>
                <w:color w:val="17365D" w:themeColor="text2" w:themeShade="BF"/>
                <w:sz w:val="18"/>
                <w:szCs w:val="18"/>
              </w:rPr>
              <w:t>6.3</w:t>
            </w:r>
            <w:r w:rsidRPr="00C7349C">
              <w:rPr>
                <w:rFonts w:ascii="Arial" w:hAnsi="Arial" w:cs="Arial"/>
                <w:bCs/>
                <w:color w:val="17365D" w:themeColor="text2" w:themeShade="BF"/>
                <w:sz w:val="18"/>
                <w:szCs w:val="18"/>
              </w:rPr>
              <w:t>%</w:t>
            </w:r>
          </w:p>
        </w:tc>
        <w:tc>
          <w:tcPr>
            <w:tcW w:w="844" w:type="dxa"/>
            <w:vAlign w:val="center"/>
          </w:tcPr>
          <w:p w14:paraId="276CB5AF" w14:textId="0307BA62"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263</w:t>
            </w:r>
            <w:r w:rsidRPr="00E407FC">
              <w:rPr>
                <w:rFonts w:ascii="Arial" w:hAnsi="Arial" w:cs="Arial"/>
                <w:bCs/>
                <w:color w:val="17365D" w:themeColor="text2" w:themeShade="BF"/>
                <w:sz w:val="18"/>
                <w:szCs w:val="18"/>
              </w:rPr>
              <w:t>M</w:t>
            </w:r>
          </w:p>
        </w:tc>
        <w:tc>
          <w:tcPr>
            <w:tcW w:w="844" w:type="dxa"/>
            <w:vAlign w:val="center"/>
          </w:tcPr>
          <w:p w14:paraId="1082C249" w14:textId="00C316F8" w:rsidR="005E13EA" w:rsidRDefault="005E13EA" w:rsidP="00237E35">
            <w:pPr>
              <w:jc w:val="right"/>
              <w:cnfStyle w:val="000000100000" w:firstRow="0" w:lastRow="0" w:firstColumn="0" w:lastColumn="0" w:oddVBand="0" w:evenVBand="0" w:oddHBand="1" w:evenHBand="0" w:firstRowFirstColumn="0" w:firstRowLastColumn="0" w:lastRowFirstColumn="0" w:lastRowLastColumn="0"/>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0.6</w:t>
            </w:r>
            <w:r w:rsidRPr="00E407FC">
              <w:rPr>
                <w:rFonts w:ascii="Arial" w:hAnsi="Arial" w:cs="Arial"/>
                <w:bCs/>
                <w:color w:val="17365D" w:themeColor="text2" w:themeShade="BF"/>
                <w:sz w:val="18"/>
                <w:szCs w:val="18"/>
              </w:rPr>
              <w:t>%</w:t>
            </w:r>
          </w:p>
        </w:tc>
        <w:tc>
          <w:tcPr>
            <w:tcW w:w="844" w:type="dxa"/>
            <w:vAlign w:val="center"/>
          </w:tcPr>
          <w:p w14:paraId="0364177B" w14:textId="19746C34" w:rsidR="005E13EA" w:rsidRPr="009B4A81"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0933A2">
              <w:rPr>
                <w:rFonts w:ascii="Arial" w:hAnsi="Arial" w:cs="Arial"/>
                <w:color w:val="215868" w:themeColor="accent5" w:themeShade="80"/>
                <w:sz w:val="18"/>
                <w:szCs w:val="18"/>
              </w:rPr>
              <w:t>6.6</w:t>
            </w:r>
            <w:r w:rsidRPr="009B4A81">
              <w:rPr>
                <w:rFonts w:ascii="Arial" w:hAnsi="Arial" w:cs="Arial"/>
                <w:color w:val="215868" w:themeColor="accent5" w:themeShade="80"/>
                <w:sz w:val="18"/>
                <w:szCs w:val="18"/>
              </w:rPr>
              <w:t>%</w:t>
            </w:r>
          </w:p>
        </w:tc>
      </w:tr>
      <w:tr w:rsidR="005E13EA" w:rsidRPr="00E407FC" w14:paraId="4A8CBAFB" w14:textId="77777777" w:rsidTr="00237E35">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59971DE9" w14:textId="77777777" w:rsidR="005E13EA" w:rsidRPr="00E407FC" w:rsidRDefault="005E13EA" w:rsidP="00237E35">
            <w:pPr>
              <w:pStyle w:val="NoSpacing"/>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Avocados</w:t>
            </w:r>
          </w:p>
        </w:tc>
        <w:tc>
          <w:tcPr>
            <w:tcW w:w="1020" w:type="dxa"/>
            <w:gridSpan w:val="3"/>
            <w:vAlign w:val="center"/>
          </w:tcPr>
          <w:p w14:paraId="156356A1" w14:textId="77777777" w:rsidR="005E13EA" w:rsidRPr="00091E61"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+6.8</w:t>
            </w:r>
            <w:r w:rsidRPr="00091E61">
              <w:rPr>
                <w:rFonts w:ascii="Arial" w:hAnsi="Arial" w:cs="Arial"/>
                <w:color w:val="17365D" w:themeColor="text2" w:themeShade="BF"/>
                <w:sz w:val="18"/>
                <w:szCs w:val="18"/>
              </w:rPr>
              <w:t>%</w:t>
            </w:r>
          </w:p>
        </w:tc>
        <w:tc>
          <w:tcPr>
            <w:tcW w:w="844" w:type="dxa"/>
            <w:gridSpan w:val="2"/>
            <w:vAlign w:val="center"/>
          </w:tcPr>
          <w:p w14:paraId="1EFF0FF1" w14:textId="77777777" w:rsidR="005E13EA" w:rsidRPr="00E407FC"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+7.6</w:t>
            </w:r>
            <w:r w:rsidRPr="00E407FC">
              <w:rPr>
                <w:rFonts w:ascii="Arial" w:hAnsi="Arial" w:cs="Arial"/>
                <w:color w:val="17365D" w:themeColor="text2" w:themeShade="BF"/>
                <w:sz w:val="18"/>
                <w:szCs w:val="18"/>
              </w:rPr>
              <w:t>%</w:t>
            </w:r>
          </w:p>
        </w:tc>
        <w:tc>
          <w:tcPr>
            <w:tcW w:w="845" w:type="dxa"/>
            <w:gridSpan w:val="2"/>
            <w:vAlign w:val="center"/>
          </w:tcPr>
          <w:p w14:paraId="3A1365E5" w14:textId="77777777" w:rsidR="005E13EA" w:rsidRPr="00E407FC"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0.7</w:t>
            </w:r>
            <w:r w:rsidRPr="00E407FC">
              <w:rPr>
                <w:rFonts w:ascii="Arial" w:hAnsi="Arial" w:cs="Arial"/>
                <w:color w:val="17365D" w:themeColor="text2" w:themeShade="BF"/>
                <w:sz w:val="18"/>
                <w:szCs w:val="18"/>
              </w:rPr>
              <w:t>%</w:t>
            </w:r>
          </w:p>
        </w:tc>
        <w:tc>
          <w:tcPr>
            <w:tcW w:w="844" w:type="dxa"/>
            <w:vAlign w:val="center"/>
          </w:tcPr>
          <w:p w14:paraId="1538D7C3" w14:textId="77777777" w:rsidR="005E13EA" w:rsidRPr="00E407FC"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9.4</w:t>
            </w:r>
            <w:r w:rsidRPr="00E407FC">
              <w:rPr>
                <w:rFonts w:ascii="Arial" w:hAnsi="Arial" w:cs="Arial"/>
                <w:color w:val="17365D" w:themeColor="text2" w:themeShade="BF"/>
                <w:sz w:val="18"/>
                <w:szCs w:val="18"/>
              </w:rPr>
              <w:t>%</w:t>
            </w:r>
          </w:p>
        </w:tc>
        <w:tc>
          <w:tcPr>
            <w:tcW w:w="844" w:type="dxa"/>
            <w:vAlign w:val="center"/>
          </w:tcPr>
          <w:p w14:paraId="40BA17F3" w14:textId="77777777" w:rsidR="005E13EA" w:rsidRPr="00E407FC"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2.8</w:t>
            </w:r>
            <w:r w:rsidRPr="00E407FC">
              <w:rPr>
                <w:rFonts w:ascii="Arial" w:hAnsi="Arial" w:cs="Arial"/>
                <w:color w:val="17365D" w:themeColor="text2" w:themeShade="BF"/>
                <w:sz w:val="18"/>
                <w:szCs w:val="18"/>
              </w:rPr>
              <w:t>%</w:t>
            </w:r>
          </w:p>
        </w:tc>
        <w:tc>
          <w:tcPr>
            <w:tcW w:w="844" w:type="dxa"/>
            <w:vAlign w:val="center"/>
          </w:tcPr>
          <w:p w14:paraId="3E35A363" w14:textId="77777777" w:rsidR="005E13EA" w:rsidRPr="00E407FC"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+9.</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844" w:type="dxa"/>
          </w:tcPr>
          <w:p w14:paraId="2AC9EC33" w14:textId="77777777" w:rsidR="005E13EA" w:rsidRPr="00E407FC"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Pr>
                <w:rFonts w:ascii="Arial" w:hAnsi="Arial" w:cs="Arial"/>
                <w:bCs/>
                <w:color w:val="17365D" w:themeColor="text2" w:themeShade="BF"/>
                <w:sz w:val="18"/>
                <w:szCs w:val="18"/>
              </w:rPr>
              <w:t>16.6</w:t>
            </w:r>
            <w:r w:rsidRPr="00C7349C">
              <w:rPr>
                <w:rFonts w:ascii="Arial" w:hAnsi="Arial" w:cs="Arial"/>
                <w:bCs/>
                <w:color w:val="17365D" w:themeColor="text2" w:themeShade="BF"/>
                <w:sz w:val="18"/>
                <w:szCs w:val="18"/>
              </w:rPr>
              <w:t>%</w:t>
            </w:r>
          </w:p>
        </w:tc>
        <w:tc>
          <w:tcPr>
            <w:tcW w:w="844" w:type="dxa"/>
          </w:tcPr>
          <w:p w14:paraId="1F773533" w14:textId="468EFE89" w:rsidR="005E13EA" w:rsidRPr="00E407FC"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Pr>
                <w:rFonts w:ascii="Arial" w:hAnsi="Arial" w:cs="Arial"/>
                <w:bCs/>
                <w:color w:val="17365D" w:themeColor="text2" w:themeShade="BF"/>
                <w:sz w:val="18"/>
                <w:szCs w:val="18"/>
              </w:rPr>
              <w:t>11.0</w:t>
            </w:r>
            <w:r w:rsidRPr="00C7349C">
              <w:rPr>
                <w:rFonts w:ascii="Arial" w:hAnsi="Arial" w:cs="Arial"/>
                <w:bCs/>
                <w:color w:val="17365D" w:themeColor="text2" w:themeShade="BF"/>
                <w:sz w:val="18"/>
                <w:szCs w:val="18"/>
              </w:rPr>
              <w:t>%</w:t>
            </w:r>
          </w:p>
        </w:tc>
        <w:tc>
          <w:tcPr>
            <w:tcW w:w="844" w:type="dxa"/>
            <w:vAlign w:val="center"/>
          </w:tcPr>
          <w:p w14:paraId="3B40A2BF" w14:textId="6D38707D" w:rsidR="005E13EA" w:rsidRPr="00E407FC"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226</w:t>
            </w:r>
            <w:r w:rsidRPr="00E407FC">
              <w:rPr>
                <w:rFonts w:ascii="Arial" w:hAnsi="Arial" w:cs="Arial"/>
                <w:bCs/>
                <w:color w:val="17365D" w:themeColor="text2" w:themeShade="BF"/>
                <w:sz w:val="18"/>
                <w:szCs w:val="18"/>
              </w:rPr>
              <w:t>M</w:t>
            </w:r>
          </w:p>
        </w:tc>
        <w:tc>
          <w:tcPr>
            <w:tcW w:w="844" w:type="dxa"/>
            <w:vAlign w:val="center"/>
          </w:tcPr>
          <w:p w14:paraId="39B03C39" w14:textId="1BBF47F2" w:rsidR="005E13EA" w:rsidRDefault="005E13EA" w:rsidP="00237E35">
            <w:pPr>
              <w:jc w:val="right"/>
              <w:cnfStyle w:val="000000000000" w:firstRow="0" w:lastRow="0" w:firstColumn="0" w:lastColumn="0" w:oddVBand="0" w:evenVBand="0" w:oddHBand="0" w:evenHBand="0" w:firstRowFirstColumn="0" w:firstRowLastColumn="0" w:lastRowFirstColumn="0" w:lastRowLastColumn="0"/>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9.8</w:t>
            </w:r>
            <w:r w:rsidRPr="00E407FC">
              <w:rPr>
                <w:rFonts w:ascii="Arial" w:hAnsi="Arial" w:cs="Arial"/>
                <w:bCs/>
                <w:color w:val="17365D" w:themeColor="text2" w:themeShade="BF"/>
                <w:sz w:val="18"/>
                <w:szCs w:val="18"/>
              </w:rPr>
              <w:t>%</w:t>
            </w:r>
          </w:p>
        </w:tc>
        <w:tc>
          <w:tcPr>
            <w:tcW w:w="844" w:type="dxa"/>
            <w:vAlign w:val="center"/>
          </w:tcPr>
          <w:p w14:paraId="39033172" w14:textId="1C221EEC" w:rsidR="005E13EA" w:rsidRPr="009B4A81" w:rsidRDefault="005E13EA"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9B4A81">
              <w:rPr>
                <w:rFonts w:ascii="Arial" w:hAnsi="Arial" w:cs="Arial"/>
                <w:color w:val="215868" w:themeColor="accent5" w:themeShade="80"/>
                <w:sz w:val="18"/>
                <w:szCs w:val="18"/>
              </w:rPr>
              <w:t>-</w:t>
            </w:r>
            <w:r w:rsidR="000933A2">
              <w:rPr>
                <w:rFonts w:ascii="Arial" w:hAnsi="Arial" w:cs="Arial"/>
                <w:color w:val="215868" w:themeColor="accent5" w:themeShade="80"/>
                <w:sz w:val="18"/>
                <w:szCs w:val="18"/>
              </w:rPr>
              <w:t>16.0</w:t>
            </w:r>
            <w:r w:rsidRPr="009B4A81">
              <w:rPr>
                <w:rFonts w:ascii="Arial" w:hAnsi="Arial" w:cs="Arial"/>
                <w:color w:val="215868" w:themeColor="accent5" w:themeShade="80"/>
                <w:sz w:val="18"/>
                <w:szCs w:val="18"/>
              </w:rPr>
              <w:t>%</w:t>
            </w:r>
          </w:p>
        </w:tc>
      </w:tr>
      <w:tr w:rsidR="000933A2" w:rsidRPr="00E407FC" w14:paraId="2E281A35" w14:textId="77777777" w:rsidTr="00237E3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273FF538" w14:textId="77777777" w:rsidR="000933A2" w:rsidRPr="00E407FC" w:rsidRDefault="000933A2" w:rsidP="00237E35">
            <w:pPr>
              <w:pStyle w:val="NoSpacing"/>
              <w:rPr>
                <w:rFonts w:ascii="Arial" w:hAnsi="Arial" w:cs="Arial"/>
                <w:b w:val="0"/>
                <w:color w:val="17365D" w:themeColor="text2" w:themeShade="BF"/>
                <w:sz w:val="18"/>
                <w:szCs w:val="18"/>
              </w:rPr>
            </w:pPr>
            <w:r>
              <w:rPr>
                <w:rFonts w:ascii="Arial" w:hAnsi="Arial" w:cs="Arial"/>
                <w:b w:val="0"/>
                <w:color w:val="17365D" w:themeColor="text2" w:themeShade="BF"/>
                <w:sz w:val="18"/>
                <w:szCs w:val="18"/>
              </w:rPr>
              <w:t>Cherries</w:t>
            </w:r>
          </w:p>
        </w:tc>
        <w:tc>
          <w:tcPr>
            <w:tcW w:w="1020" w:type="dxa"/>
            <w:gridSpan w:val="3"/>
            <w:vAlign w:val="center"/>
          </w:tcPr>
          <w:p w14:paraId="5BAF270E" w14:textId="78338DC9" w:rsidR="000933A2" w:rsidRPr="00091E61" w:rsidRDefault="00BE4D67"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-8.0%</w:t>
            </w:r>
          </w:p>
        </w:tc>
        <w:tc>
          <w:tcPr>
            <w:tcW w:w="844" w:type="dxa"/>
            <w:gridSpan w:val="2"/>
            <w:vAlign w:val="center"/>
          </w:tcPr>
          <w:p w14:paraId="697A2963" w14:textId="257D3232" w:rsidR="000933A2" w:rsidRPr="00E407FC" w:rsidRDefault="00BE4D67"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+31.5</w:t>
            </w:r>
            <w:r w:rsidR="000933A2">
              <w:rPr>
                <w:rFonts w:ascii="Arial" w:hAnsi="Arial" w:cs="Arial"/>
                <w:color w:val="17365D" w:themeColor="text2" w:themeShade="BF"/>
                <w:sz w:val="18"/>
                <w:szCs w:val="18"/>
              </w:rPr>
              <w:t>%</w:t>
            </w:r>
          </w:p>
        </w:tc>
        <w:tc>
          <w:tcPr>
            <w:tcW w:w="845" w:type="dxa"/>
            <w:gridSpan w:val="2"/>
            <w:vAlign w:val="center"/>
          </w:tcPr>
          <w:p w14:paraId="0E92AAFC" w14:textId="77777777" w:rsidR="000933A2" w:rsidRPr="00E407FC" w:rsidRDefault="000933A2"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p>
        </w:tc>
        <w:tc>
          <w:tcPr>
            <w:tcW w:w="844" w:type="dxa"/>
            <w:vAlign w:val="center"/>
          </w:tcPr>
          <w:p w14:paraId="2BB64E3B" w14:textId="7A46F826" w:rsidR="000933A2" w:rsidRPr="00E407FC" w:rsidRDefault="00BE4D67"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+0.9%</w:t>
            </w:r>
          </w:p>
        </w:tc>
        <w:tc>
          <w:tcPr>
            <w:tcW w:w="844" w:type="dxa"/>
            <w:vAlign w:val="center"/>
          </w:tcPr>
          <w:p w14:paraId="0BE3E841" w14:textId="416FF442" w:rsidR="000933A2" w:rsidRPr="00E407FC" w:rsidRDefault="00BE4D67"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-3.4%</w:t>
            </w:r>
          </w:p>
        </w:tc>
        <w:tc>
          <w:tcPr>
            <w:tcW w:w="844" w:type="dxa"/>
            <w:vAlign w:val="center"/>
          </w:tcPr>
          <w:p w14:paraId="4151CFA5" w14:textId="77777777" w:rsidR="000933A2" w:rsidRPr="00E407FC" w:rsidRDefault="000933A2"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color w:val="17365D" w:themeColor="text2" w:themeShade="BF"/>
                <w:sz w:val="18"/>
                <w:szCs w:val="18"/>
              </w:rPr>
              <w:t>--</w:t>
            </w:r>
          </w:p>
        </w:tc>
        <w:tc>
          <w:tcPr>
            <w:tcW w:w="844" w:type="dxa"/>
          </w:tcPr>
          <w:p w14:paraId="7A97B219" w14:textId="77777777" w:rsidR="000933A2" w:rsidRPr="00E407FC" w:rsidRDefault="000933A2"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w:t>
            </w:r>
          </w:p>
        </w:tc>
        <w:tc>
          <w:tcPr>
            <w:tcW w:w="844" w:type="dxa"/>
          </w:tcPr>
          <w:p w14:paraId="28985C06" w14:textId="08188328" w:rsidR="000933A2" w:rsidRPr="00E407FC" w:rsidRDefault="00BE4D67"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-25.1%</w:t>
            </w:r>
          </w:p>
        </w:tc>
        <w:tc>
          <w:tcPr>
            <w:tcW w:w="844" w:type="dxa"/>
            <w:vAlign w:val="center"/>
          </w:tcPr>
          <w:p w14:paraId="780F1E3B" w14:textId="1508EDB8" w:rsidR="000933A2" w:rsidRPr="00E407FC" w:rsidRDefault="000933A2"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171</w:t>
            </w:r>
            <w:r w:rsidRPr="00E407FC">
              <w:rPr>
                <w:rFonts w:ascii="Arial" w:hAnsi="Arial" w:cs="Arial"/>
                <w:bCs/>
                <w:color w:val="17365D" w:themeColor="text2" w:themeShade="BF"/>
                <w:sz w:val="18"/>
                <w:szCs w:val="18"/>
              </w:rPr>
              <w:t>M</w:t>
            </w:r>
          </w:p>
        </w:tc>
        <w:tc>
          <w:tcPr>
            <w:tcW w:w="844" w:type="dxa"/>
            <w:vAlign w:val="center"/>
          </w:tcPr>
          <w:p w14:paraId="7707A548" w14:textId="7EBFA0A2" w:rsidR="000933A2" w:rsidRDefault="000933A2" w:rsidP="00237E35">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bCs/>
                <w:color w:val="17365D" w:themeColor="text2" w:themeShade="BF"/>
                <w:sz w:val="18"/>
                <w:szCs w:val="18"/>
              </w:rPr>
              <w:t>-40.4</w:t>
            </w:r>
            <w:r w:rsidRPr="00E407FC">
              <w:rPr>
                <w:rFonts w:ascii="Arial" w:hAnsi="Arial" w:cs="Arial"/>
                <w:bCs/>
                <w:color w:val="17365D" w:themeColor="text2" w:themeShade="BF"/>
                <w:sz w:val="18"/>
                <w:szCs w:val="18"/>
              </w:rPr>
              <w:t>%</w:t>
            </w:r>
          </w:p>
        </w:tc>
        <w:tc>
          <w:tcPr>
            <w:tcW w:w="844" w:type="dxa"/>
            <w:vAlign w:val="center"/>
          </w:tcPr>
          <w:p w14:paraId="7B5CB210" w14:textId="5BF642F9" w:rsidR="000933A2" w:rsidRPr="009B4A81" w:rsidRDefault="000933A2"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9B4A81">
              <w:rPr>
                <w:rFonts w:ascii="Arial" w:hAnsi="Arial" w:cs="Arial"/>
                <w:color w:val="215868" w:themeColor="accent5" w:themeShade="80"/>
                <w:sz w:val="18"/>
                <w:szCs w:val="18"/>
              </w:rPr>
              <w:t>-</w:t>
            </w:r>
            <w:r>
              <w:rPr>
                <w:rFonts w:ascii="Arial" w:hAnsi="Arial" w:cs="Arial"/>
                <w:color w:val="215868" w:themeColor="accent5" w:themeShade="80"/>
                <w:sz w:val="18"/>
                <w:szCs w:val="18"/>
              </w:rPr>
              <w:t>59.1</w:t>
            </w:r>
            <w:r w:rsidRPr="009B4A81">
              <w:rPr>
                <w:rFonts w:ascii="Arial" w:hAnsi="Arial" w:cs="Arial"/>
                <w:color w:val="215868" w:themeColor="accent5" w:themeShade="80"/>
                <w:sz w:val="18"/>
                <w:szCs w:val="18"/>
              </w:rPr>
              <w:t>%</w:t>
            </w:r>
          </w:p>
        </w:tc>
      </w:tr>
      <w:tr w:rsidR="000933A2" w:rsidRPr="00E407FC" w14:paraId="1D1E2427" w14:textId="77777777" w:rsidTr="000811E7">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60360F3B" w14:textId="0C8DF85F" w:rsidR="00DD2F0B" w:rsidRPr="00E407FC" w:rsidRDefault="000933A2" w:rsidP="000811E7">
            <w:pPr>
              <w:pStyle w:val="NoSpacing"/>
              <w:rPr>
                <w:rFonts w:ascii="Arial" w:hAnsi="Arial" w:cs="Arial"/>
                <w:b w:val="0"/>
                <w:color w:val="17365D" w:themeColor="text2" w:themeShade="BF"/>
                <w:sz w:val="18"/>
                <w:szCs w:val="18"/>
              </w:rPr>
            </w:pPr>
            <w:r>
              <w:rPr>
                <w:rFonts w:ascii="Arial" w:hAnsi="Arial" w:cs="Arial"/>
                <w:b w:val="0"/>
                <w:color w:val="17365D" w:themeColor="text2" w:themeShade="BF"/>
                <w:sz w:val="18"/>
                <w:szCs w:val="18"/>
              </w:rPr>
              <w:t>Peaches</w:t>
            </w:r>
          </w:p>
        </w:tc>
        <w:tc>
          <w:tcPr>
            <w:tcW w:w="1020" w:type="dxa"/>
            <w:gridSpan w:val="3"/>
            <w:vAlign w:val="center"/>
          </w:tcPr>
          <w:p w14:paraId="14F3392E" w14:textId="029B40E9" w:rsidR="00DD2F0B" w:rsidRPr="00091E61" w:rsidRDefault="00017BCE"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-8.3%</w:t>
            </w:r>
          </w:p>
        </w:tc>
        <w:tc>
          <w:tcPr>
            <w:tcW w:w="844" w:type="dxa"/>
            <w:gridSpan w:val="2"/>
            <w:vAlign w:val="center"/>
          </w:tcPr>
          <w:p w14:paraId="51E55F05" w14:textId="5A5FA46B" w:rsidR="00DD2F0B" w:rsidRPr="00E407FC" w:rsidRDefault="00017BCE"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-4.5%</w:t>
            </w:r>
          </w:p>
        </w:tc>
        <w:tc>
          <w:tcPr>
            <w:tcW w:w="845" w:type="dxa"/>
            <w:gridSpan w:val="2"/>
            <w:vAlign w:val="center"/>
          </w:tcPr>
          <w:p w14:paraId="677B1D54" w14:textId="18875BC7"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p>
        </w:tc>
        <w:tc>
          <w:tcPr>
            <w:tcW w:w="844" w:type="dxa"/>
            <w:vAlign w:val="center"/>
          </w:tcPr>
          <w:p w14:paraId="79210989" w14:textId="7F914810" w:rsidR="00DD2F0B" w:rsidRPr="00E407FC" w:rsidRDefault="00017BCE"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+4.5%</w:t>
            </w:r>
          </w:p>
        </w:tc>
        <w:tc>
          <w:tcPr>
            <w:tcW w:w="844" w:type="dxa"/>
            <w:vAlign w:val="center"/>
          </w:tcPr>
          <w:p w14:paraId="0377CDCD" w14:textId="31AE814C" w:rsidR="00DD2F0B" w:rsidRPr="00E407FC" w:rsidRDefault="00017BCE"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+11.9%</w:t>
            </w:r>
          </w:p>
        </w:tc>
        <w:tc>
          <w:tcPr>
            <w:tcW w:w="844" w:type="dxa"/>
            <w:vAlign w:val="center"/>
          </w:tcPr>
          <w:p w14:paraId="261EDCDC" w14:textId="7232D4B9"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w:t>
            </w:r>
          </w:p>
        </w:tc>
        <w:tc>
          <w:tcPr>
            <w:tcW w:w="844" w:type="dxa"/>
          </w:tcPr>
          <w:p w14:paraId="090B9DEC" w14:textId="0BADC09E" w:rsidR="00DD2F0B"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w:t>
            </w:r>
          </w:p>
        </w:tc>
        <w:tc>
          <w:tcPr>
            <w:tcW w:w="844" w:type="dxa"/>
          </w:tcPr>
          <w:p w14:paraId="086F53ED" w14:textId="36FA2763"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+10.6%</w:t>
            </w:r>
          </w:p>
        </w:tc>
        <w:tc>
          <w:tcPr>
            <w:tcW w:w="844" w:type="dxa"/>
            <w:vAlign w:val="center"/>
          </w:tcPr>
          <w:p w14:paraId="1DB60A7A" w14:textId="6404FCD6"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95</w:t>
            </w:r>
            <w:r w:rsidRPr="00E407FC">
              <w:rPr>
                <w:rFonts w:ascii="Arial" w:hAnsi="Arial" w:cs="Arial"/>
                <w:bCs/>
                <w:color w:val="17365D" w:themeColor="text2" w:themeShade="BF"/>
                <w:sz w:val="18"/>
                <w:szCs w:val="18"/>
              </w:rPr>
              <w:t>M</w:t>
            </w:r>
          </w:p>
        </w:tc>
        <w:tc>
          <w:tcPr>
            <w:tcW w:w="844" w:type="dxa"/>
            <w:vAlign w:val="center"/>
          </w:tcPr>
          <w:p w14:paraId="6BBCB672" w14:textId="3B9AF403" w:rsidR="00DD2F0B" w:rsidRDefault="000933A2" w:rsidP="00DD2F0B">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+13.0</w:t>
            </w:r>
            <w:r w:rsidR="00DD2F0B" w:rsidRPr="00E407FC">
              <w:rPr>
                <w:rFonts w:ascii="Arial" w:hAnsi="Arial" w:cs="Arial"/>
                <w:bCs/>
                <w:color w:val="17365D" w:themeColor="text2" w:themeShade="BF"/>
                <w:sz w:val="18"/>
                <w:szCs w:val="18"/>
              </w:rPr>
              <w:t>%</w:t>
            </w:r>
          </w:p>
        </w:tc>
        <w:tc>
          <w:tcPr>
            <w:tcW w:w="844" w:type="dxa"/>
            <w:vAlign w:val="center"/>
          </w:tcPr>
          <w:p w14:paraId="41B0223C" w14:textId="2ABB5DBE" w:rsidR="00DD2F0B" w:rsidRPr="009B4A81"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9B4A81">
              <w:rPr>
                <w:rFonts w:ascii="Arial" w:hAnsi="Arial" w:cs="Arial"/>
                <w:color w:val="215868" w:themeColor="accent5" w:themeShade="80"/>
                <w:sz w:val="18"/>
                <w:szCs w:val="18"/>
              </w:rPr>
              <w:t>-</w:t>
            </w:r>
            <w:r w:rsidR="000933A2">
              <w:rPr>
                <w:rFonts w:ascii="Arial" w:hAnsi="Arial" w:cs="Arial"/>
                <w:color w:val="215868" w:themeColor="accent5" w:themeShade="80"/>
                <w:sz w:val="18"/>
                <w:szCs w:val="18"/>
              </w:rPr>
              <w:t>10.3</w:t>
            </w:r>
            <w:r w:rsidRPr="009B4A81">
              <w:rPr>
                <w:rFonts w:ascii="Arial" w:hAnsi="Arial" w:cs="Arial"/>
                <w:color w:val="215868" w:themeColor="accent5" w:themeShade="80"/>
                <w:sz w:val="18"/>
                <w:szCs w:val="18"/>
              </w:rPr>
              <w:t>%</w:t>
            </w:r>
          </w:p>
        </w:tc>
      </w:tr>
      <w:tr w:rsidR="005E13EA" w:rsidRPr="00E407FC" w14:paraId="16DDB452" w14:textId="77777777" w:rsidTr="00237E3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2E6AE716" w14:textId="77777777" w:rsidR="005E13EA" w:rsidRPr="00E407FC" w:rsidRDefault="005E13EA" w:rsidP="00237E35">
            <w:pPr>
              <w:pStyle w:val="NoSpacing"/>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Oranges</w:t>
            </w:r>
          </w:p>
        </w:tc>
        <w:tc>
          <w:tcPr>
            <w:tcW w:w="1020" w:type="dxa"/>
            <w:gridSpan w:val="3"/>
            <w:vAlign w:val="center"/>
          </w:tcPr>
          <w:p w14:paraId="563014A7" w14:textId="77777777" w:rsidR="005E13EA" w:rsidRPr="00091E61"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-9.6</w:t>
            </w:r>
            <w:r w:rsidRPr="00091E61">
              <w:rPr>
                <w:rFonts w:ascii="Arial" w:hAnsi="Arial" w:cs="Arial"/>
                <w:color w:val="17365D" w:themeColor="text2" w:themeShade="BF"/>
                <w:sz w:val="18"/>
                <w:szCs w:val="18"/>
              </w:rPr>
              <w:t>%</w:t>
            </w:r>
          </w:p>
        </w:tc>
        <w:tc>
          <w:tcPr>
            <w:tcW w:w="844" w:type="dxa"/>
            <w:gridSpan w:val="2"/>
            <w:vAlign w:val="center"/>
          </w:tcPr>
          <w:p w14:paraId="0D952675"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+32.1</w:t>
            </w:r>
            <w:r w:rsidRPr="00E407FC">
              <w:rPr>
                <w:rFonts w:ascii="Arial" w:hAnsi="Arial" w:cs="Arial"/>
                <w:color w:val="17365D" w:themeColor="text2" w:themeShade="BF"/>
                <w:sz w:val="18"/>
                <w:szCs w:val="18"/>
              </w:rPr>
              <w:t>%</w:t>
            </w:r>
          </w:p>
        </w:tc>
        <w:tc>
          <w:tcPr>
            <w:tcW w:w="845" w:type="dxa"/>
            <w:gridSpan w:val="2"/>
            <w:vAlign w:val="center"/>
          </w:tcPr>
          <w:p w14:paraId="2DF11D8A"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+2.5</w:t>
            </w:r>
            <w:r w:rsidRPr="00E407FC">
              <w:rPr>
                <w:rFonts w:ascii="Arial" w:hAnsi="Arial" w:cs="Arial"/>
                <w:color w:val="17365D" w:themeColor="text2" w:themeShade="BF"/>
                <w:sz w:val="18"/>
                <w:szCs w:val="18"/>
              </w:rPr>
              <w:t>%</w:t>
            </w:r>
          </w:p>
        </w:tc>
        <w:tc>
          <w:tcPr>
            <w:tcW w:w="844" w:type="dxa"/>
            <w:vAlign w:val="center"/>
          </w:tcPr>
          <w:p w14:paraId="1606F21B"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24.5</w:t>
            </w:r>
            <w:r w:rsidRPr="00E407FC">
              <w:rPr>
                <w:rFonts w:ascii="Arial" w:hAnsi="Arial" w:cs="Arial"/>
                <w:color w:val="17365D" w:themeColor="text2" w:themeShade="BF"/>
                <w:sz w:val="18"/>
                <w:szCs w:val="18"/>
              </w:rPr>
              <w:t>%</w:t>
            </w:r>
          </w:p>
        </w:tc>
        <w:tc>
          <w:tcPr>
            <w:tcW w:w="844" w:type="dxa"/>
            <w:vAlign w:val="center"/>
          </w:tcPr>
          <w:p w14:paraId="2382A76A"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10.4</w:t>
            </w:r>
            <w:r w:rsidRPr="00E407FC">
              <w:rPr>
                <w:rFonts w:ascii="Arial" w:hAnsi="Arial" w:cs="Arial"/>
                <w:color w:val="17365D" w:themeColor="text2" w:themeShade="BF"/>
                <w:sz w:val="18"/>
                <w:szCs w:val="18"/>
              </w:rPr>
              <w:t>%</w:t>
            </w:r>
          </w:p>
        </w:tc>
        <w:tc>
          <w:tcPr>
            <w:tcW w:w="844" w:type="dxa"/>
            <w:vAlign w:val="center"/>
          </w:tcPr>
          <w:p w14:paraId="665D4A6C"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3.7</w:t>
            </w:r>
            <w:r w:rsidRPr="00E407FC">
              <w:rPr>
                <w:rFonts w:ascii="Arial" w:hAnsi="Arial" w:cs="Arial"/>
                <w:bCs/>
                <w:color w:val="17365D" w:themeColor="text2" w:themeShade="BF"/>
                <w:sz w:val="18"/>
                <w:szCs w:val="18"/>
              </w:rPr>
              <w:t>%</w:t>
            </w:r>
          </w:p>
        </w:tc>
        <w:tc>
          <w:tcPr>
            <w:tcW w:w="844" w:type="dxa"/>
          </w:tcPr>
          <w:p w14:paraId="23FD04ED" w14:textId="77777777"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Pr>
                <w:rFonts w:ascii="Arial" w:hAnsi="Arial" w:cs="Arial"/>
                <w:bCs/>
                <w:color w:val="17365D" w:themeColor="text2" w:themeShade="BF"/>
                <w:sz w:val="18"/>
                <w:szCs w:val="18"/>
              </w:rPr>
              <w:t>15.0</w:t>
            </w:r>
            <w:r w:rsidRPr="00C7349C">
              <w:rPr>
                <w:rFonts w:ascii="Arial" w:hAnsi="Arial" w:cs="Arial"/>
                <w:bCs/>
                <w:color w:val="17365D" w:themeColor="text2" w:themeShade="BF"/>
                <w:sz w:val="18"/>
                <w:szCs w:val="18"/>
              </w:rPr>
              <w:t>%</w:t>
            </w:r>
          </w:p>
        </w:tc>
        <w:tc>
          <w:tcPr>
            <w:tcW w:w="844" w:type="dxa"/>
          </w:tcPr>
          <w:p w14:paraId="3CB2BCF5" w14:textId="288ADF6D"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C7349C">
              <w:rPr>
                <w:rFonts w:ascii="Arial" w:hAnsi="Arial" w:cs="Arial"/>
                <w:bCs/>
                <w:color w:val="17365D" w:themeColor="text2" w:themeShade="BF"/>
                <w:sz w:val="18"/>
                <w:szCs w:val="18"/>
              </w:rPr>
              <w:t>+</w:t>
            </w:r>
            <w:r>
              <w:rPr>
                <w:rFonts w:ascii="Arial" w:hAnsi="Arial" w:cs="Arial"/>
                <w:bCs/>
                <w:color w:val="17365D" w:themeColor="text2" w:themeShade="BF"/>
                <w:sz w:val="18"/>
                <w:szCs w:val="18"/>
              </w:rPr>
              <w:t>13.9</w:t>
            </w:r>
            <w:r w:rsidRPr="00C7349C">
              <w:rPr>
                <w:rFonts w:ascii="Arial" w:hAnsi="Arial" w:cs="Arial"/>
                <w:bCs/>
                <w:color w:val="17365D" w:themeColor="text2" w:themeShade="BF"/>
                <w:sz w:val="18"/>
                <w:szCs w:val="18"/>
              </w:rPr>
              <w:t>%</w:t>
            </w:r>
          </w:p>
        </w:tc>
        <w:tc>
          <w:tcPr>
            <w:tcW w:w="844" w:type="dxa"/>
            <w:vAlign w:val="center"/>
          </w:tcPr>
          <w:p w14:paraId="3007DA12" w14:textId="5FA29CEB" w:rsidR="005E13EA" w:rsidRPr="00E407FC" w:rsidRDefault="005E13EA"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90</w:t>
            </w:r>
            <w:r w:rsidRPr="00E407FC">
              <w:rPr>
                <w:rFonts w:ascii="Arial" w:hAnsi="Arial" w:cs="Arial"/>
                <w:bCs/>
                <w:color w:val="17365D" w:themeColor="text2" w:themeShade="BF"/>
                <w:sz w:val="18"/>
                <w:szCs w:val="18"/>
              </w:rPr>
              <w:t>M</w:t>
            </w:r>
          </w:p>
        </w:tc>
        <w:tc>
          <w:tcPr>
            <w:tcW w:w="844" w:type="dxa"/>
            <w:vAlign w:val="center"/>
          </w:tcPr>
          <w:p w14:paraId="3845C0ED" w14:textId="4C3BD005" w:rsidR="005E13EA" w:rsidRDefault="005E13EA" w:rsidP="00237E35">
            <w:pPr>
              <w:jc w:val="right"/>
              <w:cnfStyle w:val="000000100000" w:firstRow="0" w:lastRow="0" w:firstColumn="0" w:lastColumn="0" w:oddVBand="0" w:evenVBand="0" w:oddHBand="1" w:evenHBand="0" w:firstRowFirstColumn="0" w:firstRowLastColumn="0" w:lastRowFirstColumn="0" w:lastRowLastColumn="0"/>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16.9</w:t>
            </w:r>
            <w:r w:rsidRPr="00E407FC">
              <w:rPr>
                <w:rFonts w:ascii="Arial" w:hAnsi="Arial" w:cs="Arial"/>
                <w:bCs/>
                <w:color w:val="17365D" w:themeColor="text2" w:themeShade="BF"/>
                <w:sz w:val="18"/>
                <w:szCs w:val="18"/>
              </w:rPr>
              <w:t>%</w:t>
            </w:r>
          </w:p>
        </w:tc>
        <w:tc>
          <w:tcPr>
            <w:tcW w:w="844" w:type="dxa"/>
            <w:vAlign w:val="center"/>
          </w:tcPr>
          <w:p w14:paraId="67071C83" w14:textId="483C5155" w:rsidR="005E13EA" w:rsidRPr="009B4A81" w:rsidRDefault="000933A2" w:rsidP="00237E3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+2.4</w:t>
            </w:r>
            <w:r w:rsidR="005E13EA" w:rsidRPr="009B4A81">
              <w:rPr>
                <w:rFonts w:ascii="Arial" w:hAnsi="Arial" w:cs="Arial"/>
                <w:color w:val="215868" w:themeColor="accent5" w:themeShade="80"/>
                <w:sz w:val="18"/>
                <w:szCs w:val="18"/>
              </w:rPr>
              <w:t>%</w:t>
            </w:r>
          </w:p>
        </w:tc>
      </w:tr>
      <w:tr w:rsidR="000933A2" w:rsidRPr="00E407FC" w14:paraId="4B058FB2" w14:textId="77777777" w:rsidTr="000811E7">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12AD8F9D" w14:textId="4BDE9AFC" w:rsidR="00DD2F0B" w:rsidRPr="00E407FC" w:rsidRDefault="000933A2" w:rsidP="000811E7">
            <w:pPr>
              <w:pStyle w:val="NoSpacing"/>
              <w:rPr>
                <w:rFonts w:ascii="Arial" w:hAnsi="Arial" w:cs="Arial"/>
                <w:b w:val="0"/>
                <w:color w:val="17365D" w:themeColor="text2" w:themeShade="BF"/>
                <w:sz w:val="18"/>
                <w:szCs w:val="18"/>
              </w:rPr>
            </w:pPr>
            <w:r>
              <w:rPr>
                <w:rFonts w:ascii="Arial" w:hAnsi="Arial" w:cs="Arial"/>
                <w:b w:val="0"/>
                <w:color w:val="17365D" w:themeColor="text2" w:themeShade="BF"/>
                <w:sz w:val="18"/>
                <w:szCs w:val="18"/>
              </w:rPr>
              <w:t>Pineapple</w:t>
            </w:r>
          </w:p>
        </w:tc>
        <w:tc>
          <w:tcPr>
            <w:tcW w:w="1020" w:type="dxa"/>
            <w:gridSpan w:val="3"/>
            <w:vAlign w:val="center"/>
          </w:tcPr>
          <w:p w14:paraId="276B456A" w14:textId="1CE6BF11" w:rsidR="00DD2F0B" w:rsidRPr="00091E61"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+0.1%</w:t>
            </w:r>
          </w:p>
        </w:tc>
        <w:tc>
          <w:tcPr>
            <w:tcW w:w="844" w:type="dxa"/>
            <w:gridSpan w:val="2"/>
            <w:vAlign w:val="center"/>
          </w:tcPr>
          <w:p w14:paraId="5952C301" w14:textId="52357EA3"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+7.6%</w:t>
            </w:r>
          </w:p>
        </w:tc>
        <w:tc>
          <w:tcPr>
            <w:tcW w:w="845" w:type="dxa"/>
            <w:gridSpan w:val="2"/>
            <w:vAlign w:val="center"/>
          </w:tcPr>
          <w:p w14:paraId="570FF2DA" w14:textId="697873A1"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+12.0%</w:t>
            </w:r>
          </w:p>
        </w:tc>
        <w:tc>
          <w:tcPr>
            <w:tcW w:w="844" w:type="dxa"/>
            <w:vAlign w:val="center"/>
          </w:tcPr>
          <w:p w14:paraId="19E467D8" w14:textId="1496CC5B"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+10.8%</w:t>
            </w:r>
          </w:p>
        </w:tc>
        <w:tc>
          <w:tcPr>
            <w:tcW w:w="844" w:type="dxa"/>
            <w:vAlign w:val="center"/>
          </w:tcPr>
          <w:p w14:paraId="6A708A5B" w14:textId="5F039193"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+8.3%</w:t>
            </w:r>
          </w:p>
        </w:tc>
        <w:tc>
          <w:tcPr>
            <w:tcW w:w="844" w:type="dxa"/>
            <w:vAlign w:val="center"/>
          </w:tcPr>
          <w:p w14:paraId="7A78AA6F" w14:textId="416F6023"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+11.55</w:t>
            </w:r>
          </w:p>
        </w:tc>
        <w:tc>
          <w:tcPr>
            <w:tcW w:w="844" w:type="dxa"/>
          </w:tcPr>
          <w:p w14:paraId="022F5B50" w14:textId="6F9735D2"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+12.0%</w:t>
            </w:r>
          </w:p>
        </w:tc>
        <w:tc>
          <w:tcPr>
            <w:tcW w:w="844" w:type="dxa"/>
          </w:tcPr>
          <w:p w14:paraId="16618E1E" w14:textId="231B7D85" w:rsidR="00DD2F0B" w:rsidRPr="00E407FC" w:rsidRDefault="00BE4D67"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+11.1%</w:t>
            </w:r>
          </w:p>
        </w:tc>
        <w:tc>
          <w:tcPr>
            <w:tcW w:w="844" w:type="dxa"/>
            <w:vAlign w:val="center"/>
          </w:tcPr>
          <w:p w14:paraId="6DCED09F" w14:textId="2A505F98" w:rsidR="00DD2F0B" w:rsidRPr="00E407FC" w:rsidRDefault="00DD2F0B"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0933A2">
              <w:rPr>
                <w:rFonts w:ascii="Arial" w:hAnsi="Arial" w:cs="Arial"/>
                <w:bCs/>
                <w:color w:val="17365D" w:themeColor="text2" w:themeShade="BF"/>
                <w:sz w:val="18"/>
                <w:szCs w:val="18"/>
              </w:rPr>
              <w:t>89</w:t>
            </w:r>
            <w:r w:rsidRPr="00E407FC">
              <w:rPr>
                <w:rFonts w:ascii="Arial" w:hAnsi="Arial" w:cs="Arial"/>
                <w:bCs/>
                <w:color w:val="17365D" w:themeColor="text2" w:themeShade="BF"/>
                <w:sz w:val="18"/>
                <w:szCs w:val="18"/>
              </w:rPr>
              <w:t>M</w:t>
            </w:r>
          </w:p>
        </w:tc>
        <w:tc>
          <w:tcPr>
            <w:tcW w:w="844" w:type="dxa"/>
            <w:vAlign w:val="center"/>
          </w:tcPr>
          <w:p w14:paraId="32264552" w14:textId="243DAD1D" w:rsidR="00DD2F0B" w:rsidRDefault="000933A2" w:rsidP="00DD2F0B">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+12.7</w:t>
            </w:r>
            <w:r w:rsidR="00DD2F0B" w:rsidRPr="00E407FC">
              <w:rPr>
                <w:rFonts w:ascii="Arial" w:hAnsi="Arial" w:cs="Arial"/>
                <w:bCs/>
                <w:color w:val="17365D" w:themeColor="text2" w:themeShade="BF"/>
                <w:sz w:val="18"/>
                <w:szCs w:val="18"/>
              </w:rPr>
              <w:t>%</w:t>
            </w:r>
          </w:p>
        </w:tc>
        <w:tc>
          <w:tcPr>
            <w:tcW w:w="844" w:type="dxa"/>
            <w:vAlign w:val="center"/>
          </w:tcPr>
          <w:p w14:paraId="013E3861" w14:textId="202A19E1" w:rsidR="00DD2F0B" w:rsidRPr="009B4A81" w:rsidRDefault="000933A2" w:rsidP="00DD2F0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+5.6</w:t>
            </w:r>
            <w:r w:rsidR="00DD2F0B" w:rsidRPr="009B4A81">
              <w:rPr>
                <w:rFonts w:ascii="Arial" w:hAnsi="Arial" w:cs="Arial"/>
                <w:color w:val="215868" w:themeColor="accent5" w:themeShade="80"/>
                <w:sz w:val="18"/>
                <w:szCs w:val="18"/>
              </w:rPr>
              <w:t>%</w:t>
            </w:r>
          </w:p>
        </w:tc>
      </w:tr>
    </w:tbl>
    <w:p w14:paraId="09DFFB42" w14:textId="2303DBBB" w:rsidR="00CB6454" w:rsidRPr="00EA1FE4" w:rsidRDefault="00CB6454" w:rsidP="00CB6454">
      <w:pPr>
        <w:pStyle w:val="NoSpacing"/>
        <w:rPr>
          <w:rFonts w:ascii="Arial" w:hAnsi="Arial" w:cs="Arial"/>
          <w:sz w:val="10"/>
          <w:szCs w:val="10"/>
        </w:rPr>
      </w:pPr>
    </w:p>
    <w:p w14:paraId="70B6D0A4" w14:textId="77777777" w:rsidR="00CB6454" w:rsidRPr="00B35CE9" w:rsidRDefault="00CB6454" w:rsidP="00CB6454">
      <w:pPr>
        <w:pStyle w:val="NoSpacing"/>
        <w:rPr>
          <w:rFonts w:ascii="Arial" w:hAnsi="Arial" w:cs="Arial"/>
          <w:sz w:val="16"/>
          <w:szCs w:val="16"/>
        </w:rPr>
      </w:pPr>
      <w:r>
        <w:rPr>
          <w:rFonts w:ascii="Arial" w:hAnsi="Arial" w:cs="Arial"/>
          <w:sz w:val="16"/>
          <w:szCs w:val="16"/>
        </w:rPr>
        <w:t xml:space="preserve">    </w:t>
      </w:r>
      <w:r w:rsidRPr="00B35CE9">
        <w:rPr>
          <w:rFonts w:ascii="Arial" w:hAnsi="Arial" w:cs="Arial"/>
          <w:sz w:val="16"/>
          <w:szCs w:val="16"/>
        </w:rPr>
        <w:t>Source: Source</w:t>
      </w:r>
      <w:r>
        <w:rPr>
          <w:rFonts w:ascii="Arial" w:hAnsi="Arial" w:cs="Arial"/>
          <w:sz w:val="16"/>
          <w:szCs w:val="16"/>
        </w:rPr>
        <w:t>: IRI Integrated Fresh, Total U.S., MULO</w:t>
      </w:r>
    </w:p>
    <w:p w14:paraId="3EF2F674" w14:textId="7B6BB7F0" w:rsidR="009C4990" w:rsidRDefault="009C4990" w:rsidP="00B10C22">
      <w:pPr>
        <w:pStyle w:val="NoSpacing"/>
        <w:rPr>
          <w:rFonts w:ascii="Arial" w:hAnsi="Arial" w:cs="Arial"/>
          <w:b/>
          <w:color w:val="595959" w:themeColor="text1" w:themeTint="A6"/>
          <w:sz w:val="24"/>
          <w:szCs w:val="24"/>
        </w:rPr>
      </w:pPr>
    </w:p>
    <w:p w14:paraId="16F61730" w14:textId="1D70161B" w:rsidR="00B10C22" w:rsidRPr="00BF7B2A" w:rsidRDefault="00B10C22" w:rsidP="00B10C22">
      <w:pPr>
        <w:pStyle w:val="NoSpacing"/>
        <w:rPr>
          <w:rFonts w:ascii="Arial" w:hAnsi="Arial" w:cs="Arial"/>
          <w:b/>
          <w:color w:val="595959" w:themeColor="text1" w:themeTint="A6"/>
          <w:sz w:val="24"/>
          <w:szCs w:val="24"/>
        </w:rPr>
      </w:pPr>
      <w:r w:rsidRPr="00BF7B2A">
        <w:rPr>
          <w:rFonts w:ascii="Arial" w:hAnsi="Arial" w:cs="Arial"/>
          <w:b/>
          <w:color w:val="595959" w:themeColor="text1" w:themeTint="A6"/>
          <w:sz w:val="24"/>
          <w:szCs w:val="24"/>
        </w:rPr>
        <w:t xml:space="preserve">Fresh </w:t>
      </w:r>
      <w:r w:rsidR="00BF7B2A">
        <w:rPr>
          <w:rFonts w:ascii="Arial" w:hAnsi="Arial" w:cs="Arial"/>
          <w:b/>
          <w:color w:val="595959" w:themeColor="text1" w:themeTint="A6"/>
          <w:sz w:val="24"/>
          <w:szCs w:val="24"/>
        </w:rPr>
        <w:t>V</w:t>
      </w:r>
      <w:r w:rsidRPr="00BF7B2A">
        <w:rPr>
          <w:rFonts w:ascii="Arial" w:hAnsi="Arial" w:cs="Arial"/>
          <w:b/>
          <w:color w:val="595959" w:themeColor="text1" w:themeTint="A6"/>
          <w:sz w:val="24"/>
          <w:szCs w:val="24"/>
        </w:rPr>
        <w:t>egetables</w:t>
      </w:r>
      <w:r w:rsidR="00EB33CE">
        <w:rPr>
          <w:rFonts w:ascii="Arial" w:hAnsi="Arial" w:cs="Arial"/>
          <w:b/>
          <w:color w:val="595959" w:themeColor="text1" w:themeTint="A6"/>
          <w:sz w:val="24"/>
          <w:szCs w:val="24"/>
        </w:rPr>
        <w:t xml:space="preserve"> Sales in </w:t>
      </w:r>
      <w:r w:rsidR="000933A2">
        <w:rPr>
          <w:rFonts w:ascii="Arial" w:hAnsi="Arial" w:cs="Arial"/>
          <w:b/>
          <w:color w:val="595959" w:themeColor="text1" w:themeTint="A6"/>
          <w:sz w:val="24"/>
          <w:szCs w:val="24"/>
        </w:rPr>
        <w:t>June</w:t>
      </w:r>
    </w:p>
    <w:p w14:paraId="79E43D5D" w14:textId="275630E6" w:rsidR="00836D73" w:rsidRDefault="007273B2" w:rsidP="00B10C22">
      <w:pPr>
        <w:pStyle w:val="NoSpacing"/>
        <w:rPr>
          <w:rFonts w:ascii="Arial" w:hAnsi="Arial" w:cs="Arial"/>
          <w:sz w:val="20"/>
          <w:szCs w:val="20"/>
        </w:rPr>
      </w:pPr>
      <w:r>
        <w:rPr>
          <w:rFonts w:ascii="Arial" w:hAnsi="Arial" w:cs="Arial"/>
          <w:sz w:val="20"/>
          <w:szCs w:val="20"/>
        </w:rPr>
        <w:t>“</w:t>
      </w:r>
      <w:r w:rsidR="007C182F">
        <w:rPr>
          <w:rFonts w:ascii="Arial" w:hAnsi="Arial" w:cs="Arial"/>
          <w:sz w:val="20"/>
          <w:szCs w:val="20"/>
        </w:rPr>
        <w:t>June’s vegetable performance was very mixed</w:t>
      </w:r>
      <w:r w:rsidR="00546508">
        <w:rPr>
          <w:rFonts w:ascii="Arial" w:hAnsi="Arial" w:cs="Arial"/>
          <w:sz w:val="20"/>
          <w:szCs w:val="20"/>
        </w:rPr>
        <w:t xml:space="preserve">,” said Watson. </w:t>
      </w:r>
      <w:r w:rsidR="00084469">
        <w:rPr>
          <w:rFonts w:ascii="Arial" w:hAnsi="Arial" w:cs="Arial"/>
          <w:sz w:val="20"/>
          <w:szCs w:val="20"/>
        </w:rPr>
        <w:t>“</w:t>
      </w:r>
      <w:r w:rsidR="007C182F">
        <w:rPr>
          <w:rFonts w:ascii="Arial" w:hAnsi="Arial" w:cs="Arial"/>
          <w:sz w:val="20"/>
          <w:szCs w:val="20"/>
        </w:rPr>
        <w:t>Seven out of the top 10 sellers increased dollar sales but only two areas had volume increases. These were potatoes and onions.</w:t>
      </w:r>
      <w:r w:rsidR="00891C7E">
        <w:rPr>
          <w:rFonts w:ascii="Arial" w:hAnsi="Arial" w:cs="Arial"/>
          <w:sz w:val="20"/>
          <w:szCs w:val="20"/>
        </w:rPr>
        <w:t>”</w:t>
      </w:r>
      <w:r w:rsidR="00AA16AD">
        <w:rPr>
          <w:rFonts w:ascii="Arial" w:hAnsi="Arial" w:cs="Arial"/>
          <w:sz w:val="20"/>
          <w:szCs w:val="20"/>
        </w:rPr>
        <w:t xml:space="preserve"> </w:t>
      </w:r>
    </w:p>
    <w:p w14:paraId="44130A14" w14:textId="77777777" w:rsidR="001F53D3" w:rsidRPr="002E6833" w:rsidRDefault="001F53D3" w:rsidP="00B10C22">
      <w:pPr>
        <w:pStyle w:val="NoSpacing"/>
        <w:rPr>
          <w:rFonts w:ascii="Arial" w:hAnsi="Arial" w:cs="Arial"/>
          <w:sz w:val="18"/>
          <w:szCs w:val="20"/>
        </w:rPr>
      </w:pPr>
    </w:p>
    <w:tbl>
      <w:tblPr>
        <w:tblStyle w:val="LightShading-Accent5"/>
        <w:tblW w:w="10651" w:type="dxa"/>
        <w:tblBorders>
          <w:top w:val="none" w:sz="0" w:space="0" w:color="auto"/>
          <w:bottom w:val="none" w:sz="0" w:space="0" w:color="auto"/>
        </w:tblBorders>
        <w:tblLayout w:type="fixed"/>
        <w:tblLook w:val="04A0" w:firstRow="1" w:lastRow="0" w:firstColumn="1" w:lastColumn="0" w:noHBand="0" w:noVBand="1"/>
      </w:tblPr>
      <w:tblGrid>
        <w:gridCol w:w="1170"/>
        <w:gridCol w:w="290"/>
        <w:gridCol w:w="571"/>
        <w:gridCol w:w="162"/>
        <w:gridCol w:w="693"/>
        <w:gridCol w:w="153"/>
        <w:gridCol w:w="698"/>
        <w:gridCol w:w="148"/>
        <w:gridCol w:w="845"/>
        <w:gridCol w:w="846"/>
        <w:gridCol w:w="846"/>
        <w:gridCol w:w="845"/>
        <w:gridCol w:w="846"/>
        <w:gridCol w:w="846"/>
        <w:gridCol w:w="846"/>
        <w:gridCol w:w="846"/>
      </w:tblGrid>
      <w:tr w:rsidR="0020634E" w:rsidRPr="0003007F" w14:paraId="7A470830" w14:textId="77777777" w:rsidTr="007C182F">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0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9766D52" w14:textId="77777777" w:rsidR="0020634E" w:rsidRPr="00AB1306" w:rsidRDefault="0020634E" w:rsidP="00CF30D8">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855" w:type="dxa"/>
            <w:gridSpan w:val="2"/>
            <w:tcBorders>
              <w:top w:val="none" w:sz="0" w:space="0" w:color="auto"/>
              <w:left w:val="none" w:sz="0" w:space="0" w:color="auto"/>
              <w:bottom w:val="none" w:sz="0" w:space="0" w:color="auto"/>
              <w:right w:val="none" w:sz="0" w:space="0" w:color="auto"/>
            </w:tcBorders>
            <w:shd w:val="clear" w:color="auto" w:fill="17365D" w:themeFill="text2" w:themeFillShade="BF"/>
          </w:tcPr>
          <w:p w14:paraId="29174915" w14:textId="77777777" w:rsidR="0020634E" w:rsidRPr="00AB1306" w:rsidRDefault="0020634E" w:rsidP="00CF30D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851" w:type="dxa"/>
            <w:gridSpan w:val="2"/>
            <w:tcBorders>
              <w:top w:val="none" w:sz="0" w:space="0" w:color="auto"/>
              <w:left w:val="none" w:sz="0" w:space="0" w:color="auto"/>
              <w:bottom w:val="none" w:sz="0" w:space="0" w:color="auto"/>
              <w:right w:val="none" w:sz="0" w:space="0" w:color="auto"/>
            </w:tcBorders>
            <w:shd w:val="clear" w:color="auto" w:fill="17365D" w:themeFill="text2" w:themeFillShade="BF"/>
          </w:tcPr>
          <w:p w14:paraId="5C882C9F" w14:textId="77777777" w:rsidR="0020634E" w:rsidRPr="00AB1306" w:rsidRDefault="0020634E" w:rsidP="00CF30D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6914" w:type="dxa"/>
            <w:gridSpan w:val="9"/>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F4CA447" w14:textId="2CFC0CEA" w:rsidR="0020634E" w:rsidRPr="0003007F" w:rsidRDefault="0020634E" w:rsidP="00CF30D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1306">
              <w:rPr>
                <w:rFonts w:ascii="Arial" w:hAnsi="Arial" w:cs="Arial"/>
                <w:color w:val="FFFFFF" w:themeColor="background1"/>
                <w:sz w:val="18"/>
                <w:szCs w:val="18"/>
              </w:rPr>
              <w:t>Dollar sal</w:t>
            </w:r>
            <w:r>
              <w:rPr>
                <w:rFonts w:ascii="Arial" w:hAnsi="Arial" w:cs="Arial"/>
                <w:color w:val="FFFFFF" w:themeColor="background1"/>
                <w:sz w:val="18"/>
                <w:szCs w:val="18"/>
              </w:rPr>
              <w:t>es increase over comparable period</w:t>
            </w:r>
            <w:r w:rsidRPr="00AB1306">
              <w:rPr>
                <w:rFonts w:ascii="Arial" w:hAnsi="Arial" w:cs="Arial"/>
                <w:color w:val="FFFFFF" w:themeColor="background1"/>
                <w:sz w:val="18"/>
                <w:szCs w:val="18"/>
              </w:rPr>
              <w:t xml:space="preserve"> </w:t>
            </w:r>
            <w:r>
              <w:rPr>
                <w:rFonts w:ascii="Arial" w:hAnsi="Arial" w:cs="Arial"/>
                <w:color w:val="FFFFFF" w:themeColor="background1"/>
                <w:sz w:val="18"/>
                <w:szCs w:val="18"/>
              </w:rPr>
              <w:t>YA</w:t>
            </w:r>
          </w:p>
        </w:tc>
      </w:tr>
      <w:tr w:rsidR="0020634E" w:rsidRPr="0003007F" w14:paraId="1A8BBFDE" w14:textId="77777777" w:rsidTr="007C182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60" w:type="dxa"/>
            <w:gridSpan w:val="2"/>
            <w:tcBorders>
              <w:left w:val="none" w:sz="0" w:space="0" w:color="auto"/>
              <w:right w:val="none" w:sz="0" w:space="0" w:color="auto"/>
            </w:tcBorders>
            <w:shd w:val="clear" w:color="auto" w:fill="17365D" w:themeFill="text2" w:themeFillShade="BF"/>
            <w:vAlign w:val="center"/>
          </w:tcPr>
          <w:p w14:paraId="121215D2" w14:textId="77777777" w:rsidR="0020634E" w:rsidRPr="0003007F" w:rsidRDefault="0020634E" w:rsidP="00A052A1">
            <w:pPr>
              <w:pStyle w:val="NoSpacing"/>
              <w:jc w:val="right"/>
              <w:rPr>
                <w:rFonts w:ascii="Arial" w:hAnsi="Arial" w:cs="Arial"/>
                <w:color w:val="FFFFFF" w:themeColor="background1"/>
                <w:sz w:val="18"/>
                <w:szCs w:val="18"/>
              </w:rPr>
            </w:pPr>
          </w:p>
        </w:tc>
        <w:tc>
          <w:tcPr>
            <w:tcW w:w="733" w:type="dxa"/>
            <w:gridSpan w:val="2"/>
            <w:tcBorders>
              <w:left w:val="none" w:sz="0" w:space="0" w:color="auto"/>
              <w:right w:val="none" w:sz="0" w:space="0" w:color="auto"/>
            </w:tcBorders>
            <w:shd w:val="clear" w:color="auto" w:fill="17365D" w:themeFill="text2" w:themeFillShade="BF"/>
            <w:vAlign w:val="bottom"/>
          </w:tcPr>
          <w:p w14:paraId="5ADBE0D8" w14:textId="77777777" w:rsidR="0020634E" w:rsidRPr="000F7932" w:rsidRDefault="0020634E" w:rsidP="00A052A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846" w:type="dxa"/>
            <w:gridSpan w:val="2"/>
            <w:tcBorders>
              <w:left w:val="none" w:sz="0" w:space="0" w:color="auto"/>
              <w:right w:val="none" w:sz="0" w:space="0" w:color="auto"/>
            </w:tcBorders>
            <w:shd w:val="clear" w:color="auto" w:fill="17365D" w:themeFill="text2" w:themeFillShade="BF"/>
            <w:vAlign w:val="bottom"/>
          </w:tcPr>
          <w:p w14:paraId="404DAA37" w14:textId="77777777" w:rsidR="0020634E" w:rsidRPr="000F7932" w:rsidRDefault="0020634E" w:rsidP="00A052A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w:t>
            </w:r>
            <w:r w:rsidRPr="000F7932">
              <w:rPr>
                <w:rFonts w:ascii="Arial" w:hAnsi="Arial" w:cs="Arial"/>
                <w:b/>
                <w:color w:val="FFFFFF" w:themeColor="background1"/>
                <w:sz w:val="18"/>
                <w:szCs w:val="18"/>
              </w:rPr>
              <w:t>20</w:t>
            </w:r>
          </w:p>
        </w:tc>
        <w:tc>
          <w:tcPr>
            <w:tcW w:w="846" w:type="dxa"/>
            <w:gridSpan w:val="2"/>
            <w:tcBorders>
              <w:left w:val="none" w:sz="0" w:space="0" w:color="auto"/>
              <w:right w:val="none" w:sz="0" w:space="0" w:color="auto"/>
            </w:tcBorders>
            <w:shd w:val="clear" w:color="auto" w:fill="17365D" w:themeFill="text2" w:themeFillShade="BF"/>
            <w:vAlign w:val="bottom"/>
          </w:tcPr>
          <w:p w14:paraId="7E87E175" w14:textId="6F836E9E" w:rsidR="0020634E" w:rsidRPr="000F7932"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0F7932">
              <w:rPr>
                <w:rFonts w:ascii="Arial" w:hAnsi="Arial" w:cs="Arial"/>
                <w:b/>
                <w:color w:val="FFFFFF" w:themeColor="background1"/>
                <w:sz w:val="18"/>
                <w:szCs w:val="18"/>
              </w:rPr>
              <w:t>Q1 21</w:t>
            </w:r>
          </w:p>
        </w:tc>
        <w:tc>
          <w:tcPr>
            <w:tcW w:w="845" w:type="dxa"/>
            <w:tcBorders>
              <w:left w:val="none" w:sz="0" w:space="0" w:color="auto"/>
              <w:right w:val="none" w:sz="0" w:space="0" w:color="auto"/>
            </w:tcBorders>
            <w:shd w:val="clear" w:color="auto" w:fill="17365D" w:themeFill="text2" w:themeFillShade="BF"/>
            <w:vAlign w:val="bottom"/>
          </w:tcPr>
          <w:p w14:paraId="3DE151C5" w14:textId="4E42B0BF" w:rsidR="0020634E" w:rsidRPr="000F7932"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w:t>
            </w:r>
            <w:r w:rsidRPr="000F7932">
              <w:rPr>
                <w:rFonts w:ascii="Arial" w:hAnsi="Arial" w:cs="Arial"/>
                <w:b/>
                <w:color w:val="FFFFFF" w:themeColor="background1"/>
                <w:sz w:val="18"/>
                <w:szCs w:val="18"/>
              </w:rPr>
              <w:t xml:space="preserve"> 21</w:t>
            </w:r>
          </w:p>
        </w:tc>
        <w:tc>
          <w:tcPr>
            <w:tcW w:w="846" w:type="dxa"/>
            <w:tcBorders>
              <w:left w:val="none" w:sz="0" w:space="0" w:color="auto"/>
              <w:right w:val="none" w:sz="0" w:space="0" w:color="auto"/>
            </w:tcBorders>
            <w:shd w:val="clear" w:color="auto" w:fill="17365D" w:themeFill="text2" w:themeFillShade="BF"/>
            <w:vAlign w:val="bottom"/>
          </w:tcPr>
          <w:p w14:paraId="080ACD9C" w14:textId="739C4CFE" w:rsidR="0020634E"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846" w:type="dxa"/>
            <w:tcBorders>
              <w:left w:val="none" w:sz="0" w:space="0" w:color="auto"/>
              <w:right w:val="none" w:sz="0" w:space="0" w:color="auto"/>
            </w:tcBorders>
            <w:shd w:val="clear" w:color="auto" w:fill="17365D" w:themeFill="text2" w:themeFillShade="BF"/>
            <w:vAlign w:val="bottom"/>
          </w:tcPr>
          <w:p w14:paraId="217E8163" w14:textId="130CF83F" w:rsidR="0020634E"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845" w:type="dxa"/>
            <w:tcBorders>
              <w:left w:val="none" w:sz="0" w:space="0" w:color="auto"/>
              <w:right w:val="none" w:sz="0" w:space="0" w:color="auto"/>
            </w:tcBorders>
            <w:shd w:val="clear" w:color="auto" w:fill="17365D" w:themeFill="text2" w:themeFillShade="BF"/>
          </w:tcPr>
          <w:p w14:paraId="0482655D" w14:textId="77777777" w:rsidR="0020634E"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
          <w:p w14:paraId="0D3670C9" w14:textId="6D7258FC" w:rsidR="0020634E" w:rsidRPr="000F7932"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22</w:t>
            </w:r>
          </w:p>
        </w:tc>
        <w:tc>
          <w:tcPr>
            <w:tcW w:w="846" w:type="dxa"/>
            <w:tcBorders>
              <w:left w:val="none" w:sz="0" w:space="0" w:color="auto"/>
              <w:right w:val="none" w:sz="0" w:space="0" w:color="auto"/>
            </w:tcBorders>
            <w:shd w:val="clear" w:color="auto" w:fill="17365D" w:themeFill="text2" w:themeFillShade="BF"/>
            <w:vAlign w:val="bottom"/>
          </w:tcPr>
          <w:p w14:paraId="6DC49C85" w14:textId="0A2E304B" w:rsidR="0020634E" w:rsidRDefault="0020634E" w:rsidP="0020634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22</w:t>
            </w:r>
          </w:p>
        </w:tc>
        <w:tc>
          <w:tcPr>
            <w:tcW w:w="846" w:type="dxa"/>
            <w:tcBorders>
              <w:left w:val="none" w:sz="0" w:space="0" w:color="auto"/>
              <w:right w:val="none" w:sz="0" w:space="0" w:color="auto"/>
            </w:tcBorders>
            <w:shd w:val="clear" w:color="auto" w:fill="17365D" w:themeFill="text2" w:themeFillShade="BF"/>
            <w:vAlign w:val="bottom"/>
          </w:tcPr>
          <w:p w14:paraId="39075783" w14:textId="5B63A519" w:rsidR="0020634E"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Jun 22</w:t>
            </w:r>
          </w:p>
        </w:tc>
        <w:tc>
          <w:tcPr>
            <w:tcW w:w="846" w:type="dxa"/>
            <w:tcBorders>
              <w:left w:val="none" w:sz="0" w:space="0" w:color="auto"/>
              <w:right w:val="none" w:sz="0" w:space="0" w:color="auto"/>
            </w:tcBorders>
            <w:shd w:val="clear" w:color="auto" w:fill="17365D" w:themeFill="text2" w:themeFillShade="BF"/>
            <w:vAlign w:val="bottom"/>
          </w:tcPr>
          <w:p w14:paraId="7C917CDF" w14:textId="7E9B3F40" w:rsidR="0020634E" w:rsidRPr="000F7932"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w:t>
            </w:r>
            <w:r w:rsidRPr="000F7932">
              <w:rPr>
                <w:rFonts w:ascii="Arial" w:hAnsi="Arial" w:cs="Arial"/>
                <w:b/>
                <w:color w:val="FFFFFF" w:themeColor="background1"/>
                <w:sz w:val="18"/>
                <w:szCs w:val="18"/>
              </w:rPr>
              <w:t xml:space="preserve"> </w:t>
            </w:r>
            <w:r>
              <w:rPr>
                <w:rFonts w:ascii="Arial" w:hAnsi="Arial" w:cs="Arial"/>
                <w:b/>
                <w:color w:val="FFFFFF" w:themeColor="background1"/>
                <w:sz w:val="18"/>
                <w:szCs w:val="18"/>
              </w:rPr>
              <w:br/>
            </w:r>
            <w:r w:rsidRPr="000F7932">
              <w:rPr>
                <w:rFonts w:ascii="Arial" w:hAnsi="Arial" w:cs="Arial"/>
                <w:b/>
                <w:color w:val="FFFFFF" w:themeColor="background1"/>
                <w:sz w:val="18"/>
                <w:szCs w:val="18"/>
              </w:rPr>
              <w:t xml:space="preserve">vs </w:t>
            </w:r>
            <w:r>
              <w:rPr>
                <w:rFonts w:ascii="Arial" w:hAnsi="Arial" w:cs="Arial"/>
                <w:b/>
                <w:color w:val="FFFFFF" w:themeColor="background1"/>
                <w:sz w:val="18"/>
                <w:szCs w:val="18"/>
              </w:rPr>
              <w:t>YA</w:t>
            </w:r>
          </w:p>
        </w:tc>
        <w:tc>
          <w:tcPr>
            <w:tcW w:w="846" w:type="dxa"/>
            <w:tcBorders>
              <w:left w:val="none" w:sz="0" w:space="0" w:color="auto"/>
              <w:right w:val="none" w:sz="0" w:space="0" w:color="auto"/>
            </w:tcBorders>
            <w:shd w:val="clear" w:color="auto" w:fill="17365D" w:themeFill="text2" w:themeFillShade="BF"/>
            <w:vAlign w:val="bottom"/>
          </w:tcPr>
          <w:p w14:paraId="74707D81" w14:textId="51B49671" w:rsidR="0020634E" w:rsidRPr="000F7932" w:rsidRDefault="0020634E" w:rsidP="00A052A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roofErr w:type="spellStart"/>
            <w:r>
              <w:rPr>
                <w:rFonts w:ascii="Arial" w:hAnsi="Arial" w:cs="Arial"/>
                <w:b/>
                <w:color w:val="FFFFFF" w:themeColor="background1"/>
                <w:sz w:val="18"/>
                <w:szCs w:val="18"/>
              </w:rPr>
              <w:t>lbs</w:t>
            </w:r>
            <w:proofErr w:type="spellEnd"/>
            <w:r>
              <w:rPr>
                <w:rFonts w:ascii="Arial" w:hAnsi="Arial" w:cs="Arial"/>
                <w:b/>
                <w:color w:val="FFFFFF" w:themeColor="background1"/>
                <w:sz w:val="18"/>
                <w:szCs w:val="18"/>
              </w:rPr>
              <w:t xml:space="preserve"> vs YA</w:t>
            </w:r>
          </w:p>
        </w:tc>
      </w:tr>
      <w:tr w:rsidR="0020634E" w:rsidRPr="000C4A54" w14:paraId="64FEFD1E" w14:textId="77777777" w:rsidTr="000933A2">
        <w:trPr>
          <w:trHeight w:val="298"/>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7E4C60D1" w14:textId="77777777" w:rsidR="0020634E" w:rsidRPr="000C4A54" w:rsidRDefault="0020634E" w:rsidP="0020634E">
            <w:pPr>
              <w:pStyle w:val="NoSpacing"/>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Fresh vegetables</w:t>
            </w:r>
          </w:p>
        </w:tc>
        <w:tc>
          <w:tcPr>
            <w:tcW w:w="1023" w:type="dxa"/>
            <w:gridSpan w:val="3"/>
            <w:vAlign w:val="center"/>
          </w:tcPr>
          <w:p w14:paraId="532B2278" w14:textId="0DB4AB9F"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bCs/>
                <w:color w:val="215868" w:themeColor="accent5" w:themeShade="80"/>
                <w:sz w:val="18"/>
                <w:szCs w:val="18"/>
              </w:rPr>
              <w:t>+</w:t>
            </w:r>
            <w:r w:rsidR="000933A2">
              <w:rPr>
                <w:rFonts w:ascii="Arial" w:hAnsi="Arial" w:cs="Arial"/>
                <w:b/>
                <w:bCs/>
                <w:color w:val="215868" w:themeColor="accent5" w:themeShade="80"/>
                <w:sz w:val="18"/>
                <w:szCs w:val="18"/>
              </w:rPr>
              <w:t>4</w:t>
            </w:r>
            <w:r w:rsidRPr="000C4A54">
              <w:rPr>
                <w:rFonts w:ascii="Arial" w:hAnsi="Arial" w:cs="Arial"/>
                <w:b/>
                <w:bCs/>
                <w:color w:val="215868" w:themeColor="accent5" w:themeShade="80"/>
                <w:sz w:val="18"/>
                <w:szCs w:val="18"/>
              </w:rPr>
              <w:t>%</w:t>
            </w:r>
          </w:p>
        </w:tc>
        <w:tc>
          <w:tcPr>
            <w:tcW w:w="846" w:type="dxa"/>
            <w:gridSpan w:val="2"/>
            <w:vAlign w:val="center"/>
          </w:tcPr>
          <w:p w14:paraId="38D628D7" w14:textId="2AB16628"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bCs/>
                <w:color w:val="215868" w:themeColor="accent5" w:themeShade="80"/>
                <w:sz w:val="18"/>
                <w:szCs w:val="18"/>
              </w:rPr>
              <w:t>+14.8%</w:t>
            </w:r>
          </w:p>
        </w:tc>
        <w:tc>
          <w:tcPr>
            <w:tcW w:w="846" w:type="dxa"/>
            <w:gridSpan w:val="2"/>
            <w:vAlign w:val="center"/>
          </w:tcPr>
          <w:p w14:paraId="0AE99261" w14:textId="3F80A9FB"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bCs/>
                <w:color w:val="215868" w:themeColor="accent5" w:themeShade="80"/>
                <w:sz w:val="18"/>
                <w:szCs w:val="18"/>
              </w:rPr>
              <w:t>+4.7%</w:t>
            </w:r>
          </w:p>
        </w:tc>
        <w:tc>
          <w:tcPr>
            <w:tcW w:w="845" w:type="dxa"/>
            <w:vAlign w:val="center"/>
          </w:tcPr>
          <w:p w14:paraId="3DA157A6" w14:textId="692137B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bCs/>
                <w:color w:val="215868" w:themeColor="accent5" w:themeShade="80"/>
                <w:sz w:val="18"/>
                <w:szCs w:val="18"/>
              </w:rPr>
              <w:t>-7.1%</w:t>
            </w:r>
          </w:p>
        </w:tc>
        <w:tc>
          <w:tcPr>
            <w:tcW w:w="846" w:type="dxa"/>
            <w:vAlign w:val="center"/>
          </w:tcPr>
          <w:p w14:paraId="71AC4EEC" w14:textId="605113E5"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bCs/>
                <w:color w:val="215868" w:themeColor="accent5" w:themeShade="80"/>
                <w:sz w:val="18"/>
                <w:szCs w:val="18"/>
              </w:rPr>
              <w:t>-2.3%</w:t>
            </w:r>
          </w:p>
        </w:tc>
        <w:tc>
          <w:tcPr>
            <w:tcW w:w="846" w:type="dxa"/>
            <w:vAlign w:val="center"/>
          </w:tcPr>
          <w:p w14:paraId="7A5CA8D8" w14:textId="7777777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rPr>
            </w:pPr>
            <w:r w:rsidRPr="000C4A54">
              <w:rPr>
                <w:rFonts w:ascii="Arial" w:hAnsi="Arial" w:cs="Arial"/>
                <w:b/>
                <w:bCs/>
                <w:color w:val="215868" w:themeColor="accent5" w:themeShade="80"/>
                <w:sz w:val="18"/>
              </w:rPr>
              <w:t>+0.1%</w:t>
            </w:r>
          </w:p>
        </w:tc>
        <w:tc>
          <w:tcPr>
            <w:tcW w:w="845" w:type="dxa"/>
            <w:vAlign w:val="center"/>
          </w:tcPr>
          <w:p w14:paraId="4FC66313" w14:textId="11C5FAAD"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bCs/>
                <w:color w:val="215868" w:themeColor="accent5" w:themeShade="80"/>
                <w:sz w:val="18"/>
                <w:szCs w:val="18"/>
              </w:rPr>
              <w:t>-0.4%</w:t>
            </w:r>
          </w:p>
        </w:tc>
        <w:tc>
          <w:tcPr>
            <w:tcW w:w="846" w:type="dxa"/>
            <w:vAlign w:val="center"/>
          </w:tcPr>
          <w:p w14:paraId="0FD3E1A9" w14:textId="14891A36" w:rsidR="0020634E" w:rsidRPr="000C4A54" w:rsidRDefault="00017BC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Pr>
                <w:rFonts w:ascii="Arial" w:hAnsi="Arial" w:cs="Arial"/>
                <w:b/>
                <w:bCs/>
                <w:color w:val="215868" w:themeColor="accent5" w:themeShade="80"/>
                <w:sz w:val="18"/>
                <w:szCs w:val="18"/>
              </w:rPr>
              <w:t>+2.9</w:t>
            </w:r>
            <w:r w:rsidR="0020634E" w:rsidRPr="000C4A54">
              <w:rPr>
                <w:rFonts w:ascii="Arial" w:hAnsi="Arial" w:cs="Arial"/>
                <w:b/>
                <w:bCs/>
                <w:color w:val="215868" w:themeColor="accent5" w:themeShade="80"/>
                <w:sz w:val="18"/>
                <w:szCs w:val="18"/>
              </w:rPr>
              <w:t>%</w:t>
            </w:r>
          </w:p>
        </w:tc>
        <w:tc>
          <w:tcPr>
            <w:tcW w:w="846" w:type="dxa"/>
            <w:vAlign w:val="center"/>
          </w:tcPr>
          <w:p w14:paraId="601C6ECF" w14:textId="60E474DB"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bCs/>
                <w:color w:val="215868" w:themeColor="accent5" w:themeShade="80"/>
                <w:sz w:val="18"/>
                <w:szCs w:val="18"/>
              </w:rPr>
              <w:t>$</w:t>
            </w:r>
            <w:r w:rsidR="00017BCE">
              <w:rPr>
                <w:rFonts w:ascii="Arial" w:hAnsi="Arial" w:cs="Arial"/>
                <w:b/>
                <w:bCs/>
                <w:color w:val="215868" w:themeColor="accent5" w:themeShade="80"/>
                <w:sz w:val="18"/>
                <w:szCs w:val="18"/>
              </w:rPr>
              <w:t>2.8</w:t>
            </w:r>
            <w:r w:rsidRPr="000C4A54">
              <w:rPr>
                <w:rFonts w:ascii="Arial" w:hAnsi="Arial" w:cs="Arial"/>
                <w:b/>
                <w:bCs/>
                <w:color w:val="215868" w:themeColor="accent5" w:themeShade="80"/>
                <w:sz w:val="18"/>
                <w:szCs w:val="18"/>
              </w:rPr>
              <w:t>B</w:t>
            </w:r>
          </w:p>
        </w:tc>
        <w:tc>
          <w:tcPr>
            <w:tcW w:w="846" w:type="dxa"/>
            <w:vAlign w:val="center"/>
          </w:tcPr>
          <w:p w14:paraId="08D3AC71" w14:textId="6225A6AB"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color w:val="215868" w:themeColor="accent5" w:themeShade="80"/>
                <w:sz w:val="18"/>
                <w:szCs w:val="18"/>
              </w:rPr>
              <w:t>+</w:t>
            </w:r>
            <w:r w:rsidR="00017BCE">
              <w:rPr>
                <w:rFonts w:ascii="Arial" w:hAnsi="Arial" w:cs="Arial"/>
                <w:b/>
                <w:color w:val="215868" w:themeColor="accent5" w:themeShade="80"/>
                <w:sz w:val="18"/>
                <w:szCs w:val="18"/>
              </w:rPr>
              <w:t>3.5</w:t>
            </w:r>
            <w:r w:rsidRPr="000C4A54">
              <w:rPr>
                <w:rFonts w:ascii="Arial" w:hAnsi="Arial" w:cs="Arial"/>
                <w:b/>
                <w:color w:val="215868" w:themeColor="accent5" w:themeShade="80"/>
                <w:sz w:val="18"/>
                <w:szCs w:val="18"/>
              </w:rPr>
              <w:t>%</w:t>
            </w:r>
          </w:p>
        </w:tc>
        <w:tc>
          <w:tcPr>
            <w:tcW w:w="846" w:type="dxa"/>
            <w:vAlign w:val="center"/>
          </w:tcPr>
          <w:p w14:paraId="3B8B2B0A" w14:textId="709E9F24"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C4A54">
              <w:rPr>
                <w:rFonts w:ascii="Arial" w:hAnsi="Arial" w:cs="Arial"/>
                <w:b/>
                <w:bCs/>
                <w:color w:val="215868" w:themeColor="accent5" w:themeShade="80"/>
                <w:sz w:val="18"/>
                <w:szCs w:val="18"/>
              </w:rPr>
              <w:t>-</w:t>
            </w:r>
            <w:r w:rsidR="00017BCE">
              <w:rPr>
                <w:rFonts w:ascii="Arial" w:hAnsi="Arial" w:cs="Arial"/>
                <w:b/>
                <w:bCs/>
                <w:color w:val="215868" w:themeColor="accent5" w:themeShade="80"/>
                <w:sz w:val="18"/>
                <w:szCs w:val="18"/>
              </w:rPr>
              <w:t>4.4</w:t>
            </w:r>
            <w:r w:rsidRPr="000C4A54">
              <w:rPr>
                <w:rFonts w:ascii="Arial" w:hAnsi="Arial" w:cs="Arial"/>
                <w:b/>
                <w:bCs/>
                <w:color w:val="215868" w:themeColor="accent5" w:themeShade="80"/>
                <w:sz w:val="18"/>
                <w:szCs w:val="18"/>
              </w:rPr>
              <w:t>%</w:t>
            </w:r>
          </w:p>
        </w:tc>
      </w:tr>
      <w:tr w:rsidR="0020634E" w:rsidRPr="000C4A54" w14:paraId="0D095983" w14:textId="77777777" w:rsidTr="007C182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tcBorders>
              <w:left w:val="none" w:sz="0" w:space="0" w:color="auto"/>
              <w:right w:val="none" w:sz="0" w:space="0" w:color="auto"/>
            </w:tcBorders>
            <w:vAlign w:val="center"/>
          </w:tcPr>
          <w:p w14:paraId="2541439D" w14:textId="77777777" w:rsidR="0020634E" w:rsidRPr="000C4A54" w:rsidRDefault="0020634E" w:rsidP="0020634E">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t>Tomatoes</w:t>
            </w:r>
          </w:p>
        </w:tc>
        <w:tc>
          <w:tcPr>
            <w:tcW w:w="1023" w:type="dxa"/>
            <w:gridSpan w:val="3"/>
            <w:tcBorders>
              <w:left w:val="none" w:sz="0" w:space="0" w:color="auto"/>
              <w:right w:val="none" w:sz="0" w:space="0" w:color="auto"/>
            </w:tcBorders>
            <w:vAlign w:val="center"/>
          </w:tcPr>
          <w:p w14:paraId="53CB9E19" w14:textId="1C19D3DF"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+0%</w:t>
            </w:r>
          </w:p>
        </w:tc>
        <w:tc>
          <w:tcPr>
            <w:tcW w:w="846" w:type="dxa"/>
            <w:gridSpan w:val="2"/>
            <w:tcBorders>
              <w:left w:val="none" w:sz="0" w:space="0" w:color="auto"/>
              <w:right w:val="none" w:sz="0" w:space="0" w:color="auto"/>
            </w:tcBorders>
            <w:vAlign w:val="center"/>
          </w:tcPr>
          <w:p w14:paraId="457D0A89" w14:textId="21872C3A"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+18.4%</w:t>
            </w:r>
          </w:p>
        </w:tc>
        <w:tc>
          <w:tcPr>
            <w:tcW w:w="846" w:type="dxa"/>
            <w:gridSpan w:val="2"/>
            <w:tcBorders>
              <w:left w:val="none" w:sz="0" w:space="0" w:color="auto"/>
              <w:right w:val="none" w:sz="0" w:space="0" w:color="auto"/>
            </w:tcBorders>
            <w:vAlign w:val="center"/>
          </w:tcPr>
          <w:p w14:paraId="690A015C" w14:textId="5E641ED0"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+3.7%</w:t>
            </w:r>
          </w:p>
        </w:tc>
        <w:tc>
          <w:tcPr>
            <w:tcW w:w="845" w:type="dxa"/>
            <w:tcBorders>
              <w:left w:val="none" w:sz="0" w:space="0" w:color="auto"/>
              <w:right w:val="none" w:sz="0" w:space="0" w:color="auto"/>
            </w:tcBorders>
            <w:vAlign w:val="center"/>
          </w:tcPr>
          <w:p w14:paraId="3FE30D39" w14:textId="0B541A84"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-8.5%</w:t>
            </w:r>
          </w:p>
        </w:tc>
        <w:tc>
          <w:tcPr>
            <w:tcW w:w="846" w:type="dxa"/>
            <w:tcBorders>
              <w:left w:val="none" w:sz="0" w:space="0" w:color="auto"/>
              <w:right w:val="none" w:sz="0" w:space="0" w:color="auto"/>
            </w:tcBorders>
            <w:vAlign w:val="center"/>
          </w:tcPr>
          <w:p w14:paraId="047F25A4" w14:textId="6B75C5D8"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-4.3%</w:t>
            </w:r>
          </w:p>
        </w:tc>
        <w:tc>
          <w:tcPr>
            <w:tcW w:w="846" w:type="dxa"/>
            <w:tcBorders>
              <w:left w:val="none" w:sz="0" w:space="0" w:color="auto"/>
              <w:right w:val="none" w:sz="0" w:space="0" w:color="auto"/>
            </w:tcBorders>
            <w:vAlign w:val="center"/>
          </w:tcPr>
          <w:p w14:paraId="1CD3C791"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bCs/>
                <w:color w:val="215868" w:themeColor="accent5" w:themeShade="80"/>
                <w:sz w:val="18"/>
                <w:szCs w:val="18"/>
              </w:rPr>
              <w:t>-1.2%</w:t>
            </w:r>
          </w:p>
        </w:tc>
        <w:tc>
          <w:tcPr>
            <w:tcW w:w="845" w:type="dxa"/>
            <w:tcBorders>
              <w:left w:val="none" w:sz="0" w:space="0" w:color="auto"/>
              <w:right w:val="none" w:sz="0" w:space="0" w:color="auto"/>
            </w:tcBorders>
            <w:vAlign w:val="center"/>
          </w:tcPr>
          <w:p w14:paraId="039BC7FE" w14:textId="238A3564"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-4.8%</w:t>
            </w:r>
          </w:p>
        </w:tc>
        <w:tc>
          <w:tcPr>
            <w:tcW w:w="846" w:type="dxa"/>
            <w:tcBorders>
              <w:left w:val="none" w:sz="0" w:space="0" w:color="auto"/>
              <w:right w:val="none" w:sz="0" w:space="0" w:color="auto"/>
            </w:tcBorders>
            <w:vAlign w:val="center"/>
          </w:tcPr>
          <w:p w14:paraId="54A34778" w14:textId="494BBF08"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0.1</w:t>
            </w:r>
            <w:r w:rsidRPr="000C4A54">
              <w:rPr>
                <w:rFonts w:ascii="Arial" w:hAnsi="Arial" w:cs="Arial"/>
                <w:color w:val="215868" w:themeColor="accent5" w:themeShade="80"/>
                <w:sz w:val="18"/>
                <w:szCs w:val="18"/>
              </w:rPr>
              <w:t>%</w:t>
            </w:r>
          </w:p>
        </w:tc>
        <w:tc>
          <w:tcPr>
            <w:tcW w:w="846" w:type="dxa"/>
            <w:tcBorders>
              <w:left w:val="none" w:sz="0" w:space="0" w:color="auto"/>
              <w:right w:val="none" w:sz="0" w:space="0" w:color="auto"/>
            </w:tcBorders>
            <w:vAlign w:val="center"/>
          </w:tcPr>
          <w:p w14:paraId="03D1649A" w14:textId="656D6C1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338</w:t>
            </w:r>
            <w:r w:rsidRPr="000C4A54">
              <w:rPr>
                <w:rFonts w:ascii="Arial" w:hAnsi="Arial" w:cs="Arial"/>
                <w:bCs/>
                <w:color w:val="215868" w:themeColor="accent5" w:themeShade="80"/>
                <w:sz w:val="18"/>
                <w:szCs w:val="18"/>
              </w:rPr>
              <w:t>M</w:t>
            </w:r>
          </w:p>
        </w:tc>
        <w:tc>
          <w:tcPr>
            <w:tcW w:w="846" w:type="dxa"/>
            <w:tcBorders>
              <w:left w:val="none" w:sz="0" w:space="0" w:color="auto"/>
              <w:right w:val="none" w:sz="0" w:space="0" w:color="auto"/>
            </w:tcBorders>
            <w:vAlign w:val="center"/>
          </w:tcPr>
          <w:p w14:paraId="0A54053D" w14:textId="3D0BB6A6"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1.3</w:t>
            </w:r>
            <w:r w:rsidRPr="000C4A54">
              <w:rPr>
                <w:rFonts w:ascii="Arial" w:hAnsi="Arial" w:cs="Arial"/>
                <w:bCs/>
                <w:color w:val="215868" w:themeColor="accent5" w:themeShade="80"/>
                <w:sz w:val="18"/>
                <w:szCs w:val="18"/>
              </w:rPr>
              <w:t>%</w:t>
            </w:r>
          </w:p>
        </w:tc>
        <w:tc>
          <w:tcPr>
            <w:tcW w:w="846" w:type="dxa"/>
            <w:tcBorders>
              <w:left w:val="none" w:sz="0" w:space="0" w:color="auto"/>
              <w:right w:val="none" w:sz="0" w:space="0" w:color="auto"/>
            </w:tcBorders>
            <w:vAlign w:val="center"/>
          </w:tcPr>
          <w:p w14:paraId="54599DD8" w14:textId="1C6AC740"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4.7</w:t>
            </w:r>
            <w:r w:rsidRPr="000C4A54">
              <w:rPr>
                <w:rFonts w:ascii="Arial" w:hAnsi="Arial" w:cs="Arial"/>
                <w:bCs/>
                <w:color w:val="215868" w:themeColor="accent5" w:themeShade="80"/>
                <w:sz w:val="18"/>
                <w:szCs w:val="18"/>
              </w:rPr>
              <w:t>%</w:t>
            </w:r>
          </w:p>
        </w:tc>
      </w:tr>
      <w:tr w:rsidR="000933A2" w:rsidRPr="000C4A54" w14:paraId="32035DEA" w14:textId="77777777" w:rsidTr="000933A2">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57D54096" w14:textId="77777777" w:rsidR="000933A2" w:rsidRPr="000C4A54" w:rsidRDefault="000933A2" w:rsidP="00237E35">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t>Potatoes</w:t>
            </w:r>
          </w:p>
        </w:tc>
        <w:tc>
          <w:tcPr>
            <w:tcW w:w="1023" w:type="dxa"/>
            <w:gridSpan w:val="3"/>
            <w:vAlign w:val="center"/>
          </w:tcPr>
          <w:p w14:paraId="2B1BA38B" w14:textId="77777777"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w:t>
            </w:r>
            <w:r>
              <w:rPr>
                <w:rFonts w:ascii="Arial" w:hAnsi="Arial" w:cs="Arial"/>
                <w:color w:val="215868" w:themeColor="accent5" w:themeShade="80"/>
                <w:sz w:val="18"/>
                <w:szCs w:val="18"/>
              </w:rPr>
              <w:t>2</w:t>
            </w:r>
            <w:r w:rsidRPr="000C4A54">
              <w:rPr>
                <w:rFonts w:ascii="Arial" w:hAnsi="Arial" w:cs="Arial"/>
                <w:color w:val="215868" w:themeColor="accent5" w:themeShade="80"/>
                <w:sz w:val="18"/>
                <w:szCs w:val="18"/>
              </w:rPr>
              <w:t>%</w:t>
            </w:r>
          </w:p>
        </w:tc>
        <w:tc>
          <w:tcPr>
            <w:tcW w:w="846" w:type="dxa"/>
            <w:gridSpan w:val="2"/>
            <w:vAlign w:val="center"/>
          </w:tcPr>
          <w:p w14:paraId="5E5DD84C" w14:textId="77777777"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+21.0%</w:t>
            </w:r>
          </w:p>
        </w:tc>
        <w:tc>
          <w:tcPr>
            <w:tcW w:w="846" w:type="dxa"/>
            <w:gridSpan w:val="2"/>
            <w:vAlign w:val="center"/>
          </w:tcPr>
          <w:p w14:paraId="513FBC6A" w14:textId="77777777"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-4.0%</w:t>
            </w:r>
          </w:p>
        </w:tc>
        <w:tc>
          <w:tcPr>
            <w:tcW w:w="845" w:type="dxa"/>
            <w:vAlign w:val="center"/>
          </w:tcPr>
          <w:p w14:paraId="152C226D" w14:textId="77777777"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-19.7%</w:t>
            </w:r>
          </w:p>
        </w:tc>
        <w:tc>
          <w:tcPr>
            <w:tcW w:w="846" w:type="dxa"/>
            <w:vAlign w:val="center"/>
          </w:tcPr>
          <w:p w14:paraId="593162FF" w14:textId="77777777"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-4.6%</w:t>
            </w:r>
          </w:p>
        </w:tc>
        <w:tc>
          <w:tcPr>
            <w:tcW w:w="846" w:type="dxa"/>
            <w:vAlign w:val="center"/>
          </w:tcPr>
          <w:p w14:paraId="56AFC1B4" w14:textId="77777777"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bCs/>
                <w:color w:val="215868" w:themeColor="accent5" w:themeShade="80"/>
                <w:sz w:val="18"/>
                <w:szCs w:val="18"/>
              </w:rPr>
              <w:t>+0.2%</w:t>
            </w:r>
          </w:p>
        </w:tc>
        <w:tc>
          <w:tcPr>
            <w:tcW w:w="845" w:type="dxa"/>
            <w:vAlign w:val="center"/>
          </w:tcPr>
          <w:p w14:paraId="2FA6F3E7" w14:textId="77777777"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+4.9%</w:t>
            </w:r>
          </w:p>
        </w:tc>
        <w:tc>
          <w:tcPr>
            <w:tcW w:w="846" w:type="dxa"/>
            <w:vAlign w:val="center"/>
          </w:tcPr>
          <w:p w14:paraId="32E7B2C5" w14:textId="57D56791"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12.6</w:t>
            </w:r>
            <w:r w:rsidRPr="000C4A54">
              <w:rPr>
                <w:rFonts w:ascii="Arial" w:hAnsi="Arial" w:cs="Arial"/>
                <w:color w:val="215868" w:themeColor="accent5" w:themeShade="80"/>
                <w:sz w:val="18"/>
                <w:szCs w:val="18"/>
              </w:rPr>
              <w:t>%</w:t>
            </w:r>
          </w:p>
        </w:tc>
        <w:tc>
          <w:tcPr>
            <w:tcW w:w="846" w:type="dxa"/>
            <w:vAlign w:val="center"/>
          </w:tcPr>
          <w:p w14:paraId="7DC1FED6" w14:textId="5E4A23B9"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258</w:t>
            </w:r>
            <w:r w:rsidRPr="000C4A54">
              <w:rPr>
                <w:rFonts w:ascii="Arial" w:hAnsi="Arial" w:cs="Arial"/>
                <w:bCs/>
                <w:color w:val="215868" w:themeColor="accent5" w:themeShade="80"/>
                <w:sz w:val="18"/>
                <w:szCs w:val="18"/>
              </w:rPr>
              <w:t>M</w:t>
            </w:r>
          </w:p>
        </w:tc>
        <w:tc>
          <w:tcPr>
            <w:tcW w:w="846" w:type="dxa"/>
            <w:vAlign w:val="center"/>
          </w:tcPr>
          <w:p w14:paraId="165A5EB1" w14:textId="61097598"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14.3</w:t>
            </w:r>
            <w:r w:rsidRPr="000C4A54">
              <w:rPr>
                <w:rFonts w:ascii="Arial" w:hAnsi="Arial" w:cs="Arial"/>
                <w:bCs/>
                <w:color w:val="215868" w:themeColor="accent5" w:themeShade="80"/>
                <w:sz w:val="18"/>
                <w:szCs w:val="18"/>
              </w:rPr>
              <w:t>%</w:t>
            </w:r>
          </w:p>
        </w:tc>
        <w:tc>
          <w:tcPr>
            <w:tcW w:w="846" w:type="dxa"/>
            <w:vAlign w:val="center"/>
          </w:tcPr>
          <w:p w14:paraId="23EF6506" w14:textId="780A9A61" w:rsidR="000933A2" w:rsidRPr="000C4A54" w:rsidRDefault="00017BCE"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+1.4</w:t>
            </w:r>
            <w:r w:rsidR="000933A2" w:rsidRPr="000C4A54">
              <w:rPr>
                <w:rFonts w:ascii="Arial" w:hAnsi="Arial" w:cs="Arial"/>
                <w:bCs/>
                <w:color w:val="215868" w:themeColor="accent5" w:themeShade="80"/>
                <w:sz w:val="18"/>
                <w:szCs w:val="18"/>
              </w:rPr>
              <w:t>%</w:t>
            </w:r>
          </w:p>
        </w:tc>
      </w:tr>
      <w:tr w:rsidR="0020634E" w:rsidRPr="000C4A54" w14:paraId="336F4A77" w14:textId="77777777" w:rsidTr="007C182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tcBorders>
              <w:left w:val="none" w:sz="0" w:space="0" w:color="auto"/>
              <w:right w:val="none" w:sz="0" w:space="0" w:color="auto"/>
            </w:tcBorders>
            <w:vAlign w:val="center"/>
          </w:tcPr>
          <w:p w14:paraId="00B8C0A7" w14:textId="77777777" w:rsidR="0020634E" w:rsidRPr="000C4A54" w:rsidRDefault="0020634E" w:rsidP="0020634E">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t>Packaged salad</w:t>
            </w:r>
          </w:p>
        </w:tc>
        <w:tc>
          <w:tcPr>
            <w:tcW w:w="1023" w:type="dxa"/>
            <w:gridSpan w:val="3"/>
            <w:tcBorders>
              <w:left w:val="none" w:sz="0" w:space="0" w:color="auto"/>
              <w:right w:val="none" w:sz="0" w:space="0" w:color="auto"/>
            </w:tcBorders>
            <w:vAlign w:val="center"/>
          </w:tcPr>
          <w:p w14:paraId="4AC378B8" w14:textId="632849A6"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+12%</w:t>
            </w:r>
          </w:p>
        </w:tc>
        <w:tc>
          <w:tcPr>
            <w:tcW w:w="846" w:type="dxa"/>
            <w:gridSpan w:val="2"/>
            <w:tcBorders>
              <w:left w:val="none" w:sz="0" w:space="0" w:color="auto"/>
              <w:right w:val="none" w:sz="0" w:space="0" w:color="auto"/>
            </w:tcBorders>
            <w:vAlign w:val="center"/>
          </w:tcPr>
          <w:p w14:paraId="47FB1192"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+14.8%</w:t>
            </w:r>
          </w:p>
        </w:tc>
        <w:tc>
          <w:tcPr>
            <w:tcW w:w="846" w:type="dxa"/>
            <w:gridSpan w:val="2"/>
            <w:tcBorders>
              <w:left w:val="none" w:sz="0" w:space="0" w:color="auto"/>
              <w:right w:val="none" w:sz="0" w:space="0" w:color="auto"/>
            </w:tcBorders>
            <w:vAlign w:val="center"/>
          </w:tcPr>
          <w:p w14:paraId="05DDF478"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+12.6%</w:t>
            </w:r>
          </w:p>
        </w:tc>
        <w:tc>
          <w:tcPr>
            <w:tcW w:w="845" w:type="dxa"/>
            <w:tcBorders>
              <w:left w:val="none" w:sz="0" w:space="0" w:color="auto"/>
              <w:right w:val="none" w:sz="0" w:space="0" w:color="auto"/>
            </w:tcBorders>
            <w:vAlign w:val="center"/>
          </w:tcPr>
          <w:p w14:paraId="2EF85EAF"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14.5%</w:t>
            </w:r>
          </w:p>
        </w:tc>
        <w:tc>
          <w:tcPr>
            <w:tcW w:w="846" w:type="dxa"/>
            <w:tcBorders>
              <w:left w:val="none" w:sz="0" w:space="0" w:color="auto"/>
              <w:right w:val="none" w:sz="0" w:space="0" w:color="auto"/>
            </w:tcBorders>
            <w:vAlign w:val="center"/>
          </w:tcPr>
          <w:p w14:paraId="0955372B"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+10.3%</w:t>
            </w:r>
          </w:p>
        </w:tc>
        <w:tc>
          <w:tcPr>
            <w:tcW w:w="846" w:type="dxa"/>
            <w:tcBorders>
              <w:left w:val="none" w:sz="0" w:space="0" w:color="auto"/>
              <w:right w:val="none" w:sz="0" w:space="0" w:color="auto"/>
            </w:tcBorders>
            <w:vAlign w:val="center"/>
          </w:tcPr>
          <w:p w14:paraId="25322D10"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bCs/>
                <w:color w:val="215868" w:themeColor="accent5" w:themeShade="80"/>
                <w:sz w:val="18"/>
                <w:szCs w:val="18"/>
              </w:rPr>
              <w:t>+8.5%</w:t>
            </w:r>
          </w:p>
        </w:tc>
        <w:tc>
          <w:tcPr>
            <w:tcW w:w="845" w:type="dxa"/>
            <w:tcBorders>
              <w:left w:val="none" w:sz="0" w:space="0" w:color="auto"/>
              <w:right w:val="none" w:sz="0" w:space="0" w:color="auto"/>
            </w:tcBorders>
            <w:vAlign w:val="center"/>
          </w:tcPr>
          <w:p w14:paraId="10F77A62"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+1.9%</w:t>
            </w:r>
          </w:p>
        </w:tc>
        <w:tc>
          <w:tcPr>
            <w:tcW w:w="846" w:type="dxa"/>
            <w:tcBorders>
              <w:left w:val="none" w:sz="0" w:space="0" w:color="auto"/>
              <w:right w:val="none" w:sz="0" w:space="0" w:color="auto"/>
            </w:tcBorders>
            <w:vAlign w:val="center"/>
          </w:tcPr>
          <w:p w14:paraId="03FC57F0" w14:textId="24F491E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1.9</w:t>
            </w:r>
            <w:r w:rsidRPr="000C4A54">
              <w:rPr>
                <w:rFonts w:ascii="Arial" w:hAnsi="Arial" w:cs="Arial"/>
                <w:color w:val="215868" w:themeColor="accent5" w:themeShade="80"/>
                <w:sz w:val="18"/>
                <w:szCs w:val="18"/>
              </w:rPr>
              <w:t>%</w:t>
            </w:r>
          </w:p>
        </w:tc>
        <w:tc>
          <w:tcPr>
            <w:tcW w:w="846" w:type="dxa"/>
            <w:tcBorders>
              <w:left w:val="none" w:sz="0" w:space="0" w:color="auto"/>
              <w:right w:val="none" w:sz="0" w:space="0" w:color="auto"/>
            </w:tcBorders>
            <w:vAlign w:val="center"/>
          </w:tcPr>
          <w:p w14:paraId="011EC497" w14:textId="77D7CB23"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255</w:t>
            </w:r>
            <w:r w:rsidRPr="000C4A54">
              <w:rPr>
                <w:rFonts w:ascii="Arial" w:hAnsi="Arial" w:cs="Arial"/>
                <w:bCs/>
                <w:color w:val="215868" w:themeColor="accent5" w:themeShade="80"/>
                <w:sz w:val="18"/>
                <w:szCs w:val="18"/>
              </w:rPr>
              <w:t>M</w:t>
            </w:r>
          </w:p>
        </w:tc>
        <w:tc>
          <w:tcPr>
            <w:tcW w:w="846" w:type="dxa"/>
            <w:tcBorders>
              <w:left w:val="none" w:sz="0" w:space="0" w:color="auto"/>
              <w:right w:val="none" w:sz="0" w:space="0" w:color="auto"/>
            </w:tcBorders>
            <w:vAlign w:val="center"/>
          </w:tcPr>
          <w:p w14:paraId="1468972C" w14:textId="7599D67B" w:rsidR="0020634E" w:rsidRPr="000C4A54" w:rsidRDefault="00017BC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-0.9</w:t>
            </w:r>
            <w:r w:rsidR="0020634E" w:rsidRPr="000C4A54">
              <w:rPr>
                <w:rFonts w:ascii="Arial" w:hAnsi="Arial" w:cs="Arial"/>
                <w:bCs/>
                <w:color w:val="215868" w:themeColor="accent5" w:themeShade="80"/>
                <w:sz w:val="18"/>
                <w:szCs w:val="18"/>
              </w:rPr>
              <w:t>%</w:t>
            </w:r>
          </w:p>
        </w:tc>
        <w:tc>
          <w:tcPr>
            <w:tcW w:w="846" w:type="dxa"/>
            <w:tcBorders>
              <w:left w:val="none" w:sz="0" w:space="0" w:color="auto"/>
              <w:right w:val="none" w:sz="0" w:space="0" w:color="auto"/>
            </w:tcBorders>
            <w:vAlign w:val="center"/>
          </w:tcPr>
          <w:p w14:paraId="0B7C1CF3" w14:textId="1450B081"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8.3</w:t>
            </w:r>
            <w:r w:rsidRPr="000C4A54">
              <w:rPr>
                <w:rFonts w:ascii="Arial" w:hAnsi="Arial" w:cs="Arial"/>
                <w:bCs/>
                <w:color w:val="215868" w:themeColor="accent5" w:themeShade="80"/>
                <w:sz w:val="18"/>
                <w:szCs w:val="18"/>
              </w:rPr>
              <w:t>%</w:t>
            </w:r>
          </w:p>
        </w:tc>
      </w:tr>
      <w:tr w:rsidR="0020634E" w:rsidRPr="000C4A54" w14:paraId="5FA6635F" w14:textId="77777777" w:rsidTr="000933A2">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79FF0CCA" w14:textId="77777777" w:rsidR="0020634E" w:rsidRPr="000C4A54" w:rsidRDefault="0020634E" w:rsidP="0020634E">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t>Lettuce</w:t>
            </w:r>
          </w:p>
        </w:tc>
        <w:tc>
          <w:tcPr>
            <w:tcW w:w="1023" w:type="dxa"/>
            <w:gridSpan w:val="3"/>
            <w:vAlign w:val="center"/>
          </w:tcPr>
          <w:p w14:paraId="489A8A48" w14:textId="3893AD83"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+6%</w:t>
            </w:r>
          </w:p>
        </w:tc>
        <w:tc>
          <w:tcPr>
            <w:tcW w:w="846" w:type="dxa"/>
            <w:gridSpan w:val="2"/>
            <w:vAlign w:val="center"/>
          </w:tcPr>
          <w:p w14:paraId="6BB7D162" w14:textId="469DF2FA"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+12.0%</w:t>
            </w:r>
          </w:p>
        </w:tc>
        <w:tc>
          <w:tcPr>
            <w:tcW w:w="846" w:type="dxa"/>
            <w:gridSpan w:val="2"/>
            <w:vAlign w:val="center"/>
          </w:tcPr>
          <w:p w14:paraId="05E885A8" w14:textId="42B10D4E"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+9.0%</w:t>
            </w:r>
          </w:p>
        </w:tc>
        <w:tc>
          <w:tcPr>
            <w:tcW w:w="845" w:type="dxa"/>
            <w:vAlign w:val="center"/>
          </w:tcPr>
          <w:p w14:paraId="445C249F" w14:textId="4A1C3A01"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-3.3%</w:t>
            </w:r>
          </w:p>
        </w:tc>
        <w:tc>
          <w:tcPr>
            <w:tcW w:w="846" w:type="dxa"/>
            <w:vAlign w:val="center"/>
          </w:tcPr>
          <w:p w14:paraId="1DF5B025" w14:textId="000AEA7E"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+2.5%</w:t>
            </w:r>
          </w:p>
        </w:tc>
        <w:tc>
          <w:tcPr>
            <w:tcW w:w="846" w:type="dxa"/>
            <w:vAlign w:val="center"/>
          </w:tcPr>
          <w:p w14:paraId="757340BF" w14:textId="50EA9BFA"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bCs/>
                <w:color w:val="215868" w:themeColor="accent5" w:themeShade="80"/>
                <w:sz w:val="18"/>
                <w:szCs w:val="18"/>
              </w:rPr>
              <w:t>+0.6%</w:t>
            </w:r>
          </w:p>
        </w:tc>
        <w:tc>
          <w:tcPr>
            <w:tcW w:w="845" w:type="dxa"/>
            <w:vAlign w:val="center"/>
          </w:tcPr>
          <w:p w14:paraId="6187E043" w14:textId="08926C70"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+4.8%</w:t>
            </w:r>
          </w:p>
        </w:tc>
        <w:tc>
          <w:tcPr>
            <w:tcW w:w="846" w:type="dxa"/>
            <w:vAlign w:val="center"/>
          </w:tcPr>
          <w:p w14:paraId="0D67CD76" w14:textId="6312A08D"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10.2</w:t>
            </w:r>
            <w:r w:rsidRPr="000C4A54">
              <w:rPr>
                <w:rFonts w:ascii="Arial" w:hAnsi="Arial" w:cs="Arial"/>
                <w:color w:val="215868" w:themeColor="accent5" w:themeShade="80"/>
                <w:sz w:val="18"/>
                <w:szCs w:val="18"/>
              </w:rPr>
              <w:t>%</w:t>
            </w:r>
          </w:p>
        </w:tc>
        <w:tc>
          <w:tcPr>
            <w:tcW w:w="846" w:type="dxa"/>
            <w:vAlign w:val="center"/>
          </w:tcPr>
          <w:p w14:paraId="6CD2C0F7" w14:textId="1261464A"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229</w:t>
            </w:r>
            <w:r w:rsidRPr="000C4A54">
              <w:rPr>
                <w:rFonts w:ascii="Arial" w:hAnsi="Arial" w:cs="Arial"/>
                <w:bCs/>
                <w:color w:val="215868" w:themeColor="accent5" w:themeShade="80"/>
                <w:sz w:val="18"/>
                <w:szCs w:val="18"/>
              </w:rPr>
              <w:t>M</w:t>
            </w:r>
          </w:p>
        </w:tc>
        <w:tc>
          <w:tcPr>
            <w:tcW w:w="846" w:type="dxa"/>
            <w:vAlign w:val="center"/>
          </w:tcPr>
          <w:p w14:paraId="34B3545D" w14:textId="1A9C7EF2"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9.6</w:t>
            </w:r>
            <w:r w:rsidRPr="000C4A54">
              <w:rPr>
                <w:rFonts w:ascii="Arial" w:hAnsi="Arial" w:cs="Arial"/>
                <w:bCs/>
                <w:color w:val="215868" w:themeColor="accent5" w:themeShade="80"/>
                <w:sz w:val="18"/>
                <w:szCs w:val="18"/>
              </w:rPr>
              <w:t>%</w:t>
            </w:r>
          </w:p>
        </w:tc>
        <w:tc>
          <w:tcPr>
            <w:tcW w:w="846" w:type="dxa"/>
            <w:vAlign w:val="center"/>
          </w:tcPr>
          <w:p w14:paraId="5EB84E72" w14:textId="5A227E7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1.3</w:t>
            </w:r>
            <w:r w:rsidRPr="000C4A54">
              <w:rPr>
                <w:rFonts w:ascii="Arial" w:hAnsi="Arial" w:cs="Arial"/>
                <w:bCs/>
                <w:color w:val="215868" w:themeColor="accent5" w:themeShade="80"/>
                <w:sz w:val="18"/>
                <w:szCs w:val="18"/>
              </w:rPr>
              <w:t>%</w:t>
            </w:r>
          </w:p>
        </w:tc>
      </w:tr>
      <w:tr w:rsidR="000933A2" w:rsidRPr="000C4A54" w14:paraId="58A4C8AB" w14:textId="77777777" w:rsidTr="007C182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tcBorders>
              <w:left w:val="none" w:sz="0" w:space="0" w:color="auto"/>
              <w:right w:val="none" w:sz="0" w:space="0" w:color="auto"/>
            </w:tcBorders>
            <w:vAlign w:val="center"/>
          </w:tcPr>
          <w:p w14:paraId="72E7C846" w14:textId="77777777" w:rsidR="0020634E" w:rsidRPr="000C4A54" w:rsidRDefault="0020634E" w:rsidP="0020634E">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t>Onions</w:t>
            </w:r>
          </w:p>
        </w:tc>
        <w:tc>
          <w:tcPr>
            <w:tcW w:w="1023" w:type="dxa"/>
            <w:gridSpan w:val="3"/>
            <w:tcBorders>
              <w:left w:val="none" w:sz="0" w:space="0" w:color="auto"/>
              <w:right w:val="none" w:sz="0" w:space="0" w:color="auto"/>
            </w:tcBorders>
            <w:vAlign w:val="center"/>
          </w:tcPr>
          <w:p w14:paraId="40FB15BF" w14:textId="4B6AED91"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+6%</w:t>
            </w:r>
          </w:p>
        </w:tc>
        <w:tc>
          <w:tcPr>
            <w:tcW w:w="846" w:type="dxa"/>
            <w:gridSpan w:val="2"/>
            <w:tcBorders>
              <w:left w:val="none" w:sz="0" w:space="0" w:color="auto"/>
              <w:right w:val="none" w:sz="0" w:space="0" w:color="auto"/>
            </w:tcBorders>
            <w:vAlign w:val="center"/>
          </w:tcPr>
          <w:p w14:paraId="7B7E2503"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+14.5%</w:t>
            </w:r>
          </w:p>
        </w:tc>
        <w:tc>
          <w:tcPr>
            <w:tcW w:w="846" w:type="dxa"/>
            <w:gridSpan w:val="2"/>
            <w:tcBorders>
              <w:left w:val="none" w:sz="0" w:space="0" w:color="auto"/>
              <w:right w:val="none" w:sz="0" w:space="0" w:color="auto"/>
            </w:tcBorders>
            <w:vAlign w:val="center"/>
          </w:tcPr>
          <w:p w14:paraId="315EE21F"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+0.8%</w:t>
            </w:r>
          </w:p>
        </w:tc>
        <w:tc>
          <w:tcPr>
            <w:tcW w:w="845" w:type="dxa"/>
            <w:tcBorders>
              <w:left w:val="none" w:sz="0" w:space="0" w:color="auto"/>
              <w:right w:val="none" w:sz="0" w:space="0" w:color="auto"/>
            </w:tcBorders>
            <w:vAlign w:val="center"/>
          </w:tcPr>
          <w:p w14:paraId="201586D2"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-14.3%</w:t>
            </w:r>
          </w:p>
        </w:tc>
        <w:tc>
          <w:tcPr>
            <w:tcW w:w="846" w:type="dxa"/>
            <w:tcBorders>
              <w:left w:val="none" w:sz="0" w:space="0" w:color="auto"/>
              <w:right w:val="none" w:sz="0" w:space="0" w:color="auto"/>
            </w:tcBorders>
            <w:vAlign w:val="center"/>
          </w:tcPr>
          <w:p w14:paraId="74E1EBAB"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-1.7%</w:t>
            </w:r>
          </w:p>
        </w:tc>
        <w:tc>
          <w:tcPr>
            <w:tcW w:w="846" w:type="dxa"/>
            <w:tcBorders>
              <w:left w:val="none" w:sz="0" w:space="0" w:color="auto"/>
              <w:right w:val="none" w:sz="0" w:space="0" w:color="auto"/>
            </w:tcBorders>
            <w:vAlign w:val="center"/>
          </w:tcPr>
          <w:p w14:paraId="1A1B06F8"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bCs/>
                <w:color w:val="215868" w:themeColor="accent5" w:themeShade="80"/>
                <w:sz w:val="18"/>
                <w:szCs w:val="18"/>
              </w:rPr>
              <w:t>+1.4%</w:t>
            </w:r>
          </w:p>
        </w:tc>
        <w:tc>
          <w:tcPr>
            <w:tcW w:w="845" w:type="dxa"/>
            <w:tcBorders>
              <w:left w:val="none" w:sz="0" w:space="0" w:color="auto"/>
              <w:right w:val="none" w:sz="0" w:space="0" w:color="auto"/>
            </w:tcBorders>
            <w:vAlign w:val="center"/>
          </w:tcPr>
          <w:p w14:paraId="19E717B6" w14:textId="5CE4BC02"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+5.9%</w:t>
            </w:r>
          </w:p>
        </w:tc>
        <w:tc>
          <w:tcPr>
            <w:tcW w:w="846" w:type="dxa"/>
            <w:tcBorders>
              <w:left w:val="none" w:sz="0" w:space="0" w:color="auto"/>
              <w:right w:val="none" w:sz="0" w:space="0" w:color="auto"/>
            </w:tcBorders>
            <w:vAlign w:val="center"/>
          </w:tcPr>
          <w:p w14:paraId="145EB702" w14:textId="00193588"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18.4</w:t>
            </w:r>
            <w:r w:rsidRPr="000C4A54">
              <w:rPr>
                <w:rFonts w:ascii="Arial" w:hAnsi="Arial" w:cs="Arial"/>
                <w:color w:val="215868" w:themeColor="accent5" w:themeShade="80"/>
                <w:sz w:val="18"/>
                <w:szCs w:val="18"/>
              </w:rPr>
              <w:t>%</w:t>
            </w:r>
          </w:p>
        </w:tc>
        <w:tc>
          <w:tcPr>
            <w:tcW w:w="846" w:type="dxa"/>
            <w:tcBorders>
              <w:left w:val="none" w:sz="0" w:space="0" w:color="auto"/>
              <w:right w:val="none" w:sz="0" w:space="0" w:color="auto"/>
            </w:tcBorders>
            <w:vAlign w:val="center"/>
          </w:tcPr>
          <w:p w14:paraId="51855CC2" w14:textId="37540A14"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211</w:t>
            </w:r>
            <w:r w:rsidRPr="000C4A54">
              <w:rPr>
                <w:rFonts w:ascii="Arial" w:hAnsi="Arial" w:cs="Arial"/>
                <w:bCs/>
                <w:color w:val="215868" w:themeColor="accent5" w:themeShade="80"/>
                <w:sz w:val="18"/>
                <w:szCs w:val="18"/>
              </w:rPr>
              <w:t>M</w:t>
            </w:r>
          </w:p>
        </w:tc>
        <w:tc>
          <w:tcPr>
            <w:tcW w:w="846" w:type="dxa"/>
            <w:tcBorders>
              <w:left w:val="none" w:sz="0" w:space="0" w:color="auto"/>
              <w:right w:val="none" w:sz="0" w:space="0" w:color="auto"/>
            </w:tcBorders>
            <w:vAlign w:val="center"/>
          </w:tcPr>
          <w:p w14:paraId="04446ECC" w14:textId="41AB9BAD"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21.8</w:t>
            </w:r>
            <w:r w:rsidRPr="000C4A54">
              <w:rPr>
                <w:rFonts w:ascii="Arial" w:hAnsi="Arial" w:cs="Arial"/>
                <w:bCs/>
                <w:color w:val="215868" w:themeColor="accent5" w:themeShade="80"/>
                <w:sz w:val="18"/>
                <w:szCs w:val="18"/>
              </w:rPr>
              <w:t>%</w:t>
            </w:r>
          </w:p>
        </w:tc>
        <w:tc>
          <w:tcPr>
            <w:tcW w:w="846" w:type="dxa"/>
            <w:tcBorders>
              <w:left w:val="none" w:sz="0" w:space="0" w:color="auto"/>
              <w:right w:val="none" w:sz="0" w:space="0" w:color="auto"/>
            </w:tcBorders>
            <w:vAlign w:val="center"/>
          </w:tcPr>
          <w:p w14:paraId="505B464D" w14:textId="3F346DDE" w:rsidR="0020634E" w:rsidRPr="000C4A54" w:rsidRDefault="00017BC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+1.6</w:t>
            </w:r>
            <w:r w:rsidR="0020634E" w:rsidRPr="000C4A54">
              <w:rPr>
                <w:rFonts w:ascii="Arial" w:hAnsi="Arial" w:cs="Arial"/>
                <w:bCs/>
                <w:color w:val="215868" w:themeColor="accent5" w:themeShade="80"/>
                <w:sz w:val="18"/>
                <w:szCs w:val="18"/>
              </w:rPr>
              <w:t>%</w:t>
            </w:r>
          </w:p>
        </w:tc>
      </w:tr>
      <w:tr w:rsidR="0020634E" w:rsidRPr="000C4A54" w14:paraId="69318395" w14:textId="77777777" w:rsidTr="000933A2">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6E864BBD" w14:textId="77777777" w:rsidR="0020634E" w:rsidRPr="000C4A54" w:rsidRDefault="0020634E" w:rsidP="0020634E">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t>Peppers</w:t>
            </w:r>
          </w:p>
        </w:tc>
        <w:tc>
          <w:tcPr>
            <w:tcW w:w="1023" w:type="dxa"/>
            <w:gridSpan w:val="3"/>
            <w:vAlign w:val="center"/>
          </w:tcPr>
          <w:p w14:paraId="3114764A" w14:textId="14AF25F4"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+4%</w:t>
            </w:r>
          </w:p>
        </w:tc>
        <w:tc>
          <w:tcPr>
            <w:tcW w:w="846" w:type="dxa"/>
            <w:gridSpan w:val="2"/>
            <w:vAlign w:val="center"/>
          </w:tcPr>
          <w:p w14:paraId="790ACC9F" w14:textId="7777777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+19.3%</w:t>
            </w:r>
          </w:p>
        </w:tc>
        <w:tc>
          <w:tcPr>
            <w:tcW w:w="846" w:type="dxa"/>
            <w:gridSpan w:val="2"/>
            <w:vAlign w:val="center"/>
          </w:tcPr>
          <w:p w14:paraId="2E58E480" w14:textId="7777777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+11.6%</w:t>
            </w:r>
          </w:p>
        </w:tc>
        <w:tc>
          <w:tcPr>
            <w:tcW w:w="845" w:type="dxa"/>
            <w:vAlign w:val="center"/>
          </w:tcPr>
          <w:p w14:paraId="2342DC57" w14:textId="7777777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-6.9%</w:t>
            </w:r>
          </w:p>
        </w:tc>
        <w:tc>
          <w:tcPr>
            <w:tcW w:w="846" w:type="dxa"/>
            <w:vAlign w:val="center"/>
          </w:tcPr>
          <w:p w14:paraId="570BC747" w14:textId="7777777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-3.3%</w:t>
            </w:r>
          </w:p>
        </w:tc>
        <w:tc>
          <w:tcPr>
            <w:tcW w:w="846" w:type="dxa"/>
            <w:vAlign w:val="center"/>
          </w:tcPr>
          <w:p w14:paraId="79E8C82E" w14:textId="7777777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bCs/>
                <w:color w:val="215868" w:themeColor="accent5" w:themeShade="80"/>
                <w:sz w:val="18"/>
                <w:szCs w:val="18"/>
              </w:rPr>
              <w:t>-2.3%</w:t>
            </w:r>
          </w:p>
        </w:tc>
        <w:tc>
          <w:tcPr>
            <w:tcW w:w="845" w:type="dxa"/>
            <w:vAlign w:val="center"/>
          </w:tcPr>
          <w:p w14:paraId="7254814C" w14:textId="4D3BBFBD"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-2.1%</w:t>
            </w:r>
          </w:p>
        </w:tc>
        <w:tc>
          <w:tcPr>
            <w:tcW w:w="846" w:type="dxa"/>
            <w:vAlign w:val="center"/>
          </w:tcPr>
          <w:p w14:paraId="54120B5C" w14:textId="163C1185"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0.7</w:t>
            </w:r>
            <w:r w:rsidRPr="000C4A54">
              <w:rPr>
                <w:rFonts w:ascii="Arial" w:hAnsi="Arial" w:cs="Arial"/>
                <w:color w:val="215868" w:themeColor="accent5" w:themeShade="80"/>
                <w:sz w:val="18"/>
                <w:szCs w:val="18"/>
              </w:rPr>
              <w:t>%</w:t>
            </w:r>
          </w:p>
        </w:tc>
        <w:tc>
          <w:tcPr>
            <w:tcW w:w="846" w:type="dxa"/>
            <w:vAlign w:val="center"/>
          </w:tcPr>
          <w:p w14:paraId="2EF132BA" w14:textId="573F1181"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198</w:t>
            </w:r>
            <w:r w:rsidRPr="000C4A54">
              <w:rPr>
                <w:rFonts w:ascii="Arial" w:hAnsi="Arial" w:cs="Arial"/>
                <w:bCs/>
                <w:color w:val="215868" w:themeColor="accent5" w:themeShade="80"/>
                <w:sz w:val="18"/>
                <w:szCs w:val="18"/>
              </w:rPr>
              <w:t>M</w:t>
            </w:r>
          </w:p>
        </w:tc>
        <w:tc>
          <w:tcPr>
            <w:tcW w:w="846" w:type="dxa"/>
            <w:vAlign w:val="center"/>
          </w:tcPr>
          <w:p w14:paraId="7633D59F" w14:textId="55A5CC4D" w:rsidR="0020634E" w:rsidRPr="000C4A54" w:rsidRDefault="00017BC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+0.2</w:t>
            </w:r>
            <w:r w:rsidR="0020634E" w:rsidRPr="000C4A54">
              <w:rPr>
                <w:rFonts w:ascii="Arial" w:hAnsi="Arial" w:cs="Arial"/>
                <w:bCs/>
                <w:color w:val="215868" w:themeColor="accent5" w:themeShade="80"/>
                <w:sz w:val="18"/>
                <w:szCs w:val="18"/>
              </w:rPr>
              <w:t>%</w:t>
            </w:r>
          </w:p>
        </w:tc>
        <w:tc>
          <w:tcPr>
            <w:tcW w:w="846" w:type="dxa"/>
            <w:vAlign w:val="center"/>
          </w:tcPr>
          <w:p w14:paraId="3D971C9D" w14:textId="64505340"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6.3</w:t>
            </w:r>
            <w:r w:rsidRPr="000C4A54">
              <w:rPr>
                <w:rFonts w:ascii="Arial" w:hAnsi="Arial" w:cs="Arial"/>
                <w:bCs/>
                <w:color w:val="215868" w:themeColor="accent5" w:themeShade="80"/>
                <w:sz w:val="18"/>
                <w:szCs w:val="18"/>
              </w:rPr>
              <w:t>%</w:t>
            </w:r>
          </w:p>
        </w:tc>
      </w:tr>
      <w:tr w:rsidR="000933A2" w:rsidRPr="000C4A54" w14:paraId="770262AD" w14:textId="77777777" w:rsidTr="007C182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tcBorders>
              <w:left w:val="none" w:sz="0" w:space="0" w:color="auto"/>
              <w:right w:val="none" w:sz="0" w:space="0" w:color="auto"/>
            </w:tcBorders>
            <w:vAlign w:val="center"/>
          </w:tcPr>
          <w:p w14:paraId="0CC6387E" w14:textId="77777777" w:rsidR="0020634E" w:rsidRPr="000C4A54" w:rsidRDefault="0020634E" w:rsidP="0020634E">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lastRenderedPageBreak/>
              <w:t>Cucumbers</w:t>
            </w:r>
          </w:p>
        </w:tc>
        <w:tc>
          <w:tcPr>
            <w:tcW w:w="1023" w:type="dxa"/>
            <w:gridSpan w:val="3"/>
            <w:tcBorders>
              <w:left w:val="none" w:sz="0" w:space="0" w:color="auto"/>
              <w:right w:val="none" w:sz="0" w:space="0" w:color="auto"/>
            </w:tcBorders>
            <w:vAlign w:val="center"/>
          </w:tcPr>
          <w:p w14:paraId="2B71F2A5" w14:textId="758A730C"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+3%</w:t>
            </w:r>
          </w:p>
        </w:tc>
        <w:tc>
          <w:tcPr>
            <w:tcW w:w="846" w:type="dxa"/>
            <w:gridSpan w:val="2"/>
            <w:tcBorders>
              <w:left w:val="none" w:sz="0" w:space="0" w:color="auto"/>
              <w:right w:val="none" w:sz="0" w:space="0" w:color="auto"/>
            </w:tcBorders>
            <w:vAlign w:val="center"/>
          </w:tcPr>
          <w:p w14:paraId="4D76789C"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+18.1%</w:t>
            </w:r>
          </w:p>
        </w:tc>
        <w:tc>
          <w:tcPr>
            <w:tcW w:w="846" w:type="dxa"/>
            <w:gridSpan w:val="2"/>
            <w:tcBorders>
              <w:left w:val="none" w:sz="0" w:space="0" w:color="auto"/>
              <w:right w:val="none" w:sz="0" w:space="0" w:color="auto"/>
            </w:tcBorders>
            <w:vAlign w:val="center"/>
          </w:tcPr>
          <w:p w14:paraId="54FDDC40"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+10.1%</w:t>
            </w:r>
          </w:p>
        </w:tc>
        <w:tc>
          <w:tcPr>
            <w:tcW w:w="845" w:type="dxa"/>
            <w:tcBorders>
              <w:left w:val="none" w:sz="0" w:space="0" w:color="auto"/>
              <w:right w:val="none" w:sz="0" w:space="0" w:color="auto"/>
            </w:tcBorders>
            <w:vAlign w:val="center"/>
          </w:tcPr>
          <w:p w14:paraId="29F76C73"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+3.2%</w:t>
            </w:r>
          </w:p>
        </w:tc>
        <w:tc>
          <w:tcPr>
            <w:tcW w:w="846" w:type="dxa"/>
            <w:tcBorders>
              <w:left w:val="none" w:sz="0" w:space="0" w:color="auto"/>
              <w:right w:val="none" w:sz="0" w:space="0" w:color="auto"/>
            </w:tcBorders>
            <w:vAlign w:val="center"/>
          </w:tcPr>
          <w:p w14:paraId="14085285"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+4.0%</w:t>
            </w:r>
          </w:p>
        </w:tc>
        <w:tc>
          <w:tcPr>
            <w:tcW w:w="846" w:type="dxa"/>
            <w:tcBorders>
              <w:left w:val="none" w:sz="0" w:space="0" w:color="auto"/>
              <w:right w:val="none" w:sz="0" w:space="0" w:color="auto"/>
            </w:tcBorders>
            <w:vAlign w:val="center"/>
          </w:tcPr>
          <w:p w14:paraId="1E526A85"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+5.0%</w:t>
            </w:r>
          </w:p>
        </w:tc>
        <w:tc>
          <w:tcPr>
            <w:tcW w:w="845" w:type="dxa"/>
            <w:tcBorders>
              <w:left w:val="none" w:sz="0" w:space="0" w:color="auto"/>
              <w:right w:val="none" w:sz="0" w:space="0" w:color="auto"/>
            </w:tcBorders>
            <w:vAlign w:val="center"/>
          </w:tcPr>
          <w:p w14:paraId="5ACD3E9D"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+3.9%</w:t>
            </w:r>
          </w:p>
        </w:tc>
        <w:tc>
          <w:tcPr>
            <w:tcW w:w="846" w:type="dxa"/>
            <w:tcBorders>
              <w:left w:val="none" w:sz="0" w:space="0" w:color="auto"/>
              <w:right w:val="none" w:sz="0" w:space="0" w:color="auto"/>
            </w:tcBorders>
            <w:vAlign w:val="center"/>
          </w:tcPr>
          <w:p w14:paraId="72A1461A" w14:textId="40BDC5C0"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5.9</w:t>
            </w:r>
            <w:r w:rsidRPr="000C4A54">
              <w:rPr>
                <w:rFonts w:ascii="Arial" w:hAnsi="Arial" w:cs="Arial"/>
                <w:color w:val="215868" w:themeColor="accent5" w:themeShade="80"/>
                <w:sz w:val="18"/>
                <w:szCs w:val="18"/>
              </w:rPr>
              <w:t>%</w:t>
            </w:r>
          </w:p>
        </w:tc>
        <w:tc>
          <w:tcPr>
            <w:tcW w:w="846" w:type="dxa"/>
            <w:tcBorders>
              <w:left w:val="none" w:sz="0" w:space="0" w:color="auto"/>
              <w:right w:val="none" w:sz="0" w:space="0" w:color="auto"/>
            </w:tcBorders>
            <w:vAlign w:val="center"/>
          </w:tcPr>
          <w:p w14:paraId="0EE8061F" w14:textId="6CDB8756"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119</w:t>
            </w:r>
            <w:r w:rsidRPr="000C4A54">
              <w:rPr>
                <w:rFonts w:ascii="Arial" w:hAnsi="Arial" w:cs="Arial"/>
                <w:bCs/>
                <w:color w:val="215868" w:themeColor="accent5" w:themeShade="80"/>
                <w:sz w:val="18"/>
                <w:szCs w:val="18"/>
              </w:rPr>
              <w:t>M</w:t>
            </w:r>
          </w:p>
        </w:tc>
        <w:tc>
          <w:tcPr>
            <w:tcW w:w="846" w:type="dxa"/>
            <w:tcBorders>
              <w:left w:val="none" w:sz="0" w:space="0" w:color="auto"/>
              <w:right w:val="none" w:sz="0" w:space="0" w:color="auto"/>
            </w:tcBorders>
            <w:vAlign w:val="center"/>
          </w:tcPr>
          <w:p w14:paraId="763F9B1D" w14:textId="57C10F95"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6.6</w:t>
            </w:r>
            <w:r w:rsidRPr="000C4A54">
              <w:rPr>
                <w:rFonts w:ascii="Arial" w:hAnsi="Arial" w:cs="Arial"/>
                <w:bCs/>
                <w:color w:val="215868" w:themeColor="accent5" w:themeShade="80"/>
                <w:sz w:val="18"/>
                <w:szCs w:val="18"/>
              </w:rPr>
              <w:t>%</w:t>
            </w:r>
          </w:p>
        </w:tc>
        <w:tc>
          <w:tcPr>
            <w:tcW w:w="846" w:type="dxa"/>
            <w:tcBorders>
              <w:left w:val="none" w:sz="0" w:space="0" w:color="auto"/>
              <w:right w:val="none" w:sz="0" w:space="0" w:color="auto"/>
            </w:tcBorders>
            <w:vAlign w:val="center"/>
          </w:tcPr>
          <w:p w14:paraId="012EAF29" w14:textId="1AA120D4" w:rsidR="0020634E" w:rsidRPr="000C4A54" w:rsidRDefault="00017BC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-0.2</w:t>
            </w:r>
            <w:r w:rsidR="0020634E" w:rsidRPr="000C4A54">
              <w:rPr>
                <w:rFonts w:ascii="Arial" w:hAnsi="Arial" w:cs="Arial"/>
                <w:bCs/>
                <w:color w:val="215868" w:themeColor="accent5" w:themeShade="80"/>
                <w:sz w:val="18"/>
                <w:szCs w:val="18"/>
              </w:rPr>
              <w:t>%</w:t>
            </w:r>
          </w:p>
        </w:tc>
      </w:tr>
      <w:tr w:rsidR="000933A2" w:rsidRPr="000C4A54" w14:paraId="1BE59849" w14:textId="77777777" w:rsidTr="00237E35">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3B279D62" w14:textId="77777777" w:rsidR="000933A2" w:rsidRPr="000C4A54" w:rsidRDefault="000933A2" w:rsidP="00237E35">
            <w:pPr>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Corn</w:t>
            </w:r>
          </w:p>
        </w:tc>
        <w:tc>
          <w:tcPr>
            <w:tcW w:w="1023" w:type="dxa"/>
            <w:gridSpan w:val="3"/>
            <w:vAlign w:val="center"/>
          </w:tcPr>
          <w:p w14:paraId="79CD98BB" w14:textId="2D6AD04E" w:rsidR="000933A2" w:rsidRPr="000C4A54" w:rsidRDefault="00BE4D67"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+6%</w:t>
            </w:r>
          </w:p>
        </w:tc>
        <w:tc>
          <w:tcPr>
            <w:tcW w:w="846" w:type="dxa"/>
            <w:gridSpan w:val="2"/>
            <w:vAlign w:val="center"/>
          </w:tcPr>
          <w:p w14:paraId="5F693FDC" w14:textId="46A18D5B" w:rsidR="000933A2" w:rsidRPr="000C4A54" w:rsidRDefault="00BE4D67"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+26.5%</w:t>
            </w:r>
          </w:p>
        </w:tc>
        <w:tc>
          <w:tcPr>
            <w:tcW w:w="846" w:type="dxa"/>
            <w:gridSpan w:val="2"/>
            <w:vAlign w:val="center"/>
          </w:tcPr>
          <w:p w14:paraId="63C3B38F" w14:textId="4A5E8ECF" w:rsidR="000933A2" w:rsidRPr="000C4A54" w:rsidRDefault="00BE4D67"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+11.9%</w:t>
            </w:r>
          </w:p>
        </w:tc>
        <w:tc>
          <w:tcPr>
            <w:tcW w:w="845" w:type="dxa"/>
            <w:vAlign w:val="center"/>
          </w:tcPr>
          <w:p w14:paraId="65CC7094" w14:textId="472B5842" w:rsidR="000933A2" w:rsidRPr="000C4A54" w:rsidRDefault="00BE4D67"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-1.5%</w:t>
            </w:r>
          </w:p>
        </w:tc>
        <w:tc>
          <w:tcPr>
            <w:tcW w:w="846" w:type="dxa"/>
            <w:vAlign w:val="center"/>
          </w:tcPr>
          <w:p w14:paraId="6F07D2BA" w14:textId="101828D0" w:rsidR="000933A2" w:rsidRPr="000C4A54" w:rsidRDefault="00BE4D67"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-12.9%</w:t>
            </w:r>
          </w:p>
        </w:tc>
        <w:tc>
          <w:tcPr>
            <w:tcW w:w="846" w:type="dxa"/>
            <w:vAlign w:val="center"/>
          </w:tcPr>
          <w:p w14:paraId="1A2C182B" w14:textId="1670F6B9" w:rsidR="000933A2" w:rsidRPr="000C4A54" w:rsidRDefault="00BE4D67"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-5.1%</w:t>
            </w:r>
          </w:p>
        </w:tc>
        <w:tc>
          <w:tcPr>
            <w:tcW w:w="845" w:type="dxa"/>
            <w:vAlign w:val="center"/>
          </w:tcPr>
          <w:p w14:paraId="28A7E0FF" w14:textId="5CDB9FBD" w:rsidR="000933A2" w:rsidRPr="000C4A54" w:rsidRDefault="007C182F" w:rsidP="00237E35">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Pr>
                <w:color w:val="215868" w:themeColor="accent5" w:themeShade="80"/>
              </w:rPr>
              <w:t>+1.9%</w:t>
            </w:r>
          </w:p>
        </w:tc>
        <w:tc>
          <w:tcPr>
            <w:tcW w:w="846" w:type="dxa"/>
            <w:vAlign w:val="center"/>
          </w:tcPr>
          <w:p w14:paraId="4B6F5307" w14:textId="237D8D5F" w:rsidR="000933A2" w:rsidRPr="000C4A54" w:rsidRDefault="00017BCE"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color w:val="215868" w:themeColor="accent5" w:themeShade="80"/>
                <w:sz w:val="18"/>
                <w:szCs w:val="18"/>
              </w:rPr>
              <w:t>-8.5</w:t>
            </w:r>
            <w:r w:rsidR="000933A2" w:rsidRPr="000C4A54">
              <w:rPr>
                <w:rFonts w:ascii="Arial" w:hAnsi="Arial" w:cs="Arial"/>
                <w:color w:val="215868" w:themeColor="accent5" w:themeShade="80"/>
                <w:sz w:val="18"/>
                <w:szCs w:val="18"/>
              </w:rPr>
              <w:t>%</w:t>
            </w:r>
          </w:p>
        </w:tc>
        <w:tc>
          <w:tcPr>
            <w:tcW w:w="846" w:type="dxa"/>
            <w:vAlign w:val="center"/>
          </w:tcPr>
          <w:p w14:paraId="08D11CD2" w14:textId="0D0BF683"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98</w:t>
            </w:r>
            <w:r w:rsidRPr="000C4A54">
              <w:rPr>
                <w:rFonts w:ascii="Arial" w:hAnsi="Arial" w:cs="Arial"/>
                <w:bCs/>
                <w:color w:val="215868" w:themeColor="accent5" w:themeShade="80"/>
                <w:sz w:val="18"/>
                <w:szCs w:val="18"/>
              </w:rPr>
              <w:t>M</w:t>
            </w:r>
          </w:p>
        </w:tc>
        <w:tc>
          <w:tcPr>
            <w:tcW w:w="846" w:type="dxa"/>
            <w:vAlign w:val="center"/>
          </w:tcPr>
          <w:p w14:paraId="594B5FA2" w14:textId="414048D4" w:rsidR="000933A2" w:rsidRPr="000C4A54" w:rsidRDefault="00017BCE"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-1.3</w:t>
            </w:r>
            <w:r w:rsidR="000933A2" w:rsidRPr="000C4A54">
              <w:rPr>
                <w:rFonts w:ascii="Arial" w:hAnsi="Arial" w:cs="Arial"/>
                <w:bCs/>
                <w:color w:val="215868" w:themeColor="accent5" w:themeShade="80"/>
                <w:sz w:val="18"/>
                <w:szCs w:val="18"/>
              </w:rPr>
              <w:t>%</w:t>
            </w:r>
          </w:p>
        </w:tc>
        <w:tc>
          <w:tcPr>
            <w:tcW w:w="846" w:type="dxa"/>
            <w:vAlign w:val="center"/>
          </w:tcPr>
          <w:p w14:paraId="3BA09E4C" w14:textId="4E5CF4A4" w:rsidR="000933A2" w:rsidRPr="000C4A54" w:rsidRDefault="000933A2" w:rsidP="00237E3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19.4</w:t>
            </w:r>
            <w:r w:rsidRPr="000C4A54">
              <w:rPr>
                <w:rFonts w:ascii="Arial" w:hAnsi="Arial" w:cs="Arial"/>
                <w:bCs/>
                <w:color w:val="215868" w:themeColor="accent5" w:themeShade="80"/>
                <w:sz w:val="18"/>
                <w:szCs w:val="18"/>
              </w:rPr>
              <w:t>%</w:t>
            </w:r>
          </w:p>
        </w:tc>
      </w:tr>
      <w:tr w:rsidR="000933A2" w:rsidRPr="000C4A54" w14:paraId="5C1FA360" w14:textId="77777777" w:rsidTr="007C182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70" w:type="dxa"/>
            <w:tcBorders>
              <w:left w:val="none" w:sz="0" w:space="0" w:color="auto"/>
              <w:right w:val="none" w:sz="0" w:space="0" w:color="auto"/>
            </w:tcBorders>
            <w:vAlign w:val="center"/>
          </w:tcPr>
          <w:p w14:paraId="13E4D5C4" w14:textId="77777777" w:rsidR="0020634E" w:rsidRPr="000C4A54" w:rsidRDefault="0020634E" w:rsidP="0020634E">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t>Mushrooms</w:t>
            </w:r>
          </w:p>
        </w:tc>
        <w:tc>
          <w:tcPr>
            <w:tcW w:w="1023" w:type="dxa"/>
            <w:gridSpan w:val="3"/>
            <w:tcBorders>
              <w:left w:val="none" w:sz="0" w:space="0" w:color="auto"/>
              <w:right w:val="none" w:sz="0" w:space="0" w:color="auto"/>
            </w:tcBorders>
            <w:vAlign w:val="center"/>
          </w:tcPr>
          <w:p w14:paraId="4CE975C7" w14:textId="7D6C0885"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w:t>
            </w:r>
            <w:r w:rsidR="00BE4D67">
              <w:rPr>
                <w:rFonts w:ascii="Arial" w:hAnsi="Arial" w:cs="Arial"/>
                <w:color w:val="215868" w:themeColor="accent5" w:themeShade="80"/>
                <w:sz w:val="18"/>
                <w:szCs w:val="18"/>
              </w:rPr>
              <w:t>1</w:t>
            </w:r>
            <w:r w:rsidRPr="000C4A54">
              <w:rPr>
                <w:rFonts w:ascii="Arial" w:hAnsi="Arial" w:cs="Arial"/>
                <w:color w:val="215868" w:themeColor="accent5" w:themeShade="80"/>
                <w:sz w:val="18"/>
                <w:szCs w:val="18"/>
              </w:rPr>
              <w:t>%</w:t>
            </w:r>
          </w:p>
        </w:tc>
        <w:tc>
          <w:tcPr>
            <w:tcW w:w="846" w:type="dxa"/>
            <w:gridSpan w:val="2"/>
            <w:tcBorders>
              <w:left w:val="none" w:sz="0" w:space="0" w:color="auto"/>
              <w:right w:val="none" w:sz="0" w:space="0" w:color="auto"/>
            </w:tcBorders>
            <w:vAlign w:val="center"/>
          </w:tcPr>
          <w:p w14:paraId="33582843"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+19.7%</w:t>
            </w:r>
          </w:p>
        </w:tc>
        <w:tc>
          <w:tcPr>
            <w:tcW w:w="846" w:type="dxa"/>
            <w:gridSpan w:val="2"/>
            <w:tcBorders>
              <w:left w:val="none" w:sz="0" w:space="0" w:color="auto"/>
              <w:right w:val="none" w:sz="0" w:space="0" w:color="auto"/>
            </w:tcBorders>
            <w:vAlign w:val="center"/>
          </w:tcPr>
          <w:p w14:paraId="580D6B6E"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+8.6%</w:t>
            </w:r>
          </w:p>
        </w:tc>
        <w:tc>
          <w:tcPr>
            <w:tcW w:w="845" w:type="dxa"/>
            <w:tcBorders>
              <w:left w:val="none" w:sz="0" w:space="0" w:color="auto"/>
              <w:right w:val="none" w:sz="0" w:space="0" w:color="auto"/>
            </w:tcBorders>
            <w:vAlign w:val="center"/>
          </w:tcPr>
          <w:p w14:paraId="15DF33AE"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-12.6%</w:t>
            </w:r>
          </w:p>
        </w:tc>
        <w:tc>
          <w:tcPr>
            <w:tcW w:w="846" w:type="dxa"/>
            <w:tcBorders>
              <w:left w:val="none" w:sz="0" w:space="0" w:color="auto"/>
              <w:right w:val="none" w:sz="0" w:space="0" w:color="auto"/>
            </w:tcBorders>
            <w:vAlign w:val="center"/>
          </w:tcPr>
          <w:p w14:paraId="2ECE5016"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-9.2%</w:t>
            </w:r>
          </w:p>
        </w:tc>
        <w:tc>
          <w:tcPr>
            <w:tcW w:w="846" w:type="dxa"/>
            <w:tcBorders>
              <w:left w:val="none" w:sz="0" w:space="0" w:color="auto"/>
              <w:right w:val="none" w:sz="0" w:space="0" w:color="auto"/>
            </w:tcBorders>
            <w:vAlign w:val="center"/>
          </w:tcPr>
          <w:p w14:paraId="3BE32679"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bCs/>
                <w:color w:val="215868" w:themeColor="accent5" w:themeShade="80"/>
                <w:sz w:val="18"/>
                <w:szCs w:val="18"/>
              </w:rPr>
              <w:t>-6.4%</w:t>
            </w:r>
          </w:p>
        </w:tc>
        <w:tc>
          <w:tcPr>
            <w:tcW w:w="845" w:type="dxa"/>
            <w:tcBorders>
              <w:left w:val="none" w:sz="0" w:space="0" w:color="auto"/>
              <w:right w:val="none" w:sz="0" w:space="0" w:color="auto"/>
            </w:tcBorders>
            <w:vAlign w:val="center"/>
          </w:tcPr>
          <w:p w14:paraId="1447B891" w14:textId="7777777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-5.9%</w:t>
            </w:r>
          </w:p>
        </w:tc>
        <w:tc>
          <w:tcPr>
            <w:tcW w:w="846" w:type="dxa"/>
            <w:tcBorders>
              <w:left w:val="none" w:sz="0" w:space="0" w:color="auto"/>
              <w:right w:val="none" w:sz="0" w:space="0" w:color="auto"/>
            </w:tcBorders>
            <w:vAlign w:val="center"/>
          </w:tcPr>
          <w:p w14:paraId="3C4A47D9" w14:textId="33760CA2"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4.2</w:t>
            </w:r>
            <w:r w:rsidRPr="000C4A54">
              <w:rPr>
                <w:rFonts w:ascii="Arial" w:hAnsi="Arial" w:cs="Arial"/>
                <w:color w:val="215868" w:themeColor="accent5" w:themeShade="80"/>
                <w:sz w:val="18"/>
                <w:szCs w:val="18"/>
              </w:rPr>
              <w:t>%</w:t>
            </w:r>
          </w:p>
        </w:tc>
        <w:tc>
          <w:tcPr>
            <w:tcW w:w="846" w:type="dxa"/>
            <w:tcBorders>
              <w:left w:val="none" w:sz="0" w:space="0" w:color="auto"/>
              <w:right w:val="none" w:sz="0" w:space="0" w:color="auto"/>
            </w:tcBorders>
            <w:vAlign w:val="center"/>
          </w:tcPr>
          <w:p w14:paraId="1E804687" w14:textId="60B8F5F9"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93</w:t>
            </w:r>
            <w:r w:rsidRPr="000C4A54">
              <w:rPr>
                <w:rFonts w:ascii="Arial" w:hAnsi="Arial" w:cs="Arial"/>
                <w:bCs/>
                <w:color w:val="215868" w:themeColor="accent5" w:themeShade="80"/>
                <w:sz w:val="18"/>
                <w:szCs w:val="18"/>
              </w:rPr>
              <w:t>M</w:t>
            </w:r>
          </w:p>
        </w:tc>
        <w:tc>
          <w:tcPr>
            <w:tcW w:w="846" w:type="dxa"/>
            <w:tcBorders>
              <w:left w:val="none" w:sz="0" w:space="0" w:color="auto"/>
              <w:right w:val="none" w:sz="0" w:space="0" w:color="auto"/>
            </w:tcBorders>
            <w:vAlign w:val="center"/>
          </w:tcPr>
          <w:p w14:paraId="3A1E7732" w14:textId="7BA77AFB"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3.0</w:t>
            </w:r>
            <w:r w:rsidRPr="000C4A54">
              <w:rPr>
                <w:rFonts w:ascii="Arial" w:hAnsi="Arial" w:cs="Arial"/>
                <w:bCs/>
                <w:color w:val="215868" w:themeColor="accent5" w:themeShade="80"/>
                <w:sz w:val="18"/>
                <w:szCs w:val="18"/>
              </w:rPr>
              <w:t>%</w:t>
            </w:r>
          </w:p>
        </w:tc>
        <w:tc>
          <w:tcPr>
            <w:tcW w:w="846" w:type="dxa"/>
            <w:tcBorders>
              <w:left w:val="none" w:sz="0" w:space="0" w:color="auto"/>
              <w:right w:val="none" w:sz="0" w:space="0" w:color="auto"/>
            </w:tcBorders>
            <w:vAlign w:val="center"/>
          </w:tcPr>
          <w:p w14:paraId="3DCF7DF3" w14:textId="7FAC5747" w:rsidR="0020634E" w:rsidRPr="000C4A54" w:rsidRDefault="0020634E" w:rsidP="002063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11.0</w:t>
            </w:r>
            <w:r w:rsidRPr="000C4A54">
              <w:rPr>
                <w:rFonts w:ascii="Arial" w:hAnsi="Arial" w:cs="Arial"/>
                <w:bCs/>
                <w:color w:val="215868" w:themeColor="accent5" w:themeShade="80"/>
                <w:sz w:val="18"/>
                <w:szCs w:val="18"/>
              </w:rPr>
              <w:t>%</w:t>
            </w:r>
          </w:p>
        </w:tc>
      </w:tr>
      <w:tr w:rsidR="000933A2" w:rsidRPr="000C4A54" w14:paraId="0DE609D9" w14:textId="77777777" w:rsidTr="000933A2">
        <w:trPr>
          <w:trHeight w:val="253"/>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21977F3C" w14:textId="77777777" w:rsidR="0020634E" w:rsidRPr="000C4A54" w:rsidRDefault="0020634E" w:rsidP="0020634E">
            <w:pPr>
              <w:rPr>
                <w:rFonts w:ascii="Arial" w:hAnsi="Arial" w:cs="Arial"/>
                <w:b w:val="0"/>
                <w:color w:val="215868" w:themeColor="accent5" w:themeShade="80"/>
                <w:sz w:val="18"/>
                <w:szCs w:val="18"/>
              </w:rPr>
            </w:pPr>
            <w:r w:rsidRPr="000C4A54">
              <w:rPr>
                <w:rFonts w:ascii="Arial" w:hAnsi="Arial" w:cs="Arial"/>
                <w:b w:val="0"/>
                <w:color w:val="215868" w:themeColor="accent5" w:themeShade="80"/>
                <w:sz w:val="18"/>
                <w:szCs w:val="18"/>
              </w:rPr>
              <w:t>Carrots</w:t>
            </w:r>
          </w:p>
        </w:tc>
        <w:tc>
          <w:tcPr>
            <w:tcW w:w="1023" w:type="dxa"/>
            <w:gridSpan w:val="3"/>
            <w:vAlign w:val="center"/>
          </w:tcPr>
          <w:p w14:paraId="4BF8F431" w14:textId="6F5C7F26"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w:t>
            </w:r>
            <w:r w:rsidR="00BE4D67">
              <w:rPr>
                <w:rFonts w:ascii="Arial" w:hAnsi="Arial" w:cs="Arial"/>
                <w:color w:val="215868" w:themeColor="accent5" w:themeShade="80"/>
                <w:sz w:val="18"/>
                <w:szCs w:val="18"/>
              </w:rPr>
              <w:t>2</w:t>
            </w:r>
            <w:r w:rsidRPr="000C4A54">
              <w:rPr>
                <w:rFonts w:ascii="Arial" w:hAnsi="Arial" w:cs="Arial"/>
                <w:color w:val="215868" w:themeColor="accent5" w:themeShade="80"/>
                <w:sz w:val="18"/>
                <w:szCs w:val="18"/>
              </w:rPr>
              <w:t>%</w:t>
            </w:r>
          </w:p>
        </w:tc>
        <w:tc>
          <w:tcPr>
            <w:tcW w:w="846" w:type="dxa"/>
            <w:gridSpan w:val="2"/>
            <w:vAlign w:val="center"/>
          </w:tcPr>
          <w:p w14:paraId="28BCDC03" w14:textId="0964209E"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+7.3%</w:t>
            </w:r>
          </w:p>
        </w:tc>
        <w:tc>
          <w:tcPr>
            <w:tcW w:w="846" w:type="dxa"/>
            <w:gridSpan w:val="2"/>
            <w:vAlign w:val="center"/>
          </w:tcPr>
          <w:p w14:paraId="70511B41" w14:textId="08C2C479"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-5.1%</w:t>
            </w:r>
          </w:p>
        </w:tc>
        <w:tc>
          <w:tcPr>
            <w:tcW w:w="845" w:type="dxa"/>
            <w:vAlign w:val="center"/>
          </w:tcPr>
          <w:p w14:paraId="728F8758" w14:textId="35D06469"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-7.5%</w:t>
            </w:r>
          </w:p>
        </w:tc>
        <w:tc>
          <w:tcPr>
            <w:tcW w:w="846" w:type="dxa"/>
            <w:vAlign w:val="center"/>
          </w:tcPr>
          <w:p w14:paraId="07482931" w14:textId="1405F8D3"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color w:val="215868" w:themeColor="accent5" w:themeShade="80"/>
                <w:sz w:val="18"/>
                <w:szCs w:val="18"/>
              </w:rPr>
              <w:t>0.0%</w:t>
            </w:r>
          </w:p>
        </w:tc>
        <w:tc>
          <w:tcPr>
            <w:tcW w:w="846" w:type="dxa"/>
            <w:vAlign w:val="center"/>
          </w:tcPr>
          <w:p w14:paraId="7660F7C4" w14:textId="77777777"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bCs/>
                <w:color w:val="215868" w:themeColor="accent5" w:themeShade="80"/>
                <w:sz w:val="18"/>
                <w:szCs w:val="18"/>
              </w:rPr>
              <w:t>+1.0%</w:t>
            </w:r>
          </w:p>
        </w:tc>
        <w:tc>
          <w:tcPr>
            <w:tcW w:w="845" w:type="dxa"/>
            <w:vAlign w:val="center"/>
          </w:tcPr>
          <w:p w14:paraId="010E1889" w14:textId="5D9F506C"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0C4A54">
              <w:rPr>
                <w:rFonts w:ascii="Arial" w:hAnsi="Arial" w:cs="Arial"/>
                <w:color w:val="215868" w:themeColor="accent5" w:themeShade="80"/>
                <w:sz w:val="18"/>
                <w:szCs w:val="18"/>
              </w:rPr>
              <w:t>+3.5%</w:t>
            </w:r>
          </w:p>
        </w:tc>
        <w:tc>
          <w:tcPr>
            <w:tcW w:w="846" w:type="dxa"/>
            <w:vAlign w:val="center"/>
          </w:tcPr>
          <w:p w14:paraId="5E498686" w14:textId="3E0DE459"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0C4A54">
              <w:rPr>
                <w:rFonts w:ascii="Arial" w:hAnsi="Arial" w:cs="Arial"/>
                <w:color w:val="215868" w:themeColor="accent5" w:themeShade="80"/>
                <w:sz w:val="18"/>
                <w:szCs w:val="18"/>
              </w:rPr>
              <w:t>+</w:t>
            </w:r>
            <w:r w:rsidR="00017BCE">
              <w:rPr>
                <w:rFonts w:ascii="Arial" w:hAnsi="Arial" w:cs="Arial"/>
                <w:color w:val="215868" w:themeColor="accent5" w:themeShade="80"/>
                <w:sz w:val="18"/>
                <w:szCs w:val="18"/>
              </w:rPr>
              <w:t>4.0</w:t>
            </w:r>
            <w:r w:rsidRPr="000C4A54">
              <w:rPr>
                <w:rFonts w:ascii="Arial" w:hAnsi="Arial" w:cs="Arial"/>
                <w:color w:val="215868" w:themeColor="accent5" w:themeShade="80"/>
                <w:sz w:val="18"/>
                <w:szCs w:val="18"/>
              </w:rPr>
              <w:t>%</w:t>
            </w:r>
          </w:p>
        </w:tc>
        <w:tc>
          <w:tcPr>
            <w:tcW w:w="846" w:type="dxa"/>
            <w:vAlign w:val="center"/>
          </w:tcPr>
          <w:p w14:paraId="6AEA9183" w14:textId="3B4D0A40"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92</w:t>
            </w:r>
            <w:r w:rsidRPr="000C4A54">
              <w:rPr>
                <w:rFonts w:ascii="Arial" w:hAnsi="Arial" w:cs="Arial"/>
                <w:bCs/>
                <w:color w:val="215868" w:themeColor="accent5" w:themeShade="80"/>
                <w:sz w:val="18"/>
                <w:szCs w:val="18"/>
              </w:rPr>
              <w:t>M</w:t>
            </w:r>
          </w:p>
        </w:tc>
        <w:tc>
          <w:tcPr>
            <w:tcW w:w="846" w:type="dxa"/>
            <w:vAlign w:val="center"/>
          </w:tcPr>
          <w:p w14:paraId="14CFFCD7" w14:textId="461F4549"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3.1</w:t>
            </w:r>
            <w:r w:rsidRPr="000C4A54">
              <w:rPr>
                <w:rFonts w:ascii="Arial" w:hAnsi="Arial" w:cs="Arial"/>
                <w:bCs/>
                <w:color w:val="215868" w:themeColor="accent5" w:themeShade="80"/>
                <w:sz w:val="18"/>
                <w:szCs w:val="18"/>
              </w:rPr>
              <w:t>%</w:t>
            </w:r>
          </w:p>
        </w:tc>
        <w:tc>
          <w:tcPr>
            <w:tcW w:w="846" w:type="dxa"/>
            <w:vAlign w:val="center"/>
          </w:tcPr>
          <w:p w14:paraId="0A237902" w14:textId="410D2D8F" w:rsidR="0020634E" w:rsidRPr="000C4A54" w:rsidRDefault="0020634E" w:rsidP="002063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0C4A54">
              <w:rPr>
                <w:rFonts w:ascii="Arial" w:hAnsi="Arial" w:cs="Arial"/>
                <w:bCs/>
                <w:color w:val="215868" w:themeColor="accent5" w:themeShade="80"/>
                <w:sz w:val="18"/>
                <w:szCs w:val="18"/>
              </w:rPr>
              <w:t>-</w:t>
            </w:r>
            <w:r w:rsidR="00017BCE">
              <w:rPr>
                <w:rFonts w:ascii="Arial" w:hAnsi="Arial" w:cs="Arial"/>
                <w:bCs/>
                <w:color w:val="215868" w:themeColor="accent5" w:themeShade="80"/>
                <w:sz w:val="18"/>
                <w:szCs w:val="18"/>
              </w:rPr>
              <w:t>2.7</w:t>
            </w:r>
            <w:r w:rsidRPr="000C4A54">
              <w:rPr>
                <w:rFonts w:ascii="Arial" w:hAnsi="Arial" w:cs="Arial"/>
                <w:bCs/>
                <w:color w:val="215868" w:themeColor="accent5" w:themeShade="80"/>
                <w:sz w:val="18"/>
                <w:szCs w:val="18"/>
              </w:rPr>
              <w:t>%</w:t>
            </w:r>
          </w:p>
        </w:tc>
      </w:tr>
    </w:tbl>
    <w:p w14:paraId="4466B100" w14:textId="77777777" w:rsidR="00CB1955" w:rsidRPr="0009337A" w:rsidRDefault="00CB1955" w:rsidP="00EC2806">
      <w:pPr>
        <w:pStyle w:val="NoSpacing"/>
        <w:rPr>
          <w:rFonts w:ascii="Arial" w:hAnsi="Arial" w:cs="Arial"/>
          <w:sz w:val="14"/>
          <w:szCs w:val="4"/>
        </w:rPr>
      </w:pPr>
    </w:p>
    <w:p w14:paraId="32A125DE" w14:textId="77777777" w:rsidR="00EC2806" w:rsidRPr="00B35CE9" w:rsidRDefault="00EC2806" w:rsidP="00EC2806">
      <w:pPr>
        <w:pStyle w:val="NoSpacing"/>
        <w:rPr>
          <w:rFonts w:ascii="Arial" w:hAnsi="Arial" w:cs="Arial"/>
          <w:sz w:val="16"/>
          <w:szCs w:val="16"/>
        </w:rPr>
      </w:pPr>
      <w:r w:rsidRPr="00B35CE9">
        <w:rPr>
          <w:rFonts w:ascii="Arial" w:hAnsi="Arial" w:cs="Arial"/>
          <w:sz w:val="16"/>
          <w:szCs w:val="16"/>
        </w:rPr>
        <w:t>Source: Source:</w:t>
      </w:r>
      <w:r w:rsidR="007E5948">
        <w:rPr>
          <w:rFonts w:ascii="Arial" w:hAnsi="Arial" w:cs="Arial"/>
          <w:sz w:val="16"/>
          <w:szCs w:val="16"/>
        </w:rPr>
        <w:t xml:space="preserve"> IRI</w:t>
      </w:r>
      <w:r w:rsidR="00012355">
        <w:rPr>
          <w:rFonts w:ascii="Arial" w:hAnsi="Arial" w:cs="Arial"/>
          <w:sz w:val="16"/>
          <w:szCs w:val="16"/>
        </w:rPr>
        <w:t xml:space="preserve"> Integrated Fresh</w:t>
      </w:r>
      <w:r w:rsidR="007E5948">
        <w:rPr>
          <w:rFonts w:ascii="Arial" w:hAnsi="Arial" w:cs="Arial"/>
          <w:sz w:val="16"/>
          <w:szCs w:val="16"/>
        </w:rPr>
        <w:t>, Total U.S., MULO</w:t>
      </w:r>
    </w:p>
    <w:p w14:paraId="6B367975" w14:textId="77777777" w:rsidR="00F8382F" w:rsidRDefault="00F8382F" w:rsidP="00D77735">
      <w:pPr>
        <w:spacing w:after="0" w:line="240" w:lineRule="auto"/>
        <w:rPr>
          <w:rFonts w:ascii="Arial" w:hAnsi="Arial" w:cs="Arial"/>
          <w:b/>
          <w:color w:val="595959" w:themeColor="text1" w:themeTint="A6"/>
          <w:sz w:val="24"/>
          <w:szCs w:val="24"/>
        </w:rPr>
      </w:pPr>
    </w:p>
    <w:p w14:paraId="23DE661B" w14:textId="67671ABD" w:rsidR="009E5261" w:rsidRPr="001A4F53" w:rsidRDefault="00280853" w:rsidP="009E5261">
      <w:pPr>
        <w:pStyle w:val="NoSpacing"/>
        <w:rPr>
          <w:rFonts w:ascii="Arial" w:hAnsi="Arial" w:cs="Arial"/>
          <w:b/>
          <w:color w:val="595959" w:themeColor="text1" w:themeTint="A6"/>
          <w:sz w:val="24"/>
          <w:szCs w:val="20"/>
        </w:rPr>
      </w:pPr>
      <w:r>
        <w:rPr>
          <w:rFonts w:ascii="Arial" w:hAnsi="Arial" w:cs="Arial"/>
          <w:b/>
          <w:color w:val="595959" w:themeColor="text1" w:themeTint="A6"/>
          <w:sz w:val="24"/>
          <w:szCs w:val="20"/>
        </w:rPr>
        <w:t xml:space="preserve">Fresh Produce </w:t>
      </w:r>
      <w:r w:rsidR="009E5261" w:rsidRPr="005E2F61">
        <w:rPr>
          <w:rFonts w:ascii="Arial" w:hAnsi="Arial" w:cs="Arial"/>
          <w:b/>
          <w:color w:val="595959" w:themeColor="text1" w:themeTint="A6"/>
          <w:sz w:val="24"/>
          <w:szCs w:val="20"/>
        </w:rPr>
        <w:t xml:space="preserve">Absolute Dollar </w:t>
      </w:r>
      <w:r>
        <w:rPr>
          <w:rFonts w:ascii="Arial" w:hAnsi="Arial" w:cs="Arial"/>
          <w:b/>
          <w:color w:val="595959" w:themeColor="text1" w:themeTint="A6"/>
          <w:sz w:val="24"/>
          <w:szCs w:val="20"/>
        </w:rPr>
        <w:t>Gains</w:t>
      </w:r>
    </w:p>
    <w:p w14:paraId="25FFE32A" w14:textId="725E23C1" w:rsidR="009E5261" w:rsidRPr="00B35CE9" w:rsidRDefault="00CC484B" w:rsidP="009E5261">
      <w:pPr>
        <w:pStyle w:val="NoSpacing"/>
        <w:rPr>
          <w:rFonts w:ascii="Arial" w:hAnsi="Arial" w:cs="Arial"/>
          <w:sz w:val="20"/>
          <w:szCs w:val="20"/>
        </w:rPr>
      </w:pPr>
      <w:r>
        <w:rPr>
          <w:rFonts w:ascii="Arial" w:hAnsi="Arial" w:cs="Arial"/>
          <w:sz w:val="20"/>
          <w:szCs w:val="20"/>
        </w:rPr>
        <w:t xml:space="preserve">In </w:t>
      </w:r>
      <w:r w:rsidR="005625F4">
        <w:rPr>
          <w:rFonts w:ascii="Arial" w:hAnsi="Arial" w:cs="Arial"/>
          <w:sz w:val="20"/>
          <w:szCs w:val="20"/>
        </w:rPr>
        <w:t xml:space="preserve">June </w:t>
      </w:r>
      <w:r>
        <w:rPr>
          <w:rFonts w:ascii="Arial" w:hAnsi="Arial" w:cs="Arial"/>
          <w:sz w:val="20"/>
          <w:szCs w:val="20"/>
        </w:rPr>
        <w:t>2022, fresh fruit added $</w:t>
      </w:r>
      <w:r w:rsidR="000B0895">
        <w:rPr>
          <w:rFonts w:ascii="Arial" w:hAnsi="Arial" w:cs="Arial"/>
          <w:sz w:val="20"/>
          <w:szCs w:val="20"/>
        </w:rPr>
        <w:t>78</w:t>
      </w:r>
      <w:r>
        <w:rPr>
          <w:rFonts w:ascii="Arial" w:hAnsi="Arial" w:cs="Arial"/>
          <w:sz w:val="20"/>
          <w:szCs w:val="20"/>
        </w:rPr>
        <w:t xml:space="preserve"> million in sales and vegetables added $</w:t>
      </w:r>
      <w:r w:rsidR="000B0895">
        <w:rPr>
          <w:rFonts w:ascii="Arial" w:hAnsi="Arial" w:cs="Arial"/>
          <w:sz w:val="20"/>
          <w:szCs w:val="20"/>
        </w:rPr>
        <w:t>93</w:t>
      </w:r>
      <w:r>
        <w:rPr>
          <w:rFonts w:ascii="Arial" w:hAnsi="Arial" w:cs="Arial"/>
          <w:sz w:val="20"/>
          <w:szCs w:val="20"/>
        </w:rPr>
        <w:t xml:space="preserve"> million when compared to </w:t>
      </w:r>
      <w:r w:rsidR="000B0895">
        <w:rPr>
          <w:rFonts w:ascii="Arial" w:hAnsi="Arial" w:cs="Arial"/>
          <w:sz w:val="20"/>
          <w:szCs w:val="20"/>
        </w:rPr>
        <w:t xml:space="preserve">June </w:t>
      </w:r>
      <w:r>
        <w:rPr>
          <w:rFonts w:ascii="Arial" w:hAnsi="Arial" w:cs="Arial"/>
          <w:sz w:val="20"/>
          <w:szCs w:val="20"/>
        </w:rPr>
        <w:t xml:space="preserve">2021. </w:t>
      </w:r>
      <w:r w:rsidR="009E5261">
        <w:rPr>
          <w:rFonts w:ascii="Arial" w:hAnsi="Arial" w:cs="Arial"/>
          <w:sz w:val="20"/>
          <w:szCs w:val="20"/>
        </w:rPr>
        <w:t>“</w:t>
      </w:r>
      <w:r w:rsidR="0064098A">
        <w:rPr>
          <w:rFonts w:ascii="Arial" w:hAnsi="Arial" w:cs="Arial"/>
          <w:sz w:val="20"/>
          <w:szCs w:val="20"/>
        </w:rPr>
        <w:t xml:space="preserve">The </w:t>
      </w:r>
      <w:r w:rsidR="00E4420B">
        <w:rPr>
          <w:rFonts w:ascii="Arial" w:hAnsi="Arial" w:cs="Arial"/>
          <w:sz w:val="20"/>
          <w:szCs w:val="20"/>
        </w:rPr>
        <w:t xml:space="preserve">top 10 </w:t>
      </w:r>
      <w:r w:rsidR="00A225C7">
        <w:rPr>
          <w:rFonts w:ascii="Arial" w:hAnsi="Arial" w:cs="Arial"/>
          <w:sz w:val="20"/>
          <w:szCs w:val="20"/>
        </w:rPr>
        <w:t xml:space="preserve">in absolute dollar gains </w:t>
      </w:r>
      <w:r w:rsidR="00BE7DBD">
        <w:rPr>
          <w:rFonts w:ascii="Arial" w:hAnsi="Arial" w:cs="Arial"/>
          <w:sz w:val="20"/>
          <w:szCs w:val="20"/>
        </w:rPr>
        <w:t xml:space="preserve">shows </w:t>
      </w:r>
      <w:r w:rsidR="0064098A">
        <w:rPr>
          <w:rFonts w:ascii="Arial" w:hAnsi="Arial" w:cs="Arial"/>
          <w:sz w:val="20"/>
          <w:szCs w:val="20"/>
        </w:rPr>
        <w:t>the rising impact of inflation which tends to push shoppers to versatile cooking basics and cost-effective fruits, generally with an eye on shelf life</w:t>
      </w:r>
      <w:r w:rsidR="004D26B3">
        <w:rPr>
          <w:rFonts w:ascii="Arial" w:hAnsi="Arial" w:cs="Arial"/>
          <w:sz w:val="20"/>
          <w:szCs w:val="20"/>
        </w:rPr>
        <w:t>,</w:t>
      </w:r>
      <w:r w:rsidR="009E5261">
        <w:rPr>
          <w:rFonts w:ascii="Arial" w:hAnsi="Arial" w:cs="Arial"/>
          <w:sz w:val="20"/>
          <w:szCs w:val="20"/>
        </w:rPr>
        <w:t>”</w:t>
      </w:r>
      <w:r w:rsidR="004D26B3">
        <w:rPr>
          <w:rFonts w:ascii="Arial" w:hAnsi="Arial" w:cs="Arial"/>
          <w:sz w:val="20"/>
          <w:szCs w:val="20"/>
        </w:rPr>
        <w:t xml:space="preserve"> said </w:t>
      </w:r>
      <w:r w:rsidR="000D5031">
        <w:rPr>
          <w:rFonts w:ascii="Arial" w:hAnsi="Arial" w:cs="Arial"/>
          <w:sz w:val="20"/>
          <w:szCs w:val="20"/>
        </w:rPr>
        <w:t>Parker</w:t>
      </w:r>
      <w:r w:rsidR="004D26B3">
        <w:rPr>
          <w:rFonts w:ascii="Arial" w:hAnsi="Arial" w:cs="Arial"/>
          <w:sz w:val="20"/>
          <w:szCs w:val="20"/>
        </w:rPr>
        <w:t>. “</w:t>
      </w:r>
      <w:r w:rsidR="000B0895">
        <w:rPr>
          <w:rFonts w:ascii="Arial" w:hAnsi="Arial" w:cs="Arial"/>
          <w:sz w:val="20"/>
          <w:szCs w:val="20"/>
        </w:rPr>
        <w:t>But summer outdoor entertaining and the wide variety of in-season fruit is also driving growth</w:t>
      </w:r>
      <w:r w:rsidR="00B26A33">
        <w:rPr>
          <w:rFonts w:ascii="Arial" w:hAnsi="Arial" w:cs="Arial"/>
          <w:sz w:val="20"/>
          <w:szCs w:val="20"/>
        </w:rPr>
        <w:t>.</w:t>
      </w:r>
      <w:r w:rsidR="000B0895">
        <w:rPr>
          <w:rFonts w:ascii="Arial" w:hAnsi="Arial" w:cs="Arial"/>
          <w:sz w:val="20"/>
          <w:szCs w:val="20"/>
        </w:rPr>
        <w:t xml:space="preserve"> Peaches, plums and pineapples are all relatively small sellers that managed to add significant new dollars in June.</w:t>
      </w:r>
      <w:r w:rsidR="006A12EC">
        <w:rPr>
          <w:rFonts w:ascii="Arial" w:hAnsi="Arial" w:cs="Arial"/>
          <w:sz w:val="20"/>
          <w:szCs w:val="20"/>
        </w:rPr>
        <w:t>”</w:t>
      </w:r>
    </w:p>
    <w:p w14:paraId="64BA956D" w14:textId="77777777" w:rsidR="00470A5F" w:rsidRDefault="00470A5F" w:rsidP="009E5261">
      <w:pPr>
        <w:pStyle w:val="NoSpacing"/>
        <w:rPr>
          <w:rFonts w:ascii="Arial" w:hAnsi="Arial" w:cs="Arial"/>
          <w:sz w:val="10"/>
          <w:szCs w:val="10"/>
        </w:rPr>
      </w:pPr>
    </w:p>
    <w:p w14:paraId="65036843" w14:textId="77777777" w:rsidR="00470A5F" w:rsidRPr="00E62AA9" w:rsidRDefault="00470A5F" w:rsidP="009E5261">
      <w:pPr>
        <w:pStyle w:val="NoSpacing"/>
        <w:rPr>
          <w:rFonts w:ascii="Arial" w:hAnsi="Arial" w:cs="Arial"/>
          <w:sz w:val="10"/>
          <w:szCs w:val="10"/>
        </w:rPr>
      </w:pPr>
    </w:p>
    <w:tbl>
      <w:tblPr>
        <w:tblStyle w:val="LightShading-Accent5"/>
        <w:tblW w:w="10458" w:type="dxa"/>
        <w:tblBorders>
          <w:top w:val="none" w:sz="0" w:space="0" w:color="auto"/>
          <w:bottom w:val="none" w:sz="0" w:space="0" w:color="auto"/>
        </w:tblBorders>
        <w:tblLook w:val="04A0" w:firstRow="1" w:lastRow="0" w:firstColumn="1" w:lastColumn="0" w:noHBand="0" w:noVBand="1"/>
      </w:tblPr>
      <w:tblGrid>
        <w:gridCol w:w="3008"/>
        <w:gridCol w:w="1862"/>
        <w:gridCol w:w="1863"/>
        <w:gridCol w:w="1862"/>
        <w:gridCol w:w="600"/>
        <w:gridCol w:w="1263"/>
      </w:tblGrid>
      <w:tr w:rsidR="0087772C" w:rsidRPr="00764049" w14:paraId="6F319179" w14:textId="77777777" w:rsidTr="0087772C">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EC3C13C" w14:textId="0DC57089" w:rsidR="0087772C" w:rsidRPr="001A4F53" w:rsidRDefault="00B845A9" w:rsidP="00F103B9">
            <w:pPr>
              <w:pStyle w:val="NoSpacing"/>
              <w:rPr>
                <w:rFonts w:ascii="Arial" w:hAnsi="Arial" w:cs="Arial"/>
                <w:color w:val="FFFFFF" w:themeColor="background1"/>
                <w:sz w:val="18"/>
                <w:szCs w:val="18"/>
              </w:rPr>
            </w:pPr>
            <w:r>
              <w:rPr>
                <w:rFonts w:ascii="Arial" w:hAnsi="Arial" w:cs="Arial"/>
                <w:color w:val="FFFFFF" w:themeColor="background1"/>
                <w:sz w:val="18"/>
                <w:szCs w:val="18"/>
              </w:rPr>
              <w:t>June</w:t>
            </w:r>
            <w:r w:rsidR="000D3B17">
              <w:rPr>
                <w:rFonts w:ascii="Arial" w:hAnsi="Arial" w:cs="Arial"/>
                <w:color w:val="FFFFFF" w:themeColor="background1"/>
                <w:sz w:val="18"/>
                <w:szCs w:val="18"/>
              </w:rPr>
              <w:t xml:space="preserve"> </w:t>
            </w:r>
            <w:r w:rsidR="002C11A9">
              <w:rPr>
                <w:rFonts w:ascii="Arial" w:hAnsi="Arial" w:cs="Arial"/>
                <w:color w:val="FFFFFF" w:themeColor="background1"/>
                <w:sz w:val="18"/>
                <w:szCs w:val="18"/>
              </w:rPr>
              <w:t>2022</w:t>
            </w:r>
          </w:p>
        </w:tc>
        <w:tc>
          <w:tcPr>
            <w:tcW w:w="6187" w:type="dxa"/>
            <w:gridSpan w:val="4"/>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6D8EE0B" w14:textId="77777777" w:rsidR="0087772C" w:rsidRPr="001A4F53" w:rsidRDefault="0087772C" w:rsidP="002C11A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Versus comparable period</w:t>
            </w:r>
            <w:r w:rsidRPr="001A4F53">
              <w:rPr>
                <w:rFonts w:ascii="Arial" w:hAnsi="Arial" w:cs="Arial"/>
                <w:color w:val="FFFFFF" w:themeColor="background1"/>
                <w:sz w:val="18"/>
                <w:szCs w:val="18"/>
              </w:rPr>
              <w:t xml:space="preserve"> in 20</w:t>
            </w:r>
            <w:r>
              <w:rPr>
                <w:rFonts w:ascii="Arial" w:hAnsi="Arial" w:cs="Arial"/>
                <w:color w:val="FFFFFF" w:themeColor="background1"/>
                <w:sz w:val="18"/>
                <w:szCs w:val="18"/>
              </w:rPr>
              <w:t>2</w:t>
            </w:r>
            <w:r w:rsidR="002C11A9">
              <w:rPr>
                <w:rFonts w:ascii="Arial" w:hAnsi="Arial" w:cs="Arial"/>
                <w:color w:val="FFFFFF" w:themeColor="background1"/>
                <w:sz w:val="18"/>
                <w:szCs w:val="18"/>
              </w:rPr>
              <w:t>1</w:t>
            </w:r>
          </w:p>
        </w:tc>
        <w:tc>
          <w:tcPr>
            <w:tcW w:w="1263"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B30EE45" w14:textId="77777777" w:rsidR="0087772C" w:rsidRDefault="0087772C"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87772C" w:rsidRPr="00764049" w14:paraId="74A228B9" w14:textId="77777777" w:rsidTr="0087772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left w:val="none" w:sz="0" w:space="0" w:color="auto"/>
              <w:right w:val="none" w:sz="0" w:space="0" w:color="auto"/>
            </w:tcBorders>
            <w:shd w:val="clear" w:color="auto" w:fill="17365D" w:themeFill="text2" w:themeFillShade="BF"/>
            <w:vAlign w:val="center"/>
          </w:tcPr>
          <w:p w14:paraId="5BA6C8F0" w14:textId="77777777" w:rsidR="0087772C" w:rsidRPr="001A4F53" w:rsidRDefault="0087772C" w:rsidP="00F103B9">
            <w:pPr>
              <w:pStyle w:val="NoSpacing"/>
              <w:rPr>
                <w:rFonts w:ascii="Arial" w:hAnsi="Arial" w:cs="Arial"/>
                <w:color w:val="FFFFFF" w:themeColor="background1"/>
                <w:sz w:val="18"/>
                <w:szCs w:val="18"/>
              </w:rPr>
            </w:pPr>
            <w:r w:rsidRPr="001A4F53">
              <w:rPr>
                <w:rFonts w:ascii="Arial" w:hAnsi="Arial" w:cs="Arial"/>
                <w:color w:val="FFFFFF" w:themeColor="background1"/>
                <w:sz w:val="18"/>
                <w:szCs w:val="18"/>
              </w:rPr>
              <w:t xml:space="preserve">Top 10 produce items in absolute dollar growth </w:t>
            </w:r>
          </w:p>
        </w:tc>
        <w:tc>
          <w:tcPr>
            <w:tcW w:w="1862" w:type="dxa"/>
            <w:tcBorders>
              <w:left w:val="none" w:sz="0" w:space="0" w:color="auto"/>
              <w:right w:val="none" w:sz="0" w:space="0" w:color="auto"/>
            </w:tcBorders>
            <w:shd w:val="clear" w:color="auto" w:fill="17365D" w:themeFill="text2" w:themeFillShade="BF"/>
            <w:vAlign w:val="center"/>
          </w:tcPr>
          <w:p w14:paraId="2877944D" w14:textId="18931E02"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 xml:space="preserve">Absolute </w:t>
            </w:r>
            <w:r w:rsidR="001C54D9">
              <w:rPr>
                <w:rFonts w:ascii="Arial" w:hAnsi="Arial" w:cs="Arial"/>
                <w:b/>
                <w:color w:val="FFFFFF" w:themeColor="background1"/>
                <w:sz w:val="18"/>
                <w:szCs w:val="18"/>
              </w:rPr>
              <w:br/>
            </w:r>
            <w:r w:rsidRPr="001A4F53">
              <w:rPr>
                <w:rFonts w:ascii="Arial" w:hAnsi="Arial" w:cs="Arial"/>
                <w:b/>
                <w:color w:val="FFFFFF" w:themeColor="background1"/>
                <w:sz w:val="18"/>
                <w:szCs w:val="18"/>
              </w:rPr>
              <w:t xml:space="preserve">dollar gain </w:t>
            </w:r>
          </w:p>
        </w:tc>
        <w:tc>
          <w:tcPr>
            <w:tcW w:w="1863" w:type="dxa"/>
            <w:tcBorders>
              <w:left w:val="none" w:sz="0" w:space="0" w:color="auto"/>
              <w:right w:val="none" w:sz="0" w:space="0" w:color="auto"/>
            </w:tcBorders>
            <w:shd w:val="clear" w:color="auto" w:fill="17365D" w:themeFill="text2" w:themeFillShade="BF"/>
            <w:vAlign w:val="center"/>
          </w:tcPr>
          <w:p w14:paraId="0E812425" w14:textId="6DA2C602"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 xml:space="preserve">Dollar </w:t>
            </w:r>
            <w:r w:rsidR="001C54D9">
              <w:rPr>
                <w:rFonts w:ascii="Arial" w:hAnsi="Arial" w:cs="Arial"/>
                <w:b/>
                <w:color w:val="FFFFFF" w:themeColor="background1"/>
                <w:sz w:val="18"/>
                <w:szCs w:val="18"/>
              </w:rPr>
              <w:br/>
            </w:r>
            <w:r w:rsidRPr="001A4F53">
              <w:rPr>
                <w:rFonts w:ascii="Arial" w:hAnsi="Arial" w:cs="Arial"/>
                <w:b/>
                <w:color w:val="FFFFFF" w:themeColor="background1"/>
                <w:sz w:val="18"/>
                <w:szCs w:val="18"/>
              </w:rPr>
              <w:t xml:space="preserve">% </w:t>
            </w:r>
            <w:r>
              <w:rPr>
                <w:rFonts w:ascii="Arial" w:hAnsi="Arial" w:cs="Arial"/>
                <w:b/>
                <w:color w:val="FFFFFF" w:themeColor="background1"/>
                <w:sz w:val="18"/>
                <w:szCs w:val="18"/>
              </w:rPr>
              <w:t>growth</w:t>
            </w:r>
          </w:p>
        </w:tc>
        <w:tc>
          <w:tcPr>
            <w:tcW w:w="1862" w:type="dxa"/>
            <w:tcBorders>
              <w:left w:val="none" w:sz="0" w:space="0" w:color="auto"/>
              <w:right w:val="none" w:sz="0" w:space="0" w:color="auto"/>
            </w:tcBorders>
            <w:shd w:val="clear" w:color="auto" w:fill="17365D" w:themeFill="text2" w:themeFillShade="BF"/>
            <w:vAlign w:val="center"/>
          </w:tcPr>
          <w:p w14:paraId="0B544E93" w14:textId="5EF30020"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 xml:space="preserve">Total </w:t>
            </w:r>
            <w:r w:rsidR="001C54D9">
              <w:rPr>
                <w:rFonts w:ascii="Arial" w:hAnsi="Arial" w:cs="Arial"/>
                <w:b/>
                <w:color w:val="FFFFFF" w:themeColor="background1"/>
                <w:sz w:val="18"/>
                <w:szCs w:val="18"/>
              </w:rPr>
              <w:br/>
            </w:r>
            <w:r w:rsidRPr="001A4F53">
              <w:rPr>
                <w:rFonts w:ascii="Arial" w:hAnsi="Arial" w:cs="Arial"/>
                <w:b/>
                <w:color w:val="FFFFFF" w:themeColor="background1"/>
                <w:sz w:val="18"/>
                <w:szCs w:val="18"/>
              </w:rPr>
              <w:t>dollar sales</w:t>
            </w:r>
          </w:p>
        </w:tc>
        <w:tc>
          <w:tcPr>
            <w:tcW w:w="1863" w:type="dxa"/>
            <w:gridSpan w:val="2"/>
            <w:tcBorders>
              <w:left w:val="none" w:sz="0" w:space="0" w:color="auto"/>
              <w:right w:val="none" w:sz="0" w:space="0" w:color="auto"/>
            </w:tcBorders>
            <w:shd w:val="clear" w:color="auto" w:fill="17365D" w:themeFill="text2" w:themeFillShade="BF"/>
          </w:tcPr>
          <w:p w14:paraId="3C571A8B" w14:textId="57CAFA7C" w:rsidR="0087772C" w:rsidRPr="001A4F53" w:rsidRDefault="00BE7DBD"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Change </w:t>
            </w:r>
            <w:r w:rsidR="0087772C">
              <w:rPr>
                <w:rFonts w:ascii="Arial" w:hAnsi="Arial" w:cs="Arial"/>
                <w:b/>
                <w:color w:val="FFFFFF" w:themeColor="background1"/>
                <w:sz w:val="18"/>
                <w:szCs w:val="18"/>
              </w:rPr>
              <w:t>in price per pound</w:t>
            </w:r>
          </w:p>
        </w:tc>
      </w:tr>
      <w:tr w:rsidR="0087772C" w:rsidRPr="0039690E" w14:paraId="04F1D0AF" w14:textId="77777777" w:rsidTr="0087772C">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C01466F" w14:textId="47BAF85D" w:rsidR="0087772C" w:rsidRPr="0039690E" w:rsidRDefault="007C182F" w:rsidP="000166DA">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Onions</w:t>
            </w:r>
          </w:p>
        </w:tc>
        <w:tc>
          <w:tcPr>
            <w:tcW w:w="1862" w:type="dxa"/>
            <w:vAlign w:val="center"/>
          </w:tcPr>
          <w:p w14:paraId="27F7C24E" w14:textId="0ED24923" w:rsidR="0087772C" w:rsidRPr="0039690E" w:rsidRDefault="002C11A9"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37.7</w:t>
            </w:r>
            <w:r w:rsidR="000D3B17">
              <w:rPr>
                <w:rFonts w:ascii="Arial" w:hAnsi="Arial" w:cs="Arial"/>
                <w:color w:val="215868" w:themeColor="accent5" w:themeShade="80"/>
                <w:sz w:val="18"/>
                <w:szCs w:val="18"/>
              </w:rPr>
              <w:t>M</w:t>
            </w:r>
          </w:p>
        </w:tc>
        <w:tc>
          <w:tcPr>
            <w:tcW w:w="1863" w:type="dxa"/>
            <w:vAlign w:val="center"/>
          </w:tcPr>
          <w:p w14:paraId="66E5E3BB" w14:textId="2EA0339B" w:rsidR="0087772C" w:rsidRPr="0039690E" w:rsidRDefault="0087772C"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39690E">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21.8</w:t>
            </w:r>
            <w:r w:rsidRPr="0039690E">
              <w:rPr>
                <w:rFonts w:ascii="Arial" w:hAnsi="Arial" w:cs="Arial"/>
                <w:color w:val="215868" w:themeColor="accent5" w:themeShade="80"/>
                <w:sz w:val="18"/>
                <w:szCs w:val="18"/>
              </w:rPr>
              <w:t>%</w:t>
            </w:r>
          </w:p>
        </w:tc>
        <w:tc>
          <w:tcPr>
            <w:tcW w:w="1862" w:type="dxa"/>
            <w:vAlign w:val="center"/>
          </w:tcPr>
          <w:p w14:paraId="1C5E5C05" w14:textId="4EFADDF4" w:rsidR="0087772C" w:rsidRPr="0039690E" w:rsidRDefault="0087772C"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39690E">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211</w:t>
            </w:r>
            <w:r w:rsidRPr="0039690E">
              <w:rPr>
                <w:rFonts w:ascii="Arial" w:hAnsi="Arial" w:cs="Arial"/>
                <w:color w:val="215868" w:themeColor="accent5" w:themeShade="80"/>
                <w:sz w:val="18"/>
                <w:szCs w:val="18"/>
              </w:rPr>
              <w:t>M</w:t>
            </w:r>
          </w:p>
        </w:tc>
        <w:tc>
          <w:tcPr>
            <w:tcW w:w="1863" w:type="dxa"/>
            <w:gridSpan w:val="2"/>
          </w:tcPr>
          <w:p w14:paraId="6AFCF28C" w14:textId="1C5325D4" w:rsidR="0087772C" w:rsidRPr="0039690E" w:rsidRDefault="000D3B17"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19.9</w:t>
            </w:r>
            <w:r w:rsidR="0087772C">
              <w:rPr>
                <w:rFonts w:ascii="Arial" w:hAnsi="Arial" w:cs="Arial"/>
                <w:color w:val="215868" w:themeColor="accent5" w:themeShade="80"/>
                <w:sz w:val="18"/>
                <w:szCs w:val="18"/>
              </w:rPr>
              <w:t>%</w:t>
            </w:r>
          </w:p>
        </w:tc>
      </w:tr>
      <w:tr w:rsidR="00025202" w:rsidRPr="0039690E" w14:paraId="43381836" w14:textId="77777777" w:rsidTr="007228B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68569A2" w14:textId="1F8F1D12"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Potatoes</w:t>
            </w:r>
          </w:p>
        </w:tc>
        <w:tc>
          <w:tcPr>
            <w:tcW w:w="1862" w:type="dxa"/>
          </w:tcPr>
          <w:p w14:paraId="473224CC" w14:textId="3BEF216C"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B1671F">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32.2</w:t>
            </w:r>
            <w:r w:rsidRPr="00B1671F">
              <w:rPr>
                <w:rFonts w:ascii="Arial" w:hAnsi="Arial" w:cs="Arial"/>
                <w:color w:val="215868" w:themeColor="accent5" w:themeShade="80"/>
                <w:sz w:val="18"/>
                <w:szCs w:val="18"/>
              </w:rPr>
              <w:t>M</w:t>
            </w:r>
          </w:p>
        </w:tc>
        <w:tc>
          <w:tcPr>
            <w:tcW w:w="1863" w:type="dxa"/>
          </w:tcPr>
          <w:p w14:paraId="69BA81BF" w14:textId="15B557C5"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14.3</w:t>
            </w:r>
            <w:r w:rsidRPr="009E037C">
              <w:rPr>
                <w:rFonts w:ascii="Arial" w:hAnsi="Arial" w:cs="Arial"/>
                <w:color w:val="215868" w:themeColor="accent5" w:themeShade="80"/>
                <w:sz w:val="18"/>
                <w:szCs w:val="18"/>
              </w:rPr>
              <w:t>%</w:t>
            </w:r>
          </w:p>
        </w:tc>
        <w:tc>
          <w:tcPr>
            <w:tcW w:w="1862" w:type="dxa"/>
          </w:tcPr>
          <w:p w14:paraId="33105BD9" w14:textId="7790BBD2"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258</w:t>
            </w:r>
            <w:r w:rsidRPr="00FC3E4A">
              <w:rPr>
                <w:rFonts w:ascii="Arial" w:hAnsi="Arial" w:cs="Arial"/>
                <w:color w:val="215868" w:themeColor="accent5" w:themeShade="80"/>
                <w:sz w:val="18"/>
                <w:szCs w:val="18"/>
              </w:rPr>
              <w:t>M</w:t>
            </w:r>
          </w:p>
        </w:tc>
        <w:tc>
          <w:tcPr>
            <w:tcW w:w="1863" w:type="dxa"/>
            <w:gridSpan w:val="2"/>
          </w:tcPr>
          <w:p w14:paraId="15A0570C" w14:textId="28C75D17"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12.7</w:t>
            </w:r>
            <w:r>
              <w:rPr>
                <w:rFonts w:ascii="Arial" w:hAnsi="Arial" w:cs="Arial"/>
                <w:color w:val="215868" w:themeColor="accent5" w:themeShade="80"/>
                <w:sz w:val="18"/>
                <w:szCs w:val="18"/>
              </w:rPr>
              <w:t>%</w:t>
            </w:r>
          </w:p>
        </w:tc>
      </w:tr>
      <w:tr w:rsidR="00025202" w:rsidRPr="0039690E" w14:paraId="75511BE8" w14:textId="77777777" w:rsidTr="007228B7">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7DB301F9" w14:textId="10C63079"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Melons</w:t>
            </w:r>
          </w:p>
        </w:tc>
        <w:tc>
          <w:tcPr>
            <w:tcW w:w="1862" w:type="dxa"/>
          </w:tcPr>
          <w:p w14:paraId="575F9CA6" w14:textId="24D9D18D"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B1671F">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31.4</w:t>
            </w:r>
            <w:r w:rsidRPr="00B1671F">
              <w:rPr>
                <w:rFonts w:ascii="Arial" w:hAnsi="Arial" w:cs="Arial"/>
                <w:color w:val="215868" w:themeColor="accent5" w:themeShade="80"/>
                <w:sz w:val="18"/>
                <w:szCs w:val="18"/>
              </w:rPr>
              <w:t>M</w:t>
            </w:r>
          </w:p>
        </w:tc>
        <w:tc>
          <w:tcPr>
            <w:tcW w:w="1863" w:type="dxa"/>
          </w:tcPr>
          <w:p w14:paraId="0A097B6D" w14:textId="4250F9F3"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7.4</w:t>
            </w:r>
            <w:r w:rsidRPr="009E037C">
              <w:rPr>
                <w:rFonts w:ascii="Arial" w:hAnsi="Arial" w:cs="Arial"/>
                <w:color w:val="215868" w:themeColor="accent5" w:themeShade="80"/>
                <w:sz w:val="18"/>
                <w:szCs w:val="18"/>
              </w:rPr>
              <w:t>%</w:t>
            </w:r>
          </w:p>
        </w:tc>
        <w:tc>
          <w:tcPr>
            <w:tcW w:w="1862" w:type="dxa"/>
          </w:tcPr>
          <w:p w14:paraId="28D0C663" w14:textId="68464761"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453</w:t>
            </w:r>
            <w:r w:rsidRPr="00FC3E4A">
              <w:rPr>
                <w:rFonts w:ascii="Arial" w:hAnsi="Arial" w:cs="Arial"/>
                <w:color w:val="215868" w:themeColor="accent5" w:themeShade="80"/>
                <w:sz w:val="18"/>
                <w:szCs w:val="18"/>
              </w:rPr>
              <w:t>M</w:t>
            </w:r>
          </w:p>
        </w:tc>
        <w:tc>
          <w:tcPr>
            <w:tcW w:w="1863" w:type="dxa"/>
            <w:gridSpan w:val="2"/>
          </w:tcPr>
          <w:p w14:paraId="6C5789DF" w14:textId="4093B719"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9.3</w:t>
            </w:r>
            <w:r>
              <w:rPr>
                <w:rFonts w:ascii="Arial" w:hAnsi="Arial" w:cs="Arial"/>
                <w:color w:val="215868" w:themeColor="accent5" w:themeShade="80"/>
                <w:sz w:val="18"/>
                <w:szCs w:val="18"/>
              </w:rPr>
              <w:t>%</w:t>
            </w:r>
          </w:p>
        </w:tc>
      </w:tr>
      <w:tr w:rsidR="00025202" w:rsidRPr="0039690E" w14:paraId="1A21AA15" w14:textId="77777777" w:rsidTr="007228B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44C84FAA" w14:textId="32529437"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Avocados</w:t>
            </w:r>
          </w:p>
        </w:tc>
        <w:tc>
          <w:tcPr>
            <w:tcW w:w="1862" w:type="dxa"/>
          </w:tcPr>
          <w:p w14:paraId="53A4FBF5" w14:textId="4F312365"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B1671F">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20.2</w:t>
            </w:r>
            <w:r w:rsidRPr="00B1671F">
              <w:rPr>
                <w:rFonts w:ascii="Arial" w:hAnsi="Arial" w:cs="Arial"/>
                <w:color w:val="215868" w:themeColor="accent5" w:themeShade="80"/>
                <w:sz w:val="18"/>
                <w:szCs w:val="18"/>
              </w:rPr>
              <w:t>M</w:t>
            </w:r>
          </w:p>
        </w:tc>
        <w:tc>
          <w:tcPr>
            <w:tcW w:w="1863" w:type="dxa"/>
          </w:tcPr>
          <w:p w14:paraId="7B62BF9D" w14:textId="362E0593"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9.8</w:t>
            </w:r>
            <w:r w:rsidRPr="009E037C">
              <w:rPr>
                <w:rFonts w:ascii="Arial" w:hAnsi="Arial" w:cs="Arial"/>
                <w:color w:val="215868" w:themeColor="accent5" w:themeShade="80"/>
                <w:sz w:val="18"/>
                <w:szCs w:val="18"/>
              </w:rPr>
              <w:t>%</w:t>
            </w:r>
          </w:p>
        </w:tc>
        <w:tc>
          <w:tcPr>
            <w:tcW w:w="1862" w:type="dxa"/>
          </w:tcPr>
          <w:p w14:paraId="165DF388" w14:textId="66F29F4A"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226</w:t>
            </w:r>
            <w:r w:rsidRPr="00FC3E4A">
              <w:rPr>
                <w:rFonts w:ascii="Arial" w:hAnsi="Arial" w:cs="Arial"/>
                <w:color w:val="215868" w:themeColor="accent5" w:themeShade="80"/>
                <w:sz w:val="18"/>
                <w:szCs w:val="18"/>
              </w:rPr>
              <w:t>M</w:t>
            </w:r>
          </w:p>
        </w:tc>
        <w:tc>
          <w:tcPr>
            <w:tcW w:w="1863" w:type="dxa"/>
            <w:gridSpan w:val="2"/>
          </w:tcPr>
          <w:p w14:paraId="2D5467DF" w14:textId="75AC7A0A" w:rsidR="00025202" w:rsidRDefault="005625F4" w:rsidP="00025202">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+30.7</w:t>
            </w:r>
            <w:r w:rsidR="00025202">
              <w:rPr>
                <w:rFonts w:ascii="Arial" w:hAnsi="Arial" w:cs="Arial"/>
                <w:color w:val="215868" w:themeColor="accent5" w:themeShade="80"/>
                <w:sz w:val="18"/>
                <w:szCs w:val="18"/>
              </w:rPr>
              <w:t>%</w:t>
            </w:r>
          </w:p>
        </w:tc>
      </w:tr>
      <w:tr w:rsidR="00025202" w:rsidRPr="0039690E" w14:paraId="75397FB3" w14:textId="77777777" w:rsidTr="007228B7">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4BDF8BBC" w14:textId="0D1D5B3B"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Lettuce</w:t>
            </w:r>
          </w:p>
        </w:tc>
        <w:tc>
          <w:tcPr>
            <w:tcW w:w="1862" w:type="dxa"/>
          </w:tcPr>
          <w:p w14:paraId="5A00940C" w14:textId="35629F52"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B1671F">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14.8</w:t>
            </w:r>
            <w:r w:rsidRPr="00B1671F">
              <w:rPr>
                <w:rFonts w:ascii="Arial" w:hAnsi="Arial" w:cs="Arial"/>
                <w:color w:val="215868" w:themeColor="accent5" w:themeShade="80"/>
                <w:sz w:val="18"/>
                <w:szCs w:val="18"/>
              </w:rPr>
              <w:t>M</w:t>
            </w:r>
          </w:p>
        </w:tc>
        <w:tc>
          <w:tcPr>
            <w:tcW w:w="1863" w:type="dxa"/>
          </w:tcPr>
          <w:p w14:paraId="633C67A6" w14:textId="221316FF"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9.6</w:t>
            </w:r>
            <w:r w:rsidRPr="009E037C">
              <w:rPr>
                <w:rFonts w:ascii="Arial" w:hAnsi="Arial" w:cs="Arial"/>
                <w:color w:val="215868" w:themeColor="accent5" w:themeShade="80"/>
                <w:sz w:val="18"/>
                <w:szCs w:val="18"/>
              </w:rPr>
              <w:t>%</w:t>
            </w:r>
          </w:p>
        </w:tc>
        <w:tc>
          <w:tcPr>
            <w:tcW w:w="1862" w:type="dxa"/>
          </w:tcPr>
          <w:p w14:paraId="1F613C99" w14:textId="6B60B390"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229</w:t>
            </w:r>
            <w:r w:rsidRPr="00FC3E4A">
              <w:rPr>
                <w:rFonts w:ascii="Arial" w:hAnsi="Arial" w:cs="Arial"/>
                <w:color w:val="215868" w:themeColor="accent5" w:themeShade="80"/>
                <w:sz w:val="18"/>
                <w:szCs w:val="18"/>
              </w:rPr>
              <w:t>M</w:t>
            </w:r>
          </w:p>
        </w:tc>
        <w:tc>
          <w:tcPr>
            <w:tcW w:w="1863" w:type="dxa"/>
            <w:gridSpan w:val="2"/>
          </w:tcPr>
          <w:p w14:paraId="705E85A2" w14:textId="77C10ED6"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11.0</w:t>
            </w:r>
            <w:r>
              <w:rPr>
                <w:rFonts w:ascii="Arial" w:hAnsi="Arial" w:cs="Arial"/>
                <w:color w:val="215868" w:themeColor="accent5" w:themeShade="80"/>
                <w:sz w:val="18"/>
                <w:szCs w:val="18"/>
              </w:rPr>
              <w:t>%</w:t>
            </w:r>
          </w:p>
        </w:tc>
      </w:tr>
      <w:tr w:rsidR="00025202" w:rsidRPr="0039690E" w14:paraId="60EECAA3" w14:textId="77777777" w:rsidTr="007228B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left w:val="none" w:sz="0" w:space="0" w:color="auto"/>
              <w:right w:val="none" w:sz="0" w:space="0" w:color="auto"/>
            </w:tcBorders>
            <w:vAlign w:val="center"/>
          </w:tcPr>
          <w:p w14:paraId="763F33C2" w14:textId="0AA74487"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Apples</w:t>
            </w:r>
          </w:p>
        </w:tc>
        <w:tc>
          <w:tcPr>
            <w:tcW w:w="1862" w:type="dxa"/>
            <w:tcBorders>
              <w:left w:val="none" w:sz="0" w:space="0" w:color="auto"/>
              <w:right w:val="none" w:sz="0" w:space="0" w:color="auto"/>
            </w:tcBorders>
          </w:tcPr>
          <w:p w14:paraId="71B192EF" w14:textId="27B1C5A7"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B1671F">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13.0</w:t>
            </w:r>
            <w:r w:rsidRPr="00B1671F">
              <w:rPr>
                <w:rFonts w:ascii="Arial" w:hAnsi="Arial" w:cs="Arial"/>
                <w:color w:val="215868" w:themeColor="accent5" w:themeShade="80"/>
                <w:sz w:val="18"/>
                <w:szCs w:val="18"/>
              </w:rPr>
              <w:t>M</w:t>
            </w:r>
          </w:p>
        </w:tc>
        <w:tc>
          <w:tcPr>
            <w:tcW w:w="1863" w:type="dxa"/>
            <w:tcBorders>
              <w:left w:val="none" w:sz="0" w:space="0" w:color="auto"/>
              <w:right w:val="none" w:sz="0" w:space="0" w:color="auto"/>
            </w:tcBorders>
          </w:tcPr>
          <w:p w14:paraId="445EC599" w14:textId="2FBA2ECA"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5.4</w:t>
            </w:r>
            <w:r w:rsidRPr="009E037C">
              <w:rPr>
                <w:rFonts w:ascii="Arial" w:hAnsi="Arial" w:cs="Arial"/>
                <w:color w:val="215868" w:themeColor="accent5" w:themeShade="80"/>
                <w:sz w:val="18"/>
                <w:szCs w:val="18"/>
              </w:rPr>
              <w:t>%</w:t>
            </w:r>
          </w:p>
        </w:tc>
        <w:tc>
          <w:tcPr>
            <w:tcW w:w="1862" w:type="dxa"/>
            <w:tcBorders>
              <w:left w:val="none" w:sz="0" w:space="0" w:color="auto"/>
              <w:right w:val="none" w:sz="0" w:space="0" w:color="auto"/>
            </w:tcBorders>
          </w:tcPr>
          <w:p w14:paraId="02CF5248" w14:textId="54230982"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292</w:t>
            </w:r>
            <w:r w:rsidRPr="00FC3E4A">
              <w:rPr>
                <w:rFonts w:ascii="Arial" w:hAnsi="Arial" w:cs="Arial"/>
                <w:color w:val="215868" w:themeColor="accent5" w:themeShade="80"/>
                <w:sz w:val="18"/>
                <w:szCs w:val="18"/>
              </w:rPr>
              <w:t>M</w:t>
            </w:r>
          </w:p>
        </w:tc>
        <w:tc>
          <w:tcPr>
            <w:tcW w:w="1863" w:type="dxa"/>
            <w:gridSpan w:val="2"/>
            <w:tcBorders>
              <w:left w:val="none" w:sz="0" w:space="0" w:color="auto"/>
              <w:right w:val="none" w:sz="0" w:space="0" w:color="auto"/>
            </w:tcBorders>
          </w:tcPr>
          <w:p w14:paraId="66944382" w14:textId="478B3BE1"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6.9</w:t>
            </w:r>
            <w:r>
              <w:rPr>
                <w:rFonts w:ascii="Arial" w:hAnsi="Arial" w:cs="Arial"/>
                <w:color w:val="215868" w:themeColor="accent5" w:themeShade="80"/>
                <w:sz w:val="18"/>
                <w:szCs w:val="18"/>
              </w:rPr>
              <w:t>%</w:t>
            </w:r>
          </w:p>
        </w:tc>
      </w:tr>
      <w:tr w:rsidR="00025202" w:rsidRPr="0039690E" w14:paraId="702F2F7B" w14:textId="77777777" w:rsidTr="007228B7">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70FE71CA" w14:textId="2EDB398D"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Oranges</w:t>
            </w:r>
          </w:p>
        </w:tc>
        <w:tc>
          <w:tcPr>
            <w:tcW w:w="1862" w:type="dxa"/>
          </w:tcPr>
          <w:p w14:paraId="6C6039DB" w14:textId="78D9D909"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B1671F">
              <w:rPr>
                <w:rFonts w:ascii="Arial" w:hAnsi="Arial" w:cs="Arial"/>
                <w:color w:val="215868" w:themeColor="accent5" w:themeShade="80"/>
                <w:sz w:val="18"/>
                <w:szCs w:val="18"/>
              </w:rPr>
              <w:t>+</w:t>
            </w:r>
            <w:r w:rsidR="00D90BB5">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11.1</w:t>
            </w:r>
            <w:r w:rsidRPr="00B1671F">
              <w:rPr>
                <w:rFonts w:ascii="Arial" w:hAnsi="Arial" w:cs="Arial"/>
                <w:color w:val="215868" w:themeColor="accent5" w:themeShade="80"/>
                <w:sz w:val="18"/>
                <w:szCs w:val="18"/>
              </w:rPr>
              <w:t>M</w:t>
            </w:r>
          </w:p>
        </w:tc>
        <w:tc>
          <w:tcPr>
            <w:tcW w:w="1863" w:type="dxa"/>
          </w:tcPr>
          <w:p w14:paraId="429880EB" w14:textId="55301979"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16.9</w:t>
            </w:r>
            <w:r w:rsidRPr="009E037C">
              <w:rPr>
                <w:rFonts w:ascii="Arial" w:hAnsi="Arial" w:cs="Arial"/>
                <w:color w:val="215868" w:themeColor="accent5" w:themeShade="80"/>
                <w:sz w:val="18"/>
                <w:szCs w:val="18"/>
              </w:rPr>
              <w:t>%</w:t>
            </w:r>
          </w:p>
        </w:tc>
        <w:tc>
          <w:tcPr>
            <w:tcW w:w="1862" w:type="dxa"/>
          </w:tcPr>
          <w:p w14:paraId="6F9682AC" w14:textId="68B85725"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90</w:t>
            </w:r>
            <w:r w:rsidRPr="00FC3E4A">
              <w:rPr>
                <w:rFonts w:ascii="Arial" w:hAnsi="Arial" w:cs="Arial"/>
                <w:color w:val="215868" w:themeColor="accent5" w:themeShade="80"/>
                <w:sz w:val="18"/>
                <w:szCs w:val="18"/>
              </w:rPr>
              <w:t>M</w:t>
            </w:r>
          </w:p>
        </w:tc>
        <w:tc>
          <w:tcPr>
            <w:tcW w:w="1863" w:type="dxa"/>
            <w:gridSpan w:val="2"/>
          </w:tcPr>
          <w:p w14:paraId="7C1FEF60" w14:textId="68ECDCE7"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14.1</w:t>
            </w:r>
            <w:r>
              <w:rPr>
                <w:rFonts w:ascii="Arial" w:hAnsi="Arial" w:cs="Arial"/>
                <w:color w:val="215868" w:themeColor="accent5" w:themeShade="80"/>
                <w:sz w:val="18"/>
                <w:szCs w:val="18"/>
              </w:rPr>
              <w:t>%</w:t>
            </w:r>
          </w:p>
        </w:tc>
      </w:tr>
      <w:tr w:rsidR="00025202" w:rsidRPr="0039690E" w14:paraId="5460D770" w14:textId="77777777" w:rsidTr="007228B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53975AE0" w14:textId="2A5B6356"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Plums</w:t>
            </w:r>
          </w:p>
        </w:tc>
        <w:tc>
          <w:tcPr>
            <w:tcW w:w="1862" w:type="dxa"/>
          </w:tcPr>
          <w:p w14:paraId="708615DE" w14:textId="32939652"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B1671F">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11.0</w:t>
            </w:r>
            <w:r w:rsidRPr="00B1671F">
              <w:rPr>
                <w:rFonts w:ascii="Arial" w:hAnsi="Arial" w:cs="Arial"/>
                <w:color w:val="215868" w:themeColor="accent5" w:themeShade="80"/>
                <w:sz w:val="18"/>
                <w:szCs w:val="18"/>
              </w:rPr>
              <w:t>M</w:t>
            </w:r>
          </w:p>
        </w:tc>
        <w:tc>
          <w:tcPr>
            <w:tcW w:w="1863" w:type="dxa"/>
          </w:tcPr>
          <w:p w14:paraId="6301E553" w14:textId="3B106F9F"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67.6</w:t>
            </w:r>
            <w:r w:rsidRPr="009E037C">
              <w:rPr>
                <w:rFonts w:ascii="Arial" w:hAnsi="Arial" w:cs="Arial"/>
                <w:color w:val="215868" w:themeColor="accent5" w:themeShade="80"/>
                <w:sz w:val="18"/>
                <w:szCs w:val="18"/>
              </w:rPr>
              <w:t>%</w:t>
            </w:r>
          </w:p>
        </w:tc>
        <w:tc>
          <w:tcPr>
            <w:tcW w:w="1862" w:type="dxa"/>
          </w:tcPr>
          <w:p w14:paraId="5AC78EC5" w14:textId="68705CA9"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28</w:t>
            </w:r>
            <w:r w:rsidRPr="00FC3E4A">
              <w:rPr>
                <w:rFonts w:ascii="Arial" w:hAnsi="Arial" w:cs="Arial"/>
                <w:color w:val="215868" w:themeColor="accent5" w:themeShade="80"/>
                <w:sz w:val="18"/>
                <w:szCs w:val="18"/>
              </w:rPr>
              <w:t>M</w:t>
            </w:r>
          </w:p>
        </w:tc>
        <w:tc>
          <w:tcPr>
            <w:tcW w:w="1863" w:type="dxa"/>
            <w:gridSpan w:val="2"/>
          </w:tcPr>
          <w:p w14:paraId="34BD11CE" w14:textId="6ECED87D"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15.6</w:t>
            </w:r>
            <w:r>
              <w:rPr>
                <w:rFonts w:ascii="Arial" w:hAnsi="Arial" w:cs="Arial"/>
                <w:color w:val="215868" w:themeColor="accent5" w:themeShade="80"/>
                <w:sz w:val="18"/>
                <w:szCs w:val="18"/>
              </w:rPr>
              <w:t>%</w:t>
            </w:r>
          </w:p>
        </w:tc>
      </w:tr>
      <w:tr w:rsidR="00025202" w:rsidRPr="0039690E" w14:paraId="796068CA" w14:textId="77777777" w:rsidTr="007228B7">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2235C818" w14:textId="62EE6598"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Peaches</w:t>
            </w:r>
          </w:p>
        </w:tc>
        <w:tc>
          <w:tcPr>
            <w:tcW w:w="1862" w:type="dxa"/>
          </w:tcPr>
          <w:p w14:paraId="044A037C" w14:textId="45ED62D3"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B1671F">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10.1</w:t>
            </w:r>
            <w:r w:rsidRPr="00B1671F">
              <w:rPr>
                <w:rFonts w:ascii="Arial" w:hAnsi="Arial" w:cs="Arial"/>
                <w:color w:val="215868" w:themeColor="accent5" w:themeShade="80"/>
                <w:sz w:val="18"/>
                <w:szCs w:val="18"/>
              </w:rPr>
              <w:t>M</w:t>
            </w:r>
          </w:p>
        </w:tc>
        <w:tc>
          <w:tcPr>
            <w:tcW w:w="1863" w:type="dxa"/>
          </w:tcPr>
          <w:p w14:paraId="26745975" w14:textId="62334774"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13.0</w:t>
            </w:r>
            <w:r w:rsidRPr="009E037C">
              <w:rPr>
                <w:rFonts w:ascii="Arial" w:hAnsi="Arial" w:cs="Arial"/>
                <w:color w:val="215868" w:themeColor="accent5" w:themeShade="80"/>
                <w:sz w:val="18"/>
                <w:szCs w:val="18"/>
              </w:rPr>
              <w:t>%</w:t>
            </w:r>
          </w:p>
        </w:tc>
        <w:tc>
          <w:tcPr>
            <w:tcW w:w="1862" w:type="dxa"/>
          </w:tcPr>
          <w:p w14:paraId="589893D3" w14:textId="3B5914E0"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95</w:t>
            </w:r>
            <w:r w:rsidRPr="00FC3E4A">
              <w:rPr>
                <w:rFonts w:ascii="Arial" w:hAnsi="Arial" w:cs="Arial"/>
                <w:color w:val="215868" w:themeColor="accent5" w:themeShade="80"/>
                <w:sz w:val="18"/>
                <w:szCs w:val="18"/>
              </w:rPr>
              <w:t>M</w:t>
            </w:r>
          </w:p>
        </w:tc>
        <w:tc>
          <w:tcPr>
            <w:tcW w:w="1863" w:type="dxa"/>
            <w:gridSpan w:val="2"/>
          </w:tcPr>
          <w:p w14:paraId="706BF9F0" w14:textId="3630FB8C" w:rsidR="00025202" w:rsidRDefault="00025202" w:rsidP="00025202">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26.0</w:t>
            </w:r>
            <w:r>
              <w:rPr>
                <w:rFonts w:ascii="Arial" w:hAnsi="Arial" w:cs="Arial"/>
                <w:color w:val="215868" w:themeColor="accent5" w:themeShade="80"/>
                <w:sz w:val="18"/>
                <w:szCs w:val="18"/>
              </w:rPr>
              <w:t>%</w:t>
            </w:r>
          </w:p>
        </w:tc>
      </w:tr>
      <w:tr w:rsidR="00025202" w:rsidRPr="0039690E" w14:paraId="461D5732" w14:textId="77777777" w:rsidTr="007228B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2A11049" w14:textId="466B5AE9" w:rsidR="00025202" w:rsidRPr="0039690E" w:rsidRDefault="007C182F" w:rsidP="00025202">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Pineapples</w:t>
            </w:r>
          </w:p>
        </w:tc>
        <w:tc>
          <w:tcPr>
            <w:tcW w:w="1862" w:type="dxa"/>
          </w:tcPr>
          <w:p w14:paraId="77FA8095" w14:textId="16B39A2D"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B1671F">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8.5</w:t>
            </w:r>
            <w:r w:rsidRPr="00B1671F">
              <w:rPr>
                <w:rFonts w:ascii="Arial" w:hAnsi="Arial" w:cs="Arial"/>
                <w:color w:val="215868" w:themeColor="accent5" w:themeShade="80"/>
                <w:sz w:val="18"/>
                <w:szCs w:val="18"/>
              </w:rPr>
              <w:t>M</w:t>
            </w:r>
          </w:p>
        </w:tc>
        <w:tc>
          <w:tcPr>
            <w:tcW w:w="1863" w:type="dxa"/>
          </w:tcPr>
          <w:p w14:paraId="6023B995" w14:textId="46AE0C6B"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9E037C">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12.7</w:t>
            </w:r>
            <w:r w:rsidRPr="009E037C">
              <w:rPr>
                <w:rFonts w:ascii="Arial" w:hAnsi="Arial" w:cs="Arial"/>
                <w:color w:val="215868" w:themeColor="accent5" w:themeShade="80"/>
                <w:sz w:val="18"/>
                <w:szCs w:val="18"/>
              </w:rPr>
              <w:t>%</w:t>
            </w:r>
          </w:p>
        </w:tc>
        <w:tc>
          <w:tcPr>
            <w:tcW w:w="1862" w:type="dxa"/>
          </w:tcPr>
          <w:p w14:paraId="559377CC" w14:textId="291B108C"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sidRPr="00FC3E4A">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89</w:t>
            </w:r>
            <w:r w:rsidRPr="00FC3E4A">
              <w:rPr>
                <w:rFonts w:ascii="Arial" w:hAnsi="Arial" w:cs="Arial"/>
                <w:color w:val="215868" w:themeColor="accent5" w:themeShade="80"/>
                <w:sz w:val="18"/>
                <w:szCs w:val="18"/>
              </w:rPr>
              <w:t>M</w:t>
            </w:r>
          </w:p>
        </w:tc>
        <w:tc>
          <w:tcPr>
            <w:tcW w:w="1863" w:type="dxa"/>
            <w:gridSpan w:val="2"/>
          </w:tcPr>
          <w:p w14:paraId="1567B1D1" w14:textId="0BE6670F" w:rsidR="00025202" w:rsidRDefault="00025202" w:rsidP="00025202">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5625F4">
              <w:rPr>
                <w:rFonts w:ascii="Arial" w:hAnsi="Arial" w:cs="Arial"/>
                <w:color w:val="215868" w:themeColor="accent5" w:themeShade="80"/>
                <w:sz w:val="18"/>
                <w:szCs w:val="18"/>
              </w:rPr>
              <w:t>6.7</w:t>
            </w:r>
            <w:r>
              <w:rPr>
                <w:rFonts w:ascii="Arial" w:hAnsi="Arial" w:cs="Arial"/>
                <w:color w:val="215868" w:themeColor="accent5" w:themeShade="80"/>
                <w:sz w:val="18"/>
                <w:szCs w:val="18"/>
              </w:rPr>
              <w:t>%</w:t>
            </w:r>
          </w:p>
        </w:tc>
      </w:tr>
    </w:tbl>
    <w:p w14:paraId="6EA702CF" w14:textId="77777777" w:rsidR="009E5261" w:rsidRPr="00E62AA9" w:rsidRDefault="009E5261" w:rsidP="009E5261">
      <w:pPr>
        <w:pStyle w:val="NoSpacing"/>
        <w:rPr>
          <w:rFonts w:ascii="Arial" w:hAnsi="Arial" w:cs="Arial"/>
          <w:sz w:val="6"/>
          <w:szCs w:val="6"/>
        </w:rPr>
      </w:pPr>
    </w:p>
    <w:p w14:paraId="1823C3C0" w14:textId="77777777" w:rsidR="00D97697" w:rsidRDefault="009E5261" w:rsidP="001024F6">
      <w:pPr>
        <w:pStyle w:val="NoSpacing"/>
        <w:rPr>
          <w:rFonts w:ascii="Arial" w:hAnsi="Arial" w:cs="Arial"/>
          <w:b/>
          <w:color w:val="595959" w:themeColor="text1" w:themeTint="A6"/>
          <w:sz w:val="24"/>
          <w:szCs w:val="24"/>
        </w:rPr>
      </w:pPr>
      <w:r w:rsidRPr="00B35CE9">
        <w:rPr>
          <w:rFonts w:ascii="Arial" w:hAnsi="Arial" w:cs="Arial"/>
          <w:sz w:val="16"/>
          <w:szCs w:val="16"/>
        </w:rPr>
        <w:t>Source</w:t>
      </w:r>
      <w:r>
        <w:rPr>
          <w:rFonts w:ascii="Arial" w:hAnsi="Arial" w:cs="Arial"/>
          <w:sz w:val="16"/>
          <w:szCs w:val="16"/>
        </w:rPr>
        <w:t>: IRI Integrated Fresh, Total U.S., MULO</w:t>
      </w:r>
    </w:p>
    <w:p w14:paraId="56F0416D" w14:textId="27998812" w:rsidR="00135BE7" w:rsidRDefault="00135BE7" w:rsidP="001024F6">
      <w:pPr>
        <w:pStyle w:val="NoSpacing"/>
        <w:rPr>
          <w:rFonts w:ascii="Arial" w:hAnsi="Arial" w:cs="Arial"/>
          <w:b/>
          <w:color w:val="595959" w:themeColor="text1" w:themeTint="A6"/>
          <w:sz w:val="24"/>
          <w:szCs w:val="24"/>
        </w:rPr>
      </w:pPr>
    </w:p>
    <w:p w14:paraId="7B04BD45" w14:textId="3CE5CCD8" w:rsidR="001024F6" w:rsidRPr="009172A3" w:rsidRDefault="004D26B3" w:rsidP="001024F6">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Perishables </w:t>
      </w:r>
      <w:r w:rsidR="001024F6">
        <w:rPr>
          <w:rFonts w:ascii="Arial" w:hAnsi="Arial" w:cs="Arial"/>
          <w:b/>
          <w:color w:val="595959" w:themeColor="text1" w:themeTint="A6"/>
          <w:sz w:val="24"/>
          <w:szCs w:val="24"/>
        </w:rPr>
        <w:t>P</w:t>
      </w:r>
      <w:r w:rsidR="001024F6" w:rsidRPr="009172A3">
        <w:rPr>
          <w:rFonts w:ascii="Arial" w:hAnsi="Arial" w:cs="Arial"/>
          <w:b/>
          <w:color w:val="595959" w:themeColor="text1" w:themeTint="A6"/>
          <w:sz w:val="24"/>
          <w:szCs w:val="24"/>
        </w:rPr>
        <w:t>erformance</w:t>
      </w:r>
    </w:p>
    <w:p w14:paraId="7FDE0642" w14:textId="48787D30" w:rsidR="001024F6" w:rsidRDefault="00DD7A16" w:rsidP="001024F6">
      <w:pPr>
        <w:pStyle w:val="NoSpacing"/>
        <w:rPr>
          <w:rFonts w:ascii="Arial" w:hAnsi="Arial" w:cs="Arial"/>
          <w:sz w:val="20"/>
          <w:szCs w:val="20"/>
        </w:rPr>
      </w:pPr>
      <w:r>
        <w:rPr>
          <w:rFonts w:ascii="Arial" w:hAnsi="Arial" w:cs="Arial"/>
          <w:sz w:val="20"/>
          <w:szCs w:val="20"/>
        </w:rPr>
        <w:t>In</w:t>
      </w:r>
      <w:r w:rsidR="0003032A">
        <w:rPr>
          <w:rFonts w:ascii="Arial" w:hAnsi="Arial" w:cs="Arial"/>
          <w:sz w:val="20"/>
          <w:szCs w:val="20"/>
        </w:rPr>
        <w:t xml:space="preserve"> </w:t>
      </w:r>
      <w:r w:rsidR="00B26A33">
        <w:rPr>
          <w:rFonts w:ascii="Arial" w:hAnsi="Arial" w:cs="Arial"/>
          <w:sz w:val="20"/>
          <w:szCs w:val="20"/>
        </w:rPr>
        <w:t>May</w:t>
      </w:r>
      <w:r>
        <w:rPr>
          <w:rFonts w:ascii="Arial" w:hAnsi="Arial" w:cs="Arial"/>
          <w:sz w:val="20"/>
          <w:szCs w:val="20"/>
        </w:rPr>
        <w:t xml:space="preserve">, total perishables grew </w:t>
      </w:r>
      <w:r w:rsidR="00676B67">
        <w:rPr>
          <w:rFonts w:ascii="Arial" w:hAnsi="Arial" w:cs="Arial"/>
          <w:sz w:val="20"/>
          <w:szCs w:val="20"/>
        </w:rPr>
        <w:t>+</w:t>
      </w:r>
      <w:r w:rsidR="00FC21EB">
        <w:rPr>
          <w:rFonts w:ascii="Arial" w:hAnsi="Arial" w:cs="Arial"/>
          <w:sz w:val="20"/>
          <w:szCs w:val="20"/>
        </w:rPr>
        <w:t>6.</w:t>
      </w:r>
      <w:r w:rsidR="00B27CF9">
        <w:rPr>
          <w:rFonts w:ascii="Arial" w:hAnsi="Arial" w:cs="Arial"/>
          <w:sz w:val="20"/>
          <w:szCs w:val="20"/>
        </w:rPr>
        <w:t>8</w:t>
      </w:r>
      <w:r>
        <w:rPr>
          <w:rFonts w:ascii="Arial" w:hAnsi="Arial" w:cs="Arial"/>
          <w:sz w:val="20"/>
          <w:szCs w:val="20"/>
        </w:rPr>
        <w:t>%, with above-average increases for bakery</w:t>
      </w:r>
      <w:r w:rsidR="00FC21EB">
        <w:rPr>
          <w:rFonts w:ascii="Arial" w:hAnsi="Arial" w:cs="Arial"/>
          <w:sz w:val="20"/>
          <w:szCs w:val="20"/>
        </w:rPr>
        <w:t>, deli</w:t>
      </w:r>
      <w:r>
        <w:rPr>
          <w:rFonts w:ascii="Arial" w:hAnsi="Arial" w:cs="Arial"/>
          <w:sz w:val="20"/>
          <w:szCs w:val="20"/>
        </w:rPr>
        <w:t xml:space="preserve"> and refrigerated, which includes dairy</w:t>
      </w:r>
      <w:r w:rsidR="00102502">
        <w:rPr>
          <w:rFonts w:ascii="Arial" w:hAnsi="Arial" w:cs="Arial"/>
          <w:sz w:val="20"/>
          <w:szCs w:val="20"/>
        </w:rPr>
        <w:t>.</w:t>
      </w:r>
      <w:r>
        <w:rPr>
          <w:rFonts w:ascii="Arial" w:hAnsi="Arial" w:cs="Arial"/>
          <w:sz w:val="20"/>
          <w:szCs w:val="20"/>
        </w:rPr>
        <w:t xml:space="preserve"> </w:t>
      </w:r>
      <w:r w:rsidR="007D58FE">
        <w:rPr>
          <w:rFonts w:ascii="Arial" w:hAnsi="Arial" w:cs="Arial"/>
          <w:sz w:val="20"/>
          <w:szCs w:val="20"/>
        </w:rPr>
        <w:t xml:space="preserve">The highest gain versus the pre-pandemic normal was generated by </w:t>
      </w:r>
      <w:r w:rsidR="00FC21EB">
        <w:rPr>
          <w:rFonts w:ascii="Arial" w:hAnsi="Arial" w:cs="Arial"/>
          <w:sz w:val="20"/>
          <w:szCs w:val="20"/>
        </w:rPr>
        <w:t>refrigerated</w:t>
      </w:r>
      <w:r w:rsidR="007D58FE">
        <w:rPr>
          <w:rFonts w:ascii="Arial" w:hAnsi="Arial" w:cs="Arial"/>
          <w:sz w:val="20"/>
          <w:szCs w:val="20"/>
        </w:rPr>
        <w:t xml:space="preserve">, up </w:t>
      </w:r>
      <w:r w:rsidR="00676B67">
        <w:rPr>
          <w:rFonts w:ascii="Arial" w:hAnsi="Arial" w:cs="Arial"/>
          <w:sz w:val="20"/>
          <w:szCs w:val="20"/>
        </w:rPr>
        <w:t>+</w:t>
      </w:r>
      <w:r w:rsidR="00FC21EB">
        <w:rPr>
          <w:rFonts w:ascii="Arial" w:hAnsi="Arial" w:cs="Arial"/>
          <w:sz w:val="20"/>
          <w:szCs w:val="20"/>
        </w:rPr>
        <w:t>2</w:t>
      </w:r>
      <w:r w:rsidR="00B27CF9">
        <w:rPr>
          <w:rFonts w:ascii="Arial" w:hAnsi="Arial" w:cs="Arial"/>
          <w:sz w:val="20"/>
          <w:szCs w:val="20"/>
        </w:rPr>
        <w:t>9.2</w:t>
      </w:r>
      <w:r w:rsidR="007D58FE">
        <w:rPr>
          <w:rFonts w:ascii="Arial" w:hAnsi="Arial" w:cs="Arial"/>
          <w:sz w:val="20"/>
          <w:szCs w:val="20"/>
        </w:rPr>
        <w:t xml:space="preserve">% in </w:t>
      </w:r>
      <w:r w:rsidR="00B27CF9">
        <w:rPr>
          <w:rFonts w:ascii="Arial" w:hAnsi="Arial" w:cs="Arial"/>
          <w:sz w:val="20"/>
          <w:szCs w:val="20"/>
        </w:rPr>
        <w:t>June</w:t>
      </w:r>
      <w:r w:rsidR="00FC21EB">
        <w:rPr>
          <w:rFonts w:ascii="Arial" w:hAnsi="Arial" w:cs="Arial"/>
          <w:sz w:val="20"/>
          <w:szCs w:val="20"/>
        </w:rPr>
        <w:t xml:space="preserve"> </w:t>
      </w:r>
      <w:r w:rsidR="007D58FE">
        <w:rPr>
          <w:rFonts w:ascii="Arial" w:hAnsi="Arial" w:cs="Arial"/>
          <w:sz w:val="20"/>
          <w:szCs w:val="20"/>
        </w:rPr>
        <w:t xml:space="preserve">of 2022 versus </w:t>
      </w:r>
      <w:r w:rsidR="00B27CF9">
        <w:rPr>
          <w:rFonts w:ascii="Arial" w:hAnsi="Arial" w:cs="Arial"/>
          <w:sz w:val="20"/>
          <w:szCs w:val="20"/>
        </w:rPr>
        <w:t xml:space="preserve">June </w:t>
      </w:r>
      <w:r w:rsidR="007D58FE">
        <w:rPr>
          <w:rFonts w:ascii="Arial" w:hAnsi="Arial" w:cs="Arial"/>
          <w:sz w:val="20"/>
          <w:szCs w:val="20"/>
        </w:rPr>
        <w:t xml:space="preserve">2019. The departments still selling more units in </w:t>
      </w:r>
      <w:r w:rsidR="00B27CF9">
        <w:rPr>
          <w:rFonts w:ascii="Arial" w:hAnsi="Arial" w:cs="Arial"/>
          <w:sz w:val="20"/>
          <w:szCs w:val="20"/>
        </w:rPr>
        <w:t xml:space="preserve">June </w:t>
      </w:r>
      <w:r w:rsidR="007D58FE">
        <w:rPr>
          <w:rFonts w:ascii="Arial" w:hAnsi="Arial" w:cs="Arial"/>
          <w:sz w:val="20"/>
          <w:szCs w:val="20"/>
        </w:rPr>
        <w:t xml:space="preserve">2022 than they did in </w:t>
      </w:r>
      <w:r w:rsidR="00FC21EB">
        <w:rPr>
          <w:rFonts w:ascii="Arial" w:hAnsi="Arial" w:cs="Arial"/>
          <w:sz w:val="20"/>
          <w:szCs w:val="20"/>
        </w:rPr>
        <w:t>May</w:t>
      </w:r>
      <w:r w:rsidR="0003032A">
        <w:rPr>
          <w:rFonts w:ascii="Arial" w:hAnsi="Arial" w:cs="Arial"/>
          <w:sz w:val="20"/>
          <w:szCs w:val="20"/>
        </w:rPr>
        <w:t xml:space="preserve"> </w:t>
      </w:r>
      <w:r w:rsidR="007D58FE">
        <w:rPr>
          <w:rFonts w:ascii="Arial" w:hAnsi="Arial" w:cs="Arial"/>
          <w:sz w:val="20"/>
          <w:szCs w:val="20"/>
        </w:rPr>
        <w:t xml:space="preserve">2019 </w:t>
      </w:r>
      <w:r w:rsidR="00FC21EB">
        <w:rPr>
          <w:rFonts w:ascii="Arial" w:hAnsi="Arial" w:cs="Arial"/>
          <w:sz w:val="20"/>
          <w:szCs w:val="20"/>
        </w:rPr>
        <w:t>we</w:t>
      </w:r>
      <w:r w:rsidR="007D58FE">
        <w:rPr>
          <w:rFonts w:ascii="Arial" w:hAnsi="Arial" w:cs="Arial"/>
          <w:sz w:val="20"/>
          <w:szCs w:val="20"/>
        </w:rPr>
        <w:t>re</w:t>
      </w:r>
      <w:r w:rsidR="006620E0">
        <w:rPr>
          <w:rFonts w:ascii="Arial" w:hAnsi="Arial" w:cs="Arial"/>
          <w:sz w:val="20"/>
          <w:szCs w:val="20"/>
        </w:rPr>
        <w:t xml:space="preserve"> deli and produce</w:t>
      </w:r>
      <w:r w:rsidR="007D58FE">
        <w:rPr>
          <w:rFonts w:ascii="Arial" w:hAnsi="Arial" w:cs="Arial"/>
          <w:sz w:val="20"/>
          <w:szCs w:val="20"/>
        </w:rPr>
        <w:t xml:space="preserve">. </w:t>
      </w:r>
      <w:r w:rsidR="00102502">
        <w:rPr>
          <w:rFonts w:ascii="Arial" w:hAnsi="Arial" w:cs="Arial"/>
          <w:sz w:val="20"/>
          <w:szCs w:val="20"/>
        </w:rPr>
        <w:t xml:space="preserve"> </w:t>
      </w:r>
      <w:r w:rsidR="000166DA">
        <w:rPr>
          <w:rFonts w:ascii="Arial" w:hAnsi="Arial" w:cs="Arial"/>
          <w:sz w:val="20"/>
          <w:szCs w:val="20"/>
        </w:rPr>
        <w:t xml:space="preserve"> </w:t>
      </w:r>
      <w:r w:rsidR="001024F6">
        <w:rPr>
          <w:rFonts w:ascii="Arial" w:hAnsi="Arial" w:cs="Arial"/>
          <w:sz w:val="20"/>
          <w:szCs w:val="20"/>
        </w:rPr>
        <w:t xml:space="preserve"> </w:t>
      </w:r>
    </w:p>
    <w:p w14:paraId="4C083BE9" w14:textId="72EF3295" w:rsidR="00843888" w:rsidRDefault="00843888" w:rsidP="001024F6">
      <w:pPr>
        <w:pStyle w:val="NoSpacing"/>
        <w:rPr>
          <w:rFonts w:ascii="Arial" w:hAnsi="Arial" w:cs="Arial"/>
          <w:sz w:val="20"/>
          <w:szCs w:val="20"/>
        </w:rPr>
      </w:pPr>
    </w:p>
    <w:tbl>
      <w:tblPr>
        <w:tblStyle w:val="ListTable6Colorful-Accent5"/>
        <w:tblW w:w="10615" w:type="dxa"/>
        <w:tblLayout w:type="fixed"/>
        <w:tblLook w:val="04A0" w:firstRow="1" w:lastRow="0" w:firstColumn="1" w:lastColumn="0" w:noHBand="0" w:noVBand="1"/>
      </w:tblPr>
      <w:tblGrid>
        <w:gridCol w:w="1795"/>
        <w:gridCol w:w="1102"/>
        <w:gridCol w:w="1103"/>
        <w:gridCol w:w="1102"/>
        <w:gridCol w:w="1103"/>
        <w:gridCol w:w="1102"/>
        <w:gridCol w:w="1103"/>
        <w:gridCol w:w="1102"/>
        <w:gridCol w:w="1103"/>
      </w:tblGrid>
      <w:tr w:rsidR="000D3B17" w:rsidRPr="00843888" w14:paraId="48E8DBE1" w14:textId="77777777" w:rsidTr="00DA26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5" w:type="dxa"/>
            <w:shd w:val="clear" w:color="auto" w:fill="17365D" w:themeFill="text2" w:themeFillShade="BF"/>
            <w:noWrap/>
            <w:hideMark/>
          </w:tcPr>
          <w:p w14:paraId="37718F62" w14:textId="627B19CC" w:rsidR="00843888" w:rsidRPr="00843888" w:rsidRDefault="00FC5BA4" w:rsidP="00843888">
            <w:pPr>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18"/>
              </w:rPr>
              <w:t>June</w:t>
            </w:r>
            <w:r w:rsidR="00DA261B">
              <w:rPr>
                <w:rFonts w:ascii="Arial" w:eastAsia="Times New Roman" w:hAnsi="Arial" w:cs="Arial"/>
                <w:color w:val="FFFFFF" w:themeColor="background1"/>
                <w:sz w:val="18"/>
                <w:szCs w:val="18"/>
              </w:rPr>
              <w:t xml:space="preserve"> 2022</w:t>
            </w:r>
          </w:p>
        </w:tc>
        <w:tc>
          <w:tcPr>
            <w:tcW w:w="1102" w:type="dxa"/>
            <w:shd w:val="clear" w:color="auto" w:fill="17365D" w:themeFill="text2" w:themeFillShade="BF"/>
            <w:noWrap/>
            <w:hideMark/>
          </w:tcPr>
          <w:p w14:paraId="1A966777" w14:textId="71667261" w:rsidR="00843888" w:rsidRPr="00843888" w:rsidRDefault="00843888" w:rsidP="0084388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rPr>
            </w:pPr>
            <w:r w:rsidRPr="00843888">
              <w:rPr>
                <w:rFonts w:ascii="Arial" w:eastAsia="Times New Roman" w:hAnsi="Arial" w:cs="Arial"/>
                <w:color w:val="FFFFFF" w:themeColor="background1"/>
                <w:sz w:val="18"/>
                <w:szCs w:val="18"/>
              </w:rPr>
              <w:t xml:space="preserve">$ </w:t>
            </w:r>
            <w:r w:rsidR="00DD7A16">
              <w:rPr>
                <w:rFonts w:ascii="Arial" w:eastAsia="Times New Roman" w:hAnsi="Arial" w:cs="Arial"/>
                <w:sz w:val="18"/>
                <w:szCs w:val="18"/>
              </w:rPr>
              <w:br/>
            </w:r>
            <w:r w:rsidRPr="00843888">
              <w:rPr>
                <w:rFonts w:ascii="Arial" w:eastAsia="Times New Roman" w:hAnsi="Arial" w:cs="Arial"/>
                <w:color w:val="FFFFFF" w:themeColor="background1"/>
                <w:sz w:val="18"/>
                <w:szCs w:val="18"/>
              </w:rPr>
              <w:t>sales</w:t>
            </w:r>
          </w:p>
        </w:tc>
        <w:tc>
          <w:tcPr>
            <w:tcW w:w="1103" w:type="dxa"/>
            <w:shd w:val="clear" w:color="auto" w:fill="17365D" w:themeFill="text2" w:themeFillShade="BF"/>
            <w:noWrap/>
            <w:hideMark/>
          </w:tcPr>
          <w:p w14:paraId="170BF0F0" w14:textId="77777777" w:rsidR="00843888" w:rsidRPr="00843888" w:rsidRDefault="00843888" w:rsidP="0084388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rPr>
            </w:pPr>
            <w:r w:rsidRPr="00843888">
              <w:rPr>
                <w:rFonts w:ascii="Arial" w:eastAsia="Times New Roman" w:hAnsi="Arial" w:cs="Arial"/>
                <w:color w:val="FFFFFF" w:themeColor="background1"/>
                <w:sz w:val="18"/>
                <w:szCs w:val="18"/>
              </w:rPr>
              <w:t>Change vs. YA</w:t>
            </w:r>
          </w:p>
        </w:tc>
        <w:tc>
          <w:tcPr>
            <w:tcW w:w="1102" w:type="dxa"/>
            <w:shd w:val="clear" w:color="auto" w:fill="17365D" w:themeFill="text2" w:themeFillShade="BF"/>
            <w:noWrap/>
            <w:hideMark/>
          </w:tcPr>
          <w:p w14:paraId="4026DD36" w14:textId="77777777" w:rsidR="00843888" w:rsidRPr="00843888" w:rsidRDefault="00843888" w:rsidP="0084388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rPr>
            </w:pPr>
            <w:r w:rsidRPr="00843888">
              <w:rPr>
                <w:rFonts w:ascii="Arial" w:eastAsia="Times New Roman" w:hAnsi="Arial" w:cs="Arial"/>
                <w:color w:val="FFFFFF" w:themeColor="background1"/>
                <w:sz w:val="18"/>
                <w:szCs w:val="18"/>
              </w:rPr>
              <w:t>Change vs. 2YA</w:t>
            </w:r>
          </w:p>
        </w:tc>
        <w:tc>
          <w:tcPr>
            <w:tcW w:w="1103" w:type="dxa"/>
            <w:shd w:val="clear" w:color="auto" w:fill="17365D" w:themeFill="text2" w:themeFillShade="BF"/>
            <w:noWrap/>
            <w:hideMark/>
          </w:tcPr>
          <w:p w14:paraId="2E013909" w14:textId="77777777" w:rsidR="00843888" w:rsidRPr="00843888" w:rsidRDefault="00843888" w:rsidP="0084388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rPr>
            </w:pPr>
            <w:r w:rsidRPr="00843888">
              <w:rPr>
                <w:rFonts w:ascii="Arial" w:eastAsia="Times New Roman" w:hAnsi="Arial" w:cs="Arial"/>
                <w:color w:val="FFFFFF" w:themeColor="background1"/>
                <w:sz w:val="18"/>
                <w:szCs w:val="18"/>
              </w:rPr>
              <w:t>Change vs. 3YA</w:t>
            </w:r>
          </w:p>
        </w:tc>
        <w:tc>
          <w:tcPr>
            <w:tcW w:w="1102" w:type="dxa"/>
            <w:shd w:val="clear" w:color="auto" w:fill="17365D" w:themeFill="text2" w:themeFillShade="BF"/>
            <w:noWrap/>
            <w:hideMark/>
          </w:tcPr>
          <w:p w14:paraId="7FF5CEA1" w14:textId="023EE176" w:rsidR="00843888" w:rsidRPr="00843888" w:rsidRDefault="00843888" w:rsidP="0084388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rPr>
            </w:pPr>
            <w:r w:rsidRPr="00843888">
              <w:rPr>
                <w:rFonts w:ascii="Arial" w:eastAsia="Times New Roman" w:hAnsi="Arial" w:cs="Arial"/>
                <w:color w:val="FFFFFF" w:themeColor="background1"/>
                <w:sz w:val="18"/>
                <w:szCs w:val="18"/>
              </w:rPr>
              <w:t xml:space="preserve">Unit </w:t>
            </w:r>
            <w:r w:rsidR="00DD7A16">
              <w:rPr>
                <w:rFonts w:ascii="Arial" w:eastAsia="Times New Roman" w:hAnsi="Arial" w:cs="Arial"/>
                <w:sz w:val="18"/>
                <w:szCs w:val="18"/>
              </w:rPr>
              <w:br/>
            </w:r>
            <w:r w:rsidRPr="00843888">
              <w:rPr>
                <w:rFonts w:ascii="Arial" w:eastAsia="Times New Roman" w:hAnsi="Arial" w:cs="Arial"/>
                <w:color w:val="FFFFFF" w:themeColor="background1"/>
                <w:sz w:val="18"/>
                <w:szCs w:val="18"/>
              </w:rPr>
              <w:t>sales</w:t>
            </w:r>
          </w:p>
        </w:tc>
        <w:tc>
          <w:tcPr>
            <w:tcW w:w="1103" w:type="dxa"/>
            <w:shd w:val="clear" w:color="auto" w:fill="17365D" w:themeFill="text2" w:themeFillShade="BF"/>
            <w:noWrap/>
            <w:hideMark/>
          </w:tcPr>
          <w:p w14:paraId="1404F7D1" w14:textId="77777777" w:rsidR="00843888" w:rsidRPr="00843888" w:rsidRDefault="00843888" w:rsidP="0084388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rPr>
            </w:pPr>
            <w:r w:rsidRPr="00843888">
              <w:rPr>
                <w:rFonts w:ascii="Arial" w:eastAsia="Times New Roman" w:hAnsi="Arial" w:cs="Arial"/>
                <w:color w:val="FFFFFF" w:themeColor="background1"/>
                <w:sz w:val="18"/>
                <w:szCs w:val="18"/>
              </w:rPr>
              <w:t>Change vs. YA</w:t>
            </w:r>
          </w:p>
        </w:tc>
        <w:tc>
          <w:tcPr>
            <w:tcW w:w="1102" w:type="dxa"/>
            <w:shd w:val="clear" w:color="auto" w:fill="17365D" w:themeFill="text2" w:themeFillShade="BF"/>
            <w:noWrap/>
            <w:hideMark/>
          </w:tcPr>
          <w:p w14:paraId="1DA3D42F" w14:textId="77777777" w:rsidR="00843888" w:rsidRPr="00843888" w:rsidRDefault="00843888" w:rsidP="0084388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rPr>
            </w:pPr>
            <w:r w:rsidRPr="00843888">
              <w:rPr>
                <w:rFonts w:ascii="Arial" w:eastAsia="Times New Roman" w:hAnsi="Arial" w:cs="Arial"/>
                <w:color w:val="FFFFFF" w:themeColor="background1"/>
                <w:sz w:val="18"/>
                <w:szCs w:val="18"/>
              </w:rPr>
              <w:t>Change vs. 2YA</w:t>
            </w:r>
          </w:p>
        </w:tc>
        <w:tc>
          <w:tcPr>
            <w:tcW w:w="1103" w:type="dxa"/>
            <w:shd w:val="clear" w:color="auto" w:fill="17365D" w:themeFill="text2" w:themeFillShade="BF"/>
            <w:noWrap/>
            <w:hideMark/>
          </w:tcPr>
          <w:p w14:paraId="310FDEF3" w14:textId="77777777" w:rsidR="00843888" w:rsidRPr="00843888" w:rsidRDefault="00843888" w:rsidP="0084388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rPr>
            </w:pPr>
            <w:r w:rsidRPr="00843888">
              <w:rPr>
                <w:rFonts w:ascii="Arial" w:eastAsia="Times New Roman" w:hAnsi="Arial" w:cs="Arial"/>
                <w:color w:val="FFFFFF" w:themeColor="background1"/>
                <w:sz w:val="18"/>
                <w:szCs w:val="18"/>
              </w:rPr>
              <w:t>Change vs. 3YA</w:t>
            </w:r>
          </w:p>
        </w:tc>
      </w:tr>
      <w:tr w:rsidR="00B26A33" w:rsidRPr="00843888" w14:paraId="2F8F8C7D" w14:textId="77777777" w:rsidTr="00B26A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28482B25" w14:textId="6C92F679" w:rsidR="00B26A33" w:rsidRPr="00843888" w:rsidRDefault="00B26A33" w:rsidP="00B26A33">
            <w:pPr>
              <w:rPr>
                <w:rFonts w:ascii="Arial" w:eastAsia="Times New Roman" w:hAnsi="Arial" w:cs="Arial"/>
                <w:b w:val="0"/>
                <w:bCs w:val="0"/>
                <w:color w:val="215868" w:themeColor="accent5" w:themeShade="80"/>
                <w:sz w:val="18"/>
                <w:szCs w:val="18"/>
              </w:rPr>
            </w:pPr>
            <w:r w:rsidRPr="00DD7A16">
              <w:rPr>
                <w:rFonts w:ascii="Arial" w:eastAsia="Times New Roman" w:hAnsi="Arial" w:cs="Arial"/>
                <w:b w:val="0"/>
                <w:bCs w:val="0"/>
                <w:color w:val="215868" w:themeColor="accent5" w:themeShade="80"/>
                <w:sz w:val="18"/>
                <w:szCs w:val="18"/>
              </w:rPr>
              <w:t>Perishables</w:t>
            </w:r>
          </w:p>
        </w:tc>
        <w:tc>
          <w:tcPr>
            <w:tcW w:w="1102" w:type="dxa"/>
            <w:noWrap/>
            <w:vAlign w:val="bottom"/>
            <w:hideMark/>
          </w:tcPr>
          <w:p w14:paraId="73ABED33" w14:textId="1464EAEE" w:rsidR="00B26A33" w:rsidRPr="00DA261B" w:rsidRDefault="00B26A33" w:rsidP="00B26A3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25.8</w:t>
            </w:r>
            <w:r>
              <w:rPr>
                <w:rFonts w:ascii="Arial" w:hAnsi="Arial" w:cs="Arial"/>
                <w:color w:val="215868" w:themeColor="accent5" w:themeShade="80"/>
                <w:sz w:val="18"/>
                <w:szCs w:val="18"/>
              </w:rPr>
              <w:t>B</w:t>
            </w:r>
          </w:p>
        </w:tc>
        <w:tc>
          <w:tcPr>
            <w:tcW w:w="1103" w:type="dxa"/>
            <w:noWrap/>
            <w:vAlign w:val="bottom"/>
            <w:hideMark/>
          </w:tcPr>
          <w:p w14:paraId="25B7B7AA" w14:textId="466C532D" w:rsidR="00B26A33" w:rsidRPr="00DA261B" w:rsidRDefault="00B26A33" w:rsidP="00B26A3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6.8</w:t>
            </w:r>
            <w:r w:rsidRPr="00DA261B">
              <w:rPr>
                <w:rFonts w:ascii="Arial" w:hAnsi="Arial" w:cs="Arial"/>
                <w:color w:val="215868" w:themeColor="accent5" w:themeShade="80"/>
                <w:sz w:val="18"/>
                <w:szCs w:val="18"/>
              </w:rPr>
              <w:t>%</w:t>
            </w:r>
          </w:p>
        </w:tc>
        <w:tc>
          <w:tcPr>
            <w:tcW w:w="1102" w:type="dxa"/>
            <w:noWrap/>
            <w:vAlign w:val="bottom"/>
            <w:hideMark/>
          </w:tcPr>
          <w:p w14:paraId="140DAB3C" w14:textId="398E300B" w:rsidR="00B26A33" w:rsidRPr="00DA261B" w:rsidRDefault="00B26A33" w:rsidP="00B26A3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8.2</w:t>
            </w:r>
            <w:r w:rsidRPr="00DA261B">
              <w:rPr>
                <w:rFonts w:ascii="Arial" w:hAnsi="Arial" w:cs="Arial"/>
                <w:color w:val="215868" w:themeColor="accent5" w:themeShade="80"/>
                <w:sz w:val="18"/>
                <w:szCs w:val="18"/>
              </w:rPr>
              <w:t>%</w:t>
            </w:r>
          </w:p>
        </w:tc>
        <w:tc>
          <w:tcPr>
            <w:tcW w:w="1103" w:type="dxa"/>
            <w:noWrap/>
            <w:vAlign w:val="bottom"/>
            <w:hideMark/>
          </w:tcPr>
          <w:p w14:paraId="6B6ED24B" w14:textId="6E6D3028" w:rsidR="00B26A33" w:rsidRPr="00DA261B" w:rsidRDefault="00B26A33" w:rsidP="00B26A3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23.0</w:t>
            </w:r>
            <w:r w:rsidRPr="00DA261B">
              <w:rPr>
                <w:rFonts w:ascii="Arial" w:hAnsi="Arial" w:cs="Arial"/>
                <w:color w:val="215868" w:themeColor="accent5" w:themeShade="80"/>
                <w:sz w:val="18"/>
                <w:szCs w:val="18"/>
              </w:rPr>
              <w:t>%</w:t>
            </w:r>
          </w:p>
        </w:tc>
        <w:tc>
          <w:tcPr>
            <w:tcW w:w="1102" w:type="dxa"/>
            <w:noWrap/>
            <w:vAlign w:val="bottom"/>
            <w:hideMark/>
          </w:tcPr>
          <w:p w14:paraId="15867B9D" w14:textId="674E7D9E" w:rsidR="00B26A33" w:rsidRPr="00DA261B" w:rsidRDefault="00B27CF9" w:rsidP="00B26A3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6.7</w:t>
            </w:r>
            <w:r w:rsidR="00B26A33">
              <w:rPr>
                <w:rFonts w:ascii="Arial" w:hAnsi="Arial" w:cs="Arial"/>
                <w:color w:val="215868" w:themeColor="accent5" w:themeShade="80"/>
                <w:sz w:val="18"/>
                <w:szCs w:val="18"/>
              </w:rPr>
              <w:t>B</w:t>
            </w:r>
          </w:p>
        </w:tc>
        <w:tc>
          <w:tcPr>
            <w:tcW w:w="1103" w:type="dxa"/>
            <w:noWrap/>
            <w:vAlign w:val="center"/>
            <w:hideMark/>
          </w:tcPr>
          <w:p w14:paraId="6340ECF5" w14:textId="106BEF5D" w:rsidR="00B26A33" w:rsidRPr="00B26A33" w:rsidRDefault="00B26A33" w:rsidP="00B26A3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B26A33">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4.5</w:t>
            </w:r>
            <w:r w:rsidRPr="00B26A33">
              <w:rPr>
                <w:rFonts w:ascii="Arial" w:hAnsi="Arial" w:cs="Arial"/>
                <w:color w:val="215868" w:themeColor="accent5" w:themeShade="80"/>
                <w:sz w:val="18"/>
                <w:szCs w:val="18"/>
              </w:rPr>
              <w:t>%</w:t>
            </w:r>
          </w:p>
        </w:tc>
        <w:tc>
          <w:tcPr>
            <w:tcW w:w="1102" w:type="dxa"/>
            <w:noWrap/>
            <w:vAlign w:val="center"/>
            <w:hideMark/>
          </w:tcPr>
          <w:p w14:paraId="4CCF5250" w14:textId="52DACCFB" w:rsidR="00B26A33" w:rsidRPr="00B26A33" w:rsidRDefault="00B26A33" w:rsidP="00B26A3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B26A33">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5.8</w:t>
            </w:r>
            <w:r w:rsidRPr="00B26A33">
              <w:rPr>
                <w:rFonts w:ascii="Arial" w:hAnsi="Arial" w:cs="Arial"/>
                <w:color w:val="215868" w:themeColor="accent5" w:themeShade="80"/>
                <w:sz w:val="18"/>
                <w:szCs w:val="18"/>
              </w:rPr>
              <w:t>%</w:t>
            </w:r>
          </w:p>
        </w:tc>
        <w:tc>
          <w:tcPr>
            <w:tcW w:w="1103" w:type="dxa"/>
            <w:noWrap/>
            <w:vAlign w:val="center"/>
            <w:hideMark/>
          </w:tcPr>
          <w:p w14:paraId="4895A2B3" w14:textId="2300B6C4" w:rsidR="00B26A33" w:rsidRPr="00B26A33" w:rsidRDefault="00B27CF9" w:rsidP="00B26A3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+0.1</w:t>
            </w:r>
            <w:r w:rsidR="00B26A33" w:rsidRPr="00B26A33">
              <w:rPr>
                <w:rFonts w:ascii="Arial" w:hAnsi="Arial" w:cs="Arial"/>
                <w:color w:val="215868" w:themeColor="accent5" w:themeShade="80"/>
                <w:sz w:val="18"/>
                <w:szCs w:val="18"/>
              </w:rPr>
              <w:t>%</w:t>
            </w:r>
          </w:p>
        </w:tc>
      </w:tr>
      <w:tr w:rsidR="00FC21EB" w:rsidRPr="00843888" w14:paraId="5C74590E" w14:textId="77777777" w:rsidTr="00FC21EB">
        <w:trPr>
          <w:trHeight w:val="2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10D5A9F" w14:textId="42C25D5B" w:rsidR="00FC21EB" w:rsidRPr="00843888" w:rsidRDefault="00FC21EB" w:rsidP="00FC21EB">
            <w:pPr>
              <w:rPr>
                <w:rFonts w:ascii="Arial" w:eastAsia="Times New Roman" w:hAnsi="Arial" w:cs="Arial"/>
                <w:b w:val="0"/>
                <w:bCs w:val="0"/>
                <w:color w:val="215868" w:themeColor="accent5" w:themeShade="80"/>
                <w:sz w:val="18"/>
                <w:szCs w:val="18"/>
              </w:rPr>
            </w:pPr>
            <w:r w:rsidRPr="00DD7A16">
              <w:rPr>
                <w:rFonts w:ascii="Arial" w:eastAsia="Times New Roman" w:hAnsi="Arial" w:cs="Arial"/>
                <w:b w:val="0"/>
                <w:bCs w:val="0"/>
                <w:color w:val="215868" w:themeColor="accent5" w:themeShade="80"/>
                <w:sz w:val="18"/>
                <w:szCs w:val="18"/>
              </w:rPr>
              <w:t>Bakery</w:t>
            </w:r>
          </w:p>
        </w:tc>
        <w:tc>
          <w:tcPr>
            <w:tcW w:w="1102" w:type="dxa"/>
            <w:noWrap/>
            <w:vAlign w:val="bottom"/>
            <w:hideMark/>
          </w:tcPr>
          <w:p w14:paraId="685A5CFA" w14:textId="27237341"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3.1</w:t>
            </w:r>
            <w:r>
              <w:rPr>
                <w:rFonts w:ascii="Arial" w:hAnsi="Arial" w:cs="Arial"/>
                <w:color w:val="215868" w:themeColor="accent5" w:themeShade="80"/>
                <w:sz w:val="18"/>
                <w:szCs w:val="18"/>
              </w:rPr>
              <w:t>B</w:t>
            </w:r>
          </w:p>
        </w:tc>
        <w:tc>
          <w:tcPr>
            <w:tcW w:w="1103" w:type="dxa"/>
            <w:noWrap/>
            <w:vAlign w:val="bottom"/>
            <w:hideMark/>
          </w:tcPr>
          <w:p w14:paraId="6DADCD24" w14:textId="5D4E45B9"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9.3</w:t>
            </w:r>
            <w:r w:rsidRPr="00DA261B">
              <w:rPr>
                <w:rFonts w:ascii="Arial" w:hAnsi="Arial" w:cs="Arial"/>
                <w:color w:val="215868" w:themeColor="accent5" w:themeShade="80"/>
                <w:sz w:val="18"/>
                <w:szCs w:val="18"/>
              </w:rPr>
              <w:t>%</w:t>
            </w:r>
          </w:p>
        </w:tc>
        <w:tc>
          <w:tcPr>
            <w:tcW w:w="1102" w:type="dxa"/>
            <w:noWrap/>
            <w:vAlign w:val="bottom"/>
            <w:hideMark/>
          </w:tcPr>
          <w:p w14:paraId="3FA3D49D" w14:textId="271EA6C8"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14.4</w:t>
            </w:r>
            <w:r w:rsidRPr="00DA261B">
              <w:rPr>
                <w:rFonts w:ascii="Arial" w:hAnsi="Arial" w:cs="Arial"/>
                <w:color w:val="215868" w:themeColor="accent5" w:themeShade="80"/>
                <w:sz w:val="18"/>
                <w:szCs w:val="18"/>
              </w:rPr>
              <w:t>%</w:t>
            </w:r>
          </w:p>
        </w:tc>
        <w:tc>
          <w:tcPr>
            <w:tcW w:w="1103" w:type="dxa"/>
            <w:noWrap/>
            <w:vAlign w:val="bottom"/>
            <w:hideMark/>
          </w:tcPr>
          <w:p w14:paraId="0B2072AA" w14:textId="6D6335ED"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22.3</w:t>
            </w:r>
            <w:r w:rsidRPr="00DA261B">
              <w:rPr>
                <w:rFonts w:ascii="Arial" w:hAnsi="Arial" w:cs="Arial"/>
                <w:color w:val="215868" w:themeColor="accent5" w:themeShade="80"/>
                <w:sz w:val="18"/>
                <w:szCs w:val="18"/>
              </w:rPr>
              <w:t>%</w:t>
            </w:r>
          </w:p>
        </w:tc>
        <w:tc>
          <w:tcPr>
            <w:tcW w:w="1102" w:type="dxa"/>
            <w:noWrap/>
            <w:vAlign w:val="bottom"/>
            <w:hideMark/>
          </w:tcPr>
          <w:p w14:paraId="76DB9F3F" w14:textId="59E45165" w:rsidR="00FC21EB" w:rsidRPr="00DA261B" w:rsidRDefault="00B27CF9"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921M</w:t>
            </w:r>
          </w:p>
        </w:tc>
        <w:tc>
          <w:tcPr>
            <w:tcW w:w="1103" w:type="dxa"/>
            <w:noWrap/>
            <w:vAlign w:val="center"/>
            <w:hideMark/>
          </w:tcPr>
          <w:p w14:paraId="62793CA1" w14:textId="4F3C7121"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3.4</w:t>
            </w:r>
            <w:r w:rsidRPr="00FC21EB">
              <w:rPr>
                <w:rFonts w:ascii="Arial" w:hAnsi="Arial" w:cs="Arial"/>
                <w:color w:val="215868" w:themeColor="accent5" w:themeShade="80"/>
                <w:sz w:val="18"/>
                <w:szCs w:val="18"/>
              </w:rPr>
              <w:t>%</w:t>
            </w:r>
          </w:p>
        </w:tc>
        <w:tc>
          <w:tcPr>
            <w:tcW w:w="1102" w:type="dxa"/>
            <w:noWrap/>
            <w:vAlign w:val="center"/>
            <w:hideMark/>
          </w:tcPr>
          <w:p w14:paraId="6017D95C" w14:textId="5BB117E4"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2.0</w:t>
            </w:r>
            <w:r w:rsidRPr="00FC21EB">
              <w:rPr>
                <w:rFonts w:ascii="Arial" w:hAnsi="Arial" w:cs="Arial"/>
                <w:color w:val="215868" w:themeColor="accent5" w:themeShade="80"/>
                <w:sz w:val="18"/>
                <w:szCs w:val="18"/>
              </w:rPr>
              <w:t>%</w:t>
            </w:r>
          </w:p>
        </w:tc>
        <w:tc>
          <w:tcPr>
            <w:tcW w:w="1103" w:type="dxa"/>
            <w:noWrap/>
            <w:vAlign w:val="center"/>
            <w:hideMark/>
          </w:tcPr>
          <w:p w14:paraId="0DFA7558" w14:textId="6C2D8174"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5.2</w:t>
            </w:r>
            <w:r w:rsidRPr="00FC21EB">
              <w:rPr>
                <w:rFonts w:ascii="Arial" w:hAnsi="Arial" w:cs="Arial"/>
                <w:color w:val="215868" w:themeColor="accent5" w:themeShade="80"/>
                <w:sz w:val="18"/>
                <w:szCs w:val="18"/>
              </w:rPr>
              <w:t>%</w:t>
            </w:r>
          </w:p>
        </w:tc>
      </w:tr>
      <w:tr w:rsidR="00FC21EB" w:rsidRPr="00843888" w14:paraId="709C5EF3" w14:textId="77777777" w:rsidTr="00FC21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76894EBE" w14:textId="1D22D040" w:rsidR="00FC21EB" w:rsidRPr="00843888" w:rsidRDefault="00FC21EB" w:rsidP="00FC21EB">
            <w:pPr>
              <w:rPr>
                <w:rFonts w:ascii="Arial" w:eastAsia="Times New Roman" w:hAnsi="Arial" w:cs="Arial"/>
                <w:b w:val="0"/>
                <w:bCs w:val="0"/>
                <w:color w:val="215868" w:themeColor="accent5" w:themeShade="80"/>
                <w:sz w:val="18"/>
                <w:szCs w:val="18"/>
              </w:rPr>
            </w:pPr>
            <w:r w:rsidRPr="00DD7A16">
              <w:rPr>
                <w:rFonts w:ascii="Arial" w:eastAsia="Times New Roman" w:hAnsi="Arial" w:cs="Arial"/>
                <w:b w:val="0"/>
                <w:bCs w:val="0"/>
                <w:color w:val="215868" w:themeColor="accent5" w:themeShade="80"/>
                <w:sz w:val="18"/>
                <w:szCs w:val="18"/>
              </w:rPr>
              <w:t>Deli</w:t>
            </w:r>
          </w:p>
        </w:tc>
        <w:tc>
          <w:tcPr>
            <w:tcW w:w="1102" w:type="dxa"/>
            <w:noWrap/>
            <w:vAlign w:val="bottom"/>
            <w:hideMark/>
          </w:tcPr>
          <w:p w14:paraId="0C9EB501" w14:textId="666E1305"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3.4</w:t>
            </w:r>
            <w:r>
              <w:rPr>
                <w:rFonts w:ascii="Arial" w:hAnsi="Arial" w:cs="Arial"/>
                <w:color w:val="215868" w:themeColor="accent5" w:themeShade="80"/>
                <w:sz w:val="18"/>
                <w:szCs w:val="18"/>
              </w:rPr>
              <w:t>B</w:t>
            </w:r>
          </w:p>
        </w:tc>
        <w:tc>
          <w:tcPr>
            <w:tcW w:w="1103" w:type="dxa"/>
            <w:noWrap/>
            <w:vAlign w:val="bottom"/>
            <w:hideMark/>
          </w:tcPr>
          <w:p w14:paraId="3F92A315" w14:textId="1CFC2E0C"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7.2</w:t>
            </w:r>
            <w:r w:rsidRPr="00DA261B">
              <w:rPr>
                <w:rFonts w:ascii="Arial" w:hAnsi="Arial" w:cs="Arial"/>
                <w:color w:val="215868" w:themeColor="accent5" w:themeShade="80"/>
                <w:sz w:val="18"/>
                <w:szCs w:val="18"/>
              </w:rPr>
              <w:t>%</w:t>
            </w:r>
          </w:p>
        </w:tc>
        <w:tc>
          <w:tcPr>
            <w:tcW w:w="1102" w:type="dxa"/>
            <w:noWrap/>
            <w:vAlign w:val="bottom"/>
            <w:hideMark/>
          </w:tcPr>
          <w:p w14:paraId="77872D8C" w14:textId="4D6A9EF2"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20.0</w:t>
            </w:r>
            <w:r w:rsidRPr="00DA261B">
              <w:rPr>
                <w:rFonts w:ascii="Arial" w:hAnsi="Arial" w:cs="Arial"/>
                <w:color w:val="215868" w:themeColor="accent5" w:themeShade="80"/>
                <w:sz w:val="18"/>
                <w:szCs w:val="18"/>
              </w:rPr>
              <w:t>%</w:t>
            </w:r>
          </w:p>
        </w:tc>
        <w:tc>
          <w:tcPr>
            <w:tcW w:w="1103" w:type="dxa"/>
            <w:noWrap/>
            <w:vAlign w:val="bottom"/>
            <w:hideMark/>
          </w:tcPr>
          <w:p w14:paraId="17EB5AA8" w14:textId="26473DB6"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21.2</w:t>
            </w:r>
            <w:r w:rsidRPr="00DA261B">
              <w:rPr>
                <w:rFonts w:ascii="Arial" w:hAnsi="Arial" w:cs="Arial"/>
                <w:color w:val="215868" w:themeColor="accent5" w:themeShade="80"/>
                <w:sz w:val="18"/>
                <w:szCs w:val="18"/>
              </w:rPr>
              <w:t>%</w:t>
            </w:r>
          </w:p>
        </w:tc>
        <w:tc>
          <w:tcPr>
            <w:tcW w:w="1102" w:type="dxa"/>
            <w:noWrap/>
            <w:vAlign w:val="bottom"/>
            <w:hideMark/>
          </w:tcPr>
          <w:p w14:paraId="3B01B02E" w14:textId="7E290878" w:rsidR="00FC21EB" w:rsidRPr="00DA261B" w:rsidRDefault="00B27CF9"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595</w:t>
            </w:r>
            <w:r w:rsidR="00FC21EB">
              <w:rPr>
                <w:rFonts w:ascii="Arial" w:hAnsi="Arial" w:cs="Arial"/>
                <w:color w:val="215868" w:themeColor="accent5" w:themeShade="80"/>
                <w:sz w:val="18"/>
                <w:szCs w:val="18"/>
              </w:rPr>
              <w:t>M</w:t>
            </w:r>
          </w:p>
        </w:tc>
        <w:tc>
          <w:tcPr>
            <w:tcW w:w="1103" w:type="dxa"/>
            <w:noWrap/>
            <w:vAlign w:val="center"/>
            <w:hideMark/>
          </w:tcPr>
          <w:p w14:paraId="4AD0A3AF" w14:textId="11A79F92"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4.7</w:t>
            </w:r>
            <w:r w:rsidRPr="00FC21EB">
              <w:rPr>
                <w:rFonts w:ascii="Arial" w:hAnsi="Arial" w:cs="Arial"/>
                <w:color w:val="215868" w:themeColor="accent5" w:themeShade="80"/>
                <w:sz w:val="18"/>
                <w:szCs w:val="18"/>
              </w:rPr>
              <w:t>%</w:t>
            </w:r>
          </w:p>
        </w:tc>
        <w:tc>
          <w:tcPr>
            <w:tcW w:w="1102" w:type="dxa"/>
            <w:noWrap/>
            <w:vAlign w:val="center"/>
            <w:hideMark/>
          </w:tcPr>
          <w:p w14:paraId="41245BA6" w14:textId="6F1E9E95"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3.1</w:t>
            </w:r>
            <w:r w:rsidRPr="00FC21EB">
              <w:rPr>
                <w:rFonts w:ascii="Arial" w:hAnsi="Arial" w:cs="Arial"/>
                <w:color w:val="215868" w:themeColor="accent5" w:themeShade="80"/>
                <w:sz w:val="18"/>
                <w:szCs w:val="18"/>
              </w:rPr>
              <w:t>%</w:t>
            </w:r>
          </w:p>
        </w:tc>
        <w:tc>
          <w:tcPr>
            <w:tcW w:w="1103" w:type="dxa"/>
            <w:noWrap/>
            <w:vAlign w:val="center"/>
            <w:hideMark/>
          </w:tcPr>
          <w:p w14:paraId="2ADCB870" w14:textId="04D8685F"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2.6</w:t>
            </w:r>
            <w:r w:rsidRPr="00FC21EB">
              <w:rPr>
                <w:rFonts w:ascii="Arial" w:hAnsi="Arial" w:cs="Arial"/>
                <w:color w:val="215868" w:themeColor="accent5" w:themeShade="80"/>
                <w:sz w:val="18"/>
                <w:szCs w:val="18"/>
              </w:rPr>
              <w:t>%</w:t>
            </w:r>
          </w:p>
        </w:tc>
      </w:tr>
      <w:tr w:rsidR="00FC21EB" w:rsidRPr="00843888" w14:paraId="2D346A6A" w14:textId="77777777" w:rsidTr="00FC21EB">
        <w:trPr>
          <w:trHeight w:val="2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9F38E4F" w14:textId="0838BD41" w:rsidR="00FC21EB" w:rsidRPr="00843888" w:rsidRDefault="00FC21EB" w:rsidP="00FC21EB">
            <w:pPr>
              <w:rPr>
                <w:rFonts w:ascii="Arial" w:eastAsia="Times New Roman" w:hAnsi="Arial" w:cs="Arial"/>
                <w:b w:val="0"/>
                <w:bCs w:val="0"/>
                <w:color w:val="215868" w:themeColor="accent5" w:themeShade="80"/>
                <w:sz w:val="18"/>
                <w:szCs w:val="18"/>
              </w:rPr>
            </w:pPr>
            <w:r w:rsidRPr="00DD7A16">
              <w:rPr>
                <w:rFonts w:ascii="Arial" w:eastAsia="Times New Roman" w:hAnsi="Arial" w:cs="Arial"/>
                <w:b w:val="0"/>
                <w:bCs w:val="0"/>
                <w:color w:val="215868" w:themeColor="accent5" w:themeShade="80"/>
                <w:sz w:val="18"/>
                <w:szCs w:val="18"/>
              </w:rPr>
              <w:t>Meat</w:t>
            </w:r>
          </w:p>
        </w:tc>
        <w:tc>
          <w:tcPr>
            <w:tcW w:w="1102" w:type="dxa"/>
            <w:noWrap/>
            <w:vAlign w:val="bottom"/>
            <w:hideMark/>
          </w:tcPr>
          <w:p w14:paraId="4FA73441" w14:textId="7C8144EA"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6.7</w:t>
            </w:r>
            <w:r>
              <w:rPr>
                <w:rFonts w:ascii="Arial" w:hAnsi="Arial" w:cs="Arial"/>
                <w:color w:val="215868" w:themeColor="accent5" w:themeShade="80"/>
                <w:sz w:val="18"/>
                <w:szCs w:val="18"/>
              </w:rPr>
              <w:t>B</w:t>
            </w:r>
          </w:p>
        </w:tc>
        <w:tc>
          <w:tcPr>
            <w:tcW w:w="1103" w:type="dxa"/>
            <w:noWrap/>
            <w:vAlign w:val="bottom"/>
            <w:hideMark/>
          </w:tcPr>
          <w:p w14:paraId="5C8C8D5C" w14:textId="7ABE3189"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5.7</w:t>
            </w:r>
            <w:r w:rsidRPr="00DA261B">
              <w:rPr>
                <w:rFonts w:ascii="Arial" w:hAnsi="Arial" w:cs="Arial"/>
                <w:color w:val="215868" w:themeColor="accent5" w:themeShade="80"/>
                <w:sz w:val="18"/>
                <w:szCs w:val="18"/>
              </w:rPr>
              <w:t>%</w:t>
            </w:r>
          </w:p>
        </w:tc>
        <w:tc>
          <w:tcPr>
            <w:tcW w:w="1102" w:type="dxa"/>
            <w:noWrap/>
            <w:vAlign w:val="bottom"/>
            <w:hideMark/>
          </w:tcPr>
          <w:p w14:paraId="1717E3E8" w14:textId="51E9E727" w:rsidR="00FC21EB" w:rsidRPr="00DA261B" w:rsidRDefault="00B27CF9"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+3.5</w:t>
            </w:r>
            <w:r w:rsidR="00FC21EB" w:rsidRPr="00DA261B">
              <w:rPr>
                <w:rFonts w:ascii="Arial" w:hAnsi="Arial" w:cs="Arial"/>
                <w:color w:val="215868" w:themeColor="accent5" w:themeShade="80"/>
                <w:sz w:val="18"/>
                <w:szCs w:val="18"/>
              </w:rPr>
              <w:t>%</w:t>
            </w:r>
          </w:p>
        </w:tc>
        <w:tc>
          <w:tcPr>
            <w:tcW w:w="1103" w:type="dxa"/>
            <w:noWrap/>
            <w:vAlign w:val="bottom"/>
            <w:hideMark/>
          </w:tcPr>
          <w:p w14:paraId="0A8EFAD3" w14:textId="19DEEA36"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24.6</w:t>
            </w:r>
            <w:r w:rsidRPr="00DA261B">
              <w:rPr>
                <w:rFonts w:ascii="Arial" w:hAnsi="Arial" w:cs="Arial"/>
                <w:color w:val="215868" w:themeColor="accent5" w:themeShade="80"/>
                <w:sz w:val="18"/>
                <w:szCs w:val="18"/>
              </w:rPr>
              <w:t>%</w:t>
            </w:r>
          </w:p>
        </w:tc>
        <w:tc>
          <w:tcPr>
            <w:tcW w:w="1102" w:type="dxa"/>
            <w:noWrap/>
            <w:vAlign w:val="bottom"/>
            <w:hideMark/>
          </w:tcPr>
          <w:p w14:paraId="2A392554" w14:textId="69633610" w:rsidR="00FC21EB" w:rsidRPr="00DA261B" w:rsidRDefault="00B27CF9"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1.1</w:t>
            </w:r>
            <w:r w:rsidR="00FC21EB">
              <w:rPr>
                <w:rFonts w:ascii="Arial" w:hAnsi="Arial" w:cs="Arial"/>
                <w:color w:val="215868" w:themeColor="accent5" w:themeShade="80"/>
                <w:sz w:val="18"/>
                <w:szCs w:val="18"/>
              </w:rPr>
              <w:t>B</w:t>
            </w:r>
          </w:p>
        </w:tc>
        <w:tc>
          <w:tcPr>
            <w:tcW w:w="1103" w:type="dxa"/>
            <w:noWrap/>
            <w:vAlign w:val="center"/>
            <w:hideMark/>
          </w:tcPr>
          <w:p w14:paraId="6D59D597" w14:textId="31D263A7"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4.1</w:t>
            </w:r>
            <w:r w:rsidRPr="00FC21EB">
              <w:rPr>
                <w:rFonts w:ascii="Arial" w:hAnsi="Arial" w:cs="Arial"/>
                <w:color w:val="215868" w:themeColor="accent5" w:themeShade="80"/>
                <w:sz w:val="18"/>
                <w:szCs w:val="18"/>
              </w:rPr>
              <w:t>%</w:t>
            </w:r>
          </w:p>
        </w:tc>
        <w:tc>
          <w:tcPr>
            <w:tcW w:w="1102" w:type="dxa"/>
            <w:noWrap/>
            <w:vAlign w:val="center"/>
            <w:hideMark/>
          </w:tcPr>
          <w:p w14:paraId="2A63E609" w14:textId="4EC0B0BF"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4.4</w:t>
            </w:r>
            <w:r w:rsidRPr="00FC21EB">
              <w:rPr>
                <w:rFonts w:ascii="Arial" w:hAnsi="Arial" w:cs="Arial"/>
                <w:color w:val="215868" w:themeColor="accent5" w:themeShade="80"/>
                <w:sz w:val="18"/>
                <w:szCs w:val="18"/>
              </w:rPr>
              <w:t>%</w:t>
            </w:r>
          </w:p>
        </w:tc>
        <w:tc>
          <w:tcPr>
            <w:tcW w:w="1103" w:type="dxa"/>
            <w:noWrap/>
            <w:vAlign w:val="center"/>
            <w:hideMark/>
          </w:tcPr>
          <w:p w14:paraId="557CBB90" w14:textId="53D754DB"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0.6</w:t>
            </w:r>
            <w:r w:rsidRPr="00FC21EB">
              <w:rPr>
                <w:rFonts w:ascii="Arial" w:hAnsi="Arial" w:cs="Arial"/>
                <w:color w:val="215868" w:themeColor="accent5" w:themeShade="80"/>
                <w:sz w:val="18"/>
                <w:szCs w:val="18"/>
              </w:rPr>
              <w:t>%</w:t>
            </w:r>
          </w:p>
        </w:tc>
      </w:tr>
      <w:tr w:rsidR="00FC21EB" w:rsidRPr="00843888" w14:paraId="6498DF04" w14:textId="77777777" w:rsidTr="00FC21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4EE33BF3" w14:textId="3DA97AE8" w:rsidR="00FC21EB" w:rsidRPr="00843888" w:rsidRDefault="00FC21EB" w:rsidP="00FC21EB">
            <w:pPr>
              <w:rPr>
                <w:rFonts w:ascii="Arial" w:eastAsia="Times New Roman" w:hAnsi="Arial" w:cs="Arial"/>
                <w:b w:val="0"/>
                <w:bCs w:val="0"/>
                <w:color w:val="215868" w:themeColor="accent5" w:themeShade="80"/>
                <w:sz w:val="18"/>
                <w:szCs w:val="18"/>
              </w:rPr>
            </w:pPr>
            <w:r w:rsidRPr="00843888">
              <w:rPr>
                <w:rFonts w:ascii="Arial" w:eastAsia="Times New Roman" w:hAnsi="Arial" w:cs="Arial"/>
                <w:b w:val="0"/>
                <w:bCs w:val="0"/>
                <w:color w:val="215868" w:themeColor="accent5" w:themeShade="80"/>
                <w:sz w:val="18"/>
                <w:szCs w:val="18"/>
              </w:rPr>
              <w:t>P</w:t>
            </w:r>
            <w:r w:rsidRPr="00DD7A16">
              <w:rPr>
                <w:rFonts w:ascii="Arial" w:eastAsia="Times New Roman" w:hAnsi="Arial" w:cs="Arial"/>
                <w:b w:val="0"/>
                <w:bCs w:val="0"/>
                <w:color w:val="215868" w:themeColor="accent5" w:themeShade="80"/>
                <w:sz w:val="18"/>
                <w:szCs w:val="18"/>
              </w:rPr>
              <w:t>roduce</w:t>
            </w:r>
          </w:p>
        </w:tc>
        <w:tc>
          <w:tcPr>
            <w:tcW w:w="1102" w:type="dxa"/>
            <w:noWrap/>
            <w:vAlign w:val="bottom"/>
            <w:hideMark/>
          </w:tcPr>
          <w:p w14:paraId="7E7FB224" w14:textId="103029DA"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6.1</w:t>
            </w:r>
            <w:r>
              <w:rPr>
                <w:rFonts w:ascii="Arial" w:hAnsi="Arial" w:cs="Arial"/>
                <w:color w:val="215868" w:themeColor="accent5" w:themeShade="80"/>
                <w:sz w:val="18"/>
                <w:szCs w:val="18"/>
              </w:rPr>
              <w:t>B</w:t>
            </w:r>
          </w:p>
        </w:tc>
        <w:tc>
          <w:tcPr>
            <w:tcW w:w="1103" w:type="dxa"/>
            <w:noWrap/>
            <w:vAlign w:val="bottom"/>
            <w:hideMark/>
          </w:tcPr>
          <w:p w14:paraId="03E1F941" w14:textId="527CC487"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1.4</w:t>
            </w:r>
            <w:r w:rsidRPr="00DA261B">
              <w:rPr>
                <w:rFonts w:ascii="Arial" w:hAnsi="Arial" w:cs="Arial"/>
                <w:color w:val="215868" w:themeColor="accent5" w:themeShade="80"/>
                <w:sz w:val="18"/>
                <w:szCs w:val="18"/>
              </w:rPr>
              <w:t>%</w:t>
            </w:r>
          </w:p>
        </w:tc>
        <w:tc>
          <w:tcPr>
            <w:tcW w:w="1102" w:type="dxa"/>
            <w:noWrap/>
            <w:vAlign w:val="bottom"/>
            <w:hideMark/>
          </w:tcPr>
          <w:p w14:paraId="0F23F4EE" w14:textId="3B267315"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3.8</w:t>
            </w:r>
            <w:r w:rsidRPr="00DA261B">
              <w:rPr>
                <w:rFonts w:ascii="Arial" w:hAnsi="Arial" w:cs="Arial"/>
                <w:color w:val="215868" w:themeColor="accent5" w:themeShade="80"/>
                <w:sz w:val="18"/>
                <w:szCs w:val="18"/>
              </w:rPr>
              <w:t>%</w:t>
            </w:r>
          </w:p>
        </w:tc>
        <w:tc>
          <w:tcPr>
            <w:tcW w:w="1103" w:type="dxa"/>
            <w:noWrap/>
            <w:vAlign w:val="bottom"/>
            <w:hideMark/>
          </w:tcPr>
          <w:p w14:paraId="7177F86B" w14:textId="73D6B02F"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17.6</w:t>
            </w:r>
            <w:r w:rsidRPr="00DA261B">
              <w:rPr>
                <w:rFonts w:ascii="Arial" w:hAnsi="Arial" w:cs="Arial"/>
                <w:color w:val="215868" w:themeColor="accent5" w:themeShade="80"/>
                <w:sz w:val="18"/>
                <w:szCs w:val="18"/>
              </w:rPr>
              <w:t>%</w:t>
            </w:r>
          </w:p>
        </w:tc>
        <w:tc>
          <w:tcPr>
            <w:tcW w:w="1102" w:type="dxa"/>
            <w:noWrap/>
            <w:vAlign w:val="bottom"/>
            <w:hideMark/>
          </w:tcPr>
          <w:p w14:paraId="22821649" w14:textId="2047BD09" w:rsidR="00FC21EB" w:rsidRPr="00DA261B" w:rsidRDefault="00B27CF9"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2.3</w:t>
            </w:r>
            <w:r w:rsidR="00FC21EB">
              <w:rPr>
                <w:rFonts w:ascii="Arial" w:hAnsi="Arial" w:cs="Arial"/>
                <w:color w:val="215868" w:themeColor="accent5" w:themeShade="80"/>
                <w:sz w:val="18"/>
                <w:szCs w:val="18"/>
              </w:rPr>
              <w:t>B</w:t>
            </w:r>
          </w:p>
        </w:tc>
        <w:tc>
          <w:tcPr>
            <w:tcW w:w="1103" w:type="dxa"/>
            <w:noWrap/>
            <w:vAlign w:val="center"/>
            <w:hideMark/>
          </w:tcPr>
          <w:p w14:paraId="739DBA45" w14:textId="1FBCA399"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6.0</w:t>
            </w:r>
            <w:r w:rsidRPr="00FC21EB">
              <w:rPr>
                <w:rFonts w:ascii="Arial" w:hAnsi="Arial" w:cs="Arial"/>
                <w:color w:val="215868" w:themeColor="accent5" w:themeShade="80"/>
                <w:sz w:val="18"/>
                <w:szCs w:val="18"/>
              </w:rPr>
              <w:t>%</w:t>
            </w:r>
          </w:p>
        </w:tc>
        <w:tc>
          <w:tcPr>
            <w:tcW w:w="1102" w:type="dxa"/>
            <w:noWrap/>
            <w:vAlign w:val="center"/>
            <w:hideMark/>
          </w:tcPr>
          <w:p w14:paraId="04FFDB69" w14:textId="1E58B2DD"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8.5</w:t>
            </w:r>
            <w:r w:rsidRPr="00FC21EB">
              <w:rPr>
                <w:rFonts w:ascii="Arial" w:hAnsi="Arial" w:cs="Arial"/>
                <w:color w:val="215868" w:themeColor="accent5" w:themeShade="80"/>
                <w:sz w:val="18"/>
                <w:szCs w:val="18"/>
              </w:rPr>
              <w:t>%</w:t>
            </w:r>
          </w:p>
        </w:tc>
        <w:tc>
          <w:tcPr>
            <w:tcW w:w="1103" w:type="dxa"/>
            <w:noWrap/>
            <w:vAlign w:val="center"/>
            <w:hideMark/>
          </w:tcPr>
          <w:p w14:paraId="669105D0" w14:textId="6D6633A4"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2.7</w:t>
            </w:r>
            <w:r w:rsidRPr="00FC21EB">
              <w:rPr>
                <w:rFonts w:ascii="Arial" w:hAnsi="Arial" w:cs="Arial"/>
                <w:color w:val="215868" w:themeColor="accent5" w:themeShade="80"/>
                <w:sz w:val="18"/>
                <w:szCs w:val="18"/>
              </w:rPr>
              <w:t>%</w:t>
            </w:r>
          </w:p>
        </w:tc>
      </w:tr>
      <w:tr w:rsidR="00FC21EB" w:rsidRPr="00843888" w14:paraId="2B5665AE" w14:textId="77777777" w:rsidTr="00FC21EB">
        <w:trPr>
          <w:trHeight w:val="2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57B09037" w14:textId="342BE891" w:rsidR="00FC21EB" w:rsidRPr="00843888" w:rsidRDefault="00FC21EB" w:rsidP="00FC21EB">
            <w:pPr>
              <w:rPr>
                <w:rFonts w:ascii="Arial" w:eastAsia="Times New Roman" w:hAnsi="Arial" w:cs="Arial"/>
                <w:b w:val="0"/>
                <w:bCs w:val="0"/>
                <w:color w:val="215868" w:themeColor="accent5" w:themeShade="80"/>
                <w:sz w:val="18"/>
                <w:szCs w:val="18"/>
              </w:rPr>
            </w:pPr>
            <w:r w:rsidRPr="00843888">
              <w:rPr>
                <w:rFonts w:ascii="Arial" w:eastAsia="Times New Roman" w:hAnsi="Arial" w:cs="Arial"/>
                <w:b w:val="0"/>
                <w:bCs w:val="0"/>
                <w:color w:val="215868" w:themeColor="accent5" w:themeShade="80"/>
                <w:sz w:val="18"/>
                <w:szCs w:val="18"/>
              </w:rPr>
              <w:t>R</w:t>
            </w:r>
            <w:r w:rsidRPr="00DD7A16">
              <w:rPr>
                <w:rFonts w:ascii="Arial" w:eastAsia="Times New Roman" w:hAnsi="Arial" w:cs="Arial"/>
                <w:b w:val="0"/>
                <w:bCs w:val="0"/>
                <w:color w:val="215868" w:themeColor="accent5" w:themeShade="80"/>
                <w:sz w:val="18"/>
                <w:szCs w:val="18"/>
              </w:rPr>
              <w:t>efrigerated</w:t>
            </w:r>
          </w:p>
        </w:tc>
        <w:tc>
          <w:tcPr>
            <w:tcW w:w="1102" w:type="dxa"/>
            <w:noWrap/>
            <w:vAlign w:val="bottom"/>
            <w:hideMark/>
          </w:tcPr>
          <w:p w14:paraId="2B99802C" w14:textId="55B3DBC4"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6.0</w:t>
            </w:r>
            <w:r>
              <w:rPr>
                <w:rFonts w:ascii="Arial" w:hAnsi="Arial" w:cs="Arial"/>
                <w:color w:val="215868" w:themeColor="accent5" w:themeShade="80"/>
                <w:sz w:val="18"/>
                <w:szCs w:val="18"/>
              </w:rPr>
              <w:t>B</w:t>
            </w:r>
          </w:p>
        </w:tc>
        <w:tc>
          <w:tcPr>
            <w:tcW w:w="1103" w:type="dxa"/>
            <w:noWrap/>
            <w:vAlign w:val="bottom"/>
            <w:hideMark/>
          </w:tcPr>
          <w:p w14:paraId="3AD6EAEE" w14:textId="02902F1D"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14.8</w:t>
            </w:r>
            <w:r w:rsidRPr="00DA261B">
              <w:rPr>
                <w:rFonts w:ascii="Arial" w:hAnsi="Arial" w:cs="Arial"/>
                <w:color w:val="215868" w:themeColor="accent5" w:themeShade="80"/>
                <w:sz w:val="18"/>
                <w:szCs w:val="18"/>
              </w:rPr>
              <w:t>%</w:t>
            </w:r>
          </w:p>
        </w:tc>
        <w:tc>
          <w:tcPr>
            <w:tcW w:w="1102" w:type="dxa"/>
            <w:noWrap/>
            <w:vAlign w:val="bottom"/>
            <w:hideMark/>
          </w:tcPr>
          <w:p w14:paraId="61FF8938" w14:textId="1475E9C1"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12.5</w:t>
            </w:r>
            <w:r w:rsidRPr="00DA261B">
              <w:rPr>
                <w:rFonts w:ascii="Arial" w:hAnsi="Arial" w:cs="Arial"/>
                <w:color w:val="215868" w:themeColor="accent5" w:themeShade="80"/>
                <w:sz w:val="18"/>
                <w:szCs w:val="18"/>
              </w:rPr>
              <w:t>%</w:t>
            </w:r>
          </w:p>
        </w:tc>
        <w:tc>
          <w:tcPr>
            <w:tcW w:w="1103" w:type="dxa"/>
            <w:noWrap/>
            <w:vAlign w:val="bottom"/>
            <w:hideMark/>
          </w:tcPr>
          <w:p w14:paraId="2340249A" w14:textId="7FC3D1B3" w:rsidR="00FC21EB" w:rsidRPr="00DA261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29.2</w:t>
            </w:r>
            <w:r w:rsidRPr="00DA261B">
              <w:rPr>
                <w:rFonts w:ascii="Arial" w:hAnsi="Arial" w:cs="Arial"/>
                <w:color w:val="215868" w:themeColor="accent5" w:themeShade="80"/>
                <w:sz w:val="18"/>
                <w:szCs w:val="18"/>
              </w:rPr>
              <w:t>%</w:t>
            </w:r>
          </w:p>
        </w:tc>
        <w:tc>
          <w:tcPr>
            <w:tcW w:w="1102" w:type="dxa"/>
            <w:noWrap/>
            <w:vAlign w:val="bottom"/>
            <w:hideMark/>
          </w:tcPr>
          <w:p w14:paraId="6EC8FA10" w14:textId="0E741902" w:rsidR="00FC21EB" w:rsidRPr="00DA261B" w:rsidRDefault="00B27CF9"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1.8</w:t>
            </w:r>
            <w:r w:rsidR="00FC21EB">
              <w:rPr>
                <w:rFonts w:ascii="Arial" w:hAnsi="Arial" w:cs="Arial"/>
                <w:color w:val="215868" w:themeColor="accent5" w:themeShade="80"/>
                <w:sz w:val="18"/>
                <w:szCs w:val="18"/>
              </w:rPr>
              <w:t>B</w:t>
            </w:r>
          </w:p>
        </w:tc>
        <w:tc>
          <w:tcPr>
            <w:tcW w:w="1103" w:type="dxa"/>
            <w:noWrap/>
            <w:vAlign w:val="center"/>
            <w:hideMark/>
          </w:tcPr>
          <w:p w14:paraId="2F2E3B03" w14:textId="3E90EC55"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2.5</w:t>
            </w:r>
            <w:r w:rsidRPr="00FC21EB">
              <w:rPr>
                <w:rFonts w:ascii="Arial" w:hAnsi="Arial" w:cs="Arial"/>
                <w:color w:val="215868" w:themeColor="accent5" w:themeShade="80"/>
                <w:sz w:val="18"/>
                <w:szCs w:val="18"/>
              </w:rPr>
              <w:t>%</w:t>
            </w:r>
          </w:p>
        </w:tc>
        <w:tc>
          <w:tcPr>
            <w:tcW w:w="1102" w:type="dxa"/>
            <w:noWrap/>
            <w:vAlign w:val="center"/>
            <w:hideMark/>
          </w:tcPr>
          <w:p w14:paraId="1B9ABE08" w14:textId="253F8E23"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6.6</w:t>
            </w:r>
            <w:r w:rsidRPr="00FC21EB">
              <w:rPr>
                <w:rFonts w:ascii="Arial" w:hAnsi="Arial" w:cs="Arial"/>
                <w:color w:val="215868" w:themeColor="accent5" w:themeShade="80"/>
                <w:sz w:val="18"/>
                <w:szCs w:val="18"/>
              </w:rPr>
              <w:t>%</w:t>
            </w:r>
          </w:p>
        </w:tc>
        <w:tc>
          <w:tcPr>
            <w:tcW w:w="1103" w:type="dxa"/>
            <w:noWrap/>
            <w:vAlign w:val="center"/>
            <w:hideMark/>
          </w:tcPr>
          <w:p w14:paraId="1A78E784" w14:textId="7D964F12" w:rsidR="00FC21EB" w:rsidRPr="00FC21EB" w:rsidRDefault="00FC21EB" w:rsidP="00FC21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0.5</w:t>
            </w:r>
            <w:r w:rsidRPr="00FC21EB">
              <w:rPr>
                <w:rFonts w:ascii="Arial" w:hAnsi="Arial" w:cs="Arial"/>
                <w:color w:val="215868" w:themeColor="accent5" w:themeShade="80"/>
                <w:sz w:val="18"/>
                <w:szCs w:val="18"/>
              </w:rPr>
              <w:t>%</w:t>
            </w:r>
          </w:p>
        </w:tc>
      </w:tr>
      <w:tr w:rsidR="00FC21EB" w:rsidRPr="00843888" w14:paraId="119F1DC4" w14:textId="77777777" w:rsidTr="00FC21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2C879CED" w14:textId="26C5472A" w:rsidR="00FC21EB" w:rsidRPr="00843888" w:rsidRDefault="00FC21EB" w:rsidP="00FC21EB">
            <w:pPr>
              <w:rPr>
                <w:rFonts w:ascii="Arial" w:eastAsia="Times New Roman" w:hAnsi="Arial" w:cs="Arial"/>
                <w:b w:val="0"/>
                <w:bCs w:val="0"/>
                <w:color w:val="215868" w:themeColor="accent5" w:themeShade="80"/>
                <w:sz w:val="18"/>
                <w:szCs w:val="18"/>
              </w:rPr>
            </w:pPr>
            <w:r w:rsidRPr="00DD7A16">
              <w:rPr>
                <w:rFonts w:ascii="Arial" w:eastAsia="Times New Roman" w:hAnsi="Arial" w:cs="Arial"/>
                <w:b w:val="0"/>
                <w:bCs w:val="0"/>
                <w:color w:val="215868" w:themeColor="accent5" w:themeShade="80"/>
                <w:sz w:val="18"/>
                <w:szCs w:val="18"/>
              </w:rPr>
              <w:t>Seafood</w:t>
            </w:r>
          </w:p>
        </w:tc>
        <w:tc>
          <w:tcPr>
            <w:tcW w:w="1102" w:type="dxa"/>
            <w:noWrap/>
            <w:vAlign w:val="bottom"/>
            <w:hideMark/>
          </w:tcPr>
          <w:p w14:paraId="699C0C55" w14:textId="388D93C6"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502</w:t>
            </w:r>
            <w:r>
              <w:rPr>
                <w:rFonts w:ascii="Arial" w:hAnsi="Arial" w:cs="Arial"/>
                <w:color w:val="215868" w:themeColor="accent5" w:themeShade="80"/>
                <w:sz w:val="18"/>
                <w:szCs w:val="18"/>
              </w:rPr>
              <w:t>M</w:t>
            </w:r>
          </w:p>
        </w:tc>
        <w:tc>
          <w:tcPr>
            <w:tcW w:w="1103" w:type="dxa"/>
            <w:noWrap/>
            <w:vAlign w:val="bottom"/>
            <w:hideMark/>
          </w:tcPr>
          <w:p w14:paraId="229209B9" w14:textId="7C87028C"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13.3</w:t>
            </w:r>
            <w:r w:rsidRPr="00DA261B">
              <w:rPr>
                <w:rFonts w:ascii="Arial" w:hAnsi="Arial" w:cs="Arial"/>
                <w:color w:val="215868" w:themeColor="accent5" w:themeShade="80"/>
                <w:sz w:val="18"/>
                <w:szCs w:val="18"/>
              </w:rPr>
              <w:t>%</w:t>
            </w:r>
          </w:p>
        </w:tc>
        <w:tc>
          <w:tcPr>
            <w:tcW w:w="1102" w:type="dxa"/>
            <w:noWrap/>
            <w:vAlign w:val="bottom"/>
            <w:hideMark/>
          </w:tcPr>
          <w:p w14:paraId="578BC6D0" w14:textId="2F4CC8F2"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DA261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20.8</w:t>
            </w:r>
            <w:r w:rsidRPr="00DA261B">
              <w:rPr>
                <w:rFonts w:ascii="Arial" w:hAnsi="Arial" w:cs="Arial"/>
                <w:color w:val="215868" w:themeColor="accent5" w:themeShade="80"/>
                <w:sz w:val="18"/>
                <w:szCs w:val="18"/>
              </w:rPr>
              <w:t>%</w:t>
            </w:r>
          </w:p>
        </w:tc>
        <w:tc>
          <w:tcPr>
            <w:tcW w:w="1103" w:type="dxa"/>
            <w:noWrap/>
            <w:vAlign w:val="bottom"/>
            <w:hideMark/>
          </w:tcPr>
          <w:p w14:paraId="2856F3C7" w14:textId="06AB2426" w:rsidR="00FC21EB" w:rsidRPr="00DA261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15.4</w:t>
            </w:r>
            <w:r w:rsidRPr="00DA261B">
              <w:rPr>
                <w:rFonts w:ascii="Arial" w:hAnsi="Arial" w:cs="Arial"/>
                <w:color w:val="215868" w:themeColor="accent5" w:themeShade="80"/>
                <w:sz w:val="18"/>
                <w:szCs w:val="18"/>
              </w:rPr>
              <w:t>%</w:t>
            </w:r>
          </w:p>
        </w:tc>
        <w:tc>
          <w:tcPr>
            <w:tcW w:w="1102" w:type="dxa"/>
            <w:noWrap/>
            <w:vAlign w:val="bottom"/>
            <w:hideMark/>
          </w:tcPr>
          <w:p w14:paraId="2AD2E772" w14:textId="12536A1C" w:rsidR="00FC21EB" w:rsidRPr="00DA261B" w:rsidRDefault="00B27CF9"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18"/>
              </w:rPr>
              <w:t>55</w:t>
            </w:r>
            <w:r w:rsidR="00FC21EB">
              <w:rPr>
                <w:rFonts w:ascii="Arial" w:hAnsi="Arial" w:cs="Arial"/>
                <w:color w:val="215868" w:themeColor="accent5" w:themeShade="80"/>
                <w:sz w:val="18"/>
                <w:szCs w:val="18"/>
              </w:rPr>
              <w:t>M</w:t>
            </w:r>
          </w:p>
        </w:tc>
        <w:tc>
          <w:tcPr>
            <w:tcW w:w="1103" w:type="dxa"/>
            <w:noWrap/>
            <w:vAlign w:val="center"/>
            <w:hideMark/>
          </w:tcPr>
          <w:p w14:paraId="7805C532" w14:textId="7789AFE7"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21.8</w:t>
            </w:r>
            <w:r w:rsidRPr="00FC21EB">
              <w:rPr>
                <w:rFonts w:ascii="Arial" w:hAnsi="Arial" w:cs="Arial"/>
                <w:color w:val="215868" w:themeColor="accent5" w:themeShade="80"/>
                <w:sz w:val="18"/>
                <w:szCs w:val="18"/>
              </w:rPr>
              <w:t>%</w:t>
            </w:r>
          </w:p>
        </w:tc>
        <w:tc>
          <w:tcPr>
            <w:tcW w:w="1102" w:type="dxa"/>
            <w:noWrap/>
            <w:vAlign w:val="center"/>
            <w:hideMark/>
          </w:tcPr>
          <w:p w14:paraId="106B05A1" w14:textId="13BF8C3B"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30.8</w:t>
            </w:r>
            <w:r w:rsidRPr="00FC21EB">
              <w:rPr>
                <w:rFonts w:ascii="Arial" w:hAnsi="Arial" w:cs="Arial"/>
                <w:color w:val="215868" w:themeColor="accent5" w:themeShade="80"/>
                <w:sz w:val="18"/>
                <w:szCs w:val="18"/>
              </w:rPr>
              <w:t>%</w:t>
            </w:r>
          </w:p>
        </w:tc>
        <w:tc>
          <w:tcPr>
            <w:tcW w:w="1103" w:type="dxa"/>
            <w:noWrap/>
            <w:vAlign w:val="center"/>
            <w:hideMark/>
          </w:tcPr>
          <w:p w14:paraId="74C3ABB4" w14:textId="6E08AC3B" w:rsidR="00FC21EB" w:rsidRPr="00FC21EB" w:rsidRDefault="00FC21EB" w:rsidP="00FC21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FC21EB">
              <w:rPr>
                <w:rFonts w:ascii="Arial" w:hAnsi="Arial" w:cs="Arial"/>
                <w:color w:val="215868" w:themeColor="accent5" w:themeShade="80"/>
                <w:sz w:val="18"/>
                <w:szCs w:val="18"/>
              </w:rPr>
              <w:t>-</w:t>
            </w:r>
            <w:r w:rsidR="00B27CF9">
              <w:rPr>
                <w:rFonts w:ascii="Arial" w:hAnsi="Arial" w:cs="Arial"/>
                <w:color w:val="215868" w:themeColor="accent5" w:themeShade="80"/>
                <w:sz w:val="18"/>
                <w:szCs w:val="18"/>
              </w:rPr>
              <w:t>4.7</w:t>
            </w:r>
            <w:r w:rsidRPr="00FC21EB">
              <w:rPr>
                <w:rFonts w:ascii="Arial" w:hAnsi="Arial" w:cs="Arial"/>
                <w:color w:val="215868" w:themeColor="accent5" w:themeShade="80"/>
                <w:sz w:val="18"/>
                <w:szCs w:val="18"/>
              </w:rPr>
              <w:t>%</w:t>
            </w:r>
          </w:p>
        </w:tc>
      </w:tr>
    </w:tbl>
    <w:p w14:paraId="2D9AB8C7" w14:textId="7DF9C0CD" w:rsidR="00D66F5A" w:rsidRPr="00D66F5A" w:rsidRDefault="00D66F5A" w:rsidP="001024F6">
      <w:pPr>
        <w:pStyle w:val="NoSpacing"/>
        <w:rPr>
          <w:noProof/>
          <w:sz w:val="10"/>
          <w:szCs w:val="10"/>
        </w:rPr>
      </w:pPr>
    </w:p>
    <w:p w14:paraId="23AF6DF5" w14:textId="7ADDE019" w:rsidR="001024F6" w:rsidRDefault="001024F6" w:rsidP="001024F6">
      <w:pPr>
        <w:pStyle w:val="NoSpacing"/>
        <w:rPr>
          <w:rFonts w:ascii="Arial" w:hAnsi="Arial" w:cs="Arial"/>
          <w:sz w:val="16"/>
          <w:szCs w:val="16"/>
        </w:rPr>
      </w:pPr>
      <w:r w:rsidRPr="00764049">
        <w:rPr>
          <w:rFonts w:ascii="Arial" w:hAnsi="Arial" w:cs="Arial"/>
          <w:sz w:val="16"/>
          <w:szCs w:val="16"/>
        </w:rPr>
        <w:t>Source: IRI</w:t>
      </w:r>
      <w:r>
        <w:rPr>
          <w:rFonts w:ascii="Arial" w:hAnsi="Arial" w:cs="Arial"/>
          <w:sz w:val="16"/>
          <w:szCs w:val="16"/>
        </w:rPr>
        <w:t xml:space="preserve"> Integrated Fresh,</w:t>
      </w:r>
      <w:r w:rsidRPr="00764049">
        <w:rPr>
          <w:rFonts w:ascii="Arial" w:hAnsi="Arial" w:cs="Arial"/>
          <w:sz w:val="16"/>
          <w:szCs w:val="16"/>
        </w:rPr>
        <w:t xml:space="preserve"> Total U.S., MULO, </w:t>
      </w:r>
      <w:r>
        <w:rPr>
          <w:rFonts w:ascii="Arial" w:hAnsi="Arial" w:cs="Arial"/>
          <w:sz w:val="16"/>
          <w:szCs w:val="16"/>
        </w:rPr>
        <w:t>fixed and random weight items combined into department views</w:t>
      </w:r>
    </w:p>
    <w:p w14:paraId="2CEB1F70" w14:textId="77777777" w:rsidR="00102502" w:rsidRPr="00764049" w:rsidRDefault="00102502" w:rsidP="001024F6">
      <w:pPr>
        <w:pStyle w:val="NoSpacing"/>
        <w:rPr>
          <w:rFonts w:ascii="Arial" w:hAnsi="Arial" w:cs="Arial"/>
          <w:sz w:val="16"/>
          <w:szCs w:val="16"/>
        </w:rPr>
      </w:pPr>
    </w:p>
    <w:p w14:paraId="1C1A044E" w14:textId="77777777" w:rsidR="00357E26" w:rsidRPr="00D66F5A" w:rsidRDefault="00357E26" w:rsidP="00563A06">
      <w:pPr>
        <w:pStyle w:val="NoSpacing"/>
        <w:rPr>
          <w:rFonts w:ascii="Arial" w:hAnsi="Arial" w:cs="Arial"/>
          <w:b/>
          <w:color w:val="595959" w:themeColor="text1" w:themeTint="A6"/>
          <w:sz w:val="28"/>
          <w:szCs w:val="28"/>
        </w:rPr>
      </w:pPr>
      <w:bookmarkStart w:id="1" w:name="_Hlk76989410"/>
    </w:p>
    <w:p w14:paraId="3E80A6A4" w14:textId="77777777" w:rsidR="00B27CF9" w:rsidRDefault="00B27CF9" w:rsidP="00B27CF9">
      <w:pPr>
        <w:pStyle w:val="NoSpacing"/>
        <w:rPr>
          <w:rFonts w:ascii="Arial" w:hAnsi="Arial" w:cs="Arial"/>
          <w:b/>
          <w:color w:val="595959" w:themeColor="text1" w:themeTint="A6"/>
          <w:sz w:val="24"/>
          <w:szCs w:val="24"/>
        </w:rPr>
      </w:pPr>
      <w:bookmarkStart w:id="2" w:name="_Hlk79236872"/>
      <w:bookmarkEnd w:id="1"/>
      <w:r w:rsidRPr="00706DE2">
        <w:rPr>
          <w:rFonts w:ascii="Arial" w:hAnsi="Arial" w:cs="Arial"/>
          <w:b/>
          <w:color w:val="595959" w:themeColor="text1" w:themeTint="A6"/>
          <w:sz w:val="24"/>
          <w:szCs w:val="24"/>
        </w:rPr>
        <w:t xml:space="preserve">What’s </w:t>
      </w:r>
      <w:r>
        <w:rPr>
          <w:rFonts w:ascii="Arial" w:hAnsi="Arial" w:cs="Arial"/>
          <w:b/>
          <w:color w:val="595959" w:themeColor="text1" w:themeTint="A6"/>
          <w:sz w:val="24"/>
          <w:szCs w:val="24"/>
        </w:rPr>
        <w:t>N</w:t>
      </w:r>
      <w:r w:rsidRPr="00706DE2">
        <w:rPr>
          <w:rFonts w:ascii="Arial" w:hAnsi="Arial" w:cs="Arial"/>
          <w:b/>
          <w:color w:val="595959" w:themeColor="text1" w:themeTint="A6"/>
          <w:sz w:val="24"/>
          <w:szCs w:val="24"/>
        </w:rPr>
        <w:t xml:space="preserve">ext? </w:t>
      </w:r>
    </w:p>
    <w:p w14:paraId="2A098F1E" w14:textId="77777777" w:rsidR="008A426C" w:rsidRDefault="008A426C" w:rsidP="008A426C">
      <w:pPr>
        <w:pStyle w:val="NoSpacing"/>
        <w:rPr>
          <w:rFonts w:ascii="Arial" w:hAnsi="Arial" w:cs="Arial"/>
          <w:color w:val="000000" w:themeColor="text1"/>
          <w:sz w:val="20"/>
          <w:szCs w:val="20"/>
        </w:rPr>
      </w:pPr>
      <w:r>
        <w:rPr>
          <w:rFonts w:ascii="Arial" w:hAnsi="Arial" w:cs="Arial"/>
          <w:color w:val="000000" w:themeColor="text1"/>
          <w:sz w:val="20"/>
          <w:szCs w:val="20"/>
        </w:rPr>
        <w:t xml:space="preserve">Continued supply chain disruptions, including the rising costs of gasoline and diesel, coupled with the Russian sanctions that went in effect on June 1 for a number of categories as well as rises in housing and rent prices are all combining to hit shoppers’ perceptions at the grocery store as well as actual pocketbooks.  </w:t>
      </w:r>
    </w:p>
    <w:p w14:paraId="4BC43D0D" w14:textId="77777777" w:rsidR="008A426C" w:rsidRDefault="008A426C" w:rsidP="008A426C">
      <w:pPr>
        <w:pStyle w:val="NoSpacing"/>
        <w:rPr>
          <w:rFonts w:ascii="Arial" w:hAnsi="Arial" w:cs="Arial"/>
          <w:color w:val="000000" w:themeColor="text1"/>
          <w:sz w:val="20"/>
          <w:szCs w:val="20"/>
        </w:rPr>
      </w:pPr>
    </w:p>
    <w:p w14:paraId="4266FCAE" w14:textId="77777777" w:rsidR="008A426C" w:rsidRDefault="008A426C" w:rsidP="008A426C">
      <w:pPr>
        <w:pStyle w:val="NoSpacing"/>
        <w:rPr>
          <w:rFonts w:ascii="Arial" w:hAnsi="Arial" w:cs="Arial"/>
          <w:color w:val="000000" w:themeColor="text1"/>
          <w:sz w:val="20"/>
          <w:szCs w:val="20"/>
        </w:rPr>
      </w:pPr>
      <w:r>
        <w:rPr>
          <w:rFonts w:ascii="Arial" w:hAnsi="Arial" w:cs="Arial"/>
          <w:color w:val="000000" w:themeColor="text1"/>
          <w:sz w:val="20"/>
          <w:szCs w:val="20"/>
        </w:rPr>
        <w:t xml:space="preserve">Inflation will have a profound impact on grocery and total food spending. However, we are not seeing a race to the bottom for cost-savings measures. Depending on the meal occasion, consumers are moving between value and premiumization, scratch and convenience, brands and store brands — making grocery patterns more unpredictable than ever. </w:t>
      </w:r>
    </w:p>
    <w:p w14:paraId="09DF2FBC" w14:textId="77777777" w:rsidR="00B27CF9" w:rsidRDefault="00B27CF9" w:rsidP="00B27CF9">
      <w:pPr>
        <w:pStyle w:val="NoSpacing"/>
        <w:numPr>
          <w:ilvl w:val="0"/>
          <w:numId w:val="26"/>
        </w:numPr>
        <w:rPr>
          <w:rFonts w:ascii="Arial" w:hAnsi="Arial" w:cs="Arial"/>
          <w:color w:val="000000" w:themeColor="text1"/>
          <w:sz w:val="20"/>
          <w:szCs w:val="20"/>
        </w:rPr>
      </w:pPr>
      <w:r>
        <w:rPr>
          <w:rFonts w:ascii="Arial" w:hAnsi="Arial" w:cs="Arial"/>
          <w:color w:val="000000" w:themeColor="text1"/>
          <w:sz w:val="20"/>
          <w:szCs w:val="20"/>
        </w:rPr>
        <w:t>45% of American households describe their financial situation as being worse than a year ago.</w:t>
      </w:r>
    </w:p>
    <w:p w14:paraId="5236FC96" w14:textId="77777777" w:rsidR="00B27CF9" w:rsidRDefault="00B27CF9" w:rsidP="00B27CF9">
      <w:pPr>
        <w:pStyle w:val="NoSpacing"/>
        <w:numPr>
          <w:ilvl w:val="0"/>
          <w:numId w:val="26"/>
        </w:numPr>
        <w:rPr>
          <w:rFonts w:ascii="Arial" w:hAnsi="Arial" w:cs="Arial"/>
          <w:color w:val="000000" w:themeColor="text1"/>
          <w:sz w:val="20"/>
          <w:szCs w:val="20"/>
        </w:rPr>
      </w:pPr>
      <w:r>
        <w:rPr>
          <w:rFonts w:ascii="Arial" w:hAnsi="Arial" w:cs="Arial"/>
          <w:color w:val="000000" w:themeColor="text1"/>
          <w:sz w:val="20"/>
          <w:szCs w:val="20"/>
        </w:rPr>
        <w:lastRenderedPageBreak/>
        <w:t>41% feel their financial situation one year from now will look worse than it does today.</w:t>
      </w:r>
    </w:p>
    <w:p w14:paraId="1AE00470" w14:textId="77777777" w:rsidR="003D37B7" w:rsidRDefault="003D37B7" w:rsidP="003D37B7">
      <w:pPr>
        <w:pStyle w:val="NoSpacing"/>
        <w:rPr>
          <w:rFonts w:ascii="Arial" w:hAnsi="Arial" w:cs="Arial"/>
          <w:color w:val="000000" w:themeColor="text1"/>
          <w:sz w:val="20"/>
          <w:szCs w:val="20"/>
        </w:rPr>
      </w:pPr>
    </w:p>
    <w:p w14:paraId="1F16FBDB" w14:textId="2C1A64CA" w:rsidR="001E19ED" w:rsidRDefault="001E19ED" w:rsidP="009E4189">
      <w:pPr>
        <w:rPr>
          <w:rFonts w:ascii="Arial" w:hAnsi="Arial" w:cs="Arial"/>
          <w:sz w:val="20"/>
          <w:szCs w:val="20"/>
        </w:rPr>
      </w:pPr>
      <w:r>
        <w:rPr>
          <w:rFonts w:ascii="Arial" w:hAnsi="Arial" w:cs="Arial"/>
          <w:sz w:val="20"/>
          <w:szCs w:val="20"/>
        </w:rPr>
        <w:t>The next report, covering</w:t>
      </w:r>
      <w:r w:rsidR="006620E0">
        <w:rPr>
          <w:rFonts w:ascii="Arial" w:hAnsi="Arial" w:cs="Arial"/>
          <w:sz w:val="20"/>
          <w:szCs w:val="20"/>
        </w:rPr>
        <w:t xml:space="preserve"> Ju</w:t>
      </w:r>
      <w:r w:rsidR="00B27CF9">
        <w:rPr>
          <w:rFonts w:ascii="Arial" w:hAnsi="Arial" w:cs="Arial"/>
          <w:sz w:val="20"/>
          <w:szCs w:val="20"/>
        </w:rPr>
        <w:t>ly</w:t>
      </w:r>
      <w:r>
        <w:rPr>
          <w:rFonts w:ascii="Arial" w:hAnsi="Arial" w:cs="Arial"/>
          <w:sz w:val="20"/>
          <w:szCs w:val="20"/>
        </w:rPr>
        <w:t>, will be released in mid-</w:t>
      </w:r>
      <w:r w:rsidR="00B27CF9">
        <w:rPr>
          <w:rFonts w:ascii="Arial" w:hAnsi="Arial" w:cs="Arial"/>
          <w:sz w:val="20"/>
          <w:szCs w:val="20"/>
        </w:rPr>
        <w:t>August</w:t>
      </w:r>
      <w:r>
        <w:rPr>
          <w:rFonts w:ascii="Arial" w:hAnsi="Arial" w:cs="Arial"/>
          <w:sz w:val="20"/>
          <w:szCs w:val="20"/>
        </w:rPr>
        <w:t xml:space="preserve">. </w:t>
      </w:r>
      <w:r w:rsidR="00834DC2">
        <w:rPr>
          <w:rFonts w:ascii="Arial" w:hAnsi="Arial" w:cs="Arial"/>
          <w:sz w:val="20"/>
          <w:szCs w:val="20"/>
        </w:rPr>
        <w:t xml:space="preserve">In addition to the data provided here, the IFPA also now offers InSite – an </w:t>
      </w:r>
      <w:r w:rsidR="00834DC2" w:rsidRPr="009E4189">
        <w:rPr>
          <w:rFonts w:ascii="Arial" w:hAnsi="Arial" w:cs="Arial"/>
          <w:sz w:val="20"/>
          <w:szCs w:val="20"/>
        </w:rPr>
        <w:t>online interactive data set covering both produce and floral performance as well as a look at the 2021 consumer sentiment surveys.</w:t>
      </w:r>
      <w:r w:rsidR="009E4189" w:rsidRPr="009E4189">
        <w:rPr>
          <w:rFonts w:ascii="Arial" w:hAnsi="Arial" w:cs="Arial"/>
          <w:sz w:val="20"/>
          <w:szCs w:val="20"/>
        </w:rPr>
        <w:t xml:space="preserve"> Start your free trial today! See </w:t>
      </w:r>
      <w:hyperlink r:id="rId15" w:history="1">
        <w:r w:rsidR="009E4189" w:rsidRPr="009E4189">
          <w:rPr>
            <w:rStyle w:val="Hyperlink"/>
            <w:rFonts w:ascii="Arial" w:hAnsi="Arial" w:cs="Arial"/>
            <w:sz w:val="20"/>
            <w:szCs w:val="20"/>
          </w:rPr>
          <w:t>www.freshproduce.com/insite</w:t>
        </w:r>
      </w:hyperlink>
      <w:r w:rsidR="009E4189" w:rsidRPr="009E4189">
        <w:rPr>
          <w:rFonts w:ascii="Arial" w:hAnsi="Arial" w:cs="Arial"/>
          <w:sz w:val="20"/>
          <w:szCs w:val="20"/>
        </w:rPr>
        <w:t xml:space="preserve"> for more detail. </w:t>
      </w:r>
      <w:r w:rsidRPr="009E4189">
        <w:rPr>
          <w:rFonts w:ascii="Arial" w:hAnsi="Arial" w:cs="Arial"/>
          <w:sz w:val="20"/>
          <w:szCs w:val="20"/>
        </w:rPr>
        <w:t xml:space="preserve">We </w:t>
      </w:r>
      <w:r w:rsidR="00834DC2" w:rsidRPr="009E4189">
        <w:rPr>
          <w:rFonts w:ascii="Arial" w:hAnsi="Arial" w:cs="Arial"/>
          <w:sz w:val="20"/>
          <w:szCs w:val="20"/>
        </w:rPr>
        <w:t xml:space="preserve">also </w:t>
      </w:r>
      <w:r w:rsidRPr="009E4189">
        <w:rPr>
          <w:rFonts w:ascii="Arial" w:hAnsi="Arial" w:cs="Arial"/>
          <w:sz w:val="20"/>
          <w:szCs w:val="20"/>
        </w:rPr>
        <w:t xml:space="preserve">encourage you to contact Joe Watson, </w:t>
      </w:r>
      <w:r w:rsidR="003D37B7" w:rsidRPr="009E4189">
        <w:rPr>
          <w:rFonts w:ascii="Arial" w:hAnsi="Arial" w:cs="Arial"/>
          <w:sz w:val="20"/>
          <w:szCs w:val="20"/>
        </w:rPr>
        <w:t>IFPA</w:t>
      </w:r>
      <w:r w:rsidRPr="009E4189">
        <w:rPr>
          <w:rFonts w:ascii="Arial" w:hAnsi="Arial" w:cs="Arial"/>
          <w:sz w:val="20"/>
          <w:szCs w:val="20"/>
        </w:rPr>
        <w:t xml:space="preserve">’s </w:t>
      </w:r>
      <w:r w:rsidR="0045675D" w:rsidRPr="009E4189">
        <w:rPr>
          <w:rFonts w:ascii="Arial" w:hAnsi="Arial" w:cs="Arial"/>
          <w:sz w:val="20"/>
          <w:szCs w:val="20"/>
        </w:rPr>
        <w:t>V</w:t>
      </w:r>
      <w:r w:rsidR="00086061" w:rsidRPr="009E4189">
        <w:rPr>
          <w:rFonts w:ascii="Arial" w:hAnsi="Arial" w:cs="Arial"/>
          <w:sz w:val="20"/>
          <w:szCs w:val="20"/>
        </w:rPr>
        <w:t>P,</w:t>
      </w:r>
      <w:r w:rsidR="0045675D" w:rsidRPr="009E4189">
        <w:rPr>
          <w:rFonts w:ascii="Arial" w:hAnsi="Arial" w:cs="Arial"/>
          <w:sz w:val="20"/>
          <w:szCs w:val="20"/>
        </w:rPr>
        <w:t xml:space="preserve"> Retail, Foodservice and Wholesale</w:t>
      </w:r>
      <w:r w:rsidRPr="009E4189">
        <w:rPr>
          <w:rFonts w:ascii="Arial" w:hAnsi="Arial" w:cs="Arial"/>
          <w:sz w:val="20"/>
          <w:szCs w:val="20"/>
        </w:rPr>
        <w:t xml:space="preserve">, at </w:t>
      </w:r>
      <w:hyperlink r:id="rId16" w:history="1">
        <w:r w:rsidR="0045675D" w:rsidRPr="009E4189">
          <w:rPr>
            <w:rStyle w:val="Hyperlink"/>
            <w:rFonts w:ascii="Arial" w:hAnsi="Arial" w:cs="Arial"/>
            <w:sz w:val="20"/>
            <w:szCs w:val="20"/>
          </w:rPr>
          <w:t>jwatson@freshproduce.com</w:t>
        </w:r>
      </w:hyperlink>
      <w:r w:rsidRPr="009E4189">
        <w:rPr>
          <w:rFonts w:ascii="Arial" w:hAnsi="Arial" w:cs="Arial"/>
          <w:sz w:val="20"/>
          <w:szCs w:val="20"/>
        </w:rPr>
        <w:t xml:space="preserve"> with any questions or concerns. Please recognize the continued dedication of the entire grocery and produce supply chains, from farm to retailer. #produce #joyoffresh #SupermarketSuperHeroes</w:t>
      </w:r>
      <w:r w:rsidRPr="008A6A7C">
        <w:rPr>
          <w:rFonts w:ascii="Arial" w:hAnsi="Arial" w:cs="Arial"/>
          <w:sz w:val="20"/>
          <w:szCs w:val="20"/>
        </w:rPr>
        <w:t>.</w:t>
      </w:r>
    </w:p>
    <w:bookmarkEnd w:id="2"/>
    <w:p w14:paraId="72F121CA" w14:textId="77777777" w:rsidR="00703BB8" w:rsidRDefault="00703BB8" w:rsidP="00703BB8">
      <w:pPr>
        <w:pStyle w:val="NoSpacing"/>
        <w:rPr>
          <w:rFonts w:ascii="Arial" w:hAnsi="Arial" w:cs="Arial"/>
          <w:b/>
          <w:sz w:val="20"/>
          <w:szCs w:val="20"/>
        </w:rPr>
      </w:pPr>
      <w:r>
        <w:rPr>
          <w:rFonts w:ascii="Arial" w:hAnsi="Arial" w:cs="Arial"/>
          <w:b/>
          <w:sz w:val="20"/>
          <w:szCs w:val="20"/>
        </w:rPr>
        <w:t xml:space="preserve">Date ranges: </w:t>
      </w:r>
    </w:p>
    <w:p w14:paraId="27AA4416" w14:textId="77777777" w:rsidR="00703BB8" w:rsidRDefault="00703BB8" w:rsidP="00703BB8">
      <w:pPr>
        <w:pStyle w:val="NoSpacing"/>
        <w:rPr>
          <w:rFonts w:ascii="Arial" w:hAnsi="Arial" w:cs="Arial"/>
          <w:sz w:val="20"/>
          <w:szCs w:val="20"/>
        </w:rPr>
      </w:pPr>
      <w:r>
        <w:rPr>
          <w:rFonts w:ascii="Arial" w:hAnsi="Arial" w:cs="Arial"/>
          <w:sz w:val="20"/>
          <w:szCs w:val="20"/>
        </w:rPr>
        <w:t>2019: 52 weeks ending 12/28/2019</w:t>
      </w:r>
    </w:p>
    <w:p w14:paraId="4A02C3A7" w14:textId="77777777" w:rsidR="00703BB8" w:rsidRDefault="00703BB8" w:rsidP="00703BB8">
      <w:pPr>
        <w:pStyle w:val="NoSpacing"/>
        <w:rPr>
          <w:rFonts w:ascii="Arial" w:hAnsi="Arial" w:cs="Arial"/>
          <w:sz w:val="20"/>
          <w:szCs w:val="20"/>
        </w:rPr>
      </w:pPr>
      <w:r>
        <w:rPr>
          <w:rFonts w:ascii="Arial" w:hAnsi="Arial" w:cs="Arial"/>
          <w:sz w:val="20"/>
          <w:szCs w:val="20"/>
        </w:rPr>
        <w:t>2020: 52 weeks ending 12/27/2020</w:t>
      </w:r>
    </w:p>
    <w:p w14:paraId="6718B854" w14:textId="77777777" w:rsidR="00703BB8" w:rsidRDefault="00703BB8" w:rsidP="00703BB8">
      <w:pPr>
        <w:pStyle w:val="NoSpacing"/>
        <w:rPr>
          <w:rFonts w:ascii="Arial" w:hAnsi="Arial" w:cs="Arial"/>
          <w:sz w:val="20"/>
          <w:szCs w:val="20"/>
        </w:rPr>
      </w:pPr>
      <w:r>
        <w:rPr>
          <w:rFonts w:ascii="Arial" w:hAnsi="Arial" w:cs="Arial"/>
          <w:sz w:val="20"/>
          <w:szCs w:val="20"/>
        </w:rPr>
        <w:t>Q1 2021: 13 weeks ending 3/28/2021</w:t>
      </w:r>
    </w:p>
    <w:p w14:paraId="3A64667A" w14:textId="77777777" w:rsidR="00703BB8" w:rsidRDefault="00703BB8" w:rsidP="00703BB8">
      <w:pPr>
        <w:pStyle w:val="NoSpacing"/>
        <w:rPr>
          <w:rFonts w:ascii="Arial" w:hAnsi="Arial" w:cs="Arial"/>
          <w:sz w:val="20"/>
          <w:szCs w:val="20"/>
        </w:rPr>
      </w:pPr>
      <w:r>
        <w:rPr>
          <w:rFonts w:ascii="Arial" w:hAnsi="Arial" w:cs="Arial"/>
          <w:sz w:val="20"/>
          <w:szCs w:val="20"/>
        </w:rPr>
        <w:t>Q2 2021: 13 weeks ending 6/27/2021</w:t>
      </w:r>
    </w:p>
    <w:p w14:paraId="38BC28BE" w14:textId="77777777" w:rsidR="00703BB8" w:rsidRDefault="00703BB8" w:rsidP="00703BB8">
      <w:pPr>
        <w:pStyle w:val="NoSpacing"/>
        <w:rPr>
          <w:rFonts w:ascii="Arial" w:hAnsi="Arial" w:cs="Arial"/>
          <w:sz w:val="20"/>
          <w:szCs w:val="20"/>
        </w:rPr>
      </w:pPr>
      <w:r>
        <w:rPr>
          <w:rFonts w:ascii="Arial" w:hAnsi="Arial" w:cs="Arial"/>
          <w:sz w:val="20"/>
          <w:szCs w:val="20"/>
        </w:rPr>
        <w:t>Q3 2021: 13 weeks ending 9/26/2021</w:t>
      </w:r>
    </w:p>
    <w:p w14:paraId="2573D35F" w14:textId="77777777" w:rsidR="00703BB8" w:rsidRDefault="00703BB8" w:rsidP="00703BB8">
      <w:pPr>
        <w:pStyle w:val="NoSpacing"/>
        <w:rPr>
          <w:rFonts w:ascii="Arial" w:hAnsi="Arial" w:cs="Arial"/>
          <w:sz w:val="20"/>
          <w:szCs w:val="20"/>
        </w:rPr>
      </w:pPr>
      <w:r>
        <w:rPr>
          <w:rFonts w:ascii="Arial" w:hAnsi="Arial" w:cs="Arial"/>
          <w:sz w:val="20"/>
          <w:szCs w:val="20"/>
        </w:rPr>
        <w:t>Q4 2021: 13 weeks ending 12/26/2021</w:t>
      </w:r>
    </w:p>
    <w:p w14:paraId="6780AEE3" w14:textId="77777777" w:rsidR="00703BB8" w:rsidRDefault="00703BB8" w:rsidP="00703BB8">
      <w:pPr>
        <w:pStyle w:val="NoSpacing"/>
        <w:rPr>
          <w:rFonts w:ascii="Arial" w:hAnsi="Arial" w:cs="Arial"/>
          <w:sz w:val="20"/>
          <w:szCs w:val="20"/>
        </w:rPr>
      </w:pPr>
      <w:r>
        <w:rPr>
          <w:rFonts w:ascii="Arial" w:hAnsi="Arial" w:cs="Arial"/>
          <w:sz w:val="20"/>
          <w:szCs w:val="20"/>
        </w:rPr>
        <w:t>Q1 2022: 13 weeks ending 3/27/2022</w:t>
      </w:r>
    </w:p>
    <w:p w14:paraId="4EC23054" w14:textId="77777777" w:rsidR="00703BB8" w:rsidRDefault="00703BB8" w:rsidP="00703BB8">
      <w:pPr>
        <w:pStyle w:val="NoSpacing"/>
        <w:rPr>
          <w:rFonts w:ascii="Arial" w:hAnsi="Arial" w:cs="Arial"/>
          <w:sz w:val="20"/>
          <w:szCs w:val="20"/>
        </w:rPr>
      </w:pPr>
      <w:r>
        <w:rPr>
          <w:rFonts w:ascii="Arial" w:hAnsi="Arial" w:cs="Arial"/>
          <w:sz w:val="20"/>
          <w:szCs w:val="20"/>
        </w:rPr>
        <w:t>Q2 2022:  13 weeks ending 6/26/2022</w:t>
      </w:r>
    </w:p>
    <w:p w14:paraId="0AC4D5A5" w14:textId="77777777" w:rsidR="00703BB8" w:rsidRDefault="00703BB8" w:rsidP="00703BB8">
      <w:pPr>
        <w:pStyle w:val="NoSpacing"/>
        <w:rPr>
          <w:rFonts w:ascii="Arial" w:hAnsi="Arial" w:cs="Arial"/>
          <w:sz w:val="20"/>
          <w:szCs w:val="20"/>
        </w:rPr>
      </w:pPr>
      <w:r>
        <w:rPr>
          <w:rFonts w:ascii="Arial" w:hAnsi="Arial" w:cs="Arial"/>
          <w:sz w:val="20"/>
          <w:szCs w:val="20"/>
        </w:rPr>
        <w:t>June 2022: 4 weeks ending 6/26/2022</w:t>
      </w:r>
    </w:p>
    <w:p w14:paraId="7343FCEB" w14:textId="39EAA5C2" w:rsidR="00C826C2" w:rsidRPr="008A6A7C" w:rsidRDefault="00C826C2" w:rsidP="0003032A">
      <w:pPr>
        <w:pStyle w:val="NoSpacing"/>
        <w:rPr>
          <w:rFonts w:ascii="Arial" w:hAnsi="Arial" w:cs="Arial"/>
          <w:sz w:val="20"/>
          <w:szCs w:val="20"/>
        </w:rPr>
      </w:pPr>
    </w:p>
    <w:sectPr w:rsidR="00C826C2" w:rsidRPr="008A6A7C" w:rsidSect="009172A3">
      <w:headerReference w:type="default" r:id="rId17"/>
      <w:footerReference w:type="default" r:id="rId18"/>
      <w:pgSz w:w="12240" w:h="15840"/>
      <w:pgMar w:top="1276" w:right="758" w:bottom="851"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FE28" w14:textId="77777777" w:rsidR="00BB0B24" w:rsidRDefault="00BB0B24" w:rsidP="007E1D2E">
      <w:pPr>
        <w:spacing w:after="0" w:line="240" w:lineRule="auto"/>
      </w:pPr>
      <w:r>
        <w:separator/>
      </w:r>
    </w:p>
  </w:endnote>
  <w:endnote w:type="continuationSeparator" w:id="0">
    <w:p w14:paraId="1BC5DD6D" w14:textId="77777777" w:rsidR="00BB0B24" w:rsidRDefault="00BB0B24" w:rsidP="007E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6B01" w14:textId="23468BA2" w:rsidR="00112E9A" w:rsidRPr="001C4C48" w:rsidRDefault="000F45C4" w:rsidP="009172A3">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rPr>
      <mc:AlternateContent>
        <mc:Choice Requires="wps">
          <w:drawing>
            <wp:anchor distT="0" distB="0" distL="114300" distR="114300" simplePos="0" relativeHeight="251658240" behindDoc="0" locked="0" layoutInCell="1" allowOverlap="1" wp14:anchorId="091F28F7" wp14:editId="114F1E35">
              <wp:simplePos x="0" y="0"/>
              <wp:positionH relativeFrom="page">
                <wp:posOffset>457200</wp:posOffset>
              </wp:positionH>
              <wp:positionV relativeFrom="paragraph">
                <wp:posOffset>148590</wp:posOffset>
              </wp:positionV>
              <wp:extent cx="6858000" cy="20320"/>
              <wp:effectExtent l="0" t="0" r="0" b="177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52F44"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80BF8AE" w14:textId="110F4C1E" w:rsidR="00112E9A" w:rsidRPr="00030F05" w:rsidRDefault="000F45C4" w:rsidP="009172A3">
    <w:pPr>
      <w:pStyle w:val="NoSpacing"/>
      <w:rPr>
        <w:sz w:val="16"/>
      </w:rPr>
    </w:pPr>
    <w:r>
      <w:rPr>
        <w:noProof/>
        <w:sz w:val="16"/>
      </w:rPr>
      <mc:AlternateContent>
        <mc:Choice Requires="wps">
          <w:drawing>
            <wp:anchor distT="0" distB="0" distL="114300" distR="114300" simplePos="0" relativeHeight="251659264" behindDoc="0" locked="0" layoutInCell="1" allowOverlap="1" wp14:anchorId="0B734F52" wp14:editId="71F2F78A">
              <wp:simplePos x="0" y="0"/>
              <wp:positionH relativeFrom="page">
                <wp:posOffset>5035550</wp:posOffset>
              </wp:positionH>
              <wp:positionV relativeFrom="page">
                <wp:posOffset>9556750</wp:posOffset>
              </wp:positionV>
              <wp:extent cx="2359025" cy="3473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025" cy="347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0E1C4D" w14:textId="77777777" w:rsidR="00112E9A" w:rsidRPr="002E71F7" w:rsidRDefault="00112E9A" w:rsidP="009172A3">
                          <w:pPr>
                            <w:jc w:val="right"/>
                            <w:rPr>
                              <w:rFonts w:ascii="Arial" w:hAnsi="Arial" w:cs="Arial"/>
                              <w:color w:val="000000" w:themeColor="text1"/>
                              <w:sz w:val="14"/>
                              <w:szCs w:val="14"/>
                            </w:rPr>
                          </w:pPr>
                          <w:r w:rsidRPr="002E71F7">
                            <w:rPr>
                              <w:rFonts w:ascii="Arial" w:hAnsi="Arial" w:cs="Arial"/>
                              <w:color w:val="000000" w:themeColor="text1"/>
                              <w:sz w:val="14"/>
                              <w:szCs w:val="14"/>
                            </w:rPr>
                            <w:t xml:space="preserve">Copyright © </w:t>
                          </w:r>
                          <w:r>
                            <w:rPr>
                              <w:rFonts w:ascii="Arial" w:hAnsi="Arial" w:cs="Arial"/>
                              <w:color w:val="000000" w:themeColor="text1"/>
                              <w:sz w:val="14"/>
                              <w:szCs w:val="14"/>
                            </w:rPr>
                            <w:t xml:space="preserve">210 Analytics and </w:t>
                          </w:r>
                          <w:r>
                            <w:rPr>
                              <w:rFonts w:ascii="Arial" w:hAnsi="Arial" w:cs="Arial"/>
                              <w:color w:val="000000" w:themeColor="text1"/>
                              <w:sz w:val="14"/>
                              <w:szCs w:val="14"/>
                            </w:rPr>
                            <w:br/>
                          </w:r>
                          <w:r w:rsidRPr="002E71F7">
                            <w:rPr>
                              <w:rFonts w:ascii="Arial" w:hAnsi="Arial" w:cs="Arial"/>
                              <w:color w:val="000000" w:themeColor="text1"/>
                              <w:sz w:val="14"/>
                              <w:szCs w:val="14"/>
                            </w:rPr>
                            <w:t>Information Resources, Inc. (IRI)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34F52" id="_x0000_t202" coordsize="21600,21600" o:spt="202" path="m,l,21600r21600,l21600,xe">
              <v:stroke joinstyle="miter"/>
              <v:path gradientshapeok="t" o:connecttype="rect"/>
            </v:shapetype>
            <v:shape id="Text Box 3" o:spid="_x0000_s1027" type="#_x0000_t202" style="position:absolute;margin-left:396.5pt;margin-top:752.5pt;width:185.75pt;height:2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" filled="f" stroked="f">
              <v:textbox>
                <w:txbxContent>
                  <w:p w14:paraId="620E1C4D" w14:textId="77777777" w:rsidR="00112E9A" w:rsidRPr="002E71F7" w:rsidRDefault="00112E9A" w:rsidP="009172A3">
                    <w:pPr>
                      <w:jc w:val="right"/>
                      <w:rPr>
                        <w:rFonts w:ascii="Arial" w:hAnsi="Arial" w:cs="Arial"/>
                        <w:color w:val="000000" w:themeColor="text1"/>
                        <w:sz w:val="14"/>
                        <w:szCs w:val="14"/>
                      </w:rPr>
                    </w:pPr>
                    <w:r w:rsidRPr="002E71F7">
                      <w:rPr>
                        <w:rFonts w:ascii="Arial" w:hAnsi="Arial" w:cs="Arial"/>
                        <w:color w:val="000000" w:themeColor="text1"/>
                        <w:sz w:val="14"/>
                        <w:szCs w:val="14"/>
                      </w:rPr>
                      <w:t xml:space="preserve">Copyright © </w:t>
                    </w:r>
                    <w:r>
                      <w:rPr>
                        <w:rFonts w:ascii="Arial" w:hAnsi="Arial" w:cs="Arial"/>
                        <w:color w:val="000000" w:themeColor="text1"/>
                        <w:sz w:val="14"/>
                        <w:szCs w:val="14"/>
                      </w:rPr>
                      <w:t xml:space="preserve">210 Analytics and </w:t>
                    </w:r>
                    <w:r>
                      <w:rPr>
                        <w:rFonts w:ascii="Arial" w:hAnsi="Arial" w:cs="Arial"/>
                        <w:color w:val="000000" w:themeColor="text1"/>
                        <w:sz w:val="14"/>
                        <w:szCs w:val="14"/>
                      </w:rPr>
                      <w:br/>
                    </w:r>
                    <w:r w:rsidRPr="002E71F7">
                      <w:rPr>
                        <w:rFonts w:ascii="Arial" w:hAnsi="Arial" w:cs="Arial"/>
                        <w:color w:val="000000" w:themeColor="text1"/>
                        <w:sz w:val="14"/>
                        <w:szCs w:val="14"/>
                      </w:rPr>
                      <w:t>Information Resources, Inc. (IRI)</w:t>
                    </w:r>
                  </w:p>
                </w:txbxContent>
              </v:textbox>
              <w10:wrap anchorx="page" anchory="page"/>
            </v:shape>
          </w:pict>
        </mc:Fallback>
      </mc:AlternateContent>
    </w:r>
    <w:r w:rsidR="00112E9A" w:rsidRPr="00030F05">
      <w:rPr>
        <w:sz w:val="16"/>
      </w:rPr>
      <w:t>Need more information?</w:t>
    </w:r>
    <w:r w:rsidR="00112E9A" w:rsidRPr="00030F05">
      <w:rPr>
        <w:sz w:val="16"/>
      </w:rPr>
      <w:br/>
    </w:r>
    <w:r>
      <w:rPr>
        <w:sz w:val="16"/>
      </w:rPr>
      <w:t>freshfoods@iriworldwide.com</w:t>
    </w:r>
    <w:r w:rsidR="00112E9A">
      <w:rPr>
        <w:sz w:val="16"/>
      </w:rPr>
      <w:tab/>
    </w:r>
    <w:r w:rsidR="00112E9A">
      <w:rPr>
        <w:sz w:val="16"/>
      </w:rPr>
      <w:tab/>
    </w:r>
    <w:r w:rsidR="00112E9A">
      <w:rPr>
        <w:sz w:val="16"/>
      </w:rPr>
      <w:tab/>
      <w:t>210 Analytics</w:t>
    </w:r>
  </w:p>
  <w:p w14:paraId="6E4FF3AA" w14:textId="61144657" w:rsidR="00112E9A" w:rsidRPr="00030F05" w:rsidRDefault="00280853" w:rsidP="009172A3">
    <w:pPr>
      <w:pStyle w:val="NoSpacing"/>
      <w:rPr>
        <w:sz w:val="16"/>
      </w:rPr>
    </w:pPr>
    <w:r>
      <w:rPr>
        <w:sz w:val="16"/>
      </w:rPr>
      <w:t>FreshProduce@iriworldwide.com</w:t>
    </w:r>
    <w:r w:rsidR="00112E9A">
      <w:rPr>
        <w:sz w:val="16"/>
      </w:rPr>
      <w:tab/>
    </w:r>
    <w:r w:rsidR="00112E9A">
      <w:rPr>
        <w:sz w:val="16"/>
      </w:rPr>
      <w:tab/>
      <w:t>aroerink@210analytics.com</w:t>
    </w:r>
  </w:p>
  <w:p w14:paraId="0C43B367" w14:textId="77777777" w:rsidR="00112E9A" w:rsidRDefault="00112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7124" w14:textId="77777777" w:rsidR="00BB0B24" w:rsidRDefault="00BB0B24" w:rsidP="007E1D2E">
      <w:pPr>
        <w:spacing w:after="0" w:line="240" w:lineRule="auto"/>
      </w:pPr>
      <w:r>
        <w:separator/>
      </w:r>
    </w:p>
  </w:footnote>
  <w:footnote w:type="continuationSeparator" w:id="0">
    <w:p w14:paraId="2A02D2E8" w14:textId="77777777" w:rsidR="00BB0B24" w:rsidRDefault="00BB0B24" w:rsidP="007E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63C2" w14:textId="77777777" w:rsidR="00112E9A" w:rsidRDefault="00112E9A">
    <w:pPr>
      <w:pStyle w:val="Header"/>
    </w:pPr>
    <w:r w:rsidRPr="00030F05">
      <w:rPr>
        <w:noProof/>
      </w:rPr>
      <w:drawing>
        <wp:anchor distT="0" distB="0" distL="114300" distR="114300" simplePos="0" relativeHeight="251657216" behindDoc="1" locked="1" layoutInCell="1" allowOverlap="1" wp14:anchorId="1C9A4F7D" wp14:editId="66E82C26">
          <wp:simplePos x="0" y="0"/>
          <wp:positionH relativeFrom="page">
            <wp:posOffset>1521847</wp:posOffset>
          </wp:positionH>
          <wp:positionV relativeFrom="page">
            <wp:posOffset>0</wp:posOffset>
          </wp:positionV>
          <wp:extent cx="6270431" cy="787179"/>
          <wp:effectExtent l="19050" t="0" r="0" b="0"/>
          <wp:wrapNone/>
          <wp:docPr id="1" name="Picture 12"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rcRect b="28448"/>
                  <a:stretch>
                    <a:fillRect/>
                  </a:stretch>
                </pic:blipFill>
                <pic:spPr>
                  <a:xfrm>
                    <a:off x="0" y="0"/>
                    <a:ext cx="6267450" cy="790575"/>
                  </a:xfrm>
                  <a:prstGeom prst="rect">
                    <a:avLst/>
                  </a:prstGeom>
                </pic:spPr>
              </pic:pic>
            </a:graphicData>
          </a:graphic>
        </wp:anchor>
      </w:drawing>
    </w:r>
    <w:r w:rsidRPr="00030F05">
      <w:rPr>
        <w:noProof/>
      </w:rPr>
      <w:drawing>
        <wp:anchor distT="0" distB="0" distL="114300" distR="114300" simplePos="0" relativeHeight="251656192" behindDoc="0" locked="1" layoutInCell="1" allowOverlap="1" wp14:anchorId="73F2A16B" wp14:editId="3E276A20">
          <wp:simplePos x="0" y="0"/>
          <wp:positionH relativeFrom="page">
            <wp:posOffset>-55659</wp:posOffset>
          </wp:positionH>
          <wp:positionV relativeFrom="page">
            <wp:posOffset>0</wp:posOffset>
          </wp:positionV>
          <wp:extent cx="7903596" cy="289450"/>
          <wp:effectExtent l="0" t="0" r="0" b="1270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jpg"/>
                  <pic:cNvPicPr/>
                </pic:nvPicPr>
                <pic:blipFill rotWithShape="1">
                  <a:blip r:embed="rId2">
                    <a:extLst>
                      <a:ext uri="{28A0092B-C50C-407E-A947-70E740481C1C}">
                        <a14:useLocalDpi xmlns:a14="http://schemas.microsoft.com/office/drawing/2010/main"/>
                      </a:ext>
                    </a:extLst>
                  </a:blip>
                  <a:srcRect/>
                  <a:stretch/>
                </pic:blipFill>
                <pic:spPr bwMode="auto">
                  <a:xfrm>
                    <a:off x="0" y="0"/>
                    <a:ext cx="7909560" cy="2921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C90"/>
    <w:multiLevelType w:val="hybridMultilevel"/>
    <w:tmpl w:val="752ED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040D6"/>
    <w:multiLevelType w:val="hybridMultilevel"/>
    <w:tmpl w:val="11A09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302F0"/>
    <w:multiLevelType w:val="hybridMultilevel"/>
    <w:tmpl w:val="E138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B60CD"/>
    <w:multiLevelType w:val="hybridMultilevel"/>
    <w:tmpl w:val="ABEA9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FA0879"/>
    <w:multiLevelType w:val="hybridMultilevel"/>
    <w:tmpl w:val="69A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50D42"/>
    <w:multiLevelType w:val="hybridMultilevel"/>
    <w:tmpl w:val="8F8C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D3521"/>
    <w:multiLevelType w:val="hybridMultilevel"/>
    <w:tmpl w:val="467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82225"/>
    <w:multiLevelType w:val="hybridMultilevel"/>
    <w:tmpl w:val="52A604A8"/>
    <w:lvl w:ilvl="0" w:tplc="AAAC1FB8">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E81402"/>
    <w:multiLevelType w:val="hybridMultilevel"/>
    <w:tmpl w:val="870C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A15C7"/>
    <w:multiLevelType w:val="hybridMultilevel"/>
    <w:tmpl w:val="38A47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97A99"/>
    <w:multiLevelType w:val="hybridMultilevel"/>
    <w:tmpl w:val="1E2CD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924DE6"/>
    <w:multiLevelType w:val="hybridMultilevel"/>
    <w:tmpl w:val="649E6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042CF"/>
    <w:multiLevelType w:val="hybridMultilevel"/>
    <w:tmpl w:val="A328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FF24BB"/>
    <w:multiLevelType w:val="hybridMultilevel"/>
    <w:tmpl w:val="A492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5869AC"/>
    <w:multiLevelType w:val="hybridMultilevel"/>
    <w:tmpl w:val="87902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9867E9"/>
    <w:multiLevelType w:val="hybridMultilevel"/>
    <w:tmpl w:val="48462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B31247"/>
    <w:multiLevelType w:val="hybridMultilevel"/>
    <w:tmpl w:val="A3E0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39032F"/>
    <w:multiLevelType w:val="hybridMultilevel"/>
    <w:tmpl w:val="12500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7A61B6"/>
    <w:multiLevelType w:val="hybridMultilevel"/>
    <w:tmpl w:val="85081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E87EF7"/>
    <w:multiLevelType w:val="hybridMultilevel"/>
    <w:tmpl w:val="3FBA4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5D18DB"/>
    <w:multiLevelType w:val="hybridMultilevel"/>
    <w:tmpl w:val="C2640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034E9D"/>
    <w:multiLevelType w:val="hybridMultilevel"/>
    <w:tmpl w:val="B81ED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464BB5"/>
    <w:multiLevelType w:val="hybridMultilevel"/>
    <w:tmpl w:val="53684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ED5576"/>
    <w:multiLevelType w:val="hybridMultilevel"/>
    <w:tmpl w:val="64E2B4B6"/>
    <w:lvl w:ilvl="0" w:tplc="D1F2BFB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D75C21"/>
    <w:multiLevelType w:val="hybridMultilevel"/>
    <w:tmpl w:val="39305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426986">
    <w:abstractNumId w:val="23"/>
  </w:num>
  <w:num w:numId="2" w16cid:durableId="572277162">
    <w:abstractNumId w:val="6"/>
  </w:num>
  <w:num w:numId="3" w16cid:durableId="1680230530">
    <w:abstractNumId w:val="21"/>
  </w:num>
  <w:num w:numId="4" w16cid:durableId="659698351">
    <w:abstractNumId w:val="22"/>
  </w:num>
  <w:num w:numId="5" w16cid:durableId="1645313032">
    <w:abstractNumId w:val="24"/>
  </w:num>
  <w:num w:numId="6" w16cid:durableId="1351028043">
    <w:abstractNumId w:val="2"/>
  </w:num>
  <w:num w:numId="7" w16cid:durableId="713047514">
    <w:abstractNumId w:val="10"/>
  </w:num>
  <w:num w:numId="8" w16cid:durableId="543368846">
    <w:abstractNumId w:val="12"/>
  </w:num>
  <w:num w:numId="9" w16cid:durableId="1904680374">
    <w:abstractNumId w:val="20"/>
  </w:num>
  <w:num w:numId="10" w16cid:durableId="1094208800">
    <w:abstractNumId w:val="17"/>
  </w:num>
  <w:num w:numId="11" w16cid:durableId="1761174577">
    <w:abstractNumId w:val="13"/>
  </w:num>
  <w:num w:numId="12" w16cid:durableId="736830113">
    <w:abstractNumId w:val="4"/>
  </w:num>
  <w:num w:numId="13" w16cid:durableId="2059737851">
    <w:abstractNumId w:val="1"/>
  </w:num>
  <w:num w:numId="14" w16cid:durableId="41563828">
    <w:abstractNumId w:val="0"/>
  </w:num>
  <w:num w:numId="15" w16cid:durableId="735513809">
    <w:abstractNumId w:val="14"/>
  </w:num>
  <w:num w:numId="16" w16cid:durableId="262493606">
    <w:abstractNumId w:val="19"/>
  </w:num>
  <w:num w:numId="17" w16cid:durableId="367528499">
    <w:abstractNumId w:val="7"/>
  </w:num>
  <w:num w:numId="18" w16cid:durableId="1862089111">
    <w:abstractNumId w:val="25"/>
  </w:num>
  <w:num w:numId="19" w16cid:durableId="39601053">
    <w:abstractNumId w:val="5"/>
  </w:num>
  <w:num w:numId="20" w16cid:durableId="1494948389">
    <w:abstractNumId w:val="15"/>
  </w:num>
  <w:num w:numId="21" w16cid:durableId="1855803392">
    <w:abstractNumId w:val="3"/>
  </w:num>
  <w:num w:numId="22" w16cid:durableId="434446444">
    <w:abstractNumId w:val="11"/>
  </w:num>
  <w:num w:numId="23" w16cid:durableId="832186632">
    <w:abstractNumId w:val="16"/>
  </w:num>
  <w:num w:numId="24" w16cid:durableId="2135058450">
    <w:abstractNumId w:val="18"/>
  </w:num>
  <w:num w:numId="25" w16cid:durableId="1594169426">
    <w:abstractNumId w:val="9"/>
  </w:num>
  <w:num w:numId="26" w16cid:durableId="1625886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2D"/>
    <w:rsid w:val="00000581"/>
    <w:rsid w:val="0000075A"/>
    <w:rsid w:val="0000248F"/>
    <w:rsid w:val="00007A72"/>
    <w:rsid w:val="00010D51"/>
    <w:rsid w:val="0001120A"/>
    <w:rsid w:val="000117EF"/>
    <w:rsid w:val="00012355"/>
    <w:rsid w:val="000166DA"/>
    <w:rsid w:val="00017BCE"/>
    <w:rsid w:val="00017F7D"/>
    <w:rsid w:val="00020882"/>
    <w:rsid w:val="00022AE5"/>
    <w:rsid w:val="00022DA3"/>
    <w:rsid w:val="00023C8F"/>
    <w:rsid w:val="00024B5F"/>
    <w:rsid w:val="00025202"/>
    <w:rsid w:val="000263ED"/>
    <w:rsid w:val="00027658"/>
    <w:rsid w:val="0003032A"/>
    <w:rsid w:val="0003459A"/>
    <w:rsid w:val="00036105"/>
    <w:rsid w:val="000369B9"/>
    <w:rsid w:val="00036B2C"/>
    <w:rsid w:val="000375AF"/>
    <w:rsid w:val="000377D1"/>
    <w:rsid w:val="00042FD2"/>
    <w:rsid w:val="000439A5"/>
    <w:rsid w:val="00043B43"/>
    <w:rsid w:val="00050514"/>
    <w:rsid w:val="0005157F"/>
    <w:rsid w:val="00051887"/>
    <w:rsid w:val="000526EA"/>
    <w:rsid w:val="00052CF6"/>
    <w:rsid w:val="000538C0"/>
    <w:rsid w:val="00053F8C"/>
    <w:rsid w:val="000544E1"/>
    <w:rsid w:val="000545C1"/>
    <w:rsid w:val="0005496E"/>
    <w:rsid w:val="000554A9"/>
    <w:rsid w:val="00055F57"/>
    <w:rsid w:val="00057ED6"/>
    <w:rsid w:val="000607BB"/>
    <w:rsid w:val="00060A46"/>
    <w:rsid w:val="00061697"/>
    <w:rsid w:val="00061736"/>
    <w:rsid w:val="00062D68"/>
    <w:rsid w:val="00064FBD"/>
    <w:rsid w:val="000658F7"/>
    <w:rsid w:val="0006645D"/>
    <w:rsid w:val="000670BC"/>
    <w:rsid w:val="00070D2B"/>
    <w:rsid w:val="00070E17"/>
    <w:rsid w:val="00071A3E"/>
    <w:rsid w:val="00073676"/>
    <w:rsid w:val="000811E7"/>
    <w:rsid w:val="00083DB0"/>
    <w:rsid w:val="00083EF7"/>
    <w:rsid w:val="00084469"/>
    <w:rsid w:val="00086061"/>
    <w:rsid w:val="00091E61"/>
    <w:rsid w:val="0009337A"/>
    <w:rsid w:val="000933A2"/>
    <w:rsid w:val="000A17A4"/>
    <w:rsid w:val="000A1FB2"/>
    <w:rsid w:val="000A3E66"/>
    <w:rsid w:val="000A543A"/>
    <w:rsid w:val="000A7CDC"/>
    <w:rsid w:val="000B035F"/>
    <w:rsid w:val="000B0895"/>
    <w:rsid w:val="000B0AF5"/>
    <w:rsid w:val="000B0C6D"/>
    <w:rsid w:val="000B16D5"/>
    <w:rsid w:val="000B44E8"/>
    <w:rsid w:val="000B4FD7"/>
    <w:rsid w:val="000B5FE1"/>
    <w:rsid w:val="000B62E2"/>
    <w:rsid w:val="000B6A06"/>
    <w:rsid w:val="000B705A"/>
    <w:rsid w:val="000B73DB"/>
    <w:rsid w:val="000C0984"/>
    <w:rsid w:val="000C0F39"/>
    <w:rsid w:val="000C1222"/>
    <w:rsid w:val="000C2C93"/>
    <w:rsid w:val="000C4A54"/>
    <w:rsid w:val="000C757A"/>
    <w:rsid w:val="000D036B"/>
    <w:rsid w:val="000D0664"/>
    <w:rsid w:val="000D3B17"/>
    <w:rsid w:val="000D5031"/>
    <w:rsid w:val="000D5607"/>
    <w:rsid w:val="000D5DA3"/>
    <w:rsid w:val="000D5E13"/>
    <w:rsid w:val="000D6CF5"/>
    <w:rsid w:val="000D6E48"/>
    <w:rsid w:val="000E02DD"/>
    <w:rsid w:val="000E109F"/>
    <w:rsid w:val="000E2CB5"/>
    <w:rsid w:val="000E3C59"/>
    <w:rsid w:val="000F1852"/>
    <w:rsid w:val="000F1BEC"/>
    <w:rsid w:val="000F3291"/>
    <w:rsid w:val="000F45C4"/>
    <w:rsid w:val="000F5310"/>
    <w:rsid w:val="000F53E4"/>
    <w:rsid w:val="000F55C0"/>
    <w:rsid w:val="000F7521"/>
    <w:rsid w:val="000F7549"/>
    <w:rsid w:val="000F7932"/>
    <w:rsid w:val="000F7F92"/>
    <w:rsid w:val="001008BD"/>
    <w:rsid w:val="0010093C"/>
    <w:rsid w:val="00100F44"/>
    <w:rsid w:val="00101C4E"/>
    <w:rsid w:val="001024F6"/>
    <w:rsid w:val="00102502"/>
    <w:rsid w:val="0010503A"/>
    <w:rsid w:val="00105352"/>
    <w:rsid w:val="0010695F"/>
    <w:rsid w:val="00106F0B"/>
    <w:rsid w:val="00110FF9"/>
    <w:rsid w:val="00112A5A"/>
    <w:rsid w:val="00112E9A"/>
    <w:rsid w:val="001141CA"/>
    <w:rsid w:val="0011420E"/>
    <w:rsid w:val="00114591"/>
    <w:rsid w:val="001162B9"/>
    <w:rsid w:val="0011663F"/>
    <w:rsid w:val="00116FC7"/>
    <w:rsid w:val="0011773C"/>
    <w:rsid w:val="001210D2"/>
    <w:rsid w:val="001213B4"/>
    <w:rsid w:val="00121989"/>
    <w:rsid w:val="00121E18"/>
    <w:rsid w:val="00125FAE"/>
    <w:rsid w:val="00130D41"/>
    <w:rsid w:val="00131954"/>
    <w:rsid w:val="00131B9A"/>
    <w:rsid w:val="0013220C"/>
    <w:rsid w:val="00133959"/>
    <w:rsid w:val="001344E1"/>
    <w:rsid w:val="00135BE7"/>
    <w:rsid w:val="00140A5F"/>
    <w:rsid w:val="00140B3C"/>
    <w:rsid w:val="00141DBA"/>
    <w:rsid w:val="001420B1"/>
    <w:rsid w:val="00143527"/>
    <w:rsid w:val="001452A1"/>
    <w:rsid w:val="00150F33"/>
    <w:rsid w:val="00151C32"/>
    <w:rsid w:val="00151CCC"/>
    <w:rsid w:val="00152095"/>
    <w:rsid w:val="00155142"/>
    <w:rsid w:val="00155ACB"/>
    <w:rsid w:val="00157669"/>
    <w:rsid w:val="00157776"/>
    <w:rsid w:val="0016082C"/>
    <w:rsid w:val="00160D1A"/>
    <w:rsid w:val="00162C95"/>
    <w:rsid w:val="00163CF9"/>
    <w:rsid w:val="00163F0B"/>
    <w:rsid w:val="00164B37"/>
    <w:rsid w:val="0016509F"/>
    <w:rsid w:val="001676D0"/>
    <w:rsid w:val="0017206C"/>
    <w:rsid w:val="001729EA"/>
    <w:rsid w:val="00180487"/>
    <w:rsid w:val="001823F0"/>
    <w:rsid w:val="0018439F"/>
    <w:rsid w:val="001904BA"/>
    <w:rsid w:val="00190A58"/>
    <w:rsid w:val="00191B23"/>
    <w:rsid w:val="00192C41"/>
    <w:rsid w:val="00192E8C"/>
    <w:rsid w:val="001937D1"/>
    <w:rsid w:val="001946FE"/>
    <w:rsid w:val="00194FCF"/>
    <w:rsid w:val="0019681B"/>
    <w:rsid w:val="0019735A"/>
    <w:rsid w:val="0019737A"/>
    <w:rsid w:val="001A0E90"/>
    <w:rsid w:val="001A1830"/>
    <w:rsid w:val="001A2844"/>
    <w:rsid w:val="001A2FCB"/>
    <w:rsid w:val="001A4317"/>
    <w:rsid w:val="001A4F53"/>
    <w:rsid w:val="001B04C2"/>
    <w:rsid w:val="001B27BC"/>
    <w:rsid w:val="001B2A5E"/>
    <w:rsid w:val="001B361F"/>
    <w:rsid w:val="001B5D83"/>
    <w:rsid w:val="001B6F56"/>
    <w:rsid w:val="001C0658"/>
    <w:rsid w:val="001C0962"/>
    <w:rsid w:val="001C454A"/>
    <w:rsid w:val="001C5358"/>
    <w:rsid w:val="001C54D9"/>
    <w:rsid w:val="001C56E4"/>
    <w:rsid w:val="001C6281"/>
    <w:rsid w:val="001C641C"/>
    <w:rsid w:val="001C6B93"/>
    <w:rsid w:val="001D030C"/>
    <w:rsid w:val="001D0A38"/>
    <w:rsid w:val="001D0C47"/>
    <w:rsid w:val="001D0D13"/>
    <w:rsid w:val="001D13E3"/>
    <w:rsid w:val="001D1C94"/>
    <w:rsid w:val="001D1FD7"/>
    <w:rsid w:val="001D2163"/>
    <w:rsid w:val="001D4954"/>
    <w:rsid w:val="001D5464"/>
    <w:rsid w:val="001D5C1A"/>
    <w:rsid w:val="001D65B2"/>
    <w:rsid w:val="001E19ED"/>
    <w:rsid w:val="001E1AD8"/>
    <w:rsid w:val="001E2207"/>
    <w:rsid w:val="001E26EB"/>
    <w:rsid w:val="001E28F9"/>
    <w:rsid w:val="001E3E8E"/>
    <w:rsid w:val="001E4381"/>
    <w:rsid w:val="001E4CD3"/>
    <w:rsid w:val="001E4D03"/>
    <w:rsid w:val="001E5E9F"/>
    <w:rsid w:val="001E726D"/>
    <w:rsid w:val="001F04FA"/>
    <w:rsid w:val="001F074D"/>
    <w:rsid w:val="001F292B"/>
    <w:rsid w:val="001F29DC"/>
    <w:rsid w:val="001F4BAF"/>
    <w:rsid w:val="001F512A"/>
    <w:rsid w:val="001F53D3"/>
    <w:rsid w:val="001F7395"/>
    <w:rsid w:val="00200C0F"/>
    <w:rsid w:val="00200D19"/>
    <w:rsid w:val="00203B6C"/>
    <w:rsid w:val="0020634E"/>
    <w:rsid w:val="00206FA1"/>
    <w:rsid w:val="00207525"/>
    <w:rsid w:val="0021074E"/>
    <w:rsid w:val="002137F5"/>
    <w:rsid w:val="00213F99"/>
    <w:rsid w:val="0021462C"/>
    <w:rsid w:val="00214C85"/>
    <w:rsid w:val="00215410"/>
    <w:rsid w:val="0021673D"/>
    <w:rsid w:val="00216752"/>
    <w:rsid w:val="0021684E"/>
    <w:rsid w:val="00216FFD"/>
    <w:rsid w:val="00217CA1"/>
    <w:rsid w:val="00217E85"/>
    <w:rsid w:val="0022022C"/>
    <w:rsid w:val="00220B71"/>
    <w:rsid w:val="0022252A"/>
    <w:rsid w:val="00223410"/>
    <w:rsid w:val="00226322"/>
    <w:rsid w:val="00227ED7"/>
    <w:rsid w:val="00230809"/>
    <w:rsid w:val="00230E25"/>
    <w:rsid w:val="00231015"/>
    <w:rsid w:val="002314B8"/>
    <w:rsid w:val="00231A49"/>
    <w:rsid w:val="00231B9B"/>
    <w:rsid w:val="00231DF3"/>
    <w:rsid w:val="00232B19"/>
    <w:rsid w:val="00232CD1"/>
    <w:rsid w:val="002358BA"/>
    <w:rsid w:val="00235FBD"/>
    <w:rsid w:val="002409F7"/>
    <w:rsid w:val="002450E6"/>
    <w:rsid w:val="0024650C"/>
    <w:rsid w:val="00247235"/>
    <w:rsid w:val="00247561"/>
    <w:rsid w:val="00250FB7"/>
    <w:rsid w:val="00251476"/>
    <w:rsid w:val="00252AC4"/>
    <w:rsid w:val="00253765"/>
    <w:rsid w:val="00254063"/>
    <w:rsid w:val="00254795"/>
    <w:rsid w:val="00254FD3"/>
    <w:rsid w:val="00255020"/>
    <w:rsid w:val="002559AC"/>
    <w:rsid w:val="002577CE"/>
    <w:rsid w:val="0026038C"/>
    <w:rsid w:val="00260E1C"/>
    <w:rsid w:val="00262B72"/>
    <w:rsid w:val="00262B7A"/>
    <w:rsid w:val="00263C9F"/>
    <w:rsid w:val="00265A50"/>
    <w:rsid w:val="00267E57"/>
    <w:rsid w:val="00271EF8"/>
    <w:rsid w:val="00272C41"/>
    <w:rsid w:val="00273813"/>
    <w:rsid w:val="002741C9"/>
    <w:rsid w:val="00274C89"/>
    <w:rsid w:val="0027508E"/>
    <w:rsid w:val="002769A5"/>
    <w:rsid w:val="00280853"/>
    <w:rsid w:val="00281DD0"/>
    <w:rsid w:val="002829C4"/>
    <w:rsid w:val="002839FE"/>
    <w:rsid w:val="00283FD8"/>
    <w:rsid w:val="00284D1B"/>
    <w:rsid w:val="002855FE"/>
    <w:rsid w:val="00285C02"/>
    <w:rsid w:val="00286F2E"/>
    <w:rsid w:val="002909D7"/>
    <w:rsid w:val="00290E49"/>
    <w:rsid w:val="00292CDE"/>
    <w:rsid w:val="00292EC7"/>
    <w:rsid w:val="002938C6"/>
    <w:rsid w:val="00296016"/>
    <w:rsid w:val="002968B4"/>
    <w:rsid w:val="002979E1"/>
    <w:rsid w:val="00297D11"/>
    <w:rsid w:val="002A1EEF"/>
    <w:rsid w:val="002A4D9A"/>
    <w:rsid w:val="002B1115"/>
    <w:rsid w:val="002B46DD"/>
    <w:rsid w:val="002B647B"/>
    <w:rsid w:val="002C0E44"/>
    <w:rsid w:val="002C11A9"/>
    <w:rsid w:val="002C22DF"/>
    <w:rsid w:val="002C2F4F"/>
    <w:rsid w:val="002C4F5A"/>
    <w:rsid w:val="002C64EC"/>
    <w:rsid w:val="002C6B59"/>
    <w:rsid w:val="002C7619"/>
    <w:rsid w:val="002D178D"/>
    <w:rsid w:val="002D28F4"/>
    <w:rsid w:val="002D3293"/>
    <w:rsid w:val="002D3EC8"/>
    <w:rsid w:val="002D5486"/>
    <w:rsid w:val="002D7676"/>
    <w:rsid w:val="002D7D39"/>
    <w:rsid w:val="002D7F8D"/>
    <w:rsid w:val="002E0575"/>
    <w:rsid w:val="002E09F5"/>
    <w:rsid w:val="002E3448"/>
    <w:rsid w:val="002E3E0D"/>
    <w:rsid w:val="002E4BE8"/>
    <w:rsid w:val="002E5503"/>
    <w:rsid w:val="002E5A54"/>
    <w:rsid w:val="002E6833"/>
    <w:rsid w:val="002E76F7"/>
    <w:rsid w:val="002E78E1"/>
    <w:rsid w:val="002E7CDB"/>
    <w:rsid w:val="002F2661"/>
    <w:rsid w:val="002F3E80"/>
    <w:rsid w:val="002F74F6"/>
    <w:rsid w:val="002F7B5D"/>
    <w:rsid w:val="00300012"/>
    <w:rsid w:val="00300ECD"/>
    <w:rsid w:val="00301A27"/>
    <w:rsid w:val="00301A61"/>
    <w:rsid w:val="00302080"/>
    <w:rsid w:val="003025A7"/>
    <w:rsid w:val="00305692"/>
    <w:rsid w:val="003057CD"/>
    <w:rsid w:val="00307723"/>
    <w:rsid w:val="00310171"/>
    <w:rsid w:val="0031035E"/>
    <w:rsid w:val="00310885"/>
    <w:rsid w:val="00311B6D"/>
    <w:rsid w:val="00313FC0"/>
    <w:rsid w:val="00314F38"/>
    <w:rsid w:val="003150F5"/>
    <w:rsid w:val="00315642"/>
    <w:rsid w:val="00315C59"/>
    <w:rsid w:val="003168B6"/>
    <w:rsid w:val="00317658"/>
    <w:rsid w:val="00321D95"/>
    <w:rsid w:val="00323CA3"/>
    <w:rsid w:val="00324012"/>
    <w:rsid w:val="00324348"/>
    <w:rsid w:val="00324547"/>
    <w:rsid w:val="003269C9"/>
    <w:rsid w:val="003304F8"/>
    <w:rsid w:val="00330FD7"/>
    <w:rsid w:val="0033194E"/>
    <w:rsid w:val="00331E0B"/>
    <w:rsid w:val="00332630"/>
    <w:rsid w:val="00332866"/>
    <w:rsid w:val="00334213"/>
    <w:rsid w:val="00334F5C"/>
    <w:rsid w:val="0033541D"/>
    <w:rsid w:val="00335BB3"/>
    <w:rsid w:val="00335E8D"/>
    <w:rsid w:val="00336C30"/>
    <w:rsid w:val="003400E7"/>
    <w:rsid w:val="00340AA9"/>
    <w:rsid w:val="00342B2D"/>
    <w:rsid w:val="003433C6"/>
    <w:rsid w:val="003441BB"/>
    <w:rsid w:val="00345BA2"/>
    <w:rsid w:val="00345E41"/>
    <w:rsid w:val="0034772B"/>
    <w:rsid w:val="003507F8"/>
    <w:rsid w:val="003508FD"/>
    <w:rsid w:val="003538DC"/>
    <w:rsid w:val="00354739"/>
    <w:rsid w:val="003555F0"/>
    <w:rsid w:val="0035616A"/>
    <w:rsid w:val="00357E26"/>
    <w:rsid w:val="00361BCC"/>
    <w:rsid w:val="003627EF"/>
    <w:rsid w:val="00365D81"/>
    <w:rsid w:val="003671FD"/>
    <w:rsid w:val="00367C42"/>
    <w:rsid w:val="003702C2"/>
    <w:rsid w:val="00373662"/>
    <w:rsid w:val="00375DB1"/>
    <w:rsid w:val="00380CBC"/>
    <w:rsid w:val="0038311D"/>
    <w:rsid w:val="00384446"/>
    <w:rsid w:val="00384746"/>
    <w:rsid w:val="0038533A"/>
    <w:rsid w:val="003860D6"/>
    <w:rsid w:val="00386440"/>
    <w:rsid w:val="0038781D"/>
    <w:rsid w:val="00392773"/>
    <w:rsid w:val="00392F8D"/>
    <w:rsid w:val="00393115"/>
    <w:rsid w:val="00393357"/>
    <w:rsid w:val="003935EB"/>
    <w:rsid w:val="00393E83"/>
    <w:rsid w:val="00394F89"/>
    <w:rsid w:val="00395431"/>
    <w:rsid w:val="0039690E"/>
    <w:rsid w:val="003A00AA"/>
    <w:rsid w:val="003A0E9C"/>
    <w:rsid w:val="003A1E76"/>
    <w:rsid w:val="003A20BE"/>
    <w:rsid w:val="003A40A2"/>
    <w:rsid w:val="003A7E92"/>
    <w:rsid w:val="003B041E"/>
    <w:rsid w:val="003B0512"/>
    <w:rsid w:val="003B22D4"/>
    <w:rsid w:val="003B318C"/>
    <w:rsid w:val="003B4FA0"/>
    <w:rsid w:val="003B6387"/>
    <w:rsid w:val="003C39A1"/>
    <w:rsid w:val="003C455D"/>
    <w:rsid w:val="003C4C33"/>
    <w:rsid w:val="003C6387"/>
    <w:rsid w:val="003C63CD"/>
    <w:rsid w:val="003C7643"/>
    <w:rsid w:val="003C782B"/>
    <w:rsid w:val="003C7846"/>
    <w:rsid w:val="003C7D7A"/>
    <w:rsid w:val="003D0AE6"/>
    <w:rsid w:val="003D0C38"/>
    <w:rsid w:val="003D2003"/>
    <w:rsid w:val="003D2D37"/>
    <w:rsid w:val="003D31A0"/>
    <w:rsid w:val="003D339B"/>
    <w:rsid w:val="003D37B7"/>
    <w:rsid w:val="003D46CC"/>
    <w:rsid w:val="003E0C1E"/>
    <w:rsid w:val="003E0E97"/>
    <w:rsid w:val="003E1146"/>
    <w:rsid w:val="003E1441"/>
    <w:rsid w:val="003E1B5F"/>
    <w:rsid w:val="003E2198"/>
    <w:rsid w:val="003E330D"/>
    <w:rsid w:val="003E4829"/>
    <w:rsid w:val="003E4D8A"/>
    <w:rsid w:val="003E55E0"/>
    <w:rsid w:val="003E5674"/>
    <w:rsid w:val="003F1982"/>
    <w:rsid w:val="003F22C7"/>
    <w:rsid w:val="003F230B"/>
    <w:rsid w:val="003F3DAA"/>
    <w:rsid w:val="003F513E"/>
    <w:rsid w:val="003F5D02"/>
    <w:rsid w:val="003F676E"/>
    <w:rsid w:val="00400319"/>
    <w:rsid w:val="00401D64"/>
    <w:rsid w:val="00402E47"/>
    <w:rsid w:val="00403382"/>
    <w:rsid w:val="00403929"/>
    <w:rsid w:val="00403A49"/>
    <w:rsid w:val="004045F4"/>
    <w:rsid w:val="00405174"/>
    <w:rsid w:val="00405372"/>
    <w:rsid w:val="00406AA9"/>
    <w:rsid w:val="00412BCF"/>
    <w:rsid w:val="00413E9F"/>
    <w:rsid w:val="004146EF"/>
    <w:rsid w:val="00414983"/>
    <w:rsid w:val="004164A0"/>
    <w:rsid w:val="00421894"/>
    <w:rsid w:val="00422C9B"/>
    <w:rsid w:val="00422CBC"/>
    <w:rsid w:val="00423839"/>
    <w:rsid w:val="00423AA6"/>
    <w:rsid w:val="0042476D"/>
    <w:rsid w:val="00424B0A"/>
    <w:rsid w:val="004262CE"/>
    <w:rsid w:val="00427A55"/>
    <w:rsid w:val="004304A7"/>
    <w:rsid w:val="004314BF"/>
    <w:rsid w:val="004324AC"/>
    <w:rsid w:val="004349A0"/>
    <w:rsid w:val="00434A67"/>
    <w:rsid w:val="00434B5E"/>
    <w:rsid w:val="00435088"/>
    <w:rsid w:val="00437E02"/>
    <w:rsid w:val="00440E23"/>
    <w:rsid w:val="00441424"/>
    <w:rsid w:val="00441E8F"/>
    <w:rsid w:val="00443A78"/>
    <w:rsid w:val="00444E82"/>
    <w:rsid w:val="00444F30"/>
    <w:rsid w:val="00445232"/>
    <w:rsid w:val="00445503"/>
    <w:rsid w:val="004460B5"/>
    <w:rsid w:val="00447877"/>
    <w:rsid w:val="00452431"/>
    <w:rsid w:val="00453713"/>
    <w:rsid w:val="004563F4"/>
    <w:rsid w:val="0045675D"/>
    <w:rsid w:val="00460FB7"/>
    <w:rsid w:val="00461C35"/>
    <w:rsid w:val="0046208B"/>
    <w:rsid w:val="004634E6"/>
    <w:rsid w:val="004647C0"/>
    <w:rsid w:val="004649F1"/>
    <w:rsid w:val="00465D0F"/>
    <w:rsid w:val="00466863"/>
    <w:rsid w:val="00466C35"/>
    <w:rsid w:val="00466D79"/>
    <w:rsid w:val="00470A5F"/>
    <w:rsid w:val="00472A5B"/>
    <w:rsid w:val="00474357"/>
    <w:rsid w:val="00476037"/>
    <w:rsid w:val="0047723D"/>
    <w:rsid w:val="004773E0"/>
    <w:rsid w:val="0047795F"/>
    <w:rsid w:val="00480D74"/>
    <w:rsid w:val="004816C6"/>
    <w:rsid w:val="00482A2D"/>
    <w:rsid w:val="004850A1"/>
    <w:rsid w:val="00486117"/>
    <w:rsid w:val="00486A68"/>
    <w:rsid w:val="00487253"/>
    <w:rsid w:val="00490DEA"/>
    <w:rsid w:val="00491167"/>
    <w:rsid w:val="00493F7F"/>
    <w:rsid w:val="004940C4"/>
    <w:rsid w:val="00495014"/>
    <w:rsid w:val="00495F2C"/>
    <w:rsid w:val="004A11C3"/>
    <w:rsid w:val="004A4DF1"/>
    <w:rsid w:val="004A4F04"/>
    <w:rsid w:val="004B0A09"/>
    <w:rsid w:val="004B1860"/>
    <w:rsid w:val="004B21FF"/>
    <w:rsid w:val="004B2C15"/>
    <w:rsid w:val="004B4107"/>
    <w:rsid w:val="004B5E72"/>
    <w:rsid w:val="004B7B04"/>
    <w:rsid w:val="004C079D"/>
    <w:rsid w:val="004C0A02"/>
    <w:rsid w:val="004C2A38"/>
    <w:rsid w:val="004C2B65"/>
    <w:rsid w:val="004C48C8"/>
    <w:rsid w:val="004C5A19"/>
    <w:rsid w:val="004C6EF6"/>
    <w:rsid w:val="004C74E9"/>
    <w:rsid w:val="004D185B"/>
    <w:rsid w:val="004D26B3"/>
    <w:rsid w:val="004D2786"/>
    <w:rsid w:val="004D2E26"/>
    <w:rsid w:val="004D3159"/>
    <w:rsid w:val="004D582E"/>
    <w:rsid w:val="004D611F"/>
    <w:rsid w:val="004D6484"/>
    <w:rsid w:val="004D72F0"/>
    <w:rsid w:val="004E17F7"/>
    <w:rsid w:val="004E1D60"/>
    <w:rsid w:val="004E1FBB"/>
    <w:rsid w:val="004E6B52"/>
    <w:rsid w:val="004F27DA"/>
    <w:rsid w:val="004F346A"/>
    <w:rsid w:val="004F61B9"/>
    <w:rsid w:val="004F66AC"/>
    <w:rsid w:val="004F69B5"/>
    <w:rsid w:val="004F7335"/>
    <w:rsid w:val="005017D2"/>
    <w:rsid w:val="005041EB"/>
    <w:rsid w:val="00504AF6"/>
    <w:rsid w:val="00504E6B"/>
    <w:rsid w:val="00504EC1"/>
    <w:rsid w:val="00504F5F"/>
    <w:rsid w:val="005070E3"/>
    <w:rsid w:val="00507D74"/>
    <w:rsid w:val="0051320B"/>
    <w:rsid w:val="00514512"/>
    <w:rsid w:val="00516F4B"/>
    <w:rsid w:val="00517A63"/>
    <w:rsid w:val="00517D7F"/>
    <w:rsid w:val="00520731"/>
    <w:rsid w:val="00521574"/>
    <w:rsid w:val="00524358"/>
    <w:rsid w:val="00525BFD"/>
    <w:rsid w:val="0053257C"/>
    <w:rsid w:val="00533970"/>
    <w:rsid w:val="00534F05"/>
    <w:rsid w:val="00540B8A"/>
    <w:rsid w:val="00541668"/>
    <w:rsid w:val="00542741"/>
    <w:rsid w:val="00542BDA"/>
    <w:rsid w:val="00543085"/>
    <w:rsid w:val="00546508"/>
    <w:rsid w:val="00547E8F"/>
    <w:rsid w:val="00550F90"/>
    <w:rsid w:val="005512D4"/>
    <w:rsid w:val="00551D01"/>
    <w:rsid w:val="0055305F"/>
    <w:rsid w:val="005561B1"/>
    <w:rsid w:val="005565BE"/>
    <w:rsid w:val="005567F4"/>
    <w:rsid w:val="005575E8"/>
    <w:rsid w:val="005575F0"/>
    <w:rsid w:val="005625F4"/>
    <w:rsid w:val="005627D0"/>
    <w:rsid w:val="00562AF2"/>
    <w:rsid w:val="00563A06"/>
    <w:rsid w:val="00565FD2"/>
    <w:rsid w:val="00566B14"/>
    <w:rsid w:val="00570B51"/>
    <w:rsid w:val="00570D2C"/>
    <w:rsid w:val="00571158"/>
    <w:rsid w:val="005729FD"/>
    <w:rsid w:val="00574B6E"/>
    <w:rsid w:val="00574C00"/>
    <w:rsid w:val="00575026"/>
    <w:rsid w:val="00576016"/>
    <w:rsid w:val="005761CC"/>
    <w:rsid w:val="00576207"/>
    <w:rsid w:val="00576505"/>
    <w:rsid w:val="005815C8"/>
    <w:rsid w:val="00581E1C"/>
    <w:rsid w:val="00581F51"/>
    <w:rsid w:val="00582663"/>
    <w:rsid w:val="00592B01"/>
    <w:rsid w:val="00592DB1"/>
    <w:rsid w:val="005935E4"/>
    <w:rsid w:val="00593BC6"/>
    <w:rsid w:val="00594573"/>
    <w:rsid w:val="00595F74"/>
    <w:rsid w:val="00596B93"/>
    <w:rsid w:val="005A0868"/>
    <w:rsid w:val="005A0A2F"/>
    <w:rsid w:val="005A1FB0"/>
    <w:rsid w:val="005A5440"/>
    <w:rsid w:val="005A5A01"/>
    <w:rsid w:val="005A5F29"/>
    <w:rsid w:val="005A7C11"/>
    <w:rsid w:val="005B198A"/>
    <w:rsid w:val="005B1FDC"/>
    <w:rsid w:val="005B75A0"/>
    <w:rsid w:val="005C201D"/>
    <w:rsid w:val="005C3E8E"/>
    <w:rsid w:val="005C4361"/>
    <w:rsid w:val="005C6FBA"/>
    <w:rsid w:val="005C7FDD"/>
    <w:rsid w:val="005D2937"/>
    <w:rsid w:val="005D30ED"/>
    <w:rsid w:val="005D3C9F"/>
    <w:rsid w:val="005D5770"/>
    <w:rsid w:val="005D5EFC"/>
    <w:rsid w:val="005E13EA"/>
    <w:rsid w:val="005E2F61"/>
    <w:rsid w:val="005E370A"/>
    <w:rsid w:val="005E5225"/>
    <w:rsid w:val="005F15CB"/>
    <w:rsid w:val="005F485C"/>
    <w:rsid w:val="005F4FE9"/>
    <w:rsid w:val="005F5578"/>
    <w:rsid w:val="006005FF"/>
    <w:rsid w:val="00601D6D"/>
    <w:rsid w:val="00601E38"/>
    <w:rsid w:val="006024AB"/>
    <w:rsid w:val="006050A3"/>
    <w:rsid w:val="006054BA"/>
    <w:rsid w:val="006069A6"/>
    <w:rsid w:val="00606E2B"/>
    <w:rsid w:val="00611143"/>
    <w:rsid w:val="0061115A"/>
    <w:rsid w:val="00611545"/>
    <w:rsid w:val="00614D8A"/>
    <w:rsid w:val="00615446"/>
    <w:rsid w:val="00622C36"/>
    <w:rsid w:val="00622DC0"/>
    <w:rsid w:val="00623FE0"/>
    <w:rsid w:val="0062419E"/>
    <w:rsid w:val="00624AD9"/>
    <w:rsid w:val="00625436"/>
    <w:rsid w:val="006266CC"/>
    <w:rsid w:val="006273E4"/>
    <w:rsid w:val="006324AE"/>
    <w:rsid w:val="00632BEE"/>
    <w:rsid w:val="00632D4B"/>
    <w:rsid w:val="00633BA9"/>
    <w:rsid w:val="00633BC2"/>
    <w:rsid w:val="00634631"/>
    <w:rsid w:val="00634B86"/>
    <w:rsid w:val="0063505C"/>
    <w:rsid w:val="0063542C"/>
    <w:rsid w:val="006356F8"/>
    <w:rsid w:val="0063796D"/>
    <w:rsid w:val="0064024D"/>
    <w:rsid w:val="0064098A"/>
    <w:rsid w:val="0064120A"/>
    <w:rsid w:val="0064192B"/>
    <w:rsid w:val="006424E6"/>
    <w:rsid w:val="00642728"/>
    <w:rsid w:val="00643B46"/>
    <w:rsid w:val="00644477"/>
    <w:rsid w:val="006451B9"/>
    <w:rsid w:val="006453BA"/>
    <w:rsid w:val="0064743B"/>
    <w:rsid w:val="00647DD6"/>
    <w:rsid w:val="006502E8"/>
    <w:rsid w:val="00650E52"/>
    <w:rsid w:val="006517D5"/>
    <w:rsid w:val="00655108"/>
    <w:rsid w:val="00656757"/>
    <w:rsid w:val="00656B34"/>
    <w:rsid w:val="006601AF"/>
    <w:rsid w:val="006620E0"/>
    <w:rsid w:val="006637F6"/>
    <w:rsid w:val="00664D47"/>
    <w:rsid w:val="00665E7E"/>
    <w:rsid w:val="00666497"/>
    <w:rsid w:val="00667BC4"/>
    <w:rsid w:val="00670599"/>
    <w:rsid w:val="00671962"/>
    <w:rsid w:val="00672D72"/>
    <w:rsid w:val="00673BDC"/>
    <w:rsid w:val="00676B67"/>
    <w:rsid w:val="00680A72"/>
    <w:rsid w:val="00681E68"/>
    <w:rsid w:val="00682EC3"/>
    <w:rsid w:val="0068309E"/>
    <w:rsid w:val="00683168"/>
    <w:rsid w:val="00683227"/>
    <w:rsid w:val="00683F16"/>
    <w:rsid w:val="00685838"/>
    <w:rsid w:val="0068714A"/>
    <w:rsid w:val="00687A24"/>
    <w:rsid w:val="00690B89"/>
    <w:rsid w:val="0069149A"/>
    <w:rsid w:val="006965D0"/>
    <w:rsid w:val="006A12EC"/>
    <w:rsid w:val="006A32A4"/>
    <w:rsid w:val="006A4A53"/>
    <w:rsid w:val="006A52FF"/>
    <w:rsid w:val="006A57AF"/>
    <w:rsid w:val="006A67F6"/>
    <w:rsid w:val="006A75A2"/>
    <w:rsid w:val="006B0746"/>
    <w:rsid w:val="006B3E16"/>
    <w:rsid w:val="006B486A"/>
    <w:rsid w:val="006B581A"/>
    <w:rsid w:val="006C078E"/>
    <w:rsid w:val="006C11E5"/>
    <w:rsid w:val="006C230E"/>
    <w:rsid w:val="006C2468"/>
    <w:rsid w:val="006C2F8A"/>
    <w:rsid w:val="006C3FCE"/>
    <w:rsid w:val="006C5680"/>
    <w:rsid w:val="006C5F8E"/>
    <w:rsid w:val="006D13E5"/>
    <w:rsid w:val="006D3BA1"/>
    <w:rsid w:val="006D4E7C"/>
    <w:rsid w:val="006D6B85"/>
    <w:rsid w:val="006E07FB"/>
    <w:rsid w:val="006E1337"/>
    <w:rsid w:val="006E29DB"/>
    <w:rsid w:val="006E44AE"/>
    <w:rsid w:val="006E5601"/>
    <w:rsid w:val="006E61B3"/>
    <w:rsid w:val="006E7826"/>
    <w:rsid w:val="006F463B"/>
    <w:rsid w:val="006F4845"/>
    <w:rsid w:val="006F4B6C"/>
    <w:rsid w:val="00701867"/>
    <w:rsid w:val="00702075"/>
    <w:rsid w:val="007020B3"/>
    <w:rsid w:val="0070210F"/>
    <w:rsid w:val="007038C4"/>
    <w:rsid w:val="00703BB8"/>
    <w:rsid w:val="00704131"/>
    <w:rsid w:val="0070607D"/>
    <w:rsid w:val="0070639F"/>
    <w:rsid w:val="00706F41"/>
    <w:rsid w:val="007072D7"/>
    <w:rsid w:val="00710652"/>
    <w:rsid w:val="00711016"/>
    <w:rsid w:val="00712AD0"/>
    <w:rsid w:val="00712D94"/>
    <w:rsid w:val="007145CB"/>
    <w:rsid w:val="0071505A"/>
    <w:rsid w:val="00715C16"/>
    <w:rsid w:val="0071719D"/>
    <w:rsid w:val="00720CF5"/>
    <w:rsid w:val="0072249B"/>
    <w:rsid w:val="0072268E"/>
    <w:rsid w:val="0072292E"/>
    <w:rsid w:val="007248D9"/>
    <w:rsid w:val="00725919"/>
    <w:rsid w:val="007260F5"/>
    <w:rsid w:val="00726326"/>
    <w:rsid w:val="007271CC"/>
    <w:rsid w:val="007273B2"/>
    <w:rsid w:val="00731950"/>
    <w:rsid w:val="007328E0"/>
    <w:rsid w:val="00732C43"/>
    <w:rsid w:val="00732CE6"/>
    <w:rsid w:val="00733C3B"/>
    <w:rsid w:val="00733D34"/>
    <w:rsid w:val="007352EE"/>
    <w:rsid w:val="007354E2"/>
    <w:rsid w:val="00736F10"/>
    <w:rsid w:val="00737428"/>
    <w:rsid w:val="00737D50"/>
    <w:rsid w:val="0074069D"/>
    <w:rsid w:val="00740BDC"/>
    <w:rsid w:val="007437B7"/>
    <w:rsid w:val="00744F45"/>
    <w:rsid w:val="00745FC2"/>
    <w:rsid w:val="0074727A"/>
    <w:rsid w:val="00747EEE"/>
    <w:rsid w:val="00750132"/>
    <w:rsid w:val="0075209A"/>
    <w:rsid w:val="00752D23"/>
    <w:rsid w:val="00753E6A"/>
    <w:rsid w:val="00754B67"/>
    <w:rsid w:val="007566E4"/>
    <w:rsid w:val="00756B1E"/>
    <w:rsid w:val="00760CA8"/>
    <w:rsid w:val="00762631"/>
    <w:rsid w:val="00762929"/>
    <w:rsid w:val="007631ED"/>
    <w:rsid w:val="00763CAC"/>
    <w:rsid w:val="00764049"/>
    <w:rsid w:val="00764CBC"/>
    <w:rsid w:val="00764CD2"/>
    <w:rsid w:val="00764F1B"/>
    <w:rsid w:val="0076584E"/>
    <w:rsid w:val="00765C13"/>
    <w:rsid w:val="00765D68"/>
    <w:rsid w:val="00766709"/>
    <w:rsid w:val="00770809"/>
    <w:rsid w:val="00772557"/>
    <w:rsid w:val="00773CA3"/>
    <w:rsid w:val="00775BB4"/>
    <w:rsid w:val="00776E1B"/>
    <w:rsid w:val="00780FBE"/>
    <w:rsid w:val="0078177E"/>
    <w:rsid w:val="0078184A"/>
    <w:rsid w:val="00782E51"/>
    <w:rsid w:val="007831B3"/>
    <w:rsid w:val="007874C4"/>
    <w:rsid w:val="00792E7B"/>
    <w:rsid w:val="007942A7"/>
    <w:rsid w:val="007947E9"/>
    <w:rsid w:val="00794CAC"/>
    <w:rsid w:val="007A1C17"/>
    <w:rsid w:val="007A211F"/>
    <w:rsid w:val="007A36E0"/>
    <w:rsid w:val="007A379A"/>
    <w:rsid w:val="007A3C43"/>
    <w:rsid w:val="007A68CD"/>
    <w:rsid w:val="007A7087"/>
    <w:rsid w:val="007B0257"/>
    <w:rsid w:val="007B056D"/>
    <w:rsid w:val="007B2389"/>
    <w:rsid w:val="007B27CB"/>
    <w:rsid w:val="007B30EE"/>
    <w:rsid w:val="007B6172"/>
    <w:rsid w:val="007B70C7"/>
    <w:rsid w:val="007B7B59"/>
    <w:rsid w:val="007B7C7D"/>
    <w:rsid w:val="007C037B"/>
    <w:rsid w:val="007C0523"/>
    <w:rsid w:val="007C182F"/>
    <w:rsid w:val="007C430F"/>
    <w:rsid w:val="007C64D5"/>
    <w:rsid w:val="007C6F86"/>
    <w:rsid w:val="007D0BDF"/>
    <w:rsid w:val="007D1F9F"/>
    <w:rsid w:val="007D25D5"/>
    <w:rsid w:val="007D3DBE"/>
    <w:rsid w:val="007D3E81"/>
    <w:rsid w:val="007D41CC"/>
    <w:rsid w:val="007D4DC6"/>
    <w:rsid w:val="007D58E6"/>
    <w:rsid w:val="007D58FE"/>
    <w:rsid w:val="007D6561"/>
    <w:rsid w:val="007D6C58"/>
    <w:rsid w:val="007D6F08"/>
    <w:rsid w:val="007E05E4"/>
    <w:rsid w:val="007E1D2E"/>
    <w:rsid w:val="007E4B08"/>
    <w:rsid w:val="007E5948"/>
    <w:rsid w:val="007E6602"/>
    <w:rsid w:val="007E6C97"/>
    <w:rsid w:val="007E7F27"/>
    <w:rsid w:val="007F06A9"/>
    <w:rsid w:val="007F3002"/>
    <w:rsid w:val="007F5087"/>
    <w:rsid w:val="007F5D0A"/>
    <w:rsid w:val="008000D5"/>
    <w:rsid w:val="00800D6D"/>
    <w:rsid w:val="00802488"/>
    <w:rsid w:val="00802FF9"/>
    <w:rsid w:val="00805821"/>
    <w:rsid w:val="008064A5"/>
    <w:rsid w:val="00810A59"/>
    <w:rsid w:val="008111C0"/>
    <w:rsid w:val="00812AF9"/>
    <w:rsid w:val="00815B38"/>
    <w:rsid w:val="008166ED"/>
    <w:rsid w:val="00821F4E"/>
    <w:rsid w:val="00824EAC"/>
    <w:rsid w:val="0082522D"/>
    <w:rsid w:val="00825C5D"/>
    <w:rsid w:val="00825EEA"/>
    <w:rsid w:val="008269D0"/>
    <w:rsid w:val="008276A2"/>
    <w:rsid w:val="00832644"/>
    <w:rsid w:val="008340B5"/>
    <w:rsid w:val="00834DC2"/>
    <w:rsid w:val="00835D0B"/>
    <w:rsid w:val="008361EF"/>
    <w:rsid w:val="008369BD"/>
    <w:rsid w:val="00836A3F"/>
    <w:rsid w:val="00836D73"/>
    <w:rsid w:val="008370F1"/>
    <w:rsid w:val="0083795B"/>
    <w:rsid w:val="00840027"/>
    <w:rsid w:val="0084072F"/>
    <w:rsid w:val="008436E5"/>
    <w:rsid w:val="00843888"/>
    <w:rsid w:val="00843DBE"/>
    <w:rsid w:val="008449E0"/>
    <w:rsid w:val="00844CCD"/>
    <w:rsid w:val="00850F54"/>
    <w:rsid w:val="00850F60"/>
    <w:rsid w:val="008536E5"/>
    <w:rsid w:val="00853775"/>
    <w:rsid w:val="008542A6"/>
    <w:rsid w:val="008545F2"/>
    <w:rsid w:val="00854902"/>
    <w:rsid w:val="00854BA0"/>
    <w:rsid w:val="008550DF"/>
    <w:rsid w:val="0085632A"/>
    <w:rsid w:val="00856BFE"/>
    <w:rsid w:val="00857840"/>
    <w:rsid w:val="00860188"/>
    <w:rsid w:val="00861CC3"/>
    <w:rsid w:val="00861EB4"/>
    <w:rsid w:val="00862FC2"/>
    <w:rsid w:val="008631AD"/>
    <w:rsid w:val="00863383"/>
    <w:rsid w:val="008634AA"/>
    <w:rsid w:val="00865026"/>
    <w:rsid w:val="00865365"/>
    <w:rsid w:val="00866232"/>
    <w:rsid w:val="00866BC1"/>
    <w:rsid w:val="008674EE"/>
    <w:rsid w:val="00867AC1"/>
    <w:rsid w:val="00867D02"/>
    <w:rsid w:val="00871D48"/>
    <w:rsid w:val="00872B23"/>
    <w:rsid w:val="00874251"/>
    <w:rsid w:val="00874C4A"/>
    <w:rsid w:val="0087772C"/>
    <w:rsid w:val="0087790F"/>
    <w:rsid w:val="0088076E"/>
    <w:rsid w:val="00880C1C"/>
    <w:rsid w:val="00880EA2"/>
    <w:rsid w:val="00880F21"/>
    <w:rsid w:val="008827C6"/>
    <w:rsid w:val="00883B51"/>
    <w:rsid w:val="008851B3"/>
    <w:rsid w:val="00887E3D"/>
    <w:rsid w:val="00890324"/>
    <w:rsid w:val="008907EE"/>
    <w:rsid w:val="00891C7E"/>
    <w:rsid w:val="0089379E"/>
    <w:rsid w:val="008967D3"/>
    <w:rsid w:val="00897C9C"/>
    <w:rsid w:val="00897F1B"/>
    <w:rsid w:val="008A16B8"/>
    <w:rsid w:val="008A194F"/>
    <w:rsid w:val="008A20BE"/>
    <w:rsid w:val="008A2C58"/>
    <w:rsid w:val="008A349E"/>
    <w:rsid w:val="008A426C"/>
    <w:rsid w:val="008A538A"/>
    <w:rsid w:val="008A577D"/>
    <w:rsid w:val="008A6A7C"/>
    <w:rsid w:val="008B05F8"/>
    <w:rsid w:val="008B5438"/>
    <w:rsid w:val="008B729A"/>
    <w:rsid w:val="008C1734"/>
    <w:rsid w:val="008C32D4"/>
    <w:rsid w:val="008C3726"/>
    <w:rsid w:val="008C52F0"/>
    <w:rsid w:val="008C5947"/>
    <w:rsid w:val="008C5A40"/>
    <w:rsid w:val="008C5E14"/>
    <w:rsid w:val="008C6259"/>
    <w:rsid w:val="008C760B"/>
    <w:rsid w:val="008D0296"/>
    <w:rsid w:val="008D032E"/>
    <w:rsid w:val="008D0413"/>
    <w:rsid w:val="008D0B2F"/>
    <w:rsid w:val="008D0E13"/>
    <w:rsid w:val="008D19D4"/>
    <w:rsid w:val="008D1E6D"/>
    <w:rsid w:val="008D279D"/>
    <w:rsid w:val="008D28AD"/>
    <w:rsid w:val="008D5DD9"/>
    <w:rsid w:val="008D6C3A"/>
    <w:rsid w:val="008D7B46"/>
    <w:rsid w:val="008E0FB8"/>
    <w:rsid w:val="008E2423"/>
    <w:rsid w:val="008E26AD"/>
    <w:rsid w:val="008E26D5"/>
    <w:rsid w:val="008E4F9B"/>
    <w:rsid w:val="008E6AC3"/>
    <w:rsid w:val="008F0972"/>
    <w:rsid w:val="008F2DAB"/>
    <w:rsid w:val="008F2E15"/>
    <w:rsid w:val="008F2E46"/>
    <w:rsid w:val="008F45FB"/>
    <w:rsid w:val="008F5FF6"/>
    <w:rsid w:val="00901F1D"/>
    <w:rsid w:val="00905C56"/>
    <w:rsid w:val="00906C46"/>
    <w:rsid w:val="00907D5A"/>
    <w:rsid w:val="0091114D"/>
    <w:rsid w:val="00912595"/>
    <w:rsid w:val="00912E70"/>
    <w:rsid w:val="009135EA"/>
    <w:rsid w:val="009172A3"/>
    <w:rsid w:val="00921B41"/>
    <w:rsid w:val="00922D1D"/>
    <w:rsid w:val="00922D43"/>
    <w:rsid w:val="00926C6E"/>
    <w:rsid w:val="00927255"/>
    <w:rsid w:val="009273DB"/>
    <w:rsid w:val="00927870"/>
    <w:rsid w:val="00931093"/>
    <w:rsid w:val="00932805"/>
    <w:rsid w:val="00933A42"/>
    <w:rsid w:val="009340F2"/>
    <w:rsid w:val="009372B9"/>
    <w:rsid w:val="00940BF0"/>
    <w:rsid w:val="00941D8A"/>
    <w:rsid w:val="00942054"/>
    <w:rsid w:val="00944DAA"/>
    <w:rsid w:val="009462B6"/>
    <w:rsid w:val="00946FA4"/>
    <w:rsid w:val="00955400"/>
    <w:rsid w:val="00956BB1"/>
    <w:rsid w:val="00960617"/>
    <w:rsid w:val="0096076B"/>
    <w:rsid w:val="0096226E"/>
    <w:rsid w:val="0096275C"/>
    <w:rsid w:val="0096285B"/>
    <w:rsid w:val="00964A8B"/>
    <w:rsid w:val="00965331"/>
    <w:rsid w:val="00965338"/>
    <w:rsid w:val="00965483"/>
    <w:rsid w:val="009666B0"/>
    <w:rsid w:val="009759B0"/>
    <w:rsid w:val="00975F30"/>
    <w:rsid w:val="0098003F"/>
    <w:rsid w:val="009808AA"/>
    <w:rsid w:val="00980CCB"/>
    <w:rsid w:val="00981177"/>
    <w:rsid w:val="00981B55"/>
    <w:rsid w:val="00983F3F"/>
    <w:rsid w:val="0098427E"/>
    <w:rsid w:val="00985228"/>
    <w:rsid w:val="009861E6"/>
    <w:rsid w:val="00986FB1"/>
    <w:rsid w:val="0098718A"/>
    <w:rsid w:val="0098771F"/>
    <w:rsid w:val="00991296"/>
    <w:rsid w:val="009926A4"/>
    <w:rsid w:val="00993AE0"/>
    <w:rsid w:val="00993F23"/>
    <w:rsid w:val="0099425B"/>
    <w:rsid w:val="009960D3"/>
    <w:rsid w:val="009A07EF"/>
    <w:rsid w:val="009A0F69"/>
    <w:rsid w:val="009A1090"/>
    <w:rsid w:val="009A393E"/>
    <w:rsid w:val="009B0D12"/>
    <w:rsid w:val="009B1032"/>
    <w:rsid w:val="009B1D0D"/>
    <w:rsid w:val="009B1F30"/>
    <w:rsid w:val="009B440A"/>
    <w:rsid w:val="009B4884"/>
    <w:rsid w:val="009B4A81"/>
    <w:rsid w:val="009B653F"/>
    <w:rsid w:val="009C02A0"/>
    <w:rsid w:val="009C0A78"/>
    <w:rsid w:val="009C0B40"/>
    <w:rsid w:val="009C140E"/>
    <w:rsid w:val="009C1BD1"/>
    <w:rsid w:val="009C1E9B"/>
    <w:rsid w:val="009C22F4"/>
    <w:rsid w:val="009C2AD4"/>
    <w:rsid w:val="009C48A3"/>
    <w:rsid w:val="009C4990"/>
    <w:rsid w:val="009C5544"/>
    <w:rsid w:val="009C5CE6"/>
    <w:rsid w:val="009C5D61"/>
    <w:rsid w:val="009C6825"/>
    <w:rsid w:val="009C72C8"/>
    <w:rsid w:val="009D0F34"/>
    <w:rsid w:val="009D1A60"/>
    <w:rsid w:val="009D4100"/>
    <w:rsid w:val="009D4C1B"/>
    <w:rsid w:val="009D5406"/>
    <w:rsid w:val="009D63EC"/>
    <w:rsid w:val="009D6933"/>
    <w:rsid w:val="009D7889"/>
    <w:rsid w:val="009E0ADC"/>
    <w:rsid w:val="009E1DF8"/>
    <w:rsid w:val="009E2F2E"/>
    <w:rsid w:val="009E3E7D"/>
    <w:rsid w:val="009E4189"/>
    <w:rsid w:val="009E5093"/>
    <w:rsid w:val="009E512D"/>
    <w:rsid w:val="009E5261"/>
    <w:rsid w:val="009E5FB1"/>
    <w:rsid w:val="009F1D55"/>
    <w:rsid w:val="009F213D"/>
    <w:rsid w:val="009F27B4"/>
    <w:rsid w:val="009F295D"/>
    <w:rsid w:val="009F417C"/>
    <w:rsid w:val="009F5C6A"/>
    <w:rsid w:val="009F5E32"/>
    <w:rsid w:val="009F65EA"/>
    <w:rsid w:val="009F6D7D"/>
    <w:rsid w:val="00A01F35"/>
    <w:rsid w:val="00A035B0"/>
    <w:rsid w:val="00A043BD"/>
    <w:rsid w:val="00A04998"/>
    <w:rsid w:val="00A04CFB"/>
    <w:rsid w:val="00A052A1"/>
    <w:rsid w:val="00A0597E"/>
    <w:rsid w:val="00A072B4"/>
    <w:rsid w:val="00A07F7A"/>
    <w:rsid w:val="00A128EA"/>
    <w:rsid w:val="00A12A7F"/>
    <w:rsid w:val="00A13BC2"/>
    <w:rsid w:val="00A15500"/>
    <w:rsid w:val="00A1610F"/>
    <w:rsid w:val="00A20B81"/>
    <w:rsid w:val="00A225AD"/>
    <w:rsid w:val="00A225C7"/>
    <w:rsid w:val="00A256D4"/>
    <w:rsid w:val="00A26555"/>
    <w:rsid w:val="00A269BE"/>
    <w:rsid w:val="00A27E53"/>
    <w:rsid w:val="00A30A8B"/>
    <w:rsid w:val="00A310F7"/>
    <w:rsid w:val="00A33B3B"/>
    <w:rsid w:val="00A34F9D"/>
    <w:rsid w:val="00A3594A"/>
    <w:rsid w:val="00A36161"/>
    <w:rsid w:val="00A3789A"/>
    <w:rsid w:val="00A424EA"/>
    <w:rsid w:val="00A425BE"/>
    <w:rsid w:val="00A42613"/>
    <w:rsid w:val="00A431AD"/>
    <w:rsid w:val="00A43207"/>
    <w:rsid w:val="00A45861"/>
    <w:rsid w:val="00A46318"/>
    <w:rsid w:val="00A51C9D"/>
    <w:rsid w:val="00A526E8"/>
    <w:rsid w:val="00A5428B"/>
    <w:rsid w:val="00A5606E"/>
    <w:rsid w:val="00A560BF"/>
    <w:rsid w:val="00A56B3F"/>
    <w:rsid w:val="00A56B7C"/>
    <w:rsid w:val="00A6005A"/>
    <w:rsid w:val="00A60628"/>
    <w:rsid w:val="00A61CB3"/>
    <w:rsid w:val="00A62860"/>
    <w:rsid w:val="00A62ABD"/>
    <w:rsid w:val="00A64C99"/>
    <w:rsid w:val="00A735EC"/>
    <w:rsid w:val="00A74177"/>
    <w:rsid w:val="00A753BE"/>
    <w:rsid w:val="00A80C20"/>
    <w:rsid w:val="00A81493"/>
    <w:rsid w:val="00A81DD5"/>
    <w:rsid w:val="00A823C9"/>
    <w:rsid w:val="00A83523"/>
    <w:rsid w:val="00A84CAB"/>
    <w:rsid w:val="00A85336"/>
    <w:rsid w:val="00A869FB"/>
    <w:rsid w:val="00A873BD"/>
    <w:rsid w:val="00A87E10"/>
    <w:rsid w:val="00A90E70"/>
    <w:rsid w:val="00A9120F"/>
    <w:rsid w:val="00A956DE"/>
    <w:rsid w:val="00A95927"/>
    <w:rsid w:val="00A96063"/>
    <w:rsid w:val="00A960AB"/>
    <w:rsid w:val="00A96741"/>
    <w:rsid w:val="00A96B52"/>
    <w:rsid w:val="00A9759E"/>
    <w:rsid w:val="00A977DB"/>
    <w:rsid w:val="00AA16AD"/>
    <w:rsid w:val="00AA181D"/>
    <w:rsid w:val="00AA21F4"/>
    <w:rsid w:val="00AA4C1A"/>
    <w:rsid w:val="00AA5716"/>
    <w:rsid w:val="00AA6AEB"/>
    <w:rsid w:val="00AA781A"/>
    <w:rsid w:val="00AA7B84"/>
    <w:rsid w:val="00AB0213"/>
    <w:rsid w:val="00AB04D3"/>
    <w:rsid w:val="00AB0D40"/>
    <w:rsid w:val="00AB1306"/>
    <w:rsid w:val="00AB421F"/>
    <w:rsid w:val="00AB47E8"/>
    <w:rsid w:val="00AB7EF4"/>
    <w:rsid w:val="00AC0CDA"/>
    <w:rsid w:val="00AC1329"/>
    <w:rsid w:val="00AC194D"/>
    <w:rsid w:val="00AC23A8"/>
    <w:rsid w:val="00AC3D2B"/>
    <w:rsid w:val="00AC402C"/>
    <w:rsid w:val="00AC4463"/>
    <w:rsid w:val="00AC478B"/>
    <w:rsid w:val="00AC5330"/>
    <w:rsid w:val="00AC5D4E"/>
    <w:rsid w:val="00AC64F2"/>
    <w:rsid w:val="00AC7A77"/>
    <w:rsid w:val="00AD068D"/>
    <w:rsid w:val="00AD1D19"/>
    <w:rsid w:val="00AD2C35"/>
    <w:rsid w:val="00AD5C59"/>
    <w:rsid w:val="00AD5F43"/>
    <w:rsid w:val="00AD6170"/>
    <w:rsid w:val="00AE2AA0"/>
    <w:rsid w:val="00AE2CEA"/>
    <w:rsid w:val="00AE3045"/>
    <w:rsid w:val="00AE3C13"/>
    <w:rsid w:val="00AE509A"/>
    <w:rsid w:val="00AE6A20"/>
    <w:rsid w:val="00AF0999"/>
    <w:rsid w:val="00AF0D02"/>
    <w:rsid w:val="00AF12C4"/>
    <w:rsid w:val="00AF21A4"/>
    <w:rsid w:val="00AF3E13"/>
    <w:rsid w:val="00AF4493"/>
    <w:rsid w:val="00AF4FDD"/>
    <w:rsid w:val="00AF7EDF"/>
    <w:rsid w:val="00B01670"/>
    <w:rsid w:val="00B02D10"/>
    <w:rsid w:val="00B02ED1"/>
    <w:rsid w:val="00B05254"/>
    <w:rsid w:val="00B05A20"/>
    <w:rsid w:val="00B05EC1"/>
    <w:rsid w:val="00B06717"/>
    <w:rsid w:val="00B0769C"/>
    <w:rsid w:val="00B1061E"/>
    <w:rsid w:val="00B10C22"/>
    <w:rsid w:val="00B10EED"/>
    <w:rsid w:val="00B1417F"/>
    <w:rsid w:val="00B145D0"/>
    <w:rsid w:val="00B154A1"/>
    <w:rsid w:val="00B163DB"/>
    <w:rsid w:val="00B17BA1"/>
    <w:rsid w:val="00B20655"/>
    <w:rsid w:val="00B21410"/>
    <w:rsid w:val="00B227ED"/>
    <w:rsid w:val="00B23C22"/>
    <w:rsid w:val="00B2552B"/>
    <w:rsid w:val="00B25D8D"/>
    <w:rsid w:val="00B265F0"/>
    <w:rsid w:val="00B26A33"/>
    <w:rsid w:val="00B27CF9"/>
    <w:rsid w:val="00B30587"/>
    <w:rsid w:val="00B34298"/>
    <w:rsid w:val="00B34F5D"/>
    <w:rsid w:val="00B35CE9"/>
    <w:rsid w:val="00B40F5F"/>
    <w:rsid w:val="00B414B2"/>
    <w:rsid w:val="00B41764"/>
    <w:rsid w:val="00B418C8"/>
    <w:rsid w:val="00B4410E"/>
    <w:rsid w:val="00B4527D"/>
    <w:rsid w:val="00B45851"/>
    <w:rsid w:val="00B46633"/>
    <w:rsid w:val="00B47035"/>
    <w:rsid w:val="00B47388"/>
    <w:rsid w:val="00B474E2"/>
    <w:rsid w:val="00B51D47"/>
    <w:rsid w:val="00B522AE"/>
    <w:rsid w:val="00B529F0"/>
    <w:rsid w:val="00B52DB0"/>
    <w:rsid w:val="00B53971"/>
    <w:rsid w:val="00B55F1A"/>
    <w:rsid w:val="00B60EDD"/>
    <w:rsid w:val="00B63160"/>
    <w:rsid w:val="00B64173"/>
    <w:rsid w:val="00B64A01"/>
    <w:rsid w:val="00B64CF8"/>
    <w:rsid w:val="00B65D8F"/>
    <w:rsid w:val="00B65E56"/>
    <w:rsid w:val="00B66C37"/>
    <w:rsid w:val="00B679A9"/>
    <w:rsid w:val="00B67D94"/>
    <w:rsid w:val="00B71FC0"/>
    <w:rsid w:val="00B72013"/>
    <w:rsid w:val="00B736D5"/>
    <w:rsid w:val="00B7428E"/>
    <w:rsid w:val="00B74871"/>
    <w:rsid w:val="00B75CF4"/>
    <w:rsid w:val="00B75D3A"/>
    <w:rsid w:val="00B803CA"/>
    <w:rsid w:val="00B80CC5"/>
    <w:rsid w:val="00B82411"/>
    <w:rsid w:val="00B83E0E"/>
    <w:rsid w:val="00B845A9"/>
    <w:rsid w:val="00B8716D"/>
    <w:rsid w:val="00B87A29"/>
    <w:rsid w:val="00B87F76"/>
    <w:rsid w:val="00B906F3"/>
    <w:rsid w:val="00B920A9"/>
    <w:rsid w:val="00B92479"/>
    <w:rsid w:val="00B93932"/>
    <w:rsid w:val="00B94825"/>
    <w:rsid w:val="00B94B5C"/>
    <w:rsid w:val="00B96776"/>
    <w:rsid w:val="00B97B93"/>
    <w:rsid w:val="00BA02A6"/>
    <w:rsid w:val="00BA12AB"/>
    <w:rsid w:val="00BA2335"/>
    <w:rsid w:val="00BA2B19"/>
    <w:rsid w:val="00BA516E"/>
    <w:rsid w:val="00BA5935"/>
    <w:rsid w:val="00BA664A"/>
    <w:rsid w:val="00BA715A"/>
    <w:rsid w:val="00BA7456"/>
    <w:rsid w:val="00BB001C"/>
    <w:rsid w:val="00BB0B24"/>
    <w:rsid w:val="00BB141F"/>
    <w:rsid w:val="00BB2B8E"/>
    <w:rsid w:val="00BB3051"/>
    <w:rsid w:val="00BB45F4"/>
    <w:rsid w:val="00BB5C92"/>
    <w:rsid w:val="00BB7EE1"/>
    <w:rsid w:val="00BC0F48"/>
    <w:rsid w:val="00BC17F9"/>
    <w:rsid w:val="00BC21CA"/>
    <w:rsid w:val="00BC5030"/>
    <w:rsid w:val="00BC59A0"/>
    <w:rsid w:val="00BC79B3"/>
    <w:rsid w:val="00BC7B47"/>
    <w:rsid w:val="00BD01F7"/>
    <w:rsid w:val="00BD26B6"/>
    <w:rsid w:val="00BD270B"/>
    <w:rsid w:val="00BD4960"/>
    <w:rsid w:val="00BD4CDA"/>
    <w:rsid w:val="00BD60AA"/>
    <w:rsid w:val="00BD7CB1"/>
    <w:rsid w:val="00BE121B"/>
    <w:rsid w:val="00BE2D01"/>
    <w:rsid w:val="00BE2F63"/>
    <w:rsid w:val="00BE4117"/>
    <w:rsid w:val="00BE4D0C"/>
    <w:rsid w:val="00BE4D67"/>
    <w:rsid w:val="00BE7DBD"/>
    <w:rsid w:val="00BF1BA2"/>
    <w:rsid w:val="00BF3299"/>
    <w:rsid w:val="00BF3DE4"/>
    <w:rsid w:val="00BF447C"/>
    <w:rsid w:val="00BF5590"/>
    <w:rsid w:val="00BF5D2A"/>
    <w:rsid w:val="00BF64A8"/>
    <w:rsid w:val="00BF6E18"/>
    <w:rsid w:val="00BF7B2A"/>
    <w:rsid w:val="00C00E73"/>
    <w:rsid w:val="00C0573D"/>
    <w:rsid w:val="00C05AA1"/>
    <w:rsid w:val="00C078C4"/>
    <w:rsid w:val="00C07962"/>
    <w:rsid w:val="00C1272F"/>
    <w:rsid w:val="00C13104"/>
    <w:rsid w:val="00C13CBF"/>
    <w:rsid w:val="00C1618C"/>
    <w:rsid w:val="00C16A60"/>
    <w:rsid w:val="00C16C18"/>
    <w:rsid w:val="00C17060"/>
    <w:rsid w:val="00C170D7"/>
    <w:rsid w:val="00C17834"/>
    <w:rsid w:val="00C21AF1"/>
    <w:rsid w:val="00C23843"/>
    <w:rsid w:val="00C24977"/>
    <w:rsid w:val="00C24BE6"/>
    <w:rsid w:val="00C30167"/>
    <w:rsid w:val="00C30B2D"/>
    <w:rsid w:val="00C33146"/>
    <w:rsid w:val="00C33DFE"/>
    <w:rsid w:val="00C34E13"/>
    <w:rsid w:val="00C373EC"/>
    <w:rsid w:val="00C400DC"/>
    <w:rsid w:val="00C450D4"/>
    <w:rsid w:val="00C46B4A"/>
    <w:rsid w:val="00C50733"/>
    <w:rsid w:val="00C511F1"/>
    <w:rsid w:val="00C513EC"/>
    <w:rsid w:val="00C51566"/>
    <w:rsid w:val="00C5173F"/>
    <w:rsid w:val="00C52F97"/>
    <w:rsid w:val="00C53684"/>
    <w:rsid w:val="00C53871"/>
    <w:rsid w:val="00C54548"/>
    <w:rsid w:val="00C56329"/>
    <w:rsid w:val="00C573F6"/>
    <w:rsid w:val="00C6009B"/>
    <w:rsid w:val="00C609A2"/>
    <w:rsid w:val="00C616F0"/>
    <w:rsid w:val="00C620F5"/>
    <w:rsid w:val="00C63BCE"/>
    <w:rsid w:val="00C65CED"/>
    <w:rsid w:val="00C675C5"/>
    <w:rsid w:val="00C71CF7"/>
    <w:rsid w:val="00C7382E"/>
    <w:rsid w:val="00C752C1"/>
    <w:rsid w:val="00C76128"/>
    <w:rsid w:val="00C7789D"/>
    <w:rsid w:val="00C80A17"/>
    <w:rsid w:val="00C80B04"/>
    <w:rsid w:val="00C826C2"/>
    <w:rsid w:val="00C858B3"/>
    <w:rsid w:val="00C85C80"/>
    <w:rsid w:val="00C867B8"/>
    <w:rsid w:val="00C86E94"/>
    <w:rsid w:val="00C90196"/>
    <w:rsid w:val="00C9097A"/>
    <w:rsid w:val="00C90B00"/>
    <w:rsid w:val="00C96000"/>
    <w:rsid w:val="00C96A36"/>
    <w:rsid w:val="00C96B2E"/>
    <w:rsid w:val="00C970E6"/>
    <w:rsid w:val="00C9712F"/>
    <w:rsid w:val="00C9773E"/>
    <w:rsid w:val="00CA24E8"/>
    <w:rsid w:val="00CA25CA"/>
    <w:rsid w:val="00CA499C"/>
    <w:rsid w:val="00CA6213"/>
    <w:rsid w:val="00CB06C1"/>
    <w:rsid w:val="00CB11FF"/>
    <w:rsid w:val="00CB1955"/>
    <w:rsid w:val="00CB5465"/>
    <w:rsid w:val="00CB6454"/>
    <w:rsid w:val="00CB64D9"/>
    <w:rsid w:val="00CB76FB"/>
    <w:rsid w:val="00CB799E"/>
    <w:rsid w:val="00CC1AFF"/>
    <w:rsid w:val="00CC1B1C"/>
    <w:rsid w:val="00CC2438"/>
    <w:rsid w:val="00CC28A5"/>
    <w:rsid w:val="00CC484B"/>
    <w:rsid w:val="00CC529C"/>
    <w:rsid w:val="00CC6288"/>
    <w:rsid w:val="00CC792C"/>
    <w:rsid w:val="00CD0219"/>
    <w:rsid w:val="00CD0494"/>
    <w:rsid w:val="00CD165B"/>
    <w:rsid w:val="00CD176C"/>
    <w:rsid w:val="00CD25A6"/>
    <w:rsid w:val="00CD2F2B"/>
    <w:rsid w:val="00CD34F8"/>
    <w:rsid w:val="00CD46AB"/>
    <w:rsid w:val="00CD5009"/>
    <w:rsid w:val="00CD725A"/>
    <w:rsid w:val="00CD753C"/>
    <w:rsid w:val="00CE028A"/>
    <w:rsid w:val="00CE0741"/>
    <w:rsid w:val="00CE165E"/>
    <w:rsid w:val="00CE2B8C"/>
    <w:rsid w:val="00CE3182"/>
    <w:rsid w:val="00CE415D"/>
    <w:rsid w:val="00CE4E5B"/>
    <w:rsid w:val="00CE5BD4"/>
    <w:rsid w:val="00CE5C38"/>
    <w:rsid w:val="00CE5DAF"/>
    <w:rsid w:val="00CE678D"/>
    <w:rsid w:val="00CE6E5A"/>
    <w:rsid w:val="00CF01CC"/>
    <w:rsid w:val="00CF1139"/>
    <w:rsid w:val="00CF2FF0"/>
    <w:rsid w:val="00CF309B"/>
    <w:rsid w:val="00CF30D8"/>
    <w:rsid w:val="00CF3159"/>
    <w:rsid w:val="00CF3BFD"/>
    <w:rsid w:val="00CF43CE"/>
    <w:rsid w:val="00CF5A5C"/>
    <w:rsid w:val="00CF61E8"/>
    <w:rsid w:val="00CF651D"/>
    <w:rsid w:val="00CF7D61"/>
    <w:rsid w:val="00D00701"/>
    <w:rsid w:val="00D00A24"/>
    <w:rsid w:val="00D014A0"/>
    <w:rsid w:val="00D046A6"/>
    <w:rsid w:val="00D046CF"/>
    <w:rsid w:val="00D05F99"/>
    <w:rsid w:val="00D06621"/>
    <w:rsid w:val="00D078F7"/>
    <w:rsid w:val="00D07FD3"/>
    <w:rsid w:val="00D110C6"/>
    <w:rsid w:val="00D11B4A"/>
    <w:rsid w:val="00D1385F"/>
    <w:rsid w:val="00D14741"/>
    <w:rsid w:val="00D151FE"/>
    <w:rsid w:val="00D15A58"/>
    <w:rsid w:val="00D20A0A"/>
    <w:rsid w:val="00D23FC8"/>
    <w:rsid w:val="00D244FF"/>
    <w:rsid w:val="00D2524A"/>
    <w:rsid w:val="00D2690A"/>
    <w:rsid w:val="00D31C35"/>
    <w:rsid w:val="00D328FE"/>
    <w:rsid w:val="00D32D11"/>
    <w:rsid w:val="00D32DE5"/>
    <w:rsid w:val="00D35394"/>
    <w:rsid w:val="00D3750C"/>
    <w:rsid w:val="00D37E08"/>
    <w:rsid w:val="00D4006C"/>
    <w:rsid w:val="00D4285A"/>
    <w:rsid w:val="00D437BC"/>
    <w:rsid w:val="00D44187"/>
    <w:rsid w:val="00D44AC8"/>
    <w:rsid w:val="00D460F3"/>
    <w:rsid w:val="00D4705D"/>
    <w:rsid w:val="00D47F5B"/>
    <w:rsid w:val="00D52EC4"/>
    <w:rsid w:val="00D54C29"/>
    <w:rsid w:val="00D553EE"/>
    <w:rsid w:val="00D5634C"/>
    <w:rsid w:val="00D57662"/>
    <w:rsid w:val="00D577E8"/>
    <w:rsid w:val="00D60950"/>
    <w:rsid w:val="00D64EB4"/>
    <w:rsid w:val="00D65642"/>
    <w:rsid w:val="00D661F2"/>
    <w:rsid w:val="00D66F5A"/>
    <w:rsid w:val="00D677B3"/>
    <w:rsid w:val="00D72965"/>
    <w:rsid w:val="00D76410"/>
    <w:rsid w:val="00D765CD"/>
    <w:rsid w:val="00D77735"/>
    <w:rsid w:val="00D778DC"/>
    <w:rsid w:val="00D80851"/>
    <w:rsid w:val="00D81AC2"/>
    <w:rsid w:val="00D81ADA"/>
    <w:rsid w:val="00D82D94"/>
    <w:rsid w:val="00D832FC"/>
    <w:rsid w:val="00D83BB6"/>
    <w:rsid w:val="00D83F79"/>
    <w:rsid w:val="00D855DD"/>
    <w:rsid w:val="00D8582D"/>
    <w:rsid w:val="00D870ED"/>
    <w:rsid w:val="00D90BB5"/>
    <w:rsid w:val="00D913D9"/>
    <w:rsid w:val="00D943BB"/>
    <w:rsid w:val="00D94AC7"/>
    <w:rsid w:val="00D96437"/>
    <w:rsid w:val="00D97697"/>
    <w:rsid w:val="00D97905"/>
    <w:rsid w:val="00DA120C"/>
    <w:rsid w:val="00DA19D3"/>
    <w:rsid w:val="00DA261B"/>
    <w:rsid w:val="00DA4EEF"/>
    <w:rsid w:val="00DA5072"/>
    <w:rsid w:val="00DA7952"/>
    <w:rsid w:val="00DB005E"/>
    <w:rsid w:val="00DB1D9D"/>
    <w:rsid w:val="00DB3E36"/>
    <w:rsid w:val="00DB41E8"/>
    <w:rsid w:val="00DB444F"/>
    <w:rsid w:val="00DB62F4"/>
    <w:rsid w:val="00DB7061"/>
    <w:rsid w:val="00DB79D2"/>
    <w:rsid w:val="00DC0A82"/>
    <w:rsid w:val="00DC3686"/>
    <w:rsid w:val="00DC43E0"/>
    <w:rsid w:val="00DC4415"/>
    <w:rsid w:val="00DC5CE6"/>
    <w:rsid w:val="00DC5E32"/>
    <w:rsid w:val="00DC66BC"/>
    <w:rsid w:val="00DC7894"/>
    <w:rsid w:val="00DD2F0B"/>
    <w:rsid w:val="00DD3DF6"/>
    <w:rsid w:val="00DD4400"/>
    <w:rsid w:val="00DD7A16"/>
    <w:rsid w:val="00DE2445"/>
    <w:rsid w:val="00DE3692"/>
    <w:rsid w:val="00DE4141"/>
    <w:rsid w:val="00DE6DF3"/>
    <w:rsid w:val="00DF12AE"/>
    <w:rsid w:val="00DF15D5"/>
    <w:rsid w:val="00DF3970"/>
    <w:rsid w:val="00DF4495"/>
    <w:rsid w:val="00DF671A"/>
    <w:rsid w:val="00DF6A62"/>
    <w:rsid w:val="00E00543"/>
    <w:rsid w:val="00E01B25"/>
    <w:rsid w:val="00E0228D"/>
    <w:rsid w:val="00E03ABC"/>
    <w:rsid w:val="00E04507"/>
    <w:rsid w:val="00E0613E"/>
    <w:rsid w:val="00E0645D"/>
    <w:rsid w:val="00E07A83"/>
    <w:rsid w:val="00E11EB4"/>
    <w:rsid w:val="00E15013"/>
    <w:rsid w:val="00E15889"/>
    <w:rsid w:val="00E17206"/>
    <w:rsid w:val="00E176AF"/>
    <w:rsid w:val="00E20669"/>
    <w:rsid w:val="00E2235D"/>
    <w:rsid w:val="00E22C87"/>
    <w:rsid w:val="00E23AF6"/>
    <w:rsid w:val="00E24425"/>
    <w:rsid w:val="00E267B1"/>
    <w:rsid w:val="00E3183D"/>
    <w:rsid w:val="00E32CAF"/>
    <w:rsid w:val="00E32CCB"/>
    <w:rsid w:val="00E33D11"/>
    <w:rsid w:val="00E407FC"/>
    <w:rsid w:val="00E42F81"/>
    <w:rsid w:val="00E43E81"/>
    <w:rsid w:val="00E4420B"/>
    <w:rsid w:val="00E449F2"/>
    <w:rsid w:val="00E450AE"/>
    <w:rsid w:val="00E4510B"/>
    <w:rsid w:val="00E45902"/>
    <w:rsid w:val="00E46385"/>
    <w:rsid w:val="00E46A69"/>
    <w:rsid w:val="00E508BC"/>
    <w:rsid w:val="00E52FB1"/>
    <w:rsid w:val="00E53110"/>
    <w:rsid w:val="00E53629"/>
    <w:rsid w:val="00E53AE9"/>
    <w:rsid w:val="00E54996"/>
    <w:rsid w:val="00E56660"/>
    <w:rsid w:val="00E569E2"/>
    <w:rsid w:val="00E56AA2"/>
    <w:rsid w:val="00E575CB"/>
    <w:rsid w:val="00E60412"/>
    <w:rsid w:val="00E614AD"/>
    <w:rsid w:val="00E62323"/>
    <w:rsid w:val="00E623A4"/>
    <w:rsid w:val="00E62AA9"/>
    <w:rsid w:val="00E62B72"/>
    <w:rsid w:val="00E633B0"/>
    <w:rsid w:val="00E6448D"/>
    <w:rsid w:val="00E648E4"/>
    <w:rsid w:val="00E65295"/>
    <w:rsid w:val="00E67891"/>
    <w:rsid w:val="00E70C86"/>
    <w:rsid w:val="00E7405A"/>
    <w:rsid w:val="00E76864"/>
    <w:rsid w:val="00E775E7"/>
    <w:rsid w:val="00E7781E"/>
    <w:rsid w:val="00E82AEF"/>
    <w:rsid w:val="00E82FE3"/>
    <w:rsid w:val="00E843B4"/>
    <w:rsid w:val="00E86435"/>
    <w:rsid w:val="00E86580"/>
    <w:rsid w:val="00E86788"/>
    <w:rsid w:val="00E86C64"/>
    <w:rsid w:val="00E90227"/>
    <w:rsid w:val="00E92520"/>
    <w:rsid w:val="00E9324D"/>
    <w:rsid w:val="00E96D1E"/>
    <w:rsid w:val="00E97D52"/>
    <w:rsid w:val="00E97EAD"/>
    <w:rsid w:val="00E97EEF"/>
    <w:rsid w:val="00EA0010"/>
    <w:rsid w:val="00EA009F"/>
    <w:rsid w:val="00EA1EBF"/>
    <w:rsid w:val="00EA1FE4"/>
    <w:rsid w:val="00EA277C"/>
    <w:rsid w:val="00EA326A"/>
    <w:rsid w:val="00EA32B7"/>
    <w:rsid w:val="00EA3D43"/>
    <w:rsid w:val="00EA4935"/>
    <w:rsid w:val="00EB0739"/>
    <w:rsid w:val="00EB0B1D"/>
    <w:rsid w:val="00EB0E0E"/>
    <w:rsid w:val="00EB0E7B"/>
    <w:rsid w:val="00EB211E"/>
    <w:rsid w:val="00EB28C1"/>
    <w:rsid w:val="00EB319F"/>
    <w:rsid w:val="00EB33CE"/>
    <w:rsid w:val="00EB367C"/>
    <w:rsid w:val="00EB3E0D"/>
    <w:rsid w:val="00EB4984"/>
    <w:rsid w:val="00EB6614"/>
    <w:rsid w:val="00EB6885"/>
    <w:rsid w:val="00EB6BCC"/>
    <w:rsid w:val="00EC0786"/>
    <w:rsid w:val="00EC0FFF"/>
    <w:rsid w:val="00EC2806"/>
    <w:rsid w:val="00EC369F"/>
    <w:rsid w:val="00EC4A60"/>
    <w:rsid w:val="00EC62BA"/>
    <w:rsid w:val="00EC73D8"/>
    <w:rsid w:val="00EC7FAC"/>
    <w:rsid w:val="00ED011A"/>
    <w:rsid w:val="00ED0BA8"/>
    <w:rsid w:val="00ED2205"/>
    <w:rsid w:val="00ED477A"/>
    <w:rsid w:val="00ED5834"/>
    <w:rsid w:val="00ED58AA"/>
    <w:rsid w:val="00ED6961"/>
    <w:rsid w:val="00ED6BB6"/>
    <w:rsid w:val="00ED74DD"/>
    <w:rsid w:val="00EE00E5"/>
    <w:rsid w:val="00EE0DB9"/>
    <w:rsid w:val="00EE1154"/>
    <w:rsid w:val="00EE2214"/>
    <w:rsid w:val="00EE3CF4"/>
    <w:rsid w:val="00EE5FDD"/>
    <w:rsid w:val="00EE62DD"/>
    <w:rsid w:val="00EE6659"/>
    <w:rsid w:val="00EE720B"/>
    <w:rsid w:val="00EF0B26"/>
    <w:rsid w:val="00EF11C6"/>
    <w:rsid w:val="00EF1EF8"/>
    <w:rsid w:val="00EF394C"/>
    <w:rsid w:val="00EF524A"/>
    <w:rsid w:val="00EF6473"/>
    <w:rsid w:val="00F0002F"/>
    <w:rsid w:val="00F006F5"/>
    <w:rsid w:val="00F00F9A"/>
    <w:rsid w:val="00F01B8A"/>
    <w:rsid w:val="00F03833"/>
    <w:rsid w:val="00F103B9"/>
    <w:rsid w:val="00F10CCE"/>
    <w:rsid w:val="00F112B8"/>
    <w:rsid w:val="00F122CD"/>
    <w:rsid w:val="00F125A2"/>
    <w:rsid w:val="00F146EB"/>
    <w:rsid w:val="00F153CA"/>
    <w:rsid w:val="00F215A6"/>
    <w:rsid w:val="00F216C1"/>
    <w:rsid w:val="00F248CB"/>
    <w:rsid w:val="00F25253"/>
    <w:rsid w:val="00F25C7A"/>
    <w:rsid w:val="00F27029"/>
    <w:rsid w:val="00F2712D"/>
    <w:rsid w:val="00F279E5"/>
    <w:rsid w:val="00F30D44"/>
    <w:rsid w:val="00F32ADF"/>
    <w:rsid w:val="00F3330C"/>
    <w:rsid w:val="00F33BE2"/>
    <w:rsid w:val="00F34AEA"/>
    <w:rsid w:val="00F50B81"/>
    <w:rsid w:val="00F53078"/>
    <w:rsid w:val="00F55870"/>
    <w:rsid w:val="00F56532"/>
    <w:rsid w:val="00F56D59"/>
    <w:rsid w:val="00F57312"/>
    <w:rsid w:val="00F5745D"/>
    <w:rsid w:val="00F578C0"/>
    <w:rsid w:val="00F60225"/>
    <w:rsid w:val="00F60611"/>
    <w:rsid w:val="00F616B0"/>
    <w:rsid w:val="00F63F15"/>
    <w:rsid w:val="00F64AE5"/>
    <w:rsid w:val="00F6669E"/>
    <w:rsid w:val="00F67DC6"/>
    <w:rsid w:val="00F700E5"/>
    <w:rsid w:val="00F72FA2"/>
    <w:rsid w:val="00F73AC7"/>
    <w:rsid w:val="00F74E79"/>
    <w:rsid w:val="00F754E9"/>
    <w:rsid w:val="00F75A8C"/>
    <w:rsid w:val="00F75CF8"/>
    <w:rsid w:val="00F76E3D"/>
    <w:rsid w:val="00F80CE4"/>
    <w:rsid w:val="00F80E97"/>
    <w:rsid w:val="00F82F23"/>
    <w:rsid w:val="00F8382F"/>
    <w:rsid w:val="00F85733"/>
    <w:rsid w:val="00F85A8A"/>
    <w:rsid w:val="00F8649C"/>
    <w:rsid w:val="00F87064"/>
    <w:rsid w:val="00F90F58"/>
    <w:rsid w:val="00F91260"/>
    <w:rsid w:val="00F9167D"/>
    <w:rsid w:val="00F91C67"/>
    <w:rsid w:val="00F92077"/>
    <w:rsid w:val="00F960AA"/>
    <w:rsid w:val="00F962B2"/>
    <w:rsid w:val="00FA1373"/>
    <w:rsid w:val="00FA3B84"/>
    <w:rsid w:val="00FA4BE1"/>
    <w:rsid w:val="00FA4FE7"/>
    <w:rsid w:val="00FA5F3C"/>
    <w:rsid w:val="00FA64D3"/>
    <w:rsid w:val="00FA6D34"/>
    <w:rsid w:val="00FA74C5"/>
    <w:rsid w:val="00FB130D"/>
    <w:rsid w:val="00FB38A9"/>
    <w:rsid w:val="00FB3F66"/>
    <w:rsid w:val="00FB4EC7"/>
    <w:rsid w:val="00FB5652"/>
    <w:rsid w:val="00FB648A"/>
    <w:rsid w:val="00FC00DE"/>
    <w:rsid w:val="00FC0E2F"/>
    <w:rsid w:val="00FC1239"/>
    <w:rsid w:val="00FC1871"/>
    <w:rsid w:val="00FC21EB"/>
    <w:rsid w:val="00FC3CB9"/>
    <w:rsid w:val="00FC5204"/>
    <w:rsid w:val="00FC5BA4"/>
    <w:rsid w:val="00FC5EC6"/>
    <w:rsid w:val="00FC6223"/>
    <w:rsid w:val="00FC685E"/>
    <w:rsid w:val="00FC7844"/>
    <w:rsid w:val="00FD1952"/>
    <w:rsid w:val="00FD2030"/>
    <w:rsid w:val="00FD27EA"/>
    <w:rsid w:val="00FD286B"/>
    <w:rsid w:val="00FD42B1"/>
    <w:rsid w:val="00FD5ACD"/>
    <w:rsid w:val="00FD619D"/>
    <w:rsid w:val="00FE03D5"/>
    <w:rsid w:val="00FE1936"/>
    <w:rsid w:val="00FE1C56"/>
    <w:rsid w:val="00FE2632"/>
    <w:rsid w:val="00FE532E"/>
    <w:rsid w:val="00FE5CFB"/>
    <w:rsid w:val="00FE5D0F"/>
    <w:rsid w:val="00FE759E"/>
    <w:rsid w:val="00FE77A5"/>
    <w:rsid w:val="00FE7DF5"/>
    <w:rsid w:val="00FE7DF7"/>
    <w:rsid w:val="00FE7EF5"/>
    <w:rsid w:val="00FF2D6B"/>
    <w:rsid w:val="00FF31EA"/>
    <w:rsid w:val="00FF5F7E"/>
    <w:rsid w:val="00FF5FAB"/>
    <w:rsid w:val="00FF7209"/>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002D"/>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60"/>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CD5009"/>
    <w:rPr>
      <w:color w:val="0000FF"/>
      <w:u w:val="single"/>
    </w:rPr>
  </w:style>
  <w:style w:type="paragraph" w:styleId="Header">
    <w:name w:val="header"/>
    <w:basedOn w:val="Normal"/>
    <w:link w:val="HeaderChar"/>
    <w:uiPriority w:val="99"/>
    <w:unhideWhenUsed/>
    <w:rsid w:val="007E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2E"/>
  </w:style>
  <w:style w:type="paragraph" w:styleId="Footer">
    <w:name w:val="footer"/>
    <w:basedOn w:val="Normal"/>
    <w:link w:val="FooterChar"/>
    <w:uiPriority w:val="99"/>
    <w:unhideWhenUsed/>
    <w:rsid w:val="007E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2E"/>
  </w:style>
  <w:style w:type="character" w:styleId="CommentReference">
    <w:name w:val="annotation reference"/>
    <w:basedOn w:val="DefaultParagraphFont"/>
    <w:uiPriority w:val="99"/>
    <w:semiHidden/>
    <w:unhideWhenUsed/>
    <w:rsid w:val="00BD270B"/>
    <w:rPr>
      <w:sz w:val="16"/>
      <w:szCs w:val="16"/>
    </w:rPr>
  </w:style>
  <w:style w:type="paragraph" w:styleId="CommentText">
    <w:name w:val="annotation text"/>
    <w:basedOn w:val="Normal"/>
    <w:link w:val="CommentTextChar"/>
    <w:uiPriority w:val="99"/>
    <w:semiHidden/>
    <w:unhideWhenUsed/>
    <w:rsid w:val="00BD270B"/>
    <w:pPr>
      <w:spacing w:line="240" w:lineRule="auto"/>
    </w:pPr>
    <w:rPr>
      <w:sz w:val="20"/>
      <w:szCs w:val="20"/>
    </w:rPr>
  </w:style>
  <w:style w:type="character" w:customStyle="1" w:styleId="CommentTextChar">
    <w:name w:val="Comment Text Char"/>
    <w:basedOn w:val="DefaultParagraphFont"/>
    <w:link w:val="CommentText"/>
    <w:uiPriority w:val="99"/>
    <w:semiHidden/>
    <w:rsid w:val="00BD270B"/>
    <w:rPr>
      <w:sz w:val="20"/>
      <w:szCs w:val="20"/>
    </w:rPr>
  </w:style>
  <w:style w:type="paragraph" w:styleId="CommentSubject">
    <w:name w:val="annotation subject"/>
    <w:basedOn w:val="CommentText"/>
    <w:next w:val="CommentText"/>
    <w:link w:val="CommentSubjectChar"/>
    <w:uiPriority w:val="99"/>
    <w:semiHidden/>
    <w:unhideWhenUsed/>
    <w:rsid w:val="00BD270B"/>
    <w:rPr>
      <w:b/>
      <w:bCs/>
    </w:rPr>
  </w:style>
  <w:style w:type="character" w:customStyle="1" w:styleId="CommentSubjectChar">
    <w:name w:val="Comment Subject Char"/>
    <w:basedOn w:val="CommentTextChar"/>
    <w:link w:val="CommentSubject"/>
    <w:uiPriority w:val="99"/>
    <w:semiHidden/>
    <w:rsid w:val="00BD270B"/>
    <w:rPr>
      <w:b/>
      <w:bCs/>
      <w:sz w:val="20"/>
      <w:szCs w:val="20"/>
    </w:rPr>
  </w:style>
  <w:style w:type="character" w:customStyle="1" w:styleId="NoSpacingChar">
    <w:name w:val="No Spacing Char"/>
    <w:basedOn w:val="DefaultParagraphFont"/>
    <w:link w:val="NoSpacing"/>
    <w:uiPriority w:val="1"/>
    <w:rsid w:val="00782E51"/>
  </w:style>
  <w:style w:type="paragraph" w:styleId="ListParagraph">
    <w:name w:val="List Paragraph"/>
    <w:basedOn w:val="Normal"/>
    <w:uiPriority w:val="34"/>
    <w:qFormat/>
    <w:rsid w:val="00BE4117"/>
    <w:pPr>
      <w:spacing w:after="160" w:line="259" w:lineRule="auto"/>
      <w:ind w:left="720"/>
      <w:contextualSpacing/>
    </w:pPr>
  </w:style>
  <w:style w:type="table" w:customStyle="1" w:styleId="ListTable4-Accent51">
    <w:name w:val="List Table 4 - Accent 51"/>
    <w:basedOn w:val="TableNormal"/>
    <w:uiPriority w:val="49"/>
    <w:rsid w:val="00232B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45675D"/>
    <w:rPr>
      <w:color w:val="605E5C"/>
      <w:shd w:val="clear" w:color="auto" w:fill="E1DFDD"/>
    </w:rPr>
  </w:style>
  <w:style w:type="character" w:styleId="UnresolvedMention">
    <w:name w:val="Unresolved Mention"/>
    <w:basedOn w:val="DefaultParagraphFont"/>
    <w:uiPriority w:val="99"/>
    <w:semiHidden/>
    <w:unhideWhenUsed/>
    <w:rsid w:val="00834DC2"/>
    <w:rPr>
      <w:color w:val="605E5C"/>
      <w:shd w:val="clear" w:color="auto" w:fill="E1DFDD"/>
    </w:rPr>
  </w:style>
  <w:style w:type="table" w:styleId="GridTable4-Accent1">
    <w:name w:val="Grid Table 4 Accent 1"/>
    <w:basedOn w:val="TableNormal"/>
    <w:uiPriority w:val="49"/>
    <w:rsid w:val="0084388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DD7A1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0D3B1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0D3B1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A261B"/>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177159065">
      <w:bodyDiv w:val="1"/>
      <w:marLeft w:val="0"/>
      <w:marRight w:val="0"/>
      <w:marTop w:val="0"/>
      <w:marBottom w:val="0"/>
      <w:divBdr>
        <w:top w:val="none" w:sz="0" w:space="0" w:color="auto"/>
        <w:left w:val="none" w:sz="0" w:space="0" w:color="auto"/>
        <w:bottom w:val="none" w:sz="0" w:space="0" w:color="auto"/>
        <w:right w:val="none" w:sz="0" w:space="0" w:color="auto"/>
      </w:divBdr>
    </w:div>
    <w:div w:id="484712557">
      <w:bodyDiv w:val="1"/>
      <w:marLeft w:val="0"/>
      <w:marRight w:val="0"/>
      <w:marTop w:val="0"/>
      <w:marBottom w:val="0"/>
      <w:divBdr>
        <w:top w:val="none" w:sz="0" w:space="0" w:color="auto"/>
        <w:left w:val="none" w:sz="0" w:space="0" w:color="auto"/>
        <w:bottom w:val="none" w:sz="0" w:space="0" w:color="auto"/>
        <w:right w:val="none" w:sz="0" w:space="0" w:color="auto"/>
      </w:divBdr>
    </w:div>
    <w:div w:id="571233653">
      <w:bodyDiv w:val="1"/>
      <w:marLeft w:val="0"/>
      <w:marRight w:val="0"/>
      <w:marTop w:val="0"/>
      <w:marBottom w:val="0"/>
      <w:divBdr>
        <w:top w:val="none" w:sz="0" w:space="0" w:color="auto"/>
        <w:left w:val="none" w:sz="0" w:space="0" w:color="auto"/>
        <w:bottom w:val="none" w:sz="0" w:space="0" w:color="auto"/>
        <w:right w:val="none" w:sz="0" w:space="0" w:color="auto"/>
      </w:divBdr>
    </w:div>
    <w:div w:id="588974724">
      <w:bodyDiv w:val="1"/>
      <w:marLeft w:val="0"/>
      <w:marRight w:val="0"/>
      <w:marTop w:val="0"/>
      <w:marBottom w:val="0"/>
      <w:divBdr>
        <w:top w:val="none" w:sz="0" w:space="0" w:color="auto"/>
        <w:left w:val="none" w:sz="0" w:space="0" w:color="auto"/>
        <w:bottom w:val="none" w:sz="0" w:space="0" w:color="auto"/>
        <w:right w:val="none" w:sz="0" w:space="0" w:color="auto"/>
      </w:divBdr>
    </w:div>
    <w:div w:id="616985097">
      <w:bodyDiv w:val="1"/>
      <w:marLeft w:val="0"/>
      <w:marRight w:val="0"/>
      <w:marTop w:val="0"/>
      <w:marBottom w:val="0"/>
      <w:divBdr>
        <w:top w:val="none" w:sz="0" w:space="0" w:color="auto"/>
        <w:left w:val="none" w:sz="0" w:space="0" w:color="auto"/>
        <w:bottom w:val="none" w:sz="0" w:space="0" w:color="auto"/>
        <w:right w:val="none" w:sz="0" w:space="0" w:color="auto"/>
      </w:divBdr>
    </w:div>
    <w:div w:id="627468634">
      <w:bodyDiv w:val="1"/>
      <w:marLeft w:val="0"/>
      <w:marRight w:val="0"/>
      <w:marTop w:val="0"/>
      <w:marBottom w:val="0"/>
      <w:divBdr>
        <w:top w:val="none" w:sz="0" w:space="0" w:color="auto"/>
        <w:left w:val="none" w:sz="0" w:space="0" w:color="auto"/>
        <w:bottom w:val="none" w:sz="0" w:space="0" w:color="auto"/>
        <w:right w:val="none" w:sz="0" w:space="0" w:color="auto"/>
      </w:divBdr>
    </w:div>
    <w:div w:id="692338332">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31126497">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908079451">
      <w:bodyDiv w:val="1"/>
      <w:marLeft w:val="0"/>
      <w:marRight w:val="0"/>
      <w:marTop w:val="0"/>
      <w:marBottom w:val="0"/>
      <w:divBdr>
        <w:top w:val="none" w:sz="0" w:space="0" w:color="auto"/>
        <w:left w:val="none" w:sz="0" w:space="0" w:color="auto"/>
        <w:bottom w:val="none" w:sz="0" w:space="0" w:color="auto"/>
        <w:right w:val="none" w:sz="0" w:space="0" w:color="auto"/>
      </w:divBdr>
    </w:div>
    <w:div w:id="920066878">
      <w:bodyDiv w:val="1"/>
      <w:marLeft w:val="0"/>
      <w:marRight w:val="0"/>
      <w:marTop w:val="0"/>
      <w:marBottom w:val="0"/>
      <w:divBdr>
        <w:top w:val="none" w:sz="0" w:space="0" w:color="auto"/>
        <w:left w:val="none" w:sz="0" w:space="0" w:color="auto"/>
        <w:bottom w:val="none" w:sz="0" w:space="0" w:color="auto"/>
        <w:right w:val="none" w:sz="0" w:space="0" w:color="auto"/>
      </w:divBdr>
    </w:div>
    <w:div w:id="958537348">
      <w:bodyDiv w:val="1"/>
      <w:marLeft w:val="0"/>
      <w:marRight w:val="0"/>
      <w:marTop w:val="0"/>
      <w:marBottom w:val="0"/>
      <w:divBdr>
        <w:top w:val="none" w:sz="0" w:space="0" w:color="auto"/>
        <w:left w:val="none" w:sz="0" w:space="0" w:color="auto"/>
        <w:bottom w:val="none" w:sz="0" w:space="0" w:color="auto"/>
        <w:right w:val="none" w:sz="0" w:space="0" w:color="auto"/>
      </w:divBdr>
    </w:div>
    <w:div w:id="1066418647">
      <w:bodyDiv w:val="1"/>
      <w:marLeft w:val="0"/>
      <w:marRight w:val="0"/>
      <w:marTop w:val="0"/>
      <w:marBottom w:val="0"/>
      <w:divBdr>
        <w:top w:val="none" w:sz="0" w:space="0" w:color="auto"/>
        <w:left w:val="none" w:sz="0" w:space="0" w:color="auto"/>
        <w:bottom w:val="none" w:sz="0" w:space="0" w:color="auto"/>
        <w:right w:val="none" w:sz="0" w:space="0" w:color="auto"/>
      </w:divBdr>
    </w:div>
    <w:div w:id="1193878164">
      <w:bodyDiv w:val="1"/>
      <w:marLeft w:val="0"/>
      <w:marRight w:val="0"/>
      <w:marTop w:val="0"/>
      <w:marBottom w:val="0"/>
      <w:divBdr>
        <w:top w:val="none" w:sz="0" w:space="0" w:color="auto"/>
        <w:left w:val="none" w:sz="0" w:space="0" w:color="auto"/>
        <w:bottom w:val="none" w:sz="0" w:space="0" w:color="auto"/>
        <w:right w:val="none" w:sz="0" w:space="0" w:color="auto"/>
      </w:divBdr>
    </w:div>
    <w:div w:id="1209026870">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197628">
      <w:bodyDiv w:val="1"/>
      <w:marLeft w:val="0"/>
      <w:marRight w:val="0"/>
      <w:marTop w:val="0"/>
      <w:marBottom w:val="0"/>
      <w:divBdr>
        <w:top w:val="none" w:sz="0" w:space="0" w:color="auto"/>
        <w:left w:val="none" w:sz="0" w:space="0" w:color="auto"/>
        <w:bottom w:val="none" w:sz="0" w:space="0" w:color="auto"/>
        <w:right w:val="none" w:sz="0" w:space="0" w:color="auto"/>
      </w:divBdr>
    </w:div>
    <w:div w:id="1319967319">
      <w:bodyDiv w:val="1"/>
      <w:marLeft w:val="0"/>
      <w:marRight w:val="0"/>
      <w:marTop w:val="0"/>
      <w:marBottom w:val="0"/>
      <w:divBdr>
        <w:top w:val="none" w:sz="0" w:space="0" w:color="auto"/>
        <w:left w:val="none" w:sz="0" w:space="0" w:color="auto"/>
        <w:bottom w:val="none" w:sz="0" w:space="0" w:color="auto"/>
        <w:right w:val="none" w:sz="0" w:space="0" w:color="auto"/>
      </w:divBdr>
    </w:div>
    <w:div w:id="1476682346">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726249752">
      <w:bodyDiv w:val="1"/>
      <w:marLeft w:val="0"/>
      <w:marRight w:val="0"/>
      <w:marTop w:val="0"/>
      <w:marBottom w:val="0"/>
      <w:divBdr>
        <w:top w:val="none" w:sz="0" w:space="0" w:color="auto"/>
        <w:left w:val="none" w:sz="0" w:space="0" w:color="auto"/>
        <w:bottom w:val="none" w:sz="0" w:space="0" w:color="auto"/>
        <w:right w:val="none" w:sz="0" w:space="0" w:color="auto"/>
      </w:divBdr>
    </w:div>
    <w:div w:id="2018773501">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watson@freshprodu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reshproduce.com/insit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ne-Marie\Documents\210%20Analytics\Clients\IRI\2022\May%202022\Line_graph_produce_May_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ne-Marie\Documents\210%20Analytics\Clients\IRI\2022\May%202022\Line_graph_produce_May_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ne-Marie\Documents\210%20Analytics\Clients\IRI\2022\May%202022\Line_graph_produce_May_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000"/>
            </a:pPr>
            <a:r>
              <a:rPr lang="en-US" sz="1000"/>
              <a:t>% Dollar growth versus the same time period year ago</a:t>
            </a:r>
          </a:p>
        </c:rich>
      </c:tx>
      <c:overlay val="0"/>
    </c:title>
    <c:autoTitleDeleted val="0"/>
    <c:plotArea>
      <c:layout/>
      <c:lineChart>
        <c:grouping val="standard"/>
        <c:varyColors val="0"/>
        <c:ser>
          <c:idx val="0"/>
          <c:order val="0"/>
          <c:tx>
            <c:strRef>
              <c:f>Sheet1!$A$30</c:f>
              <c:strCache>
                <c:ptCount val="1"/>
                <c:pt idx="0">
                  <c:v>Produce dpt  </c:v>
                </c:pt>
              </c:strCache>
            </c:strRef>
          </c:tx>
          <c:marker>
            <c:symbol val="none"/>
          </c:marker>
          <c:dLbls>
            <c:dLbl>
              <c:idx val="0"/>
              <c:layout>
                <c:manualLayout>
                  <c:x val="-6.3073042185404743E-2"/>
                  <c:y val="-1.0999996535434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02-46AC-93BC-C5EBE7C70962}"/>
                </c:ext>
              </c:extLst>
            </c:dLbl>
            <c:dLbl>
              <c:idx val="1"/>
              <c:layout>
                <c:manualLayout>
                  <c:x val="-3.2262228751839012E-2"/>
                  <c:y val="-1.89999940157499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02-46AC-93BC-C5EBE7C70962}"/>
                </c:ext>
              </c:extLst>
            </c:dLbl>
            <c:dLbl>
              <c:idx val="5"/>
              <c:layout>
                <c:manualLayout>
                  <c:x val="-2.4229214437575215E-2"/>
                  <c:y val="-1.4999995275592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02-46AC-93BC-C5EBE7C70962}"/>
                </c:ext>
              </c:extLst>
            </c:dLbl>
            <c:dLbl>
              <c:idx val="6"/>
              <c:layout>
                <c:manualLayout>
                  <c:x val="-3.6881075840587842E-2"/>
                  <c:y val="-2.0086386256564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02-46AC-93BC-C5EBE7C70962}"/>
                </c:ext>
              </c:extLst>
            </c:dLbl>
            <c:dLbl>
              <c:idx val="7"/>
              <c:layout>
                <c:manualLayout>
                  <c:x val="-1.7440512703191361E-2"/>
                  <c:y val="2.39740739191258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02-46AC-93BC-C5EBE7C70962}"/>
                </c:ext>
              </c:extLst>
            </c:dLbl>
            <c:dLbl>
              <c:idx val="8"/>
              <c:layout>
                <c:manualLayout>
                  <c:x val="-1.8726705522064315E-2"/>
                  <c:y val="-2.22885332255720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02-46AC-93BC-C5EBE7C70962}"/>
                </c:ext>
              </c:extLst>
            </c:dLbl>
            <c:dLbl>
              <c:idx val="9"/>
              <c:layout>
                <c:manualLayout>
                  <c:x val="-1.4612762247133194E-2"/>
                  <c:y val="-2.94766019027444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02-46AC-93BC-C5EBE7C70962}"/>
                </c:ext>
              </c:extLst>
            </c:dLbl>
            <c:dLbl>
              <c:idx val="10"/>
              <c:layout>
                <c:manualLayout>
                  <c:x val="-6.1709293205059928E-3"/>
                  <c:y val="-2.0858621015331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02-46AC-93BC-C5EBE7C70962}"/>
                </c:ext>
              </c:extLst>
            </c:dLbl>
            <c:dLbl>
              <c:idx val="11"/>
              <c:layout>
                <c:manualLayout>
                  <c:x val="-5.8802921481302907E-3"/>
                  <c:y val="-7.427669941968049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02-46AC-93BC-C5EBE7C70962}"/>
                </c:ext>
              </c:extLst>
            </c:dLbl>
            <c:dLbl>
              <c:idx val="12"/>
              <c:layout>
                <c:manualLayout>
                  <c:x val="-2.3484444590904287E-2"/>
                  <c:y val="-1.79424119166335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02-46AC-93BC-C5EBE7C70962}"/>
                </c:ext>
              </c:extLst>
            </c:dLbl>
            <c:dLbl>
              <c:idx val="13"/>
              <c:layout>
                <c:manualLayout>
                  <c:x val="-1.8576973326594252E-2"/>
                  <c:y val="3.08599510085453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102-46AC-93BC-C5EBE7C70962}"/>
                </c:ext>
              </c:extLst>
            </c:dLbl>
            <c:spPr>
              <a:noFill/>
              <a:ln>
                <a:noFill/>
              </a:ln>
              <a:effectLst/>
            </c:spPr>
            <c:txPr>
              <a:bodyPr/>
              <a:lstStyle/>
              <a:p>
                <a:pPr>
                  <a:defRPr sz="900">
                    <a:solidFill>
                      <a:schemeClr val="accent1"/>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Sheet1!$B$29:$M$29</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 '22</c:v>
                </c:pt>
              </c:strCache>
            </c:strRef>
          </c:cat>
          <c:val>
            <c:numRef>
              <c:f>Sheet1!$B$30:$M$30</c:f>
              <c:numCache>
                <c:formatCode>0%</c:formatCode>
                <c:ptCount val="12"/>
                <c:pt idx="0">
                  <c:v>1.7999999999999999E-2</c:v>
                </c:pt>
                <c:pt idx="1">
                  <c:v>6.8000000000000005E-2</c:v>
                </c:pt>
                <c:pt idx="2">
                  <c:v>0.151</c:v>
                </c:pt>
                <c:pt idx="3">
                  <c:v>0.121</c:v>
                </c:pt>
                <c:pt idx="4">
                  <c:v>0.11700000000000001</c:v>
                </c:pt>
                <c:pt idx="5">
                  <c:v>4.8000000000000001E-2</c:v>
                </c:pt>
                <c:pt idx="6">
                  <c:v>-1.0999999999999999E-2</c:v>
                </c:pt>
                <c:pt idx="7">
                  <c:v>0.02</c:v>
                </c:pt>
                <c:pt idx="8">
                  <c:v>5.0999999999999997E-2</c:v>
                </c:pt>
                <c:pt idx="9">
                  <c:v>4.7E-2</c:v>
                </c:pt>
                <c:pt idx="10">
                  <c:v>3.5999999999999997E-2</c:v>
                </c:pt>
                <c:pt idx="11" formatCode="0.0%">
                  <c:v>1.4E-2</c:v>
                </c:pt>
              </c:numCache>
            </c:numRef>
          </c:val>
          <c:smooth val="0"/>
          <c:extLst>
            <c:ext xmlns:c16="http://schemas.microsoft.com/office/drawing/2014/chart" uri="{C3380CC4-5D6E-409C-BE32-E72D297353CC}">
              <c16:uniqueId val="{0000000B-F102-46AC-93BC-C5EBE7C70962}"/>
            </c:ext>
          </c:extLst>
        </c:ser>
        <c:ser>
          <c:idx val="1"/>
          <c:order val="1"/>
          <c:tx>
            <c:strRef>
              <c:f>Sheet1!$A$31</c:f>
              <c:strCache>
                <c:ptCount val="1"/>
                <c:pt idx="0">
                  <c:v>Fresh fruit</c:v>
                </c:pt>
              </c:strCache>
            </c:strRef>
          </c:tx>
          <c:marker>
            <c:symbol val="none"/>
          </c:marker>
          <c:dLbls>
            <c:dLbl>
              <c:idx val="0"/>
              <c:layout>
                <c:manualLayout>
                  <c:x val="-6.4151356812203172E-2"/>
                  <c:y val="-4.999998425197379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102-46AC-93BC-C5EBE7C70962}"/>
                </c:ext>
              </c:extLst>
            </c:dLbl>
            <c:dLbl>
              <c:idx val="5"/>
              <c:layout>
                <c:manualLayout>
                  <c:x val="-2.5939110462519059E-2"/>
                  <c:y val="4.6999985196855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02-46AC-93BC-C5EBE7C70962}"/>
                </c:ext>
              </c:extLst>
            </c:dLbl>
            <c:dLbl>
              <c:idx val="7"/>
              <c:layout>
                <c:manualLayout>
                  <c:x val="-2.0012859709561771E-2"/>
                  <c:y val="1.7494594481524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102-46AC-93BC-C5EBE7C70962}"/>
                </c:ext>
              </c:extLst>
            </c:dLbl>
            <c:dLbl>
              <c:idx val="8"/>
              <c:layout>
                <c:manualLayout>
                  <c:x val="-1.5503347337317341E-2"/>
                  <c:y val="2.2435382531660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02-46AC-93BC-C5EBE7C70962}"/>
                </c:ext>
              </c:extLst>
            </c:dLbl>
            <c:dLbl>
              <c:idx val="9"/>
              <c:layout>
                <c:manualLayout>
                  <c:x val="-2.1295823144015694E-2"/>
                  <c:y val="1.88159029388621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102-46AC-93BC-C5EBE7C70962}"/>
                </c:ext>
              </c:extLst>
            </c:dLbl>
            <c:dLbl>
              <c:idx val="10"/>
              <c:layout>
                <c:manualLayout>
                  <c:x val="-7.4121366942762109E-3"/>
                  <c:y val="-6.3396495695701299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472392060953813E-2"/>
                      <c:h val="9.5513105286539321E-2"/>
                    </c:manualLayout>
                  </c15:layout>
                </c:ext>
                <c:ext xmlns:c16="http://schemas.microsoft.com/office/drawing/2014/chart" uri="{C3380CC4-5D6E-409C-BE32-E72D297353CC}">
                  <c16:uniqueId val="{00000011-F102-46AC-93BC-C5EBE7C70962}"/>
                </c:ext>
              </c:extLst>
            </c:dLbl>
            <c:dLbl>
              <c:idx val="11"/>
              <c:layout>
                <c:manualLayout>
                  <c:x val="-3.1198315430211896E-3"/>
                  <c:y val="-5.899740098014180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102-46AC-93BC-C5EBE7C70962}"/>
                </c:ext>
              </c:extLst>
            </c:dLbl>
            <c:dLbl>
              <c:idx val="12"/>
              <c:layout>
                <c:manualLayout>
                  <c:x val="-2.6024411456978667E-2"/>
                  <c:y val="-1.67609970915972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02-46AC-93BC-C5EBE7C70962}"/>
                </c:ext>
              </c:extLst>
            </c:dLbl>
            <c:spPr>
              <a:noFill/>
              <a:ln>
                <a:noFill/>
              </a:ln>
              <a:effectLst/>
            </c:spPr>
            <c:txPr>
              <a:bodyPr/>
              <a:lstStyle/>
              <a:p>
                <a:pPr>
                  <a:defRPr sz="900">
                    <a:solidFill>
                      <a:schemeClr val="accent2"/>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Sheet1!$B$29:$M$29</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 '22</c:v>
                </c:pt>
              </c:strCache>
            </c:strRef>
          </c:cat>
          <c:val>
            <c:numRef>
              <c:f>Sheet1!$B$31:$M$31</c:f>
              <c:numCache>
                <c:formatCode>0%</c:formatCode>
                <c:ptCount val="12"/>
                <c:pt idx="0">
                  <c:v>-2E-3</c:v>
                </c:pt>
                <c:pt idx="1">
                  <c:v>5.2999999999999999E-2</c:v>
                </c:pt>
                <c:pt idx="2">
                  <c:v>0.106</c:v>
                </c:pt>
                <c:pt idx="3">
                  <c:v>9.5000000000000001E-2</c:v>
                </c:pt>
                <c:pt idx="4">
                  <c:v>8.6999999999999994E-2</c:v>
                </c:pt>
                <c:pt idx="5">
                  <c:v>5.0999999999999997E-2</c:v>
                </c:pt>
                <c:pt idx="6">
                  <c:v>4.4999999999999998E-2</c:v>
                </c:pt>
                <c:pt idx="7">
                  <c:v>6.0999999999999999E-2</c:v>
                </c:pt>
                <c:pt idx="8">
                  <c:v>0.109</c:v>
                </c:pt>
                <c:pt idx="9">
                  <c:v>0.10199999999999999</c:v>
                </c:pt>
                <c:pt idx="10">
                  <c:v>4.2000000000000003E-2</c:v>
                </c:pt>
                <c:pt idx="11" formatCode="0.0%">
                  <c:v>-3.0000000000000001E-3</c:v>
                </c:pt>
              </c:numCache>
            </c:numRef>
          </c:val>
          <c:smooth val="0"/>
          <c:extLst>
            <c:ext xmlns:c16="http://schemas.microsoft.com/office/drawing/2014/chart" uri="{C3380CC4-5D6E-409C-BE32-E72D297353CC}">
              <c16:uniqueId val="{00000014-F102-46AC-93BC-C5EBE7C70962}"/>
            </c:ext>
          </c:extLst>
        </c:ser>
        <c:ser>
          <c:idx val="2"/>
          <c:order val="2"/>
          <c:tx>
            <c:strRef>
              <c:f>Sheet1!$A$32</c:f>
              <c:strCache>
                <c:ptCount val="1"/>
                <c:pt idx="0">
                  <c:v>Fresh vegetables</c:v>
                </c:pt>
              </c:strCache>
            </c:strRef>
          </c:tx>
          <c:marker>
            <c:symbol val="none"/>
          </c:marker>
          <c:dLbls>
            <c:dLbl>
              <c:idx val="0"/>
              <c:layout>
                <c:manualLayout>
                  <c:x val="-5.6586555146759317E-2"/>
                  <c:y val="-2.69999914960656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102-46AC-93BC-C5EBE7C70962}"/>
                </c:ext>
              </c:extLst>
            </c:dLbl>
            <c:dLbl>
              <c:idx val="5"/>
              <c:layout>
                <c:manualLayout>
                  <c:x val="-2.277731918402871E-2"/>
                  <c:y val="-4.4261372788715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102-46AC-93BC-C5EBE7C70962}"/>
                </c:ext>
              </c:extLst>
            </c:dLbl>
            <c:dLbl>
              <c:idx val="7"/>
              <c:layout>
                <c:manualLayout>
                  <c:x val="-2.3588523321920823E-2"/>
                  <c:y val="3.4341241019288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102-46AC-93BC-C5EBE7C70962}"/>
                </c:ext>
              </c:extLst>
            </c:dLbl>
            <c:dLbl>
              <c:idx val="8"/>
              <c:layout>
                <c:manualLayout>
                  <c:x val="-1.239801252219018E-2"/>
                  <c:y val="-2.5761163512281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102-46AC-93BC-C5EBE7C70962}"/>
                </c:ext>
              </c:extLst>
            </c:dLbl>
            <c:dLbl>
              <c:idx val="9"/>
              <c:layout>
                <c:manualLayout>
                  <c:x val="-1.8515573724603138E-2"/>
                  <c:y val="-2.89685593694923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102-46AC-93BC-C5EBE7C70962}"/>
                </c:ext>
              </c:extLst>
            </c:dLbl>
            <c:dLbl>
              <c:idx val="10"/>
              <c:layout>
                <c:manualLayout>
                  <c:x val="-1.3238212122177231E-2"/>
                  <c:y val="2.4642416144005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102-46AC-93BC-C5EBE7C70962}"/>
                </c:ext>
              </c:extLst>
            </c:dLbl>
            <c:dLbl>
              <c:idx val="11"/>
              <c:layout>
                <c:manualLayout>
                  <c:x val="-8.9961240970360783E-3"/>
                  <c:y val="-1.69730338572183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102-46AC-93BC-C5EBE7C70962}"/>
                </c:ext>
              </c:extLst>
            </c:dLbl>
            <c:dLbl>
              <c:idx val="12"/>
              <c:layout>
                <c:manualLayout>
                  <c:x val="-2.4583776145535061E-2"/>
                  <c:y val="2.830016984271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102-46AC-93BC-C5EBE7C70962}"/>
                </c:ext>
              </c:extLst>
            </c:dLbl>
            <c:dLbl>
              <c:idx val="13"/>
              <c:layout>
                <c:manualLayout>
                  <c:x val="-2.1939062981788597E-2"/>
                  <c:y val="5.0061698302751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102-46AC-93BC-C5EBE7C70962}"/>
                </c:ext>
              </c:extLst>
            </c:dLbl>
            <c:spPr>
              <a:noFill/>
              <a:ln>
                <a:noFill/>
              </a:ln>
              <a:effectLst/>
            </c:spPr>
            <c:txPr>
              <a:bodyPr/>
              <a:lstStyle/>
              <a:p>
                <a:pPr>
                  <a:defRPr sz="900">
                    <a:solidFill>
                      <a:schemeClr val="accent3">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Sheet1!$B$29:$M$29</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 '22</c:v>
                </c:pt>
              </c:strCache>
            </c:strRef>
          </c:cat>
          <c:val>
            <c:numRef>
              <c:f>Sheet1!$B$32:$M$32</c:f>
              <c:numCache>
                <c:formatCode>0%</c:formatCode>
                <c:ptCount val="12"/>
                <c:pt idx="0">
                  <c:v>3.9E-2</c:v>
                </c:pt>
                <c:pt idx="1">
                  <c:v>8.4000000000000005E-2</c:v>
                </c:pt>
                <c:pt idx="2">
                  <c:v>0.20699999999999999</c:v>
                </c:pt>
                <c:pt idx="3">
                  <c:v>0.151</c:v>
                </c:pt>
                <c:pt idx="4">
                  <c:v>0.14799999999999999</c:v>
                </c:pt>
                <c:pt idx="5">
                  <c:v>4.7E-2</c:v>
                </c:pt>
                <c:pt idx="6">
                  <c:v>-7.0999999999999994E-2</c:v>
                </c:pt>
                <c:pt idx="7">
                  <c:v>-2.4E-2</c:v>
                </c:pt>
                <c:pt idx="8">
                  <c:v>1E-3</c:v>
                </c:pt>
                <c:pt idx="9">
                  <c:v>-4.0000000000000001E-3</c:v>
                </c:pt>
                <c:pt idx="10">
                  <c:v>2.9000000000000001E-2</c:v>
                </c:pt>
                <c:pt idx="11" formatCode="0.0%">
                  <c:v>3.5000000000000003E-2</c:v>
                </c:pt>
              </c:numCache>
            </c:numRef>
          </c:val>
          <c:smooth val="0"/>
          <c:extLst>
            <c:ext xmlns:c16="http://schemas.microsoft.com/office/drawing/2014/chart" uri="{C3380CC4-5D6E-409C-BE32-E72D297353CC}">
              <c16:uniqueId val="{0000001E-F102-46AC-93BC-C5EBE7C70962}"/>
            </c:ext>
          </c:extLst>
        </c:ser>
        <c:ser>
          <c:idx val="3"/>
          <c:order val="3"/>
          <c:tx>
            <c:strRef>
              <c:f>Sheet1!$A$33</c:f>
              <c:strCache>
                <c:ptCount val="1"/>
                <c:pt idx="0">
                  <c:v>Produce dpt vs. 2019</c:v>
                </c:pt>
              </c:strCache>
            </c:strRef>
          </c:tx>
          <c:spPr>
            <a:ln>
              <a:noFill/>
            </a:ln>
          </c:spPr>
          <c:marker>
            <c:spPr>
              <a:solidFill>
                <a:srgbClr val="7030A0"/>
              </a:solidFill>
              <a:ln>
                <a:noFill/>
              </a:ln>
            </c:spPr>
          </c:marker>
          <c:dLbls>
            <c:dLbl>
              <c:idx val="7"/>
              <c:layout>
                <c:manualLayout>
                  <c:x val="8.9521073276133262E-3"/>
                  <c:y val="-3.6194795927983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102-46AC-93BC-C5EBE7C70962}"/>
                </c:ext>
              </c:extLst>
            </c:dLbl>
            <c:dLbl>
              <c:idx val="11"/>
              <c:layout>
                <c:manualLayout>
                  <c:x val="0"/>
                  <c:y val="-1.37155337815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102-46AC-93BC-C5EBE7C70962}"/>
                </c:ext>
              </c:extLst>
            </c:dLbl>
            <c:spPr>
              <a:noFill/>
              <a:ln>
                <a:noFill/>
              </a:ln>
              <a:effectLst/>
            </c:spPr>
            <c:txPr>
              <a:bodyPr/>
              <a:lstStyle/>
              <a:p>
                <a:pPr>
                  <a:defRPr sz="900">
                    <a:solidFill>
                      <a:schemeClr val="accent4"/>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Sheet1!$B$29:$M$29</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 '22</c:v>
                </c:pt>
              </c:strCache>
            </c:strRef>
          </c:cat>
          <c:val>
            <c:numRef>
              <c:f>Sheet1!$B$33:$M$33</c:f>
              <c:numCache>
                <c:formatCode>General</c:formatCode>
                <c:ptCount val="12"/>
                <c:pt idx="5" formatCode="0%">
                  <c:v>0.12</c:v>
                </c:pt>
                <c:pt idx="6" formatCode="0%">
                  <c:v>0.13800000000000001</c:v>
                </c:pt>
                <c:pt idx="7" formatCode="0%">
                  <c:v>0.14399999999999999</c:v>
                </c:pt>
                <c:pt idx="8" formatCode="0%">
                  <c:v>0.17499999999999999</c:v>
                </c:pt>
                <c:pt idx="9" formatCode="0%">
                  <c:v>0.17199999999999999</c:v>
                </c:pt>
                <c:pt idx="10" formatCode="0%">
                  <c:v>0.18</c:v>
                </c:pt>
                <c:pt idx="11" formatCode="0.0%">
                  <c:v>0.17599999999999999</c:v>
                </c:pt>
              </c:numCache>
            </c:numRef>
          </c:val>
          <c:smooth val="0"/>
          <c:extLst>
            <c:ext xmlns:c16="http://schemas.microsoft.com/office/drawing/2014/chart" uri="{C3380CC4-5D6E-409C-BE32-E72D297353CC}">
              <c16:uniqueId val="{00000021-F102-46AC-93BC-C5EBE7C70962}"/>
            </c:ext>
          </c:extLst>
        </c:ser>
        <c:ser>
          <c:idx val="4"/>
          <c:order val="4"/>
          <c:tx>
            <c:strRef>
              <c:f>Sheet1!$A$34</c:f>
              <c:strCache>
                <c:ptCount val="1"/>
                <c:pt idx="0">
                  <c:v>Fresh fruit vs. 2019</c:v>
                </c:pt>
              </c:strCache>
            </c:strRef>
          </c:tx>
          <c:spPr>
            <a:ln>
              <a:noFill/>
            </a:ln>
          </c:spPr>
          <c:marker>
            <c:spPr>
              <a:solidFill>
                <a:schemeClr val="accent5"/>
              </a:solidFill>
              <a:ln>
                <a:noFill/>
              </a:ln>
            </c:spPr>
          </c:marker>
          <c:dLbls>
            <c:dLbl>
              <c:idx val="7"/>
              <c:layout>
                <c:manualLayout>
                  <c:x val="3.9861921591190204E-3"/>
                  <c:y val="-2.20209267808502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F102-46AC-93BC-C5EBE7C70962}"/>
                </c:ext>
              </c:extLst>
            </c:dLbl>
            <c:dLbl>
              <c:idx val="8"/>
              <c:layout>
                <c:manualLayout>
                  <c:x val="2.5723932915874053E-3"/>
                  <c:y val="-1.7617603975670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F102-46AC-93BC-C5EBE7C70962}"/>
                </c:ext>
              </c:extLst>
            </c:dLbl>
            <c:dLbl>
              <c:idx val="9"/>
              <c:layout>
                <c:manualLayout>
                  <c:x val="2.5212729927190933E-3"/>
                  <c:y val="3.91296256722776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F102-46AC-93BC-C5EBE7C70962}"/>
                </c:ext>
              </c:extLst>
            </c:dLbl>
            <c:dLbl>
              <c:idx val="11"/>
              <c:layout>
                <c:manualLayout>
                  <c:x val="-2.5193144132161509E-3"/>
                  <c:y val="-4.1146601344727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F102-46AC-93BC-C5EBE7C70962}"/>
                </c:ext>
              </c:extLst>
            </c:dLbl>
            <c:dLbl>
              <c:idx val="12"/>
              <c:layout>
                <c:manualLayout>
                  <c:x val="-1.850662112055403E-16"/>
                  <c:y val="-1.3712400220694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F102-46AC-93BC-C5EBE7C70962}"/>
                </c:ext>
              </c:extLst>
            </c:dLbl>
            <c:spPr>
              <a:noFill/>
              <a:ln>
                <a:noFill/>
              </a:ln>
              <a:effectLst/>
            </c:spPr>
            <c:txPr>
              <a:bodyPr/>
              <a:lstStyle/>
              <a:p>
                <a:pPr>
                  <a:defRPr sz="900">
                    <a:solidFill>
                      <a:schemeClr val="accent5">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Sheet1!$B$29:$M$29</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 '22</c:v>
                </c:pt>
              </c:strCache>
            </c:strRef>
          </c:cat>
          <c:val>
            <c:numRef>
              <c:f>Sheet1!$B$34:$M$34</c:f>
              <c:numCache>
                <c:formatCode>General</c:formatCode>
                <c:ptCount val="12"/>
                <c:pt idx="5" formatCode="0%">
                  <c:v>0.106</c:v>
                </c:pt>
                <c:pt idx="6" formatCode="0%">
                  <c:v>0.156</c:v>
                </c:pt>
                <c:pt idx="7" formatCode="0%">
                  <c:v>0.16300000000000001</c:v>
                </c:pt>
                <c:pt idx="8" formatCode="0%">
                  <c:v>0.20599999999999999</c:v>
                </c:pt>
                <c:pt idx="9" formatCode="0%">
                  <c:v>0.22</c:v>
                </c:pt>
                <c:pt idx="10" formatCode="0%">
                  <c:v>0.20499999999999999</c:v>
                </c:pt>
                <c:pt idx="11" formatCode="0.0%">
                  <c:v>0.189</c:v>
                </c:pt>
              </c:numCache>
            </c:numRef>
          </c:val>
          <c:smooth val="0"/>
          <c:extLst>
            <c:ext xmlns:c16="http://schemas.microsoft.com/office/drawing/2014/chart" uri="{C3380CC4-5D6E-409C-BE32-E72D297353CC}">
              <c16:uniqueId val="{00000027-F102-46AC-93BC-C5EBE7C70962}"/>
            </c:ext>
          </c:extLst>
        </c:ser>
        <c:ser>
          <c:idx val="5"/>
          <c:order val="5"/>
          <c:tx>
            <c:strRef>
              <c:f>Sheet1!$A$35</c:f>
              <c:strCache>
                <c:ptCount val="1"/>
                <c:pt idx="0">
                  <c:v>Fresh veg vs. 2019</c:v>
                </c:pt>
              </c:strCache>
            </c:strRef>
          </c:tx>
          <c:spPr>
            <a:ln>
              <a:noFill/>
            </a:ln>
          </c:spPr>
          <c:marker>
            <c:spPr>
              <a:ln>
                <a:noFill/>
              </a:ln>
            </c:spPr>
          </c:marker>
          <c:dLbls>
            <c:dLbl>
              <c:idx val="7"/>
              <c:layout>
                <c:manualLayout>
                  <c:x val="6.4308675159260378E-3"/>
                  <c:y val="-5.183583550081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F102-46AC-93BC-C5EBE7C70962}"/>
                </c:ext>
              </c:extLst>
            </c:dLbl>
            <c:dLbl>
              <c:idx val="8"/>
              <c:layout>
                <c:manualLayout>
                  <c:x val="3.8585403060229836E-3"/>
                  <c:y val="-4.30305125256425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F102-46AC-93BC-C5EBE7C70962}"/>
                </c:ext>
              </c:extLst>
            </c:dLbl>
            <c:dLbl>
              <c:idx val="9"/>
              <c:layout>
                <c:manualLayout>
                  <c:x val="0"/>
                  <c:y val="4.7431678953346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F102-46AC-93BC-C5EBE7C70962}"/>
                </c:ext>
              </c:extLst>
            </c:dLbl>
            <c:dLbl>
              <c:idx val="11"/>
              <c:layout>
                <c:manualLayout>
                  <c:x val="0"/>
                  <c:y val="1.6458640537890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F102-46AC-93BC-C5EBE7C70962}"/>
                </c:ext>
              </c:extLst>
            </c:dLbl>
            <c:dLbl>
              <c:idx val="12"/>
              <c:layout>
                <c:manualLayout>
                  <c:x val="-1.850662112055403E-16"/>
                  <c:y val="1.919736030897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F102-46AC-93BC-C5EBE7C70962}"/>
                </c:ext>
              </c:extLst>
            </c:dLbl>
            <c:spPr>
              <a:noFill/>
              <a:ln>
                <a:noFill/>
              </a:ln>
              <a:effectLst/>
            </c:spPr>
            <c:txPr>
              <a:bodyPr/>
              <a:lstStyle/>
              <a:p>
                <a:pPr>
                  <a:defRPr sz="900">
                    <a:solidFill>
                      <a:schemeClr val="accent6">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Sheet1!$B$29:$M$29</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 '22</c:v>
                </c:pt>
              </c:strCache>
            </c:strRef>
          </c:cat>
          <c:val>
            <c:numRef>
              <c:f>Sheet1!$B$35:$M$35</c:f>
              <c:numCache>
                <c:formatCode>General</c:formatCode>
                <c:ptCount val="12"/>
                <c:pt idx="5" formatCode="0%">
                  <c:v>0.13500000000000001</c:v>
                </c:pt>
                <c:pt idx="6" formatCode="0%">
                  <c:v>0.121</c:v>
                </c:pt>
                <c:pt idx="7" formatCode="0%">
                  <c:v>0.125</c:v>
                </c:pt>
                <c:pt idx="8" formatCode="0%">
                  <c:v>0.151</c:v>
                </c:pt>
                <c:pt idx="9" formatCode="0%">
                  <c:v>0.13</c:v>
                </c:pt>
                <c:pt idx="10" formatCode="0%">
                  <c:v>0.155</c:v>
                </c:pt>
                <c:pt idx="11" formatCode="0.0%">
                  <c:v>0.16200000000000001</c:v>
                </c:pt>
              </c:numCache>
            </c:numRef>
          </c:val>
          <c:smooth val="0"/>
          <c:extLst>
            <c:ext xmlns:c16="http://schemas.microsoft.com/office/drawing/2014/chart" uri="{C3380CC4-5D6E-409C-BE32-E72D297353CC}">
              <c16:uniqueId val="{0000002D-F102-46AC-93BC-C5EBE7C70962}"/>
            </c:ext>
          </c:extLst>
        </c:ser>
        <c:dLbls>
          <c:showLegendKey val="0"/>
          <c:showVal val="1"/>
          <c:showCatName val="0"/>
          <c:showSerName val="0"/>
          <c:showPercent val="0"/>
          <c:showBubbleSize val="0"/>
        </c:dLbls>
        <c:smooth val="0"/>
        <c:axId val="147893248"/>
        <c:axId val="147837696"/>
      </c:lineChart>
      <c:catAx>
        <c:axId val="147893248"/>
        <c:scaling>
          <c:orientation val="minMax"/>
        </c:scaling>
        <c:delete val="0"/>
        <c:axPos val="b"/>
        <c:numFmt formatCode="General" sourceLinked="0"/>
        <c:majorTickMark val="none"/>
        <c:minorTickMark val="none"/>
        <c:tickLblPos val="nextTo"/>
        <c:txPr>
          <a:bodyPr/>
          <a:lstStyle/>
          <a:p>
            <a:pPr>
              <a:defRPr sz="900"/>
            </a:pPr>
            <a:endParaRPr lang="en-US"/>
          </a:p>
        </c:txPr>
        <c:crossAx val="147837696"/>
        <c:crosses val="autoZero"/>
        <c:auto val="1"/>
        <c:lblAlgn val="ctr"/>
        <c:lblOffset val="100"/>
        <c:noMultiLvlLbl val="0"/>
      </c:catAx>
      <c:valAx>
        <c:axId val="147837696"/>
        <c:scaling>
          <c:orientation val="minMax"/>
        </c:scaling>
        <c:delete val="1"/>
        <c:axPos val="l"/>
        <c:numFmt formatCode="0%" sourceLinked="1"/>
        <c:majorTickMark val="none"/>
        <c:minorTickMark val="none"/>
        <c:tickLblPos val="none"/>
        <c:crossAx val="147893248"/>
        <c:crosses val="autoZero"/>
        <c:crossBetween val="between"/>
      </c:valAx>
    </c:plotArea>
    <c:legend>
      <c:legendPos val="t"/>
      <c:layout>
        <c:manualLayout>
          <c:xMode val="edge"/>
          <c:yMode val="edge"/>
          <c:x val="4.8713872069891723E-2"/>
          <c:y val="0.11871712429478265"/>
          <c:w val="0.89999990885384662"/>
          <c:h val="0.11790428058956814"/>
        </c:manualLayout>
      </c:layout>
      <c:overlay val="0"/>
      <c:txPr>
        <a:bodyPr/>
        <a:lstStyle/>
        <a:p>
          <a:pPr>
            <a:defRPr sz="900"/>
          </a:pPr>
          <a:endParaRPr lang="en-US"/>
        </a:p>
      </c:txPr>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Share of dollars across temperature zones</a:t>
            </a:r>
          </a:p>
        </c:rich>
      </c:tx>
      <c:layout>
        <c:manualLayout>
          <c:xMode val="edge"/>
          <c:yMode val="edge"/>
          <c:x val="1.0460850088679821E-2"/>
          <c:y val="2.1621621621621651E-2"/>
        </c:manualLayout>
      </c:layout>
      <c:overlay val="0"/>
    </c:title>
    <c:autoTitleDeleted val="0"/>
    <c:plotArea>
      <c:layout/>
      <c:barChart>
        <c:barDir val="col"/>
        <c:grouping val="percentStacked"/>
        <c:varyColors val="0"/>
        <c:ser>
          <c:idx val="0"/>
          <c:order val="0"/>
          <c:tx>
            <c:strRef>
              <c:f>Sheet1!$A$102</c:f>
              <c:strCache>
                <c:ptCount val="1"/>
                <c:pt idx="0">
                  <c:v>Fresh</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Sheet1!$B$101:$G$101</c:f>
              <c:strCache>
                <c:ptCount val="6"/>
                <c:pt idx="0">
                  <c:v>2019</c:v>
                </c:pt>
                <c:pt idx="1">
                  <c:v>2020</c:v>
                </c:pt>
                <c:pt idx="2">
                  <c:v>2021</c:v>
                </c:pt>
                <c:pt idx="3">
                  <c:v>Q1 '22</c:v>
                </c:pt>
                <c:pt idx="4">
                  <c:v>Q2 '22</c:v>
                </c:pt>
                <c:pt idx="5">
                  <c:v>Jun '22</c:v>
                </c:pt>
              </c:strCache>
            </c:strRef>
          </c:cat>
          <c:val>
            <c:numRef>
              <c:f>Sheet1!$B$102:$G$102</c:f>
              <c:numCache>
                <c:formatCode>0.0%</c:formatCode>
                <c:ptCount val="6"/>
                <c:pt idx="0">
                  <c:v>0.80800000000000005</c:v>
                </c:pt>
                <c:pt idx="1">
                  <c:v>0.79400000000000004</c:v>
                </c:pt>
                <c:pt idx="2">
                  <c:v>0.81</c:v>
                </c:pt>
                <c:pt idx="3">
                  <c:v>0.79600000000000004</c:v>
                </c:pt>
                <c:pt idx="4">
                  <c:v>0.82</c:v>
                </c:pt>
                <c:pt idx="5">
                  <c:v>0.82799999999999996</c:v>
                </c:pt>
              </c:numCache>
            </c:numRef>
          </c:val>
          <c:extLst>
            <c:ext xmlns:c16="http://schemas.microsoft.com/office/drawing/2014/chart" uri="{C3380CC4-5D6E-409C-BE32-E72D297353CC}">
              <c16:uniqueId val="{00000000-3632-4806-BD29-BD9404CA63C6}"/>
            </c:ext>
          </c:extLst>
        </c:ser>
        <c:ser>
          <c:idx val="1"/>
          <c:order val="1"/>
          <c:tx>
            <c:strRef>
              <c:f>Sheet1!$A$103</c:f>
              <c:strCache>
                <c:ptCount val="1"/>
                <c:pt idx="0">
                  <c:v>Shelf stable</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Sheet1!$B$101:$G$101</c:f>
              <c:strCache>
                <c:ptCount val="6"/>
                <c:pt idx="0">
                  <c:v>2019</c:v>
                </c:pt>
                <c:pt idx="1">
                  <c:v>2020</c:v>
                </c:pt>
                <c:pt idx="2">
                  <c:v>2021</c:v>
                </c:pt>
                <c:pt idx="3">
                  <c:v>Q1 '22</c:v>
                </c:pt>
                <c:pt idx="4">
                  <c:v>Q2 '22</c:v>
                </c:pt>
                <c:pt idx="5">
                  <c:v>Jun '22</c:v>
                </c:pt>
              </c:strCache>
            </c:strRef>
          </c:cat>
          <c:val>
            <c:numRef>
              <c:f>Sheet1!$B$103:$G$103</c:f>
              <c:numCache>
                <c:formatCode>0.0%</c:formatCode>
                <c:ptCount val="6"/>
                <c:pt idx="0">
                  <c:v>0.115</c:v>
                </c:pt>
                <c:pt idx="1">
                  <c:v>0.121</c:v>
                </c:pt>
                <c:pt idx="2">
                  <c:v>0.111</c:v>
                </c:pt>
                <c:pt idx="3">
                  <c:v>0.121</c:v>
                </c:pt>
                <c:pt idx="4">
                  <c:v>0.10299999999999999</c:v>
                </c:pt>
                <c:pt idx="5">
                  <c:v>9.7000000000000003E-2</c:v>
                </c:pt>
              </c:numCache>
            </c:numRef>
          </c:val>
          <c:extLst>
            <c:ext xmlns:c16="http://schemas.microsoft.com/office/drawing/2014/chart" uri="{C3380CC4-5D6E-409C-BE32-E72D297353CC}">
              <c16:uniqueId val="{00000001-3632-4806-BD29-BD9404CA63C6}"/>
            </c:ext>
          </c:extLst>
        </c:ser>
        <c:ser>
          <c:idx val="2"/>
          <c:order val="2"/>
          <c:tx>
            <c:strRef>
              <c:f>Sheet1!$A$104</c:f>
              <c:strCache>
                <c:ptCount val="1"/>
                <c:pt idx="0">
                  <c:v>Frozen</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Sheet1!$B$101:$G$101</c:f>
              <c:strCache>
                <c:ptCount val="6"/>
                <c:pt idx="0">
                  <c:v>2019</c:v>
                </c:pt>
                <c:pt idx="1">
                  <c:v>2020</c:v>
                </c:pt>
                <c:pt idx="2">
                  <c:v>2021</c:v>
                </c:pt>
                <c:pt idx="3">
                  <c:v>Q1 '22</c:v>
                </c:pt>
                <c:pt idx="4">
                  <c:v>Q2 '22</c:v>
                </c:pt>
                <c:pt idx="5">
                  <c:v>Jun '22</c:v>
                </c:pt>
              </c:strCache>
            </c:strRef>
          </c:cat>
          <c:val>
            <c:numRef>
              <c:f>Sheet1!$B$104:$G$104</c:f>
              <c:numCache>
                <c:formatCode>0.0%</c:formatCode>
                <c:ptCount val="6"/>
                <c:pt idx="0">
                  <c:v>7.6999999999999999E-2</c:v>
                </c:pt>
                <c:pt idx="1">
                  <c:v>8.4000000000000005E-2</c:v>
                </c:pt>
                <c:pt idx="2">
                  <c:v>7.9000000000000001E-2</c:v>
                </c:pt>
                <c:pt idx="3">
                  <c:v>8.3000000000000004E-2</c:v>
                </c:pt>
                <c:pt idx="4">
                  <c:v>7.6999999999999999E-2</c:v>
                </c:pt>
                <c:pt idx="5">
                  <c:v>7.4999999999999997E-2</c:v>
                </c:pt>
              </c:numCache>
            </c:numRef>
          </c:val>
          <c:extLst>
            <c:ext xmlns:c16="http://schemas.microsoft.com/office/drawing/2014/chart" uri="{C3380CC4-5D6E-409C-BE32-E72D297353CC}">
              <c16:uniqueId val="{00000002-3632-4806-BD29-BD9404CA63C6}"/>
            </c:ext>
          </c:extLst>
        </c:ser>
        <c:dLbls>
          <c:showLegendKey val="0"/>
          <c:showVal val="1"/>
          <c:showCatName val="0"/>
          <c:showSerName val="0"/>
          <c:showPercent val="0"/>
          <c:showBubbleSize val="0"/>
        </c:dLbls>
        <c:gapWidth val="95"/>
        <c:overlap val="100"/>
        <c:axId val="148140416"/>
        <c:axId val="148141952"/>
      </c:barChart>
      <c:catAx>
        <c:axId val="148140416"/>
        <c:scaling>
          <c:orientation val="minMax"/>
        </c:scaling>
        <c:delete val="0"/>
        <c:axPos val="b"/>
        <c:numFmt formatCode="General" sourceLinked="0"/>
        <c:majorTickMark val="none"/>
        <c:minorTickMark val="none"/>
        <c:tickLblPos val="nextTo"/>
        <c:crossAx val="148141952"/>
        <c:crosses val="autoZero"/>
        <c:auto val="1"/>
        <c:lblAlgn val="ctr"/>
        <c:lblOffset val="100"/>
        <c:noMultiLvlLbl val="0"/>
      </c:catAx>
      <c:valAx>
        <c:axId val="148141952"/>
        <c:scaling>
          <c:orientation val="minMax"/>
        </c:scaling>
        <c:delete val="1"/>
        <c:axPos val="l"/>
        <c:numFmt formatCode="0%" sourceLinked="1"/>
        <c:majorTickMark val="out"/>
        <c:minorTickMark val="none"/>
        <c:tickLblPos val="none"/>
        <c:crossAx val="148140416"/>
        <c:crosses val="autoZero"/>
        <c:crossBetween val="between"/>
      </c:valAx>
    </c:plotArea>
    <c:legend>
      <c:legendPos val="t"/>
      <c:layout>
        <c:manualLayout>
          <c:xMode val="edge"/>
          <c:yMode val="edge"/>
          <c:x val="0.80480347977490441"/>
          <c:y val="2.6413754334577013E-2"/>
          <c:w val="0.17084592476145441"/>
          <c:h val="0.17953664794233429"/>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Dollar and volume growth total produce (fixed and random weight)</a:t>
            </a:r>
            <a:br>
              <a:rPr lang="en-US" sz="1000"/>
            </a:br>
            <a:r>
              <a:rPr lang="en-US" sz="1000"/>
              <a:t>versus the comparable period YA and 2/3YA</a:t>
            </a:r>
          </a:p>
        </c:rich>
      </c:tx>
      <c:overlay val="0"/>
    </c:title>
    <c:autoTitleDeleted val="0"/>
    <c:plotArea>
      <c:layout>
        <c:manualLayout>
          <c:layoutTarget val="inner"/>
          <c:xMode val="edge"/>
          <c:yMode val="edge"/>
          <c:x val="1.5534523839044542E-2"/>
          <c:y val="0.22582240572754916"/>
          <c:w val="0.96893095232191095"/>
          <c:h val="0.75788143441134181"/>
        </c:manualLayout>
      </c:layout>
      <c:lineChart>
        <c:grouping val="standard"/>
        <c:varyColors val="0"/>
        <c:ser>
          <c:idx val="0"/>
          <c:order val="0"/>
          <c:tx>
            <c:strRef>
              <c:f>Sheet1!$A$65</c:f>
              <c:strCache>
                <c:ptCount val="1"/>
                <c:pt idx="0">
                  <c:v>Dollar growth</c:v>
                </c:pt>
              </c:strCache>
            </c:strRef>
          </c:tx>
          <c:spPr>
            <a:ln>
              <a:solidFill>
                <a:schemeClr val="tx2">
                  <a:lumMod val="75000"/>
                </a:schemeClr>
              </a:solidFill>
            </a:ln>
          </c:spPr>
          <c:marker>
            <c:symbol val="none"/>
          </c:marker>
          <c:dLbls>
            <c:dLbl>
              <c:idx val="0"/>
              <c:layout>
                <c:manualLayout>
                  <c:x val="-3.4746457593163152E-2"/>
                  <c:y val="-6.055788746505889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50-482B-8369-7F50BC2B3227}"/>
                </c:ext>
              </c:extLst>
            </c:dLbl>
            <c:dLbl>
              <c:idx val="3"/>
              <c:layout>
                <c:manualLayout>
                  <c:x val="-2.3079483993763576E-2"/>
                  <c:y val="-3.67847348306576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50-482B-8369-7F50BC2B3227}"/>
                </c:ext>
              </c:extLst>
            </c:dLbl>
            <c:dLbl>
              <c:idx val="4"/>
              <c:layout>
                <c:manualLayout>
                  <c:x val="-1.8940200502051956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50-482B-8369-7F50BC2B3227}"/>
                </c:ext>
              </c:extLst>
            </c:dLbl>
            <c:dLbl>
              <c:idx val="5"/>
              <c:layout>
                <c:manualLayout>
                  <c:x val="-2.2857501245362351E-2"/>
                  <c:y val="-2.9521279068627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50-482B-8369-7F50BC2B3227}"/>
                </c:ext>
              </c:extLst>
            </c:dLbl>
            <c:dLbl>
              <c:idx val="6"/>
              <c:layout>
                <c:manualLayout>
                  <c:x val="-2.0533236137664852E-2"/>
                  <c:y val="-2.63297894395869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50-482B-8369-7F50BC2B3227}"/>
                </c:ext>
              </c:extLst>
            </c:dLbl>
            <c:dLbl>
              <c:idx val="7"/>
              <c:layout>
                <c:manualLayout>
                  <c:x val="-2.4819779699024668E-2"/>
                  <c:y val="3.14516129032258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50-482B-8369-7F50BC2B3227}"/>
                </c:ext>
              </c:extLst>
            </c:dLbl>
            <c:dLbl>
              <c:idx val="8"/>
              <c:layout>
                <c:manualLayout>
                  <c:x val="-2.0943394110203416E-2"/>
                  <c:y val="3.2915342322617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50-482B-8369-7F50BC2B3227}"/>
                </c:ext>
              </c:extLst>
            </c:dLbl>
            <c:dLbl>
              <c:idx val="9"/>
              <c:layout>
                <c:manualLayout>
                  <c:x val="-3.5118686783167798E-2"/>
                  <c:y val="2.73888144087226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50-482B-8369-7F50BC2B3227}"/>
                </c:ext>
              </c:extLst>
            </c:dLbl>
            <c:dLbl>
              <c:idx val="10"/>
              <c:layout>
                <c:manualLayout>
                  <c:x val="-2.568672597757363E-2"/>
                  <c:y val="-2.2427209973375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50-482B-8369-7F50BC2B3227}"/>
                </c:ext>
              </c:extLst>
            </c:dLbl>
            <c:dLbl>
              <c:idx val="11"/>
              <c:layout>
                <c:manualLayout>
                  <c:x val="-2.6635126973376437E-2"/>
                  <c:y val="-3.4020284444489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950-482B-8369-7F50BC2B3227}"/>
                </c:ext>
              </c:extLst>
            </c:dLbl>
            <c:dLbl>
              <c:idx val="12"/>
              <c:layout>
                <c:manualLayout>
                  <c:x val="-4.3507064647141533E-2"/>
                  <c:y val="-1.4779488174454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950-482B-8369-7F50BC2B3227}"/>
                </c:ext>
              </c:extLst>
            </c:dLbl>
            <c:dLbl>
              <c:idx val="13"/>
              <c:layout>
                <c:manualLayout>
                  <c:x val="-2.5774155342648455E-2"/>
                  <c:y val="-1.71442062823670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950-482B-8369-7F50BC2B3227}"/>
                </c:ext>
              </c:extLst>
            </c:dLbl>
            <c:spPr>
              <a:noFill/>
              <a:ln>
                <a:noFill/>
              </a:ln>
              <a:effectLst/>
            </c:spPr>
            <c:txPr>
              <a:bodyPr/>
              <a:lstStyle/>
              <a:p>
                <a:pPr>
                  <a:defRPr>
                    <a:solidFill>
                      <a:schemeClr val="tx2">
                        <a:lumMod val="75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Sheet1!$B$64:$M$64</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June '22</c:v>
                </c:pt>
              </c:strCache>
            </c:strRef>
          </c:cat>
          <c:val>
            <c:numRef>
              <c:f>Sheet1!$B$65:$M$65</c:f>
              <c:numCache>
                <c:formatCode>0%</c:formatCode>
                <c:ptCount val="12"/>
                <c:pt idx="0">
                  <c:v>1.7999999999999999E-2</c:v>
                </c:pt>
                <c:pt idx="1">
                  <c:v>6.8000000000000005E-2</c:v>
                </c:pt>
                <c:pt idx="2">
                  <c:v>0.151</c:v>
                </c:pt>
                <c:pt idx="3">
                  <c:v>0.121</c:v>
                </c:pt>
                <c:pt idx="4">
                  <c:v>0.11700000000000001</c:v>
                </c:pt>
                <c:pt idx="5">
                  <c:v>4.8000000000000001E-2</c:v>
                </c:pt>
                <c:pt idx="6">
                  <c:v>-1.0999999999999999E-2</c:v>
                </c:pt>
                <c:pt idx="7">
                  <c:v>2.1000000000000001E-2</c:v>
                </c:pt>
                <c:pt idx="8">
                  <c:v>5.0999999999999997E-2</c:v>
                </c:pt>
                <c:pt idx="9">
                  <c:v>4.7E-2</c:v>
                </c:pt>
                <c:pt idx="10" formatCode="0.0%">
                  <c:v>3.5999999999999997E-2</c:v>
                </c:pt>
                <c:pt idx="11" formatCode="0.0%">
                  <c:v>1.4E-2</c:v>
                </c:pt>
              </c:numCache>
            </c:numRef>
          </c:val>
          <c:smooth val="0"/>
          <c:extLst>
            <c:ext xmlns:c16="http://schemas.microsoft.com/office/drawing/2014/chart" uri="{C3380CC4-5D6E-409C-BE32-E72D297353CC}">
              <c16:uniqueId val="{0000000C-4950-482B-8369-7F50BC2B3227}"/>
            </c:ext>
          </c:extLst>
        </c:ser>
        <c:ser>
          <c:idx val="1"/>
          <c:order val="1"/>
          <c:tx>
            <c:strRef>
              <c:f>Sheet1!$A$66</c:f>
              <c:strCache>
                <c:ptCount val="1"/>
                <c:pt idx="0">
                  <c:v>Volume growth</c:v>
                </c:pt>
              </c:strCache>
            </c:strRef>
          </c:tx>
          <c:spPr>
            <a:ln>
              <a:solidFill>
                <a:schemeClr val="accent5"/>
              </a:solidFill>
            </a:ln>
          </c:spPr>
          <c:marker>
            <c:symbol val="none"/>
          </c:marker>
          <c:dLbls>
            <c:dLbl>
              <c:idx val="0"/>
              <c:layout>
                <c:manualLayout>
                  <c:x val="-3.8663758336473515E-2"/>
                  <c:y val="-1.6284638656779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950-482B-8369-7F50BC2B3227}"/>
                </c:ext>
              </c:extLst>
            </c:dLbl>
            <c:dLbl>
              <c:idx val="3"/>
              <c:layout>
                <c:manualLayout>
                  <c:x val="-2.4672519793166498E-2"/>
                  <c:y val="3.351498062348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950-482B-8369-7F50BC2B3227}"/>
                </c:ext>
              </c:extLst>
            </c:dLbl>
            <c:dLbl>
              <c:idx val="4"/>
              <c:layout>
                <c:manualLayout>
                  <c:x val="-2.4163268159799151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950-482B-8369-7F50BC2B3227}"/>
                </c:ext>
              </c:extLst>
            </c:dLbl>
            <c:dLbl>
              <c:idx val="5"/>
              <c:layout>
                <c:manualLayout>
                  <c:x val="-2.1839003052101652E-2"/>
                  <c:y val="2.3138299810546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950-482B-8369-7F50BC2B3227}"/>
                </c:ext>
              </c:extLst>
            </c:dLbl>
            <c:dLbl>
              <c:idx val="6"/>
              <c:layout>
                <c:manualLayout>
                  <c:x val="-2.0533236137664852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950-482B-8369-7F50BC2B3227}"/>
                </c:ext>
              </c:extLst>
            </c:dLbl>
            <c:dLbl>
              <c:idx val="7"/>
              <c:layout>
                <c:manualLayout>
                  <c:x val="-3.1575961188850206E-2"/>
                  <c:y val="2.6612903225806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950-482B-8369-7F50BC2B3227}"/>
                </c:ext>
              </c:extLst>
            </c:dLbl>
            <c:dLbl>
              <c:idx val="8"/>
              <c:layout>
                <c:manualLayout>
                  <c:x val="-1.992808089141105E-2"/>
                  <c:y val="3.42277806743913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950-482B-8369-7F50BC2B3227}"/>
                </c:ext>
              </c:extLst>
            </c:dLbl>
            <c:dLbl>
              <c:idx val="9"/>
              <c:layout>
                <c:manualLayout>
                  <c:x val="-2.8589820939239265E-2"/>
                  <c:y val="3.9095747955750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950-482B-8369-7F50BC2B3227}"/>
                </c:ext>
              </c:extLst>
            </c:dLbl>
            <c:dLbl>
              <c:idx val="10"/>
              <c:layout>
                <c:manualLayout>
                  <c:x val="-3.5397444851892806E-2"/>
                  <c:y val="3.83440861315337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950-482B-8369-7F50BC2B3227}"/>
                </c:ext>
              </c:extLst>
            </c:dLbl>
            <c:dLbl>
              <c:idx val="11"/>
              <c:layout>
                <c:manualLayout>
                  <c:x val="-3.2938287003467057E-2"/>
                  <c:y val="3.90439986424698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950-482B-8369-7F50BC2B3227}"/>
                </c:ext>
              </c:extLst>
            </c:dLbl>
            <c:dLbl>
              <c:idx val="12"/>
              <c:layout>
                <c:manualLayout>
                  <c:x val="-2.8045278100028978E-2"/>
                  <c:y val="1.9508924390279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950-482B-8369-7F50BC2B3227}"/>
                </c:ext>
              </c:extLst>
            </c:dLbl>
            <c:dLbl>
              <c:idx val="13"/>
              <c:layout>
                <c:manualLayout>
                  <c:x val="-2.8232166423407545E-2"/>
                  <c:y val="3.1332514929843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950-482B-8369-7F50BC2B3227}"/>
                </c:ext>
              </c:extLst>
            </c:dLbl>
            <c:dLbl>
              <c:idx val="14"/>
              <c:layout>
                <c:manualLayout>
                  <c:x val="-2.6888223658378608E-2"/>
                  <c:y val="2.7237512827605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950-482B-8369-7F50BC2B3227}"/>
                </c:ext>
              </c:extLst>
            </c:dLbl>
            <c:dLbl>
              <c:idx val="15"/>
              <c:layout>
                <c:manualLayout>
                  <c:x val="-2.550151795139673E-2"/>
                  <c:y val="1.99741760735773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950-482B-8369-7F50BC2B3227}"/>
                </c:ext>
              </c:extLst>
            </c:dLbl>
            <c:dLbl>
              <c:idx val="16"/>
              <c:layout>
                <c:manualLayout>
                  <c:x val="-2.1762107687852764E-2"/>
                  <c:y val="1.7553063822234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950-482B-8369-7F50BC2B3227}"/>
                </c:ext>
              </c:extLst>
            </c:dLbl>
            <c:spPr>
              <a:noFill/>
              <a:ln>
                <a:noFill/>
              </a:ln>
              <a:effectLst/>
            </c:spPr>
            <c:txPr>
              <a:bodyPr/>
              <a:lstStyle/>
              <a:p>
                <a:pPr>
                  <a:defRPr>
                    <a:solidFill>
                      <a:schemeClr val="accent5">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Sheet1!$B$64:$M$64</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June '22</c:v>
                </c:pt>
              </c:strCache>
            </c:strRef>
          </c:cat>
          <c:val>
            <c:numRef>
              <c:f>Sheet1!$B$66:$M$66</c:f>
              <c:numCache>
                <c:formatCode>0%</c:formatCode>
                <c:ptCount val="12"/>
                <c:pt idx="0">
                  <c:v>5.0000000000000001E-3</c:v>
                </c:pt>
                <c:pt idx="1">
                  <c:v>9.7000000000000003E-2</c:v>
                </c:pt>
                <c:pt idx="2">
                  <c:v>0.153</c:v>
                </c:pt>
                <c:pt idx="3">
                  <c:v>9.7000000000000003E-2</c:v>
                </c:pt>
                <c:pt idx="4">
                  <c:v>0.1</c:v>
                </c:pt>
                <c:pt idx="5">
                  <c:v>0</c:v>
                </c:pt>
                <c:pt idx="6">
                  <c:v>-0.08</c:v>
                </c:pt>
                <c:pt idx="7">
                  <c:v>-2.5000000000000001E-2</c:v>
                </c:pt>
                <c:pt idx="8">
                  <c:v>-3.5999999999999997E-2</c:v>
                </c:pt>
                <c:pt idx="9">
                  <c:v>-4.8000000000000001E-2</c:v>
                </c:pt>
                <c:pt idx="10" formatCode="0.0%">
                  <c:v>-4.7E-2</c:v>
                </c:pt>
                <c:pt idx="11" formatCode="0.0%">
                  <c:v>-5.1999999999999998E-2</c:v>
                </c:pt>
              </c:numCache>
            </c:numRef>
          </c:val>
          <c:smooth val="0"/>
          <c:extLst>
            <c:ext xmlns:c16="http://schemas.microsoft.com/office/drawing/2014/chart" uri="{C3380CC4-5D6E-409C-BE32-E72D297353CC}">
              <c16:uniqueId val="{0000001C-4950-482B-8369-7F50BC2B3227}"/>
            </c:ext>
          </c:extLst>
        </c:ser>
        <c:ser>
          <c:idx val="2"/>
          <c:order val="2"/>
          <c:tx>
            <c:strRef>
              <c:f>Sheet1!$A$67</c:f>
              <c:strCache>
                <c:ptCount val="1"/>
                <c:pt idx="0">
                  <c:v>Dollars vs. 2019</c:v>
                </c:pt>
              </c:strCache>
            </c:strRef>
          </c:tx>
          <c:spPr>
            <a:ln>
              <a:noFill/>
            </a:ln>
          </c:spPr>
          <c:marker>
            <c:spPr>
              <a:ln>
                <a:noFill/>
              </a:ln>
            </c:spPr>
          </c:marker>
          <c:dLbls>
            <c:dLbl>
              <c:idx val="7"/>
              <c:layout>
                <c:manualLayout>
                  <c:x val="-2.4870184691729913E-2"/>
                  <c:y val="-2.1161474270535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950-482B-8369-7F50BC2B3227}"/>
                </c:ext>
              </c:extLst>
            </c:dLbl>
            <c:dLbl>
              <c:idx val="8"/>
              <c:layout>
                <c:manualLayout>
                  <c:x val="-3.0424541590033889E-2"/>
                  <c:y val="-2.4718602892409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950-482B-8369-7F50BC2B3227}"/>
                </c:ext>
              </c:extLst>
            </c:dLbl>
            <c:dLbl>
              <c:idx val="9"/>
              <c:layout>
                <c:manualLayout>
                  <c:x val="-2.9022767742298981E-2"/>
                  <c:y val="-2.3792098519060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950-482B-8369-7F50BC2B3227}"/>
                </c:ext>
              </c:extLst>
            </c:dLbl>
            <c:dLbl>
              <c:idx val="10"/>
              <c:layout>
                <c:manualLayout>
                  <c:x val="-2.6268246098989385E-2"/>
                  <c:y val="-1.802336964302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950-482B-8369-7F50BC2B3227}"/>
                </c:ext>
              </c:extLst>
            </c:dLbl>
            <c:dLbl>
              <c:idx val="11"/>
              <c:layout>
                <c:manualLayout>
                  <c:x val="-2.3030779625602561E-2"/>
                  <c:y val="-2.832015034535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950-482B-8369-7F50BC2B3227}"/>
                </c:ext>
              </c:extLst>
            </c:dLbl>
            <c:dLbl>
              <c:idx val="12"/>
              <c:layout>
                <c:manualLayout>
                  <c:x val="-2.8577602453530172E-2"/>
                  <c:y val="-2.6011896239898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950-482B-8369-7F50BC2B3227}"/>
                </c:ext>
              </c:extLst>
            </c:dLbl>
            <c:dLbl>
              <c:idx val="13"/>
              <c:layout>
                <c:manualLayout>
                  <c:x val="-2.1825119143991344E-2"/>
                  <c:y val="-1.8917744863301604E-2"/>
                </c:manualLayout>
              </c:layout>
              <c:showLegendKey val="0"/>
              <c:showVal val="1"/>
              <c:showCatName val="0"/>
              <c:showSerName val="0"/>
              <c:showPercent val="0"/>
              <c:showBubbleSize val="0"/>
              <c:extLst>
                <c:ext xmlns:c15="http://schemas.microsoft.com/office/drawing/2012/chart" uri="{CE6537A1-D6FC-4f65-9D91-7224C49458BB}">
                  <c15:layout>
                    <c:manualLayout>
                      <c:w val="3.606821543859863E-2"/>
                      <c:h val="3.5106127644469388E-2"/>
                    </c:manualLayout>
                  </c15:layout>
                </c:ext>
                <c:ext xmlns:c16="http://schemas.microsoft.com/office/drawing/2014/chart" uri="{C3380CC4-5D6E-409C-BE32-E72D297353CC}">
                  <c16:uniqueId val="{00000023-4950-482B-8369-7F50BC2B3227}"/>
                </c:ext>
              </c:extLst>
            </c:dLbl>
            <c:dLbl>
              <c:idx val="14"/>
              <c:layout>
                <c:manualLayout>
                  <c:x val="-2.7734114139637552E-2"/>
                  <c:y val="-2.4211122513427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950-482B-8369-7F50BC2B3227}"/>
                </c:ext>
              </c:extLst>
            </c:dLbl>
            <c:dLbl>
              <c:idx val="15"/>
              <c:layout>
                <c:manualLayout>
                  <c:x val="-3.1894231260583286E-2"/>
                  <c:y val="-2.4211122513427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950-482B-8369-7F50BC2B3227}"/>
                </c:ext>
              </c:extLst>
            </c:dLbl>
            <c:dLbl>
              <c:idx val="16"/>
              <c:layout>
                <c:manualLayout>
                  <c:x val="-2.3573997018691919E-2"/>
                  <c:y val="-2.6632234764769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950-482B-8369-7F50BC2B3227}"/>
                </c:ext>
              </c:extLst>
            </c:dLbl>
            <c:spPr>
              <a:noFill/>
              <a:ln>
                <a:noFill/>
              </a:ln>
              <a:effectLst/>
            </c:spPr>
            <c:txPr>
              <a:bodyPr wrap="square" lIns="38100" tIns="19050" rIns="38100" bIns="19050" anchor="ctr">
                <a:spAutoFit/>
              </a:bodyPr>
              <a:lstStyle/>
              <a:p>
                <a:pPr>
                  <a:defRPr>
                    <a:solidFill>
                      <a:schemeClr val="accent3">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Sheet1!$B$64:$M$64</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June '22</c:v>
                </c:pt>
              </c:strCache>
            </c:strRef>
          </c:cat>
          <c:val>
            <c:numRef>
              <c:f>Sheet1!$B$67:$M$67</c:f>
              <c:numCache>
                <c:formatCode>General</c:formatCode>
                <c:ptCount val="12"/>
                <c:pt idx="5" formatCode="0%">
                  <c:v>0.12</c:v>
                </c:pt>
                <c:pt idx="6" formatCode="0%">
                  <c:v>0.13900000000000001</c:v>
                </c:pt>
                <c:pt idx="7" formatCode="0%">
                  <c:v>0.14499999999999999</c:v>
                </c:pt>
                <c:pt idx="8" formatCode="0%">
                  <c:v>0.17499999999999999</c:v>
                </c:pt>
                <c:pt idx="9" formatCode="0%">
                  <c:v>0.17199999999999999</c:v>
                </c:pt>
                <c:pt idx="10" formatCode="0.0%">
                  <c:v>0.18</c:v>
                </c:pt>
                <c:pt idx="11" formatCode="0.0%">
                  <c:v>0.17599999999999999</c:v>
                </c:pt>
              </c:numCache>
            </c:numRef>
          </c:val>
          <c:smooth val="0"/>
          <c:extLst>
            <c:ext xmlns:c16="http://schemas.microsoft.com/office/drawing/2014/chart" uri="{C3380CC4-5D6E-409C-BE32-E72D297353CC}">
              <c16:uniqueId val="{00000027-4950-482B-8369-7F50BC2B3227}"/>
            </c:ext>
          </c:extLst>
        </c:ser>
        <c:ser>
          <c:idx val="3"/>
          <c:order val="3"/>
          <c:tx>
            <c:strRef>
              <c:f>Sheet1!$A$68</c:f>
              <c:strCache>
                <c:ptCount val="1"/>
                <c:pt idx="0">
                  <c:v>Volume vs. 2019</c:v>
                </c:pt>
              </c:strCache>
            </c:strRef>
          </c:tx>
          <c:spPr>
            <a:ln>
              <a:noFill/>
            </a:ln>
          </c:spPr>
          <c:marker>
            <c:symbol val="square"/>
            <c:size val="5"/>
            <c:spPr>
              <a:solidFill>
                <a:srgbClr val="7030A0"/>
              </a:solidFill>
              <a:ln>
                <a:noFill/>
              </a:ln>
            </c:spPr>
          </c:marker>
          <c:dLbls>
            <c:dLbl>
              <c:idx val="7"/>
              <c:layout>
                <c:manualLayout>
                  <c:x val="-1.9342251634456464E-2"/>
                  <c:y val="-2.1370986267718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4950-482B-8369-7F50BC2B3227}"/>
                </c:ext>
              </c:extLst>
            </c:dLbl>
            <c:dLbl>
              <c:idx val="8"/>
              <c:layout>
                <c:manualLayout>
                  <c:x val="-1.9345964074931898E-2"/>
                  <c:y val="-2.1370986267718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950-482B-8369-7F50BC2B3227}"/>
                </c:ext>
              </c:extLst>
            </c:dLbl>
            <c:dLbl>
              <c:idx val="9"/>
              <c:layout>
                <c:manualLayout>
                  <c:x val="-1.9334717564079999E-2"/>
                  <c:y val="-2.2297490641066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4950-482B-8369-7F50BC2B3227}"/>
                </c:ext>
              </c:extLst>
            </c:dLbl>
            <c:dLbl>
              <c:idx val="10"/>
              <c:layout>
                <c:manualLayout>
                  <c:x val="-2.0725135711537262E-2"/>
                  <c:y val="-2.4718602892409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4950-482B-8369-7F50BC2B3227}"/>
                </c:ext>
              </c:extLst>
            </c:dLbl>
            <c:dLbl>
              <c:idx val="11"/>
              <c:layout>
                <c:manualLayout>
                  <c:x val="-5.1055987683198455E-3"/>
                  <c:y val="-1.19988242358160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4950-482B-8369-7F50BC2B3227}"/>
                </c:ext>
              </c:extLst>
            </c:dLbl>
            <c:dLbl>
              <c:idx val="12"/>
              <c:layout>
                <c:manualLayout>
                  <c:x val="-2.0302572633897901E-2"/>
                  <c:y val="-2.3647213061500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4950-482B-8369-7F50BC2B3227}"/>
                </c:ext>
              </c:extLst>
            </c:dLbl>
            <c:dLbl>
              <c:idx val="13"/>
              <c:layout>
                <c:manualLayout>
                  <c:x val="-2.4553259036990436E-2"/>
                  <c:y val="-1.8917744863301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4950-482B-8369-7F50BC2B3227}"/>
                </c:ext>
              </c:extLst>
            </c:dLbl>
            <c:dLbl>
              <c:idx val="14"/>
              <c:layout>
                <c:manualLayout>
                  <c:x val="-2.3573997018692019E-2"/>
                  <c:y val="-1.9368898010741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4950-482B-8369-7F50BC2B3227}"/>
                </c:ext>
              </c:extLst>
            </c:dLbl>
            <c:dLbl>
              <c:idx val="15"/>
              <c:layout>
                <c:manualLayout>
                  <c:x val="-2.0800585604728163E-2"/>
                  <c:y val="-1.2105561256713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4950-482B-8369-7F50BC2B3227}"/>
                </c:ext>
              </c:extLst>
            </c:dLbl>
            <c:dLbl>
              <c:idx val="16"/>
              <c:layout>
                <c:manualLayout>
                  <c:x val="-2.3573997018691919E-2"/>
                  <c:y val="-2.42111225134272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4950-482B-8369-7F50BC2B3227}"/>
                </c:ext>
              </c:extLst>
            </c:dLbl>
            <c:spPr>
              <a:noFill/>
              <a:ln>
                <a:noFill/>
              </a:ln>
              <a:effectLst/>
            </c:spPr>
            <c:txPr>
              <a:bodyPr wrap="square" lIns="38100" tIns="19050" rIns="38100" bIns="19050" anchor="ctr">
                <a:spAutoFit/>
              </a:bodyPr>
              <a:lstStyle/>
              <a:p>
                <a:pPr>
                  <a:defRPr>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Sheet1!$B$64:$M$64</c:f>
              <c:strCache>
                <c:ptCount val="12"/>
                <c:pt idx="0">
                  <c:v>2019</c:v>
                </c:pt>
                <c:pt idx="1">
                  <c:v>Q1 '20</c:v>
                </c:pt>
                <c:pt idx="2">
                  <c:v>Q2 '20</c:v>
                </c:pt>
                <c:pt idx="3">
                  <c:v>Q3 '20</c:v>
                </c:pt>
                <c:pt idx="4">
                  <c:v>Q4 '20</c:v>
                </c:pt>
                <c:pt idx="5">
                  <c:v>Q1 '21</c:v>
                </c:pt>
                <c:pt idx="6">
                  <c:v>Q2 '21</c:v>
                </c:pt>
                <c:pt idx="7">
                  <c:v>Q3 '21</c:v>
                </c:pt>
                <c:pt idx="8">
                  <c:v>Q4 '21</c:v>
                </c:pt>
                <c:pt idx="9">
                  <c:v>Q1 '22</c:v>
                </c:pt>
                <c:pt idx="10">
                  <c:v>Q2 '22</c:v>
                </c:pt>
                <c:pt idx="11">
                  <c:v>June '22</c:v>
                </c:pt>
              </c:strCache>
            </c:strRef>
          </c:cat>
          <c:val>
            <c:numRef>
              <c:f>Sheet1!$B$68:$M$68</c:f>
              <c:numCache>
                <c:formatCode>General</c:formatCode>
                <c:ptCount val="12"/>
                <c:pt idx="5" formatCode="0%">
                  <c:v>9.5000000000000001E-2</c:v>
                </c:pt>
                <c:pt idx="6" formatCode="0%">
                  <c:v>6.0999999999999999E-2</c:v>
                </c:pt>
                <c:pt idx="7" formatCode="0%">
                  <c:v>6.9000000000000006E-2</c:v>
                </c:pt>
                <c:pt idx="8" formatCode="0%">
                  <c:v>6.0999999999999999E-2</c:v>
                </c:pt>
                <c:pt idx="9" formatCode="0%">
                  <c:v>4.3999999999999997E-2</c:v>
                </c:pt>
                <c:pt idx="10" formatCode="0.0%">
                  <c:v>8.0000000000000002E-3</c:v>
                </c:pt>
                <c:pt idx="11" formatCode="0.0%">
                  <c:v>1.0999999999999999E-2</c:v>
                </c:pt>
              </c:numCache>
            </c:numRef>
          </c:val>
          <c:smooth val="0"/>
          <c:extLst>
            <c:ext xmlns:c16="http://schemas.microsoft.com/office/drawing/2014/chart" uri="{C3380CC4-5D6E-409C-BE32-E72D297353CC}">
              <c16:uniqueId val="{00000032-4950-482B-8369-7F50BC2B3227}"/>
            </c:ext>
          </c:extLst>
        </c:ser>
        <c:dLbls>
          <c:showLegendKey val="0"/>
          <c:showVal val="1"/>
          <c:showCatName val="0"/>
          <c:showSerName val="0"/>
          <c:showPercent val="0"/>
          <c:showBubbleSize val="0"/>
        </c:dLbls>
        <c:smooth val="0"/>
        <c:axId val="147973248"/>
        <c:axId val="147974784"/>
      </c:lineChart>
      <c:catAx>
        <c:axId val="147973248"/>
        <c:scaling>
          <c:orientation val="minMax"/>
        </c:scaling>
        <c:delete val="0"/>
        <c:axPos val="b"/>
        <c:numFmt formatCode="General" sourceLinked="0"/>
        <c:majorTickMark val="none"/>
        <c:minorTickMark val="none"/>
        <c:tickLblPos val="nextTo"/>
        <c:crossAx val="147974784"/>
        <c:crosses val="autoZero"/>
        <c:auto val="1"/>
        <c:lblAlgn val="ctr"/>
        <c:lblOffset val="100"/>
        <c:noMultiLvlLbl val="0"/>
      </c:catAx>
      <c:valAx>
        <c:axId val="147974784"/>
        <c:scaling>
          <c:orientation val="minMax"/>
        </c:scaling>
        <c:delete val="1"/>
        <c:axPos val="l"/>
        <c:numFmt formatCode="0%" sourceLinked="1"/>
        <c:majorTickMark val="none"/>
        <c:minorTickMark val="none"/>
        <c:tickLblPos val="none"/>
        <c:crossAx val="147973248"/>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7BC50A1FC79394A9023C6A5DFA7A09D" ma:contentTypeVersion="13" ma:contentTypeDescription="Create a new document." ma:contentTypeScope="" ma:versionID="79705aaae5de6f9ed494cfeb67a4f3c7">
  <xsd:schema xmlns:xsd="http://www.w3.org/2001/XMLSchema" xmlns:xs="http://www.w3.org/2001/XMLSchema" xmlns:p="http://schemas.microsoft.com/office/2006/metadata/properties" xmlns:ns3="4f61ba3f-198b-401e-8f2f-b2c662dca9cb" xmlns:ns4="b9b95171-1552-4127-953a-44d049f6e73c" targetNamespace="http://schemas.microsoft.com/office/2006/metadata/properties" ma:root="true" ma:fieldsID="b556130ecffddc83dc8ca6d01a721ba0" ns3:_="" ns4:_="">
    <xsd:import namespace="4f61ba3f-198b-401e-8f2f-b2c662dca9cb"/>
    <xsd:import namespace="b9b95171-1552-4127-953a-44d049f6e7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1ba3f-198b-401e-8f2f-b2c662dca9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95171-1552-4127-953a-44d049f6e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B094F-237B-42B9-A007-1B37B12C3D19}">
  <ds:schemaRefs>
    <ds:schemaRef ds:uri="http://schemas.microsoft.com/sharepoint/v3/contenttype/forms"/>
  </ds:schemaRefs>
</ds:datastoreItem>
</file>

<file path=customXml/itemProps2.xml><?xml version="1.0" encoding="utf-8"?>
<ds:datastoreItem xmlns:ds="http://schemas.openxmlformats.org/officeDocument/2006/customXml" ds:itemID="{A489BB5F-1791-4D16-A7A4-E5D20A12264F}">
  <ds:schemaRefs>
    <ds:schemaRef ds:uri="http://schemas.openxmlformats.org/officeDocument/2006/bibliography"/>
  </ds:schemaRefs>
</ds:datastoreItem>
</file>

<file path=customXml/itemProps3.xml><?xml version="1.0" encoding="utf-8"?>
<ds:datastoreItem xmlns:ds="http://schemas.openxmlformats.org/officeDocument/2006/customXml" ds:itemID="{31812EC2-62BE-486D-9F59-FCA11438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1ba3f-198b-401e-8f2f-b2c662dca9cb"/>
    <ds:schemaRef ds:uri="b9b95171-1552-4127-953a-44d049f6e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3BEEF-BB43-4692-BD09-7A0D07B70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2</cp:revision>
  <dcterms:created xsi:type="dcterms:W3CDTF">2022-07-10T22:06:00Z</dcterms:created>
  <dcterms:modified xsi:type="dcterms:W3CDTF">2022-07-10T22:06:00Z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0x010100F7BC50A1FC79394A9023C6A5DFA7A09D</vt:lpwstr>
  </property>
</Properties>
</file>