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2E929871" w:rsidR="003935EB" w:rsidRPr="001D030C" w:rsidRDefault="000C73F6"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Consumers Carefully Navigate Produce Purchase amid High Inflation</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lang w:val="nl-NL" w:eastAsia="nl-NL"/>
        </w:rPr>
        <w:drawing>
          <wp:anchor distT="0" distB="0" distL="114300" distR="114300" simplePos="0" relativeHeight="251659264" behindDoc="0" locked="1" layoutInCell="1" allowOverlap="1" wp14:anchorId="124ABB56" wp14:editId="64FF5AC3">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28E9081C" w14:textId="77777777" w:rsidR="00737671" w:rsidRPr="00737671" w:rsidRDefault="00737671" w:rsidP="00737671">
      <w:pPr>
        <w:pStyle w:val="NoSpacing"/>
        <w:rPr>
          <w:sz w:val="20"/>
          <w:szCs w:val="20"/>
        </w:rPr>
      </w:pPr>
      <w:r w:rsidRPr="00737671">
        <w:rPr>
          <w:rFonts w:ascii="Arial" w:hAnsi="Arial" w:cs="Arial"/>
          <w:b/>
          <w:bCs/>
          <w:color w:val="595959"/>
          <w:sz w:val="20"/>
          <w:szCs w:val="20"/>
        </w:rPr>
        <w:t>The July Marketplace</w:t>
      </w:r>
    </w:p>
    <w:p w14:paraId="19AC6B5A" w14:textId="065D8F77" w:rsidR="00737671" w:rsidRPr="00737671" w:rsidRDefault="00737671" w:rsidP="00737671">
      <w:pPr>
        <w:pStyle w:val="NoSpacing"/>
        <w:rPr>
          <w:rFonts w:ascii="Calibri" w:hAnsi="Calibri" w:cs="Calibri"/>
          <w:sz w:val="20"/>
          <w:szCs w:val="20"/>
        </w:rPr>
      </w:pPr>
      <w:r w:rsidRPr="00737671">
        <w:rPr>
          <w:rFonts w:ascii="Arial" w:hAnsi="Arial" w:cs="Arial"/>
          <w:sz w:val="20"/>
          <w:szCs w:val="20"/>
        </w:rPr>
        <w:t>Despite some consumers pointing to planning to eat out less often to save money during these inflationary times, 80% of consumers have ordered from or eaten at a restaurant in the past few weeks. More than half, 54%, have ordered restaurant takeout and 49% have dined in. Restaurant engagement is far higher among households in their prime child-rearing years: Older Millennials and Gen X, shoppers ages 32 to 56. “During the early years of the pandemic, we talked a lot about the very different pressures on time. Generally speaking, consumers commut</w:t>
      </w:r>
      <w:r>
        <w:rPr>
          <w:rFonts w:ascii="Arial" w:hAnsi="Arial" w:cs="Arial"/>
          <w:sz w:val="20"/>
          <w:szCs w:val="20"/>
        </w:rPr>
        <w:t>ed less</w:t>
      </w:r>
      <w:r w:rsidRPr="00737671">
        <w:rPr>
          <w:rFonts w:ascii="Arial" w:hAnsi="Arial" w:cs="Arial"/>
          <w:sz w:val="20"/>
          <w:szCs w:val="20"/>
        </w:rPr>
        <w:t xml:space="preserve"> plus weekend and evening activities were cancelled. However, parents were juggling work and home schooling,” noted Jonna Parker, Team Lead Fresh at IRI. “Overall, those early pandemic months saw lower consumer mobility and more time in the kitchen. As life’s hecticness has resumed, the eternal battle between time</w:t>
      </w:r>
      <w:r w:rsidR="001E60A9">
        <w:rPr>
          <w:rFonts w:ascii="Arial" w:hAnsi="Arial" w:cs="Arial"/>
          <w:sz w:val="20"/>
          <w:szCs w:val="20"/>
        </w:rPr>
        <w:t>/</w:t>
      </w:r>
      <w:r w:rsidRPr="00737671">
        <w:rPr>
          <w:rFonts w:ascii="Arial" w:hAnsi="Arial" w:cs="Arial"/>
          <w:sz w:val="20"/>
          <w:szCs w:val="20"/>
        </w:rPr>
        <w:t>convenience</w:t>
      </w:r>
      <w:r w:rsidR="001E60A9">
        <w:rPr>
          <w:rFonts w:ascii="Arial" w:hAnsi="Arial" w:cs="Arial"/>
          <w:sz w:val="20"/>
          <w:szCs w:val="20"/>
        </w:rPr>
        <w:t>, healthfulness</w:t>
      </w:r>
      <w:r w:rsidRPr="00737671">
        <w:rPr>
          <w:rFonts w:ascii="Arial" w:hAnsi="Arial" w:cs="Arial"/>
          <w:sz w:val="20"/>
          <w:szCs w:val="20"/>
        </w:rPr>
        <w:t xml:space="preserve"> and money has intensified in the past year. This has resulted in very complex consumption and shopping patterns. We see the same household take to scratch cooking one day and value-added or deli solutions the next. We see ultra-premium and pure value items in the same basket. We see consumers switch seamlessly between quick frozen meal solutions or fresh meal kits and spending hours on cooking meat on the smoker. There</w:t>
      </w:r>
      <w:r w:rsidR="00854F55">
        <w:rPr>
          <w:rFonts w:ascii="Arial" w:hAnsi="Arial" w:cs="Arial"/>
          <w:sz w:val="20"/>
          <w:szCs w:val="20"/>
        </w:rPr>
        <w:t xml:space="preserve"> i</w:t>
      </w:r>
      <w:r w:rsidRPr="00737671">
        <w:rPr>
          <w:rFonts w:ascii="Arial" w:hAnsi="Arial" w:cs="Arial"/>
          <w:sz w:val="20"/>
          <w:szCs w:val="20"/>
        </w:rPr>
        <w:t>s no one</w:t>
      </w:r>
      <w:r>
        <w:rPr>
          <w:rFonts w:ascii="Arial" w:hAnsi="Arial" w:cs="Arial"/>
          <w:sz w:val="20"/>
          <w:szCs w:val="20"/>
        </w:rPr>
        <w:t>-</w:t>
      </w:r>
      <w:r w:rsidRPr="00737671">
        <w:rPr>
          <w:rFonts w:ascii="Arial" w:hAnsi="Arial" w:cs="Arial"/>
          <w:sz w:val="20"/>
          <w:szCs w:val="20"/>
        </w:rPr>
        <w:t>size</w:t>
      </w:r>
      <w:r>
        <w:rPr>
          <w:rFonts w:ascii="Arial" w:hAnsi="Arial" w:cs="Arial"/>
          <w:sz w:val="20"/>
          <w:szCs w:val="20"/>
        </w:rPr>
        <w:t>-</w:t>
      </w:r>
      <w:r w:rsidRPr="00737671">
        <w:rPr>
          <w:rFonts w:ascii="Arial" w:hAnsi="Arial" w:cs="Arial"/>
          <w:sz w:val="20"/>
          <w:szCs w:val="20"/>
        </w:rPr>
        <w:t>fits</w:t>
      </w:r>
      <w:r>
        <w:rPr>
          <w:rFonts w:ascii="Arial" w:hAnsi="Arial" w:cs="Arial"/>
          <w:sz w:val="20"/>
          <w:szCs w:val="20"/>
        </w:rPr>
        <w:t>-</w:t>
      </w:r>
      <w:r w:rsidRPr="00737671">
        <w:rPr>
          <w:rFonts w:ascii="Arial" w:hAnsi="Arial" w:cs="Arial"/>
          <w:sz w:val="20"/>
          <w:szCs w:val="20"/>
        </w:rPr>
        <w:t xml:space="preserve">all way to handle inflationary pressures in 2022.” </w:t>
      </w:r>
    </w:p>
    <w:p w14:paraId="069F146B" w14:textId="77777777" w:rsidR="00737671" w:rsidRPr="00737671" w:rsidRDefault="00737671" w:rsidP="00737671">
      <w:pPr>
        <w:pStyle w:val="NoSpacing"/>
        <w:rPr>
          <w:rFonts w:ascii="Times New Roman" w:hAnsi="Times New Roman" w:cs="Times New Roman"/>
          <w:sz w:val="20"/>
          <w:szCs w:val="20"/>
        </w:rPr>
      </w:pPr>
      <w:r w:rsidRPr="00737671">
        <w:rPr>
          <w:rFonts w:ascii="Arial" w:hAnsi="Arial" w:cs="Arial"/>
          <w:sz w:val="20"/>
          <w:szCs w:val="20"/>
        </w:rPr>
        <w:t> </w:t>
      </w:r>
    </w:p>
    <w:p w14:paraId="1FDF139B" w14:textId="77777777" w:rsidR="00737671" w:rsidRPr="00737671" w:rsidRDefault="00737671" w:rsidP="00737671">
      <w:pPr>
        <w:pStyle w:val="NoSpacing"/>
        <w:rPr>
          <w:sz w:val="20"/>
          <w:szCs w:val="20"/>
        </w:rPr>
      </w:pPr>
      <w:r w:rsidRPr="00737671">
        <w:rPr>
          <w:rFonts w:ascii="Arial" w:hAnsi="Arial" w:cs="Arial"/>
          <w:sz w:val="20"/>
          <w:szCs w:val="20"/>
        </w:rPr>
        <w:t xml:space="preserve">“Inflation, COVID and consumer mobility continue to change shopping and consumption patterns,” agreed Joe Watson, VP, Retail, Foodservice &amp; Wholesale for IFPA. “The consumer reactions to the current environment combined with supply side volatility are keeping all of us on our toes to understand the latest trends and quickly pivot accordingly. IRI, 210 Analytics and IFPA are committed to bringing the latest trends and analysis relative to the produce department.” </w:t>
      </w:r>
    </w:p>
    <w:p w14:paraId="4BFFE6C4" w14:textId="77777777" w:rsidR="00737671" w:rsidRPr="00737671" w:rsidRDefault="00737671" w:rsidP="00737671">
      <w:pPr>
        <w:pStyle w:val="NoSpacing"/>
        <w:rPr>
          <w:sz w:val="20"/>
          <w:szCs w:val="20"/>
        </w:rPr>
      </w:pPr>
      <w:r w:rsidRPr="00737671">
        <w:rPr>
          <w:rFonts w:ascii="Arial" w:hAnsi="Arial" w:cs="Arial"/>
          <w:sz w:val="20"/>
          <w:szCs w:val="20"/>
        </w:rPr>
        <w:t> </w:t>
      </w:r>
    </w:p>
    <w:p w14:paraId="3344D5A7" w14:textId="77777777" w:rsidR="00737671" w:rsidRPr="00737671" w:rsidRDefault="00737671" w:rsidP="00737671">
      <w:pPr>
        <w:pStyle w:val="NoSpacing"/>
        <w:rPr>
          <w:sz w:val="20"/>
          <w:szCs w:val="20"/>
        </w:rPr>
      </w:pPr>
      <w:r w:rsidRPr="00737671">
        <w:rPr>
          <w:rFonts w:ascii="Arial" w:hAnsi="Arial" w:cs="Arial"/>
          <w:sz w:val="20"/>
          <w:szCs w:val="20"/>
        </w:rPr>
        <w:t xml:space="preserve">The July edition of the IRI monthly survey of primary shoppers underscores the market complexity. </w:t>
      </w:r>
    </w:p>
    <w:p w14:paraId="72C54972" w14:textId="77777777" w:rsidR="00737671" w:rsidRPr="00737671" w:rsidRDefault="00737671" w:rsidP="00854F55">
      <w:pPr>
        <w:pStyle w:val="NoSpacing"/>
        <w:numPr>
          <w:ilvl w:val="0"/>
          <w:numId w:val="28"/>
        </w:numPr>
        <w:rPr>
          <w:sz w:val="20"/>
          <w:szCs w:val="20"/>
        </w:rPr>
      </w:pPr>
      <w:r w:rsidRPr="00737671">
        <w:rPr>
          <w:rFonts w:ascii="Arial" w:hAnsi="Arial" w:cs="Arial"/>
          <w:sz w:val="20"/>
          <w:szCs w:val="20"/>
        </w:rPr>
        <w:t xml:space="preserve">Awareness of grocery inflation is widespread and consumers list examples of price inflation across virtually every department in the store. “Three-quarters of consumers mention fresh produce when reflecting on inflation,” said Parker. “Fresh produce has a very high trip frequency, making consumers ultra-aware of the price increases plus produce has always played a key role in store choice.” </w:t>
      </w:r>
    </w:p>
    <w:p w14:paraId="159F9C31" w14:textId="77777777" w:rsidR="00737671" w:rsidRPr="00737671" w:rsidRDefault="00737671" w:rsidP="00854F55">
      <w:pPr>
        <w:pStyle w:val="NoSpacing"/>
        <w:numPr>
          <w:ilvl w:val="0"/>
          <w:numId w:val="28"/>
        </w:numPr>
        <w:rPr>
          <w:sz w:val="20"/>
          <w:szCs w:val="20"/>
        </w:rPr>
      </w:pPr>
      <w:r w:rsidRPr="00737671">
        <w:rPr>
          <w:rFonts w:ascii="Arial" w:hAnsi="Arial" w:cs="Arial"/>
          <w:sz w:val="20"/>
          <w:szCs w:val="20"/>
        </w:rPr>
        <w:t xml:space="preserve">Unchanged from last month, eight in 10 grocery shoppers made changes to what and where they purchased. The dominant changes are looking for sales specials (49%), skipping non-essentials (44%), finding coupons (31%) and buying more private or other low-cost brands (32%). Despite the high gas prices, 17% cherry pick specials across retailers and 15% now do some of their shopping at lower-cost retailers. </w:t>
      </w:r>
    </w:p>
    <w:p w14:paraId="2737CE5B" w14:textId="77777777" w:rsidR="00737671" w:rsidRPr="00737671" w:rsidRDefault="00737671" w:rsidP="00854F55">
      <w:pPr>
        <w:pStyle w:val="NoSpacing"/>
        <w:numPr>
          <w:ilvl w:val="0"/>
          <w:numId w:val="28"/>
        </w:numPr>
        <w:rPr>
          <w:sz w:val="20"/>
          <w:szCs w:val="20"/>
        </w:rPr>
      </w:pPr>
      <w:r w:rsidRPr="00737671">
        <w:rPr>
          <w:rFonts w:ascii="Arial" w:hAnsi="Arial" w:cs="Arial"/>
          <w:sz w:val="20"/>
          <w:szCs w:val="20"/>
        </w:rPr>
        <w:t xml:space="preserve">Sales specials, while popular, are only slowly gearing up and are still far below pre-pandemic levels. Consumers are taking notice: 54% say fewer of the items they want are on sale and 44% say items are not discounted as much as they used to be. “Promotions remain extremely relevant in today’s marketplace,” Watson noted. “Creative approaches such as shorter durations or cross-promotions may help deliver the value consumers are looking for. We also cannot underestimate the power of education with value in mind. To Jonna’s point, consumers are very aware of inflation. How can produce help? How can eggplant parm deliver a nutritious, delicious and cost-saving alternative? How can mushrooms help stretch consumers’ meat dollar? Produce has a much lower cost per pound than many other items and we have an opportunity to teach consumers about the true power of plant-based during times when there is a lot of pressure on the food dollar.” </w:t>
      </w:r>
    </w:p>
    <w:p w14:paraId="22F448A2" w14:textId="77777777" w:rsidR="00737671" w:rsidRPr="00737671" w:rsidRDefault="00737671" w:rsidP="00854F55">
      <w:pPr>
        <w:pStyle w:val="NoSpacing"/>
        <w:numPr>
          <w:ilvl w:val="0"/>
          <w:numId w:val="28"/>
        </w:numPr>
        <w:rPr>
          <w:sz w:val="20"/>
          <w:szCs w:val="20"/>
        </w:rPr>
      </w:pPr>
      <w:r w:rsidRPr="00737671">
        <w:rPr>
          <w:rFonts w:ascii="Arial" w:hAnsi="Arial" w:cs="Arial"/>
          <w:sz w:val="20"/>
          <w:szCs w:val="20"/>
        </w:rPr>
        <w:t xml:space="preserve">The share of home-prepared meals dropped to its lowest point in years, at a consumer-estimated 78.2% of all meals. The average share of home-prepared meals is higher among low-income shoppers, at 78.9%, versus high-income shoppers, at 76.1%. </w:t>
      </w:r>
    </w:p>
    <w:p w14:paraId="109344F3" w14:textId="71E827D2" w:rsidR="00737671" w:rsidRPr="00737671" w:rsidRDefault="00737671" w:rsidP="00854F55">
      <w:pPr>
        <w:pStyle w:val="NoSpacing"/>
        <w:numPr>
          <w:ilvl w:val="0"/>
          <w:numId w:val="28"/>
        </w:numPr>
        <w:rPr>
          <w:sz w:val="20"/>
          <w:szCs w:val="20"/>
        </w:rPr>
      </w:pPr>
      <w:r w:rsidRPr="00737671">
        <w:rPr>
          <w:rFonts w:ascii="Arial" w:hAnsi="Arial" w:cs="Arial"/>
          <w:sz w:val="20"/>
          <w:szCs w:val="20"/>
        </w:rPr>
        <w:t xml:space="preserve">Online shopping jumped up in July to 19% of trips. </w:t>
      </w:r>
      <w:r w:rsidR="001E60A9">
        <w:rPr>
          <w:rFonts w:ascii="Arial" w:hAnsi="Arial" w:cs="Arial"/>
          <w:sz w:val="20"/>
          <w:szCs w:val="20"/>
        </w:rPr>
        <w:t xml:space="preserve">Convenience but also the ability to control </w:t>
      </w:r>
      <w:r w:rsidRPr="00737671">
        <w:rPr>
          <w:rFonts w:ascii="Arial" w:hAnsi="Arial" w:cs="Arial"/>
          <w:sz w:val="20"/>
          <w:szCs w:val="20"/>
        </w:rPr>
        <w:t>total basket spend</w:t>
      </w:r>
      <w:r w:rsidR="001E60A9">
        <w:rPr>
          <w:rFonts w:ascii="Arial" w:hAnsi="Arial" w:cs="Arial"/>
          <w:sz w:val="20"/>
          <w:szCs w:val="20"/>
        </w:rPr>
        <w:t xml:space="preserve"> are prime reasons to shop for groceries online</w:t>
      </w:r>
      <w:r w:rsidRPr="00737671">
        <w:rPr>
          <w:rFonts w:ascii="Arial" w:hAnsi="Arial" w:cs="Arial"/>
          <w:sz w:val="20"/>
          <w:szCs w:val="20"/>
        </w:rPr>
        <w:t xml:space="preserve">. </w:t>
      </w:r>
      <w:r w:rsidR="001E60A9">
        <w:rPr>
          <w:rFonts w:ascii="Arial" w:hAnsi="Arial" w:cs="Arial"/>
          <w:sz w:val="20"/>
          <w:szCs w:val="20"/>
        </w:rPr>
        <w:t>Additionally,</w:t>
      </w:r>
      <w:r w:rsidR="00C54BC5">
        <w:rPr>
          <w:rFonts w:ascii="Arial" w:hAnsi="Arial" w:cs="Arial"/>
          <w:sz w:val="20"/>
          <w:szCs w:val="20"/>
        </w:rPr>
        <w:t xml:space="preserve"> 26% of Americans were</w:t>
      </w:r>
      <w:r w:rsidRPr="00737671">
        <w:rPr>
          <w:rFonts w:ascii="Arial" w:hAnsi="Arial" w:cs="Arial"/>
          <w:sz w:val="20"/>
          <w:szCs w:val="20"/>
        </w:rPr>
        <w:t xml:space="preserve"> extremely concerned about COVID-19 in July. </w:t>
      </w:r>
      <w:r w:rsidR="00C54BC5">
        <w:rPr>
          <w:rFonts w:ascii="Arial" w:hAnsi="Arial" w:cs="Arial"/>
          <w:sz w:val="20"/>
          <w:szCs w:val="20"/>
        </w:rPr>
        <w:t>While less than half of the initial level of concern, it still means changed shopping and consumption patterns for one-quarter of Americans</w:t>
      </w:r>
      <w:r w:rsidRPr="00737671">
        <w:rPr>
          <w:rFonts w:ascii="Arial" w:hAnsi="Arial" w:cs="Arial"/>
          <w:sz w:val="20"/>
          <w:szCs w:val="20"/>
        </w:rPr>
        <w:t>.</w:t>
      </w:r>
    </w:p>
    <w:p w14:paraId="67004921" w14:textId="6F59550E" w:rsidR="0034772B" w:rsidRPr="0034772B" w:rsidRDefault="0034772B" w:rsidP="00941D8A">
      <w:pPr>
        <w:pStyle w:val="NoSpacing"/>
        <w:rPr>
          <w:rFonts w:ascii="Arial" w:hAnsi="Arial" w:cs="Arial"/>
          <w:color w:val="595959" w:themeColor="text1" w:themeTint="A6"/>
          <w:sz w:val="20"/>
          <w:szCs w:val="20"/>
        </w:rPr>
      </w:pPr>
    </w:p>
    <w:p w14:paraId="1AF2ED00" w14:textId="77777777" w:rsidR="00737671" w:rsidRDefault="00737671" w:rsidP="001F4BAF">
      <w:pPr>
        <w:pStyle w:val="NoSpacing"/>
        <w:rPr>
          <w:rFonts w:ascii="Arial" w:hAnsi="Arial" w:cs="Arial"/>
          <w:b/>
          <w:color w:val="595959" w:themeColor="text1" w:themeTint="A6"/>
          <w:sz w:val="24"/>
          <w:szCs w:val="20"/>
        </w:rPr>
      </w:pPr>
      <w:bookmarkStart w:id="0" w:name="_Hlk105831357"/>
    </w:p>
    <w:p w14:paraId="0C299734" w14:textId="00A02688" w:rsidR="001F4BAF" w:rsidRPr="00355721" w:rsidRDefault="001F4BAF" w:rsidP="001F4BAF">
      <w:pPr>
        <w:pStyle w:val="NoSpacing"/>
        <w:rPr>
          <w:rFonts w:ascii="Arial" w:hAnsi="Arial" w:cs="Arial"/>
          <w:b/>
          <w:color w:val="595959" w:themeColor="text1" w:themeTint="A6"/>
          <w:sz w:val="24"/>
          <w:szCs w:val="20"/>
        </w:rPr>
      </w:pPr>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6A53152B" w14:textId="71F8299F" w:rsidR="008A426C" w:rsidRDefault="008A426C" w:rsidP="008A426C">
      <w:pPr>
        <w:pStyle w:val="NoSpacing"/>
        <w:rPr>
          <w:rFonts w:ascii="Arial" w:hAnsi="Arial" w:cs="Arial"/>
          <w:color w:val="000000" w:themeColor="text1"/>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accelerated further to an increase of </w:t>
      </w:r>
      <w:r w:rsidR="003E0B5A">
        <w:rPr>
          <w:rFonts w:ascii="Arial" w:hAnsi="Arial" w:cs="Arial"/>
          <w:sz w:val="20"/>
          <w:szCs w:val="20"/>
        </w:rPr>
        <w:t>13.3</w:t>
      </w:r>
      <w:r>
        <w:rPr>
          <w:rFonts w:ascii="Arial" w:hAnsi="Arial" w:cs="Arial"/>
          <w:sz w:val="20"/>
          <w:szCs w:val="20"/>
        </w:rPr>
        <w:t>% in the f</w:t>
      </w:r>
      <w:r w:rsidR="003E0B5A">
        <w:rPr>
          <w:rFonts w:ascii="Arial" w:hAnsi="Arial" w:cs="Arial"/>
          <w:sz w:val="20"/>
          <w:szCs w:val="20"/>
        </w:rPr>
        <w:t>ive</w:t>
      </w:r>
      <w:r>
        <w:rPr>
          <w:rFonts w:ascii="Arial" w:hAnsi="Arial" w:cs="Arial"/>
          <w:sz w:val="20"/>
          <w:szCs w:val="20"/>
        </w:rPr>
        <w:t xml:space="preserve"> weeks ending Ju</w:t>
      </w:r>
      <w:r w:rsidR="003E0B5A">
        <w:rPr>
          <w:rFonts w:ascii="Arial" w:hAnsi="Arial" w:cs="Arial"/>
          <w:sz w:val="20"/>
          <w:szCs w:val="20"/>
        </w:rPr>
        <w:t>ly 31</w:t>
      </w:r>
      <w:r w:rsidR="003E0B5A" w:rsidRPr="003E0B5A">
        <w:rPr>
          <w:rFonts w:ascii="Arial" w:hAnsi="Arial" w:cs="Arial"/>
          <w:sz w:val="20"/>
          <w:szCs w:val="20"/>
          <w:vertAlign w:val="superscript"/>
        </w:rPr>
        <w:t>st</w:t>
      </w:r>
      <w:r>
        <w:rPr>
          <w:rFonts w:ascii="Arial" w:hAnsi="Arial" w:cs="Arial"/>
          <w:sz w:val="20"/>
          <w:szCs w:val="20"/>
        </w:rPr>
        <w:t>, 2022 (“Ju</w:t>
      </w:r>
      <w:r w:rsidR="003E0B5A">
        <w:rPr>
          <w:rFonts w:ascii="Arial" w:hAnsi="Arial" w:cs="Arial"/>
          <w:sz w:val="20"/>
          <w:szCs w:val="20"/>
        </w:rPr>
        <w:t>ly</w:t>
      </w:r>
      <w:r>
        <w:rPr>
          <w:rFonts w:ascii="Arial" w:hAnsi="Arial" w:cs="Arial"/>
          <w:sz w:val="20"/>
          <w:szCs w:val="20"/>
        </w:rPr>
        <w:t>”) versus year ago. This is up from +</w:t>
      </w:r>
      <w:r w:rsidR="003E0B5A">
        <w:rPr>
          <w:rFonts w:ascii="Arial" w:hAnsi="Arial" w:cs="Arial"/>
          <w:sz w:val="20"/>
          <w:szCs w:val="20"/>
        </w:rPr>
        <w:t>12.3</w:t>
      </w:r>
      <w:r>
        <w:rPr>
          <w:rFonts w:ascii="Arial" w:hAnsi="Arial" w:cs="Arial"/>
          <w:sz w:val="20"/>
          <w:szCs w:val="20"/>
        </w:rPr>
        <w:t xml:space="preserve">% in </w:t>
      </w:r>
      <w:r w:rsidR="003E0B5A">
        <w:rPr>
          <w:rFonts w:ascii="Arial" w:hAnsi="Arial" w:cs="Arial"/>
          <w:sz w:val="20"/>
          <w:szCs w:val="20"/>
        </w:rPr>
        <w:t xml:space="preserve">June. July </w:t>
      </w:r>
      <w:r>
        <w:rPr>
          <w:rFonts w:ascii="Arial" w:hAnsi="Arial" w:cs="Arial"/>
          <w:sz w:val="20"/>
          <w:szCs w:val="20"/>
        </w:rPr>
        <w:t xml:space="preserve">inflation was </w:t>
      </w:r>
      <w:r w:rsidR="003E0B5A">
        <w:rPr>
          <w:rFonts w:ascii="Arial" w:hAnsi="Arial" w:cs="Arial"/>
          <w:sz w:val="20"/>
          <w:szCs w:val="20"/>
        </w:rPr>
        <w:t xml:space="preserve">+15.3% </w:t>
      </w:r>
      <w:r>
        <w:rPr>
          <w:rFonts w:ascii="Arial" w:hAnsi="Arial" w:cs="Arial"/>
          <w:sz w:val="20"/>
          <w:szCs w:val="20"/>
        </w:rPr>
        <w:t>in the center of the store (</w:t>
      </w:r>
      <w:r w:rsidR="003E0B5A">
        <w:rPr>
          <w:rFonts w:ascii="Arial" w:hAnsi="Arial" w:cs="Arial"/>
          <w:sz w:val="20"/>
          <w:szCs w:val="20"/>
        </w:rPr>
        <w:t>grocery</w:t>
      </w:r>
      <w:r>
        <w:rPr>
          <w:rFonts w:ascii="Arial" w:hAnsi="Arial" w:cs="Arial"/>
          <w:sz w:val="20"/>
          <w:szCs w:val="20"/>
        </w:rPr>
        <w:t xml:space="preserve">) </w:t>
      </w:r>
      <w:r w:rsidR="003E0B5A">
        <w:rPr>
          <w:rFonts w:ascii="Arial" w:hAnsi="Arial" w:cs="Arial"/>
          <w:sz w:val="20"/>
          <w:szCs w:val="20"/>
        </w:rPr>
        <w:t xml:space="preserve">and +12.6% for </w:t>
      </w:r>
      <w:r>
        <w:rPr>
          <w:rFonts w:ascii="Arial" w:hAnsi="Arial" w:cs="Arial"/>
          <w:sz w:val="20"/>
          <w:szCs w:val="20"/>
        </w:rPr>
        <w:t>perishables</w:t>
      </w:r>
      <w:r w:rsidR="003E0B5A">
        <w:rPr>
          <w:rFonts w:ascii="Arial" w:hAnsi="Arial" w:cs="Arial"/>
          <w:sz w:val="20"/>
          <w:szCs w:val="20"/>
        </w:rPr>
        <w:t xml:space="preserve">. Compared with July </w:t>
      </w:r>
      <w:r>
        <w:rPr>
          <w:rFonts w:ascii="Arial" w:hAnsi="Arial" w:cs="Arial"/>
          <w:sz w:val="20"/>
          <w:szCs w:val="20"/>
        </w:rPr>
        <w:t>20</w:t>
      </w:r>
      <w:r w:rsidR="003E0B5A">
        <w:rPr>
          <w:rFonts w:ascii="Arial" w:hAnsi="Arial" w:cs="Arial"/>
          <w:sz w:val="20"/>
          <w:szCs w:val="20"/>
        </w:rPr>
        <w:t>19</w:t>
      </w:r>
      <w:r>
        <w:rPr>
          <w:rFonts w:ascii="Arial" w:hAnsi="Arial" w:cs="Arial"/>
          <w:sz w:val="20"/>
          <w:szCs w:val="20"/>
        </w:rPr>
        <w:t>, prices across all foods and beverages were up 2</w:t>
      </w:r>
      <w:r w:rsidR="003E0B5A">
        <w:rPr>
          <w:rFonts w:ascii="Arial" w:hAnsi="Arial" w:cs="Arial"/>
          <w:sz w:val="20"/>
          <w:szCs w:val="20"/>
        </w:rPr>
        <w:t>5.2</w:t>
      </w:r>
      <w:r>
        <w:rPr>
          <w:rFonts w:ascii="Arial" w:hAnsi="Arial" w:cs="Arial"/>
          <w:sz w:val="20"/>
          <w:szCs w:val="20"/>
        </w:rPr>
        <w:t xml:space="preserve">%. </w:t>
      </w:r>
    </w:p>
    <w:p w14:paraId="64B41038" w14:textId="77777777" w:rsidR="001F4BAF" w:rsidRDefault="001F4BAF" w:rsidP="001F4BAF">
      <w:pPr>
        <w:pStyle w:val="NoSpacing"/>
        <w:rPr>
          <w:rFonts w:ascii="Arial" w:hAnsi="Arial" w:cs="Arial"/>
          <w:b/>
          <w:color w:val="595959" w:themeColor="text1" w:themeTint="A6"/>
          <w:sz w:val="24"/>
          <w:szCs w:val="20"/>
        </w:rPr>
      </w:pPr>
    </w:p>
    <w:tbl>
      <w:tblPr>
        <w:tblStyle w:val="LightShading-Accent5"/>
        <w:tblW w:w="10319"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600"/>
        <w:gridCol w:w="1145"/>
        <w:gridCol w:w="1025"/>
        <w:gridCol w:w="1146"/>
        <w:gridCol w:w="1145"/>
        <w:gridCol w:w="1146"/>
        <w:gridCol w:w="1146"/>
        <w:gridCol w:w="966"/>
      </w:tblGrid>
      <w:tr w:rsidR="00E03ABC" w:rsidRPr="00770F6B" w14:paraId="60A985C7" w14:textId="77777777" w:rsidTr="00E03ABC">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00" w:type="dxa"/>
            <w:shd w:val="clear" w:color="auto" w:fill="17365D" w:themeFill="text2" w:themeFillShade="BF"/>
            <w:vAlign w:val="center"/>
          </w:tcPr>
          <w:p w14:paraId="6ADF1214" w14:textId="77777777" w:rsidR="001F4BAF" w:rsidRPr="00C37EEB" w:rsidRDefault="001F4BAF" w:rsidP="00951B01">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1145" w:type="dxa"/>
            <w:shd w:val="clear" w:color="auto" w:fill="17365D" w:themeFill="text2" w:themeFillShade="BF"/>
            <w:vAlign w:val="center"/>
          </w:tcPr>
          <w:p w14:paraId="0AC56C06" w14:textId="77777777" w:rsidR="001F4BAF" w:rsidRPr="006C208B" w:rsidRDefault="001F4BAF"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1025" w:type="dxa"/>
            <w:shd w:val="clear" w:color="auto" w:fill="17365D" w:themeFill="text2" w:themeFillShade="BF"/>
            <w:vAlign w:val="center"/>
          </w:tcPr>
          <w:p w14:paraId="52CDE53D" w14:textId="77777777" w:rsidR="001F4BAF" w:rsidRPr="006C208B" w:rsidRDefault="001F4BAF"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146" w:type="dxa"/>
            <w:shd w:val="clear" w:color="auto" w:fill="17365D" w:themeFill="text2" w:themeFillShade="BF"/>
            <w:vAlign w:val="center"/>
          </w:tcPr>
          <w:p w14:paraId="3FE044CE" w14:textId="77777777" w:rsidR="001F4BAF" w:rsidRPr="006C208B" w:rsidRDefault="001F4BAF"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145" w:type="dxa"/>
            <w:shd w:val="clear" w:color="auto" w:fill="17365D" w:themeFill="text2" w:themeFillShade="BF"/>
            <w:vAlign w:val="center"/>
          </w:tcPr>
          <w:p w14:paraId="19BC5F0A" w14:textId="77777777" w:rsidR="001F4BAF" w:rsidRPr="006C208B" w:rsidRDefault="001F4BAF"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146" w:type="dxa"/>
            <w:shd w:val="clear" w:color="auto" w:fill="17365D" w:themeFill="text2" w:themeFillShade="BF"/>
            <w:vAlign w:val="center"/>
          </w:tcPr>
          <w:p w14:paraId="6A96D20E" w14:textId="77777777" w:rsidR="001F4BAF" w:rsidRDefault="001F4BAF"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1146" w:type="dxa"/>
            <w:shd w:val="clear" w:color="auto" w:fill="17365D" w:themeFill="text2" w:themeFillShade="BF"/>
            <w:vAlign w:val="center"/>
          </w:tcPr>
          <w:p w14:paraId="3705519B" w14:textId="77777777" w:rsidR="001F4BAF" w:rsidRDefault="001F4BAF"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22</w:t>
            </w:r>
          </w:p>
        </w:tc>
        <w:tc>
          <w:tcPr>
            <w:tcW w:w="966" w:type="dxa"/>
            <w:shd w:val="clear" w:color="auto" w:fill="17365D" w:themeFill="text2" w:themeFillShade="BF"/>
            <w:vAlign w:val="center"/>
          </w:tcPr>
          <w:p w14:paraId="62187E13" w14:textId="0167F8AD" w:rsidR="001F4BAF" w:rsidRPr="006C208B" w:rsidRDefault="00951B01" w:rsidP="00951B01">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Jul </w:t>
            </w:r>
            <w:r w:rsidR="001F4BAF">
              <w:rPr>
                <w:rFonts w:ascii="Arial" w:hAnsi="Arial" w:cs="Arial"/>
                <w:color w:val="F2F2F2" w:themeColor="background1" w:themeShade="F2"/>
                <w:sz w:val="18"/>
                <w:szCs w:val="18"/>
              </w:rPr>
              <w:t>22</w:t>
            </w:r>
          </w:p>
        </w:tc>
      </w:tr>
      <w:tr w:rsidR="001F4BAF" w:rsidRPr="007F5087" w14:paraId="2B0F109B" w14:textId="77777777" w:rsidTr="00E03AB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00" w:type="dxa"/>
            <w:tcBorders>
              <w:left w:val="none" w:sz="0" w:space="0" w:color="auto"/>
              <w:right w:val="none" w:sz="0" w:space="0" w:color="auto"/>
            </w:tcBorders>
            <w:vAlign w:val="center"/>
          </w:tcPr>
          <w:p w14:paraId="627E0C31" w14:textId="77777777" w:rsidR="001F4BAF" w:rsidRPr="007F5087" w:rsidRDefault="001F4BAF" w:rsidP="00951B01">
            <w:pPr>
              <w:pStyle w:val="NoSpacing"/>
              <w:jc w:val="right"/>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Total food and beverages</w:t>
            </w:r>
          </w:p>
        </w:tc>
        <w:tc>
          <w:tcPr>
            <w:tcW w:w="1145" w:type="dxa"/>
            <w:tcBorders>
              <w:left w:val="none" w:sz="0" w:space="0" w:color="auto"/>
              <w:right w:val="none" w:sz="0" w:space="0" w:color="auto"/>
            </w:tcBorders>
            <w:vAlign w:val="center"/>
          </w:tcPr>
          <w:p w14:paraId="18A69908" w14:textId="7777777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+5.5%</w:t>
            </w:r>
          </w:p>
        </w:tc>
        <w:tc>
          <w:tcPr>
            <w:tcW w:w="1025" w:type="dxa"/>
            <w:tcBorders>
              <w:left w:val="none" w:sz="0" w:space="0" w:color="auto"/>
              <w:right w:val="none" w:sz="0" w:space="0" w:color="auto"/>
            </w:tcBorders>
            <w:vAlign w:val="center"/>
          </w:tcPr>
          <w:p w14:paraId="4A498A98" w14:textId="7777777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+2.7%</w:t>
            </w:r>
          </w:p>
        </w:tc>
        <w:tc>
          <w:tcPr>
            <w:tcW w:w="1146" w:type="dxa"/>
            <w:tcBorders>
              <w:left w:val="none" w:sz="0" w:space="0" w:color="auto"/>
              <w:right w:val="none" w:sz="0" w:space="0" w:color="auto"/>
            </w:tcBorders>
            <w:vAlign w:val="center"/>
          </w:tcPr>
          <w:p w14:paraId="0256B606" w14:textId="7777777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+5.0%</w:t>
            </w:r>
          </w:p>
        </w:tc>
        <w:tc>
          <w:tcPr>
            <w:tcW w:w="1145" w:type="dxa"/>
            <w:tcBorders>
              <w:left w:val="none" w:sz="0" w:space="0" w:color="auto"/>
              <w:right w:val="none" w:sz="0" w:space="0" w:color="auto"/>
            </w:tcBorders>
            <w:vAlign w:val="center"/>
          </w:tcPr>
          <w:p w14:paraId="5391BE9F" w14:textId="7777777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+8.0%</w:t>
            </w:r>
          </w:p>
        </w:tc>
        <w:tc>
          <w:tcPr>
            <w:tcW w:w="1146" w:type="dxa"/>
            <w:tcBorders>
              <w:left w:val="none" w:sz="0" w:space="0" w:color="auto"/>
              <w:right w:val="none" w:sz="0" w:space="0" w:color="auto"/>
            </w:tcBorders>
            <w:vAlign w:val="center"/>
          </w:tcPr>
          <w:p w14:paraId="194ACDAE" w14:textId="7777777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+9.9%</w:t>
            </w:r>
          </w:p>
        </w:tc>
        <w:tc>
          <w:tcPr>
            <w:tcW w:w="1146" w:type="dxa"/>
            <w:tcBorders>
              <w:left w:val="none" w:sz="0" w:space="0" w:color="auto"/>
              <w:right w:val="none" w:sz="0" w:space="0" w:color="auto"/>
            </w:tcBorders>
            <w:vAlign w:val="center"/>
          </w:tcPr>
          <w:p w14:paraId="65C1569D" w14:textId="7777777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11.9</w:t>
            </w:r>
            <w:r w:rsidRPr="007F5087">
              <w:rPr>
                <w:rFonts w:ascii="Arial" w:hAnsi="Arial" w:cs="Arial"/>
                <w:color w:val="215868" w:themeColor="accent5" w:themeShade="80"/>
                <w:sz w:val="18"/>
                <w:szCs w:val="18"/>
              </w:rPr>
              <w:t>%</w:t>
            </w:r>
          </w:p>
        </w:tc>
        <w:tc>
          <w:tcPr>
            <w:tcW w:w="966" w:type="dxa"/>
            <w:tcBorders>
              <w:left w:val="none" w:sz="0" w:space="0" w:color="auto"/>
              <w:right w:val="none" w:sz="0" w:space="0" w:color="auto"/>
            </w:tcBorders>
            <w:vAlign w:val="center"/>
          </w:tcPr>
          <w:p w14:paraId="4524AD09" w14:textId="46266CC7" w:rsidR="001F4BAF" w:rsidRPr="007F5087" w:rsidRDefault="001F4BAF" w:rsidP="00951B0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sidR="003E0B5A">
              <w:rPr>
                <w:rFonts w:ascii="Arial" w:hAnsi="Arial" w:cs="Arial"/>
                <w:color w:val="215868" w:themeColor="accent5" w:themeShade="80"/>
                <w:sz w:val="18"/>
                <w:szCs w:val="18"/>
              </w:rPr>
              <w:t>13.3</w:t>
            </w:r>
            <w:r w:rsidRPr="007F5087">
              <w:rPr>
                <w:rFonts w:ascii="Arial" w:hAnsi="Arial" w:cs="Arial"/>
                <w:color w:val="215868" w:themeColor="accent5" w:themeShade="80"/>
                <w:sz w:val="18"/>
                <w:szCs w:val="18"/>
              </w:rPr>
              <w:t>%</w:t>
            </w:r>
          </w:p>
        </w:tc>
      </w:tr>
    </w:tbl>
    <w:p w14:paraId="7BFCD815" w14:textId="77777777" w:rsidR="001F4BAF" w:rsidRDefault="001F4BAF" w:rsidP="001F4BAF">
      <w:pPr>
        <w:pStyle w:val="NoSpacing"/>
        <w:tabs>
          <w:tab w:val="left" w:pos="8991"/>
        </w:tabs>
        <w:rPr>
          <w:rFonts w:ascii="Arial" w:hAnsi="Arial" w:cs="Arial"/>
          <w:sz w:val="16"/>
          <w:szCs w:val="16"/>
        </w:rPr>
      </w:pPr>
      <w:r>
        <w:rPr>
          <w:rFonts w:ascii="Arial" w:hAnsi="Arial" w:cs="Arial"/>
          <w:sz w:val="16"/>
          <w:szCs w:val="16"/>
        </w:rPr>
        <w:tab/>
      </w:r>
    </w:p>
    <w:p w14:paraId="2DFA8C4D" w14:textId="77777777" w:rsidR="001F4BAF" w:rsidRPr="006879B2" w:rsidRDefault="001F4BAF" w:rsidP="001F4BAF">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0"/>
    <w:p w14:paraId="1AF11EDB" w14:textId="77777777" w:rsidR="009C02A0" w:rsidRDefault="009C02A0" w:rsidP="00D8582D">
      <w:pPr>
        <w:pStyle w:val="NoSpacing"/>
        <w:rPr>
          <w:rFonts w:ascii="Arial" w:hAnsi="Arial" w:cs="Arial"/>
          <w:sz w:val="20"/>
          <w:szCs w:val="20"/>
        </w:rPr>
      </w:pPr>
    </w:p>
    <w:p w14:paraId="33E52E4B" w14:textId="649BEF8E" w:rsidR="00354739" w:rsidRDefault="00DD3DF6" w:rsidP="00DD3DF6">
      <w:pPr>
        <w:pStyle w:val="NoSpacing"/>
        <w:rPr>
          <w:rFonts w:ascii="Arial" w:hAnsi="Arial" w:cs="Arial"/>
          <w:sz w:val="20"/>
          <w:szCs w:val="20"/>
        </w:rPr>
      </w:pPr>
      <w:r>
        <w:rPr>
          <w:rFonts w:ascii="Arial" w:hAnsi="Arial" w:cs="Arial"/>
          <w:sz w:val="20"/>
          <w:szCs w:val="20"/>
        </w:rPr>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from </w:t>
      </w:r>
      <w:r>
        <w:rPr>
          <w:rFonts w:ascii="Arial" w:hAnsi="Arial" w:cs="Arial"/>
          <w:sz w:val="20"/>
          <w:szCs w:val="20"/>
        </w:rPr>
        <w:t>last year</w:t>
      </w:r>
      <w:r w:rsidR="005575F0">
        <w:rPr>
          <w:rFonts w:ascii="Arial" w:hAnsi="Arial" w:cs="Arial"/>
          <w:sz w:val="20"/>
          <w:szCs w:val="20"/>
        </w:rPr>
        <w:t xml:space="preserve">, at </w:t>
      </w:r>
      <w:r w:rsidR="00BC7B47">
        <w:rPr>
          <w:rFonts w:ascii="Arial" w:hAnsi="Arial" w:cs="Arial"/>
          <w:sz w:val="20"/>
          <w:szCs w:val="20"/>
        </w:rPr>
        <w:t>+</w:t>
      </w:r>
      <w:r w:rsidR="00093E23">
        <w:rPr>
          <w:rFonts w:ascii="Arial" w:hAnsi="Arial" w:cs="Arial"/>
          <w:sz w:val="20"/>
          <w:szCs w:val="20"/>
        </w:rPr>
        <w:t>8.5</w:t>
      </w:r>
      <w:r w:rsidR="00BC7B47">
        <w:rPr>
          <w:rFonts w:ascii="Arial" w:hAnsi="Arial" w:cs="Arial"/>
          <w:sz w:val="20"/>
          <w:szCs w:val="20"/>
        </w:rPr>
        <w:t>% level on a per</w:t>
      </w:r>
      <w:r w:rsidR="008A426C">
        <w:rPr>
          <w:rFonts w:ascii="Arial" w:hAnsi="Arial" w:cs="Arial"/>
          <w:sz w:val="20"/>
          <w:szCs w:val="20"/>
        </w:rPr>
        <w:t>-</w:t>
      </w:r>
      <w:r w:rsidR="00BC7B47">
        <w:rPr>
          <w:rFonts w:ascii="Arial" w:hAnsi="Arial" w:cs="Arial"/>
          <w:sz w:val="20"/>
          <w:szCs w:val="20"/>
        </w:rPr>
        <w:t xml:space="preserve">unit basis and </w:t>
      </w:r>
      <w:r w:rsidR="005575F0">
        <w:rPr>
          <w:rFonts w:ascii="Arial" w:hAnsi="Arial" w:cs="Arial"/>
          <w:sz w:val="20"/>
          <w:szCs w:val="20"/>
        </w:rPr>
        <w:t>+</w:t>
      </w:r>
      <w:r w:rsidR="00093E23">
        <w:rPr>
          <w:rFonts w:ascii="Arial" w:hAnsi="Arial" w:cs="Arial"/>
          <w:sz w:val="20"/>
          <w:szCs w:val="20"/>
        </w:rPr>
        <w:t>9.5</w:t>
      </w:r>
      <w:r w:rsidR="005575F0">
        <w:rPr>
          <w:rFonts w:ascii="Arial" w:hAnsi="Arial" w:cs="Arial"/>
          <w:sz w:val="20"/>
          <w:szCs w:val="20"/>
        </w:rPr>
        <w:t>%</w:t>
      </w:r>
      <w:r w:rsidR="00BC7B47">
        <w:rPr>
          <w:rFonts w:ascii="Arial" w:hAnsi="Arial" w:cs="Arial"/>
          <w:sz w:val="20"/>
          <w:szCs w:val="20"/>
        </w:rPr>
        <w:t xml:space="preserve"> on a per</w:t>
      </w:r>
      <w:r w:rsidR="008A426C">
        <w:rPr>
          <w:rFonts w:ascii="Arial" w:hAnsi="Arial" w:cs="Arial"/>
          <w:sz w:val="20"/>
          <w:szCs w:val="20"/>
        </w:rPr>
        <w:t>-</w:t>
      </w:r>
      <w:r w:rsidR="00BC7B47">
        <w:rPr>
          <w:rFonts w:ascii="Arial" w:hAnsi="Arial" w:cs="Arial"/>
          <w:sz w:val="20"/>
          <w:szCs w:val="20"/>
        </w:rPr>
        <w:t>pound basis.</w:t>
      </w:r>
      <w:r w:rsidR="001D65B2">
        <w:rPr>
          <w:rFonts w:ascii="Arial" w:hAnsi="Arial" w:cs="Arial"/>
          <w:sz w:val="20"/>
          <w:szCs w:val="20"/>
        </w:rPr>
        <w:t xml:space="preserve"> This is far below the total store average as fruit prices </w:t>
      </w:r>
      <w:r w:rsidR="00093E23">
        <w:rPr>
          <w:rFonts w:ascii="Arial" w:hAnsi="Arial" w:cs="Arial"/>
          <w:sz w:val="20"/>
          <w:szCs w:val="20"/>
        </w:rPr>
        <w:t>have been on the decline in the past few months</w:t>
      </w:r>
      <w:r w:rsidR="001D65B2">
        <w:rPr>
          <w:rFonts w:ascii="Arial" w:hAnsi="Arial" w:cs="Arial"/>
          <w:sz w:val="20"/>
          <w:szCs w:val="20"/>
        </w:rPr>
        <w:t xml:space="preserve">. Unlike the beginning of the year where inflation was </w:t>
      </w:r>
      <w:r w:rsidR="00BC7B47">
        <w:rPr>
          <w:rFonts w:ascii="Arial" w:hAnsi="Arial" w:cs="Arial"/>
          <w:sz w:val="20"/>
          <w:szCs w:val="20"/>
        </w:rPr>
        <w:t xml:space="preserve">predominantly driven by fruit, </w:t>
      </w:r>
      <w:r w:rsidR="001D65B2">
        <w:rPr>
          <w:rFonts w:ascii="Arial" w:hAnsi="Arial" w:cs="Arial"/>
          <w:sz w:val="20"/>
          <w:szCs w:val="20"/>
        </w:rPr>
        <w:t xml:space="preserve">it was vegetables that reached </w:t>
      </w:r>
      <w:r w:rsidR="008A426C">
        <w:rPr>
          <w:rFonts w:ascii="Arial" w:hAnsi="Arial" w:cs="Arial"/>
          <w:sz w:val="20"/>
          <w:szCs w:val="20"/>
        </w:rPr>
        <w:t>+</w:t>
      </w:r>
      <w:r w:rsidR="00093E23">
        <w:rPr>
          <w:rFonts w:ascii="Arial" w:hAnsi="Arial" w:cs="Arial"/>
          <w:sz w:val="20"/>
          <w:szCs w:val="20"/>
        </w:rPr>
        <w:t>9.2</w:t>
      </w:r>
      <w:r w:rsidR="001D65B2">
        <w:rPr>
          <w:rFonts w:ascii="Arial" w:hAnsi="Arial" w:cs="Arial"/>
          <w:sz w:val="20"/>
          <w:szCs w:val="20"/>
        </w:rPr>
        <w:t xml:space="preserve">% inflation in </w:t>
      </w:r>
      <w:r w:rsidR="00093E23">
        <w:rPr>
          <w:rFonts w:ascii="Arial" w:hAnsi="Arial" w:cs="Arial"/>
          <w:sz w:val="20"/>
          <w:szCs w:val="20"/>
        </w:rPr>
        <w:t xml:space="preserve">July </w:t>
      </w:r>
      <w:r w:rsidR="001D65B2">
        <w:rPr>
          <w:rFonts w:ascii="Arial" w:hAnsi="Arial" w:cs="Arial"/>
          <w:sz w:val="20"/>
          <w:szCs w:val="20"/>
        </w:rPr>
        <w:t xml:space="preserve">2022 versus </w:t>
      </w:r>
      <w:r w:rsidR="00093E23">
        <w:rPr>
          <w:rFonts w:ascii="Arial" w:hAnsi="Arial" w:cs="Arial"/>
          <w:sz w:val="20"/>
          <w:szCs w:val="20"/>
        </w:rPr>
        <w:t>year ago</w:t>
      </w:r>
      <w:r w:rsidR="001D65B2">
        <w:rPr>
          <w:rFonts w:ascii="Arial" w:hAnsi="Arial" w:cs="Arial"/>
          <w:sz w:val="20"/>
          <w:szCs w:val="20"/>
        </w:rPr>
        <w:t xml:space="preserve">. In the 52-week view, </w:t>
      </w:r>
      <w:r w:rsidR="008A426C">
        <w:rPr>
          <w:rFonts w:ascii="Arial" w:hAnsi="Arial" w:cs="Arial"/>
          <w:sz w:val="20"/>
          <w:szCs w:val="20"/>
        </w:rPr>
        <w:t xml:space="preserve">fresh </w:t>
      </w:r>
      <w:r w:rsidR="001D65B2">
        <w:rPr>
          <w:rFonts w:ascii="Arial" w:hAnsi="Arial" w:cs="Arial"/>
          <w:sz w:val="20"/>
          <w:szCs w:val="20"/>
        </w:rPr>
        <w:t>fruit inflation is still far above average.</w:t>
      </w:r>
      <w:r w:rsidR="003433C6">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374E1DE7"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(lb)</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38781D">
              <w:rPr>
                <w:rFonts w:ascii="Arial" w:hAnsi="Arial" w:cs="Arial"/>
                <w:color w:val="FFFFFF" w:themeColor="background1"/>
                <w:sz w:val="18"/>
                <w:szCs w:val="18"/>
              </w:rPr>
              <w:t>20</w:t>
            </w:r>
          </w:p>
        </w:tc>
      </w:tr>
      <w:tr w:rsidR="007F5087" w:rsidRPr="00B75D3A" w14:paraId="1434C87A"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402C8AC0" w:rsidR="00BF64A8" w:rsidRPr="00B75D3A" w:rsidRDefault="00BF64A8" w:rsidP="00BF64A8">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sidR="00951B01">
              <w:rPr>
                <w:rFonts w:ascii="Arial" w:hAnsi="Arial" w:cs="Arial"/>
                <w:color w:val="215868" w:themeColor="accent5" w:themeShade="80"/>
                <w:sz w:val="18"/>
                <w:szCs w:val="18"/>
              </w:rPr>
              <w:t>July</w:t>
            </w:r>
            <w:r w:rsidR="002769A5" w:rsidRPr="00B75D3A">
              <w:rPr>
                <w:rFonts w:ascii="Arial" w:hAnsi="Arial" w:cs="Arial"/>
                <w:color w:val="215868" w:themeColor="accent5" w:themeShade="80"/>
                <w:sz w:val="18"/>
                <w:szCs w:val="18"/>
              </w:rPr>
              <w:t xml:space="preserve"> </w:t>
            </w:r>
            <w:r w:rsidRPr="00B75D3A">
              <w:rPr>
                <w:rFonts w:ascii="Arial" w:hAnsi="Arial" w:cs="Arial"/>
                <w:color w:val="215868" w:themeColor="accent5" w:themeShade="80"/>
                <w:sz w:val="18"/>
                <w:szCs w:val="18"/>
              </w:rPr>
              <w:t>2022</w:t>
            </w:r>
          </w:p>
        </w:tc>
        <w:tc>
          <w:tcPr>
            <w:tcW w:w="2130" w:type="dxa"/>
            <w:vAlign w:val="center"/>
          </w:tcPr>
          <w:p w14:paraId="6E97F861" w14:textId="72ED66D5" w:rsidR="00BF64A8" w:rsidRPr="00B75D3A" w:rsidRDefault="00BF64A8" w:rsidP="00D6564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1.75</w:t>
            </w:r>
          </w:p>
        </w:tc>
        <w:tc>
          <w:tcPr>
            <w:tcW w:w="1702" w:type="dxa"/>
            <w:vAlign w:val="center"/>
          </w:tcPr>
          <w:p w14:paraId="5720898A" w14:textId="23FDB8D8"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9.5</w:t>
            </w:r>
            <w:r w:rsidRPr="00B75D3A">
              <w:rPr>
                <w:rFonts w:ascii="Arial" w:hAnsi="Arial" w:cs="Arial"/>
                <w:b/>
                <w:bCs/>
                <w:color w:val="215868" w:themeColor="accent5" w:themeShade="80"/>
                <w:sz w:val="18"/>
                <w:szCs w:val="18"/>
              </w:rPr>
              <w:t>%</w:t>
            </w:r>
          </w:p>
        </w:tc>
        <w:tc>
          <w:tcPr>
            <w:tcW w:w="1916" w:type="dxa"/>
            <w:vAlign w:val="center"/>
          </w:tcPr>
          <w:p w14:paraId="164946FB" w14:textId="7DB7534D"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12.6</w:t>
            </w:r>
            <w:r w:rsidRPr="00B75D3A">
              <w:rPr>
                <w:rFonts w:ascii="Arial" w:hAnsi="Arial" w:cs="Arial"/>
                <w:b/>
                <w:bCs/>
                <w:color w:val="215868" w:themeColor="accent5" w:themeShade="80"/>
                <w:sz w:val="18"/>
                <w:szCs w:val="18"/>
              </w:rPr>
              <w:t>%</w:t>
            </w:r>
          </w:p>
        </w:tc>
      </w:tr>
      <w:tr w:rsidR="007F5087" w:rsidRPr="007F5087" w14:paraId="5A66D034"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216296B1"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1.77</w:t>
            </w:r>
          </w:p>
        </w:tc>
        <w:tc>
          <w:tcPr>
            <w:tcW w:w="1702" w:type="dxa"/>
            <w:vAlign w:val="center"/>
          </w:tcPr>
          <w:p w14:paraId="31810777" w14:textId="38EDF197"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8.7%</w:t>
            </w:r>
          </w:p>
        </w:tc>
        <w:tc>
          <w:tcPr>
            <w:tcW w:w="1916" w:type="dxa"/>
            <w:vAlign w:val="center"/>
          </w:tcPr>
          <w:p w14:paraId="3E082B02" w14:textId="51440C1E"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12.9</w:t>
            </w:r>
            <w:r w:rsidRPr="007F5087">
              <w:rPr>
                <w:rFonts w:ascii="Arial" w:hAnsi="Arial" w:cs="Arial"/>
                <w:color w:val="215868" w:themeColor="accent5" w:themeShade="80"/>
                <w:sz w:val="18"/>
                <w:szCs w:val="18"/>
              </w:rPr>
              <w:t>%</w:t>
            </w:r>
          </w:p>
        </w:tc>
      </w:tr>
      <w:tr w:rsidR="007F5087" w:rsidRPr="00B75D3A" w14:paraId="5B57AE54"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5102908B" w:rsidR="002769A5" w:rsidRPr="00B75D3A" w:rsidRDefault="002769A5" w:rsidP="002769A5">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sidR="00951B01">
              <w:rPr>
                <w:rFonts w:ascii="Arial" w:hAnsi="Arial" w:cs="Arial"/>
                <w:color w:val="215868" w:themeColor="accent5" w:themeShade="80"/>
                <w:sz w:val="18"/>
                <w:szCs w:val="18"/>
              </w:rPr>
              <w:t>July</w:t>
            </w:r>
            <w:r w:rsidRPr="00B75D3A">
              <w:rPr>
                <w:rFonts w:ascii="Arial" w:hAnsi="Arial" w:cs="Arial"/>
                <w:color w:val="215868" w:themeColor="accent5" w:themeShade="80"/>
                <w:sz w:val="18"/>
                <w:szCs w:val="18"/>
              </w:rPr>
              <w:t xml:space="preserve"> 2022</w:t>
            </w:r>
          </w:p>
        </w:tc>
        <w:tc>
          <w:tcPr>
            <w:tcW w:w="2130" w:type="dxa"/>
            <w:vAlign w:val="center"/>
          </w:tcPr>
          <w:p w14:paraId="2E070CA6" w14:textId="6F30F269"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1.52</w:t>
            </w:r>
          </w:p>
        </w:tc>
        <w:tc>
          <w:tcPr>
            <w:tcW w:w="1702" w:type="dxa"/>
            <w:vAlign w:val="center"/>
          </w:tcPr>
          <w:p w14:paraId="5F7D0FB3" w14:textId="48594786"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9.7</w:t>
            </w:r>
            <w:r w:rsidRPr="00B75D3A">
              <w:rPr>
                <w:rFonts w:ascii="Arial" w:hAnsi="Arial" w:cs="Arial"/>
                <w:b/>
                <w:bCs/>
                <w:color w:val="215868" w:themeColor="accent5" w:themeShade="80"/>
                <w:sz w:val="18"/>
                <w:szCs w:val="18"/>
              </w:rPr>
              <w:t>%</w:t>
            </w:r>
          </w:p>
        </w:tc>
        <w:tc>
          <w:tcPr>
            <w:tcW w:w="1916" w:type="dxa"/>
            <w:vAlign w:val="center"/>
          </w:tcPr>
          <w:p w14:paraId="5BD0263C" w14:textId="724039AE"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15.3</w:t>
            </w:r>
            <w:r w:rsidRPr="00B75D3A">
              <w:rPr>
                <w:rFonts w:ascii="Arial" w:hAnsi="Arial" w:cs="Arial"/>
                <w:b/>
                <w:bCs/>
                <w:color w:val="215868" w:themeColor="accent5" w:themeShade="80"/>
                <w:sz w:val="18"/>
                <w:szCs w:val="18"/>
              </w:rPr>
              <w:t>%</w:t>
            </w:r>
          </w:p>
        </w:tc>
      </w:tr>
      <w:tr w:rsidR="007F5087" w:rsidRPr="007F5087" w14:paraId="1144520F"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69DEF70A"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1.65</w:t>
            </w:r>
          </w:p>
        </w:tc>
        <w:tc>
          <w:tcPr>
            <w:tcW w:w="1702" w:type="dxa"/>
            <w:vAlign w:val="center"/>
          </w:tcPr>
          <w:p w14:paraId="4038274E" w14:textId="538AA927"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11.0</w:t>
            </w:r>
            <w:r w:rsidRPr="007F5087">
              <w:rPr>
                <w:rFonts w:ascii="Arial" w:hAnsi="Arial" w:cs="Arial"/>
                <w:color w:val="215868" w:themeColor="accent5" w:themeShade="80"/>
                <w:sz w:val="18"/>
                <w:szCs w:val="18"/>
              </w:rPr>
              <w:t>%</w:t>
            </w:r>
          </w:p>
        </w:tc>
        <w:tc>
          <w:tcPr>
            <w:tcW w:w="1916" w:type="dxa"/>
            <w:vAlign w:val="center"/>
          </w:tcPr>
          <w:p w14:paraId="4548B493" w14:textId="0D8A71C9"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16.4</w:t>
            </w:r>
            <w:r w:rsidRPr="007F5087">
              <w:rPr>
                <w:rFonts w:ascii="Arial" w:hAnsi="Arial" w:cs="Arial"/>
                <w:color w:val="215868" w:themeColor="accent5" w:themeShade="80"/>
                <w:sz w:val="18"/>
                <w:szCs w:val="18"/>
              </w:rPr>
              <w:t>%</w:t>
            </w:r>
          </w:p>
        </w:tc>
      </w:tr>
      <w:tr w:rsidR="007F5087" w:rsidRPr="00B75D3A" w14:paraId="49DE74F5"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09E6A199" w:rsidR="002769A5" w:rsidRPr="00B75D3A" w:rsidRDefault="002769A5" w:rsidP="002769A5">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sidR="00951B01">
              <w:rPr>
                <w:rFonts w:ascii="Arial" w:hAnsi="Arial" w:cs="Arial"/>
                <w:color w:val="215868" w:themeColor="accent5" w:themeShade="80"/>
                <w:sz w:val="18"/>
                <w:szCs w:val="18"/>
              </w:rPr>
              <w:t>July</w:t>
            </w:r>
            <w:r w:rsidRPr="00B75D3A">
              <w:rPr>
                <w:rFonts w:ascii="Arial" w:hAnsi="Arial" w:cs="Arial"/>
                <w:color w:val="215868" w:themeColor="accent5" w:themeShade="80"/>
                <w:sz w:val="18"/>
                <w:szCs w:val="18"/>
              </w:rPr>
              <w:t xml:space="preserve"> 2022</w:t>
            </w:r>
          </w:p>
        </w:tc>
        <w:tc>
          <w:tcPr>
            <w:tcW w:w="2130" w:type="dxa"/>
            <w:vAlign w:val="center"/>
          </w:tcPr>
          <w:p w14:paraId="179F7533" w14:textId="359A9B16"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1.99</w:t>
            </w:r>
          </w:p>
        </w:tc>
        <w:tc>
          <w:tcPr>
            <w:tcW w:w="1702" w:type="dxa"/>
            <w:vAlign w:val="center"/>
          </w:tcPr>
          <w:p w14:paraId="5B5FDC39" w14:textId="6E65125F"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9.2</w:t>
            </w:r>
            <w:r w:rsidRPr="00B75D3A">
              <w:rPr>
                <w:rFonts w:ascii="Arial" w:hAnsi="Arial" w:cs="Arial"/>
                <w:b/>
                <w:bCs/>
                <w:color w:val="215868" w:themeColor="accent5" w:themeShade="80"/>
                <w:sz w:val="18"/>
                <w:szCs w:val="18"/>
              </w:rPr>
              <w:t>%</w:t>
            </w:r>
          </w:p>
        </w:tc>
        <w:tc>
          <w:tcPr>
            <w:tcW w:w="1916" w:type="dxa"/>
            <w:vAlign w:val="center"/>
          </w:tcPr>
          <w:p w14:paraId="0790677A" w14:textId="41CEEB11"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093E23">
              <w:rPr>
                <w:rFonts w:ascii="Arial" w:hAnsi="Arial" w:cs="Arial"/>
                <w:b/>
                <w:bCs/>
                <w:color w:val="215868" w:themeColor="accent5" w:themeShade="80"/>
                <w:sz w:val="18"/>
                <w:szCs w:val="18"/>
              </w:rPr>
              <w:t>10.2</w:t>
            </w:r>
            <w:r w:rsidRPr="00B75D3A">
              <w:rPr>
                <w:rFonts w:ascii="Arial" w:hAnsi="Arial" w:cs="Arial"/>
                <w:b/>
                <w:bCs/>
                <w:color w:val="215868" w:themeColor="accent5" w:themeShade="80"/>
                <w:sz w:val="18"/>
                <w:szCs w:val="18"/>
              </w:rPr>
              <w:t>%</w:t>
            </w:r>
          </w:p>
        </w:tc>
      </w:tr>
      <w:tr w:rsidR="007F5087" w:rsidRPr="007F5087" w14:paraId="0E7328F7"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Fresh vegetables latest 52 weeks</w:t>
            </w:r>
          </w:p>
        </w:tc>
        <w:tc>
          <w:tcPr>
            <w:tcW w:w="2130" w:type="dxa"/>
            <w:vAlign w:val="center"/>
          </w:tcPr>
          <w:p w14:paraId="1F880C62" w14:textId="49022E09"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1.88</w:t>
            </w:r>
          </w:p>
        </w:tc>
        <w:tc>
          <w:tcPr>
            <w:tcW w:w="1702" w:type="dxa"/>
            <w:vAlign w:val="center"/>
          </w:tcPr>
          <w:p w14:paraId="414FD40F" w14:textId="55010464"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6.4%</w:t>
            </w:r>
          </w:p>
        </w:tc>
        <w:tc>
          <w:tcPr>
            <w:tcW w:w="1916" w:type="dxa"/>
            <w:vAlign w:val="center"/>
          </w:tcPr>
          <w:p w14:paraId="2E870FBA" w14:textId="6A214014"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093E23">
              <w:rPr>
                <w:rFonts w:ascii="Arial" w:hAnsi="Arial" w:cs="Arial"/>
                <w:color w:val="215868" w:themeColor="accent5" w:themeShade="80"/>
                <w:sz w:val="18"/>
                <w:szCs w:val="18"/>
              </w:rPr>
              <w:t>9.7</w:t>
            </w:r>
            <w:r w:rsidRPr="007F5087">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4C18FB86" w14:textId="55F2548B" w:rsidR="00D8582D" w:rsidRDefault="00D8582D" w:rsidP="001210D2">
      <w:pPr>
        <w:pStyle w:val="NoSpacing"/>
        <w:rPr>
          <w:rFonts w:ascii="Arial" w:hAnsi="Arial" w:cs="Arial"/>
          <w:sz w:val="20"/>
          <w:szCs w:val="20"/>
        </w:rPr>
      </w:pPr>
    </w:p>
    <w:p w14:paraId="4CA242BE" w14:textId="07E76298" w:rsidR="00C616F0" w:rsidRDefault="00C616F0" w:rsidP="001210D2">
      <w:pPr>
        <w:pStyle w:val="NoSpacing"/>
        <w:rPr>
          <w:rFonts w:ascii="Arial" w:hAnsi="Arial" w:cs="Arial"/>
          <w:sz w:val="20"/>
          <w:szCs w:val="20"/>
        </w:rPr>
      </w:pPr>
    </w:p>
    <w:p w14:paraId="6F28CDB0" w14:textId="7B960252" w:rsidR="00BD7CB1" w:rsidRPr="00CF43CE" w:rsidRDefault="00BD7CB1" w:rsidP="00BD7CB1">
      <w:pPr>
        <w:pStyle w:val="NoSpacing"/>
        <w:rPr>
          <w:rFonts w:ascii="Arial" w:hAnsi="Arial" w:cs="Arial"/>
          <w:b/>
          <w:bCs/>
          <w:color w:val="595959" w:themeColor="text1" w:themeTint="A6"/>
          <w:sz w:val="24"/>
          <w:szCs w:val="24"/>
        </w:rPr>
      </w:pPr>
      <w:r>
        <w:rPr>
          <w:rFonts w:ascii="Arial" w:hAnsi="Arial" w:cs="Arial"/>
          <w:b/>
          <w:bCs/>
          <w:color w:val="595959" w:themeColor="text1" w:themeTint="A6"/>
          <w:sz w:val="24"/>
          <w:szCs w:val="24"/>
        </w:rPr>
        <w:t>Ju</w:t>
      </w:r>
      <w:r w:rsidR="002E71DE">
        <w:rPr>
          <w:rFonts w:ascii="Arial" w:hAnsi="Arial" w:cs="Arial"/>
          <w:b/>
          <w:bCs/>
          <w:color w:val="595959" w:themeColor="text1" w:themeTint="A6"/>
          <w:sz w:val="24"/>
          <w:szCs w:val="24"/>
        </w:rPr>
        <w:t>ly</w:t>
      </w:r>
      <w:r>
        <w:rPr>
          <w:rFonts w:ascii="Arial" w:hAnsi="Arial" w:cs="Arial"/>
          <w:b/>
          <w:bCs/>
          <w:color w:val="595959" w:themeColor="text1" w:themeTint="A6"/>
          <w:sz w:val="24"/>
          <w:szCs w:val="24"/>
        </w:rPr>
        <w:t xml:space="preserve"> 2022 Sales</w:t>
      </w:r>
    </w:p>
    <w:p w14:paraId="30662821" w14:textId="373E3646" w:rsidR="00E95517" w:rsidRDefault="00BD7CB1" w:rsidP="00BD7CB1">
      <w:pPr>
        <w:pStyle w:val="NoSpacing"/>
        <w:rPr>
          <w:rFonts w:ascii="Arial" w:hAnsi="Arial" w:cs="Arial"/>
          <w:sz w:val="20"/>
          <w:szCs w:val="20"/>
        </w:rPr>
      </w:pPr>
      <w:r>
        <w:rPr>
          <w:rFonts w:ascii="Arial" w:hAnsi="Arial" w:cs="Arial"/>
          <w:sz w:val="20"/>
          <w:szCs w:val="20"/>
        </w:rPr>
        <w:t>The f</w:t>
      </w:r>
      <w:r w:rsidR="002E71DE">
        <w:rPr>
          <w:rFonts w:ascii="Arial" w:hAnsi="Arial" w:cs="Arial"/>
          <w:sz w:val="20"/>
          <w:szCs w:val="20"/>
        </w:rPr>
        <w:t>ive</w:t>
      </w:r>
      <w:r>
        <w:rPr>
          <w:rFonts w:ascii="Arial" w:hAnsi="Arial" w:cs="Arial"/>
          <w:sz w:val="20"/>
          <w:szCs w:val="20"/>
        </w:rPr>
        <w:t xml:space="preserve"> Ju</w:t>
      </w:r>
      <w:r w:rsidR="002E71DE">
        <w:rPr>
          <w:rFonts w:ascii="Arial" w:hAnsi="Arial" w:cs="Arial"/>
          <w:sz w:val="20"/>
          <w:szCs w:val="20"/>
        </w:rPr>
        <w:t>ly</w:t>
      </w:r>
      <w:r>
        <w:rPr>
          <w:rFonts w:ascii="Arial" w:hAnsi="Arial" w:cs="Arial"/>
          <w:sz w:val="20"/>
          <w:szCs w:val="20"/>
        </w:rPr>
        <w:t xml:space="preserve">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sidR="002E71DE">
        <w:rPr>
          <w:rFonts w:ascii="Arial" w:hAnsi="Arial" w:cs="Arial"/>
          <w:sz w:val="20"/>
          <w:szCs w:val="20"/>
        </w:rPr>
        <w:t>72.1</w:t>
      </w:r>
      <w:r>
        <w:rPr>
          <w:rFonts w:ascii="Arial" w:hAnsi="Arial" w:cs="Arial"/>
          <w:sz w:val="20"/>
          <w:szCs w:val="20"/>
        </w:rPr>
        <w:t xml:space="preserve"> billion in total food and beverage sales, which was up </w:t>
      </w:r>
      <w:r w:rsidR="008A426C">
        <w:rPr>
          <w:rFonts w:ascii="Arial" w:hAnsi="Arial" w:cs="Arial"/>
          <w:sz w:val="20"/>
          <w:szCs w:val="20"/>
        </w:rPr>
        <w:t>+</w:t>
      </w:r>
      <w:r w:rsidR="00B63F92">
        <w:rPr>
          <w:rFonts w:ascii="Arial" w:hAnsi="Arial" w:cs="Arial"/>
          <w:sz w:val="20"/>
          <w:szCs w:val="20"/>
        </w:rPr>
        <w:t>8.6</w:t>
      </w:r>
      <w:r>
        <w:rPr>
          <w:rFonts w:ascii="Arial" w:hAnsi="Arial" w:cs="Arial"/>
          <w:sz w:val="20"/>
          <w:szCs w:val="20"/>
        </w:rPr>
        <w:t xml:space="preserve">% versus year ago. This is an acceleration from </w:t>
      </w:r>
      <w:r w:rsidR="008A426C">
        <w:rPr>
          <w:rFonts w:ascii="Arial" w:hAnsi="Arial" w:cs="Arial"/>
          <w:sz w:val="20"/>
          <w:szCs w:val="20"/>
        </w:rPr>
        <w:t>+</w:t>
      </w:r>
      <w:r w:rsidR="00B63F92">
        <w:rPr>
          <w:rFonts w:ascii="Arial" w:hAnsi="Arial" w:cs="Arial"/>
          <w:sz w:val="20"/>
          <w:szCs w:val="20"/>
        </w:rPr>
        <w:t>7.6</w:t>
      </w:r>
      <w:r>
        <w:rPr>
          <w:rFonts w:ascii="Arial" w:hAnsi="Arial" w:cs="Arial"/>
          <w:sz w:val="20"/>
          <w:szCs w:val="20"/>
        </w:rPr>
        <w:t xml:space="preserve">% in </w:t>
      </w:r>
      <w:r w:rsidR="00B63F92">
        <w:rPr>
          <w:rFonts w:ascii="Arial" w:hAnsi="Arial" w:cs="Arial"/>
          <w:sz w:val="20"/>
          <w:szCs w:val="20"/>
        </w:rPr>
        <w:t>June</w:t>
      </w:r>
      <w:r>
        <w:rPr>
          <w:rFonts w:ascii="Arial" w:hAnsi="Arial" w:cs="Arial"/>
          <w:sz w:val="20"/>
          <w:szCs w:val="20"/>
        </w:rPr>
        <w:t>. Ju</w:t>
      </w:r>
      <w:r w:rsidR="00B63F92">
        <w:rPr>
          <w:rFonts w:ascii="Arial" w:hAnsi="Arial" w:cs="Arial"/>
          <w:sz w:val="20"/>
          <w:szCs w:val="20"/>
        </w:rPr>
        <w:t>ly</w:t>
      </w:r>
      <w:r>
        <w:rPr>
          <w:rFonts w:ascii="Arial" w:hAnsi="Arial" w:cs="Arial"/>
          <w:sz w:val="20"/>
          <w:szCs w:val="20"/>
        </w:rPr>
        <w:t xml:space="preserve"> 2022 </w:t>
      </w:r>
      <w:r w:rsidR="008A426C">
        <w:rPr>
          <w:rFonts w:ascii="Arial" w:hAnsi="Arial" w:cs="Arial"/>
          <w:sz w:val="20"/>
          <w:szCs w:val="20"/>
        </w:rPr>
        <w:t xml:space="preserve">dollar </w:t>
      </w:r>
      <w:r>
        <w:rPr>
          <w:rFonts w:ascii="Arial" w:hAnsi="Arial" w:cs="Arial"/>
          <w:sz w:val="20"/>
          <w:szCs w:val="20"/>
        </w:rPr>
        <w:t xml:space="preserve">sales were up </w:t>
      </w:r>
      <w:r w:rsidR="008A426C">
        <w:rPr>
          <w:rFonts w:ascii="Arial" w:hAnsi="Arial" w:cs="Arial"/>
          <w:sz w:val="20"/>
          <w:szCs w:val="20"/>
        </w:rPr>
        <w:t>+</w:t>
      </w:r>
      <w:r w:rsidR="00B63F92">
        <w:rPr>
          <w:rFonts w:ascii="Arial" w:hAnsi="Arial" w:cs="Arial"/>
          <w:sz w:val="20"/>
          <w:szCs w:val="20"/>
        </w:rPr>
        <w:t>25.7</w:t>
      </w:r>
      <w:r>
        <w:rPr>
          <w:rFonts w:ascii="Arial" w:hAnsi="Arial" w:cs="Arial"/>
          <w:sz w:val="20"/>
          <w:szCs w:val="20"/>
        </w:rPr>
        <w:t>% versus Ju</w:t>
      </w:r>
      <w:r w:rsidR="00B63F92">
        <w:rPr>
          <w:rFonts w:ascii="Arial" w:hAnsi="Arial" w:cs="Arial"/>
          <w:sz w:val="20"/>
          <w:szCs w:val="20"/>
        </w:rPr>
        <w:t>ly</w:t>
      </w:r>
      <w:r>
        <w:rPr>
          <w:rFonts w:ascii="Arial" w:hAnsi="Arial" w:cs="Arial"/>
          <w:sz w:val="20"/>
          <w:szCs w:val="20"/>
        </w:rPr>
        <w:t xml:space="preserve"> 2019 — the pre-pandemic normal. </w:t>
      </w:r>
      <w:r w:rsidR="00E95517">
        <w:rPr>
          <w:rFonts w:ascii="Arial" w:hAnsi="Arial" w:cs="Arial"/>
          <w:sz w:val="20"/>
          <w:szCs w:val="20"/>
        </w:rPr>
        <w:t xml:space="preserve">Perishables, including produce, seafood, meat, bakery and deli, had average dollar performance, but center-store items did better than average in units, despite above-average inflation. </w:t>
      </w:r>
    </w:p>
    <w:p w14:paraId="55C55D3E" w14:textId="77777777" w:rsidR="00E95517" w:rsidRDefault="00E95517" w:rsidP="00BD7CB1">
      <w:pPr>
        <w:pStyle w:val="NoSpacing"/>
        <w:rPr>
          <w:rFonts w:ascii="Arial" w:hAnsi="Arial" w:cs="Arial"/>
          <w:sz w:val="20"/>
          <w:szCs w:val="20"/>
        </w:rPr>
      </w:pPr>
    </w:p>
    <w:p w14:paraId="0B67B900" w14:textId="2E045412" w:rsidR="00BD7CB1" w:rsidRDefault="00E95517" w:rsidP="00BD7CB1">
      <w:pPr>
        <w:pStyle w:val="NoSpacing"/>
        <w:rPr>
          <w:rFonts w:ascii="Arial" w:hAnsi="Arial" w:cs="Arial"/>
          <w:sz w:val="20"/>
          <w:szCs w:val="20"/>
        </w:rPr>
      </w:pPr>
      <w:r>
        <w:rPr>
          <w:rFonts w:ascii="Arial" w:hAnsi="Arial" w:cs="Arial"/>
          <w:sz w:val="20"/>
          <w:szCs w:val="20"/>
        </w:rPr>
        <w:t>Y</w:t>
      </w:r>
      <w:r w:rsidR="00B63F92">
        <w:rPr>
          <w:rFonts w:ascii="Arial" w:hAnsi="Arial" w:cs="Arial"/>
          <w:sz w:val="20"/>
          <w:szCs w:val="20"/>
        </w:rPr>
        <w:t xml:space="preserve">ear-on-year </w:t>
      </w:r>
      <w:r w:rsidR="00BD7CB1">
        <w:rPr>
          <w:rFonts w:ascii="Arial" w:hAnsi="Arial" w:cs="Arial"/>
          <w:sz w:val="20"/>
          <w:szCs w:val="20"/>
        </w:rPr>
        <w:t xml:space="preserve">gains were inflation-boosted, with unit sales down </w:t>
      </w:r>
      <w:r w:rsidR="008A426C">
        <w:rPr>
          <w:rFonts w:ascii="Arial" w:hAnsi="Arial" w:cs="Arial"/>
          <w:sz w:val="20"/>
          <w:szCs w:val="20"/>
        </w:rPr>
        <w:t>-</w:t>
      </w:r>
      <w:r w:rsidR="00B63F92">
        <w:rPr>
          <w:rFonts w:ascii="Arial" w:hAnsi="Arial" w:cs="Arial"/>
          <w:sz w:val="20"/>
          <w:szCs w:val="20"/>
        </w:rPr>
        <w:t>4.2</w:t>
      </w:r>
      <w:r w:rsidR="00BD7CB1">
        <w:rPr>
          <w:rFonts w:ascii="Arial" w:hAnsi="Arial" w:cs="Arial"/>
          <w:sz w:val="20"/>
          <w:szCs w:val="20"/>
        </w:rPr>
        <w:t xml:space="preserve">%. </w:t>
      </w:r>
      <w:r w:rsidR="00B63F92">
        <w:rPr>
          <w:rFonts w:ascii="Arial" w:hAnsi="Arial" w:cs="Arial"/>
          <w:sz w:val="20"/>
          <w:szCs w:val="20"/>
        </w:rPr>
        <w:t xml:space="preserve">“While units are down, declines have averaged between 4% and 5% for several months now,” Parker explained. “We also have to keep in mind that prices have increased more than 25% versus 2019 and yet total food and beverage unit sales are flat </w:t>
      </w:r>
      <w:r w:rsidR="00BB3A5E">
        <w:rPr>
          <w:rFonts w:ascii="Arial" w:hAnsi="Arial" w:cs="Arial"/>
          <w:sz w:val="20"/>
          <w:szCs w:val="20"/>
        </w:rPr>
        <w:t xml:space="preserve">— </w:t>
      </w:r>
      <w:r w:rsidR="00B63F92">
        <w:rPr>
          <w:rFonts w:ascii="Arial" w:hAnsi="Arial" w:cs="Arial"/>
          <w:sz w:val="20"/>
          <w:szCs w:val="20"/>
        </w:rPr>
        <w:t>underscor</w:t>
      </w:r>
      <w:r w:rsidR="00BB3A5E">
        <w:rPr>
          <w:rFonts w:ascii="Arial" w:hAnsi="Arial" w:cs="Arial"/>
          <w:sz w:val="20"/>
          <w:szCs w:val="20"/>
        </w:rPr>
        <w:t>ing</w:t>
      </w:r>
      <w:r w:rsidR="00B63F92">
        <w:rPr>
          <w:rFonts w:ascii="Arial" w:hAnsi="Arial" w:cs="Arial"/>
          <w:sz w:val="20"/>
          <w:szCs w:val="20"/>
        </w:rPr>
        <w:t xml:space="preserve"> that consumer demand </w:t>
      </w:r>
      <w:r w:rsidR="00BB3A5E">
        <w:rPr>
          <w:rFonts w:ascii="Arial" w:hAnsi="Arial" w:cs="Arial"/>
          <w:sz w:val="20"/>
          <w:szCs w:val="20"/>
        </w:rPr>
        <w:t xml:space="preserve">at retail </w:t>
      </w:r>
      <w:r w:rsidR="00B63F92">
        <w:rPr>
          <w:rFonts w:ascii="Arial" w:hAnsi="Arial" w:cs="Arial"/>
          <w:sz w:val="20"/>
          <w:szCs w:val="20"/>
        </w:rPr>
        <w:t xml:space="preserve">remains strong.” </w:t>
      </w:r>
    </w:p>
    <w:p w14:paraId="2530E362" w14:textId="77777777" w:rsidR="00BD7CB1" w:rsidRDefault="00BD7CB1" w:rsidP="00BD7CB1">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100"/>
        <w:gridCol w:w="1098"/>
      </w:tblGrid>
      <w:tr w:rsidR="00BD7CB1" w:rsidRPr="00706DE2" w14:paraId="2451FB36" w14:textId="77777777" w:rsidTr="00951B0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5F8FEAC9" w14:textId="34E77CA6" w:rsidR="00BD7CB1" w:rsidRPr="00706DE2" w:rsidRDefault="00951B01" w:rsidP="00951B01">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July</w:t>
            </w:r>
            <w:r w:rsidR="00BD7CB1">
              <w:rPr>
                <w:rFonts w:ascii="Arial" w:eastAsia="Times New Roman" w:hAnsi="Arial" w:cs="Arial"/>
                <w:color w:val="FFFFFF" w:themeColor="background1"/>
                <w:sz w:val="18"/>
                <w:szCs w:val="20"/>
              </w:rPr>
              <w:t xml:space="preserve">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F2F0619" w14:textId="77777777" w:rsidR="00BD7CB1" w:rsidRPr="00706DE2" w:rsidRDefault="00BD7CB1" w:rsidP="00951B0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3A09C832" w14:textId="77777777" w:rsidR="00BD7CB1" w:rsidRPr="00706DE2" w:rsidRDefault="00BD7CB1" w:rsidP="00951B0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BD7CB1" w:rsidRPr="00706DE2" w14:paraId="7CFF67FC" w14:textId="77777777" w:rsidTr="00951B0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781F004F" w14:textId="77777777" w:rsidR="00BD7CB1" w:rsidRPr="00706DE2" w:rsidRDefault="00BD7CB1" w:rsidP="00951B01">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585BD1A8" w14:textId="77777777" w:rsidR="00BD7CB1"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5586F6B7" w14:textId="77777777" w:rsidR="00BD7CB1" w:rsidRPr="00706DE2"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35B3BEC5" w14:textId="77777777" w:rsidR="00BD7CB1"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4BAA61CF" w14:textId="77777777" w:rsidR="00BD7CB1" w:rsidRPr="00706DE2"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62771EA9" w14:textId="77777777" w:rsidR="00BD7CB1"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0EE018C8" w14:textId="77777777" w:rsidR="00BD7CB1"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46236CE6" w14:textId="77777777" w:rsidR="00BD7CB1" w:rsidRPr="00706DE2"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100" w:type="dxa"/>
            <w:tcBorders>
              <w:left w:val="none" w:sz="0" w:space="0" w:color="auto"/>
              <w:right w:val="none" w:sz="0" w:space="0" w:color="auto"/>
            </w:tcBorders>
            <w:shd w:val="clear" w:color="auto" w:fill="17365D" w:themeFill="text2" w:themeFillShade="BF"/>
          </w:tcPr>
          <w:p w14:paraId="58158EE4" w14:textId="77777777" w:rsidR="00BD7CB1"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1098" w:type="dxa"/>
            <w:tcBorders>
              <w:left w:val="none" w:sz="0" w:space="0" w:color="auto"/>
              <w:right w:val="none" w:sz="0" w:space="0" w:color="auto"/>
            </w:tcBorders>
            <w:shd w:val="clear" w:color="auto" w:fill="17365D" w:themeFill="text2" w:themeFillShade="BF"/>
          </w:tcPr>
          <w:p w14:paraId="4E17AAC7" w14:textId="77777777" w:rsidR="00BD7CB1"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BD7CB1" w:rsidRPr="00067996" w14:paraId="45DE8C99" w14:textId="77777777" w:rsidTr="00951B01">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6D452AA0" w14:textId="77777777" w:rsidR="00BD7CB1" w:rsidRPr="00067996" w:rsidRDefault="00BD7CB1" w:rsidP="00951B01">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Total food and beverages</w:t>
            </w:r>
          </w:p>
        </w:tc>
        <w:tc>
          <w:tcPr>
            <w:tcW w:w="1006" w:type="dxa"/>
            <w:gridSpan w:val="2"/>
          </w:tcPr>
          <w:p w14:paraId="1181348A" w14:textId="026450A8"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sidR="002E71DE">
              <w:rPr>
                <w:rFonts w:ascii="Arial" w:eastAsia="Times New Roman" w:hAnsi="Arial" w:cs="Arial"/>
                <w:color w:val="215868" w:themeColor="accent5" w:themeShade="80"/>
                <w:sz w:val="18"/>
                <w:szCs w:val="18"/>
              </w:rPr>
              <w:t>72.1</w:t>
            </w:r>
            <w:r w:rsidRPr="00067996">
              <w:rPr>
                <w:rFonts w:ascii="Arial" w:eastAsia="Times New Roman" w:hAnsi="Arial" w:cs="Arial"/>
                <w:color w:val="215868" w:themeColor="accent5" w:themeShade="80"/>
                <w:sz w:val="18"/>
                <w:szCs w:val="18"/>
              </w:rPr>
              <w:t>B</w:t>
            </w:r>
          </w:p>
        </w:tc>
        <w:tc>
          <w:tcPr>
            <w:tcW w:w="1269" w:type="dxa"/>
            <w:vAlign w:val="bottom"/>
          </w:tcPr>
          <w:p w14:paraId="24C941B7" w14:textId="24AF136D"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8.6</w:t>
            </w:r>
            <w:r w:rsidRPr="00067996">
              <w:rPr>
                <w:rFonts w:ascii="Arial" w:hAnsi="Arial" w:cs="Arial"/>
                <w:color w:val="215868" w:themeColor="accent5" w:themeShade="80"/>
                <w:sz w:val="18"/>
                <w:szCs w:val="18"/>
              </w:rPr>
              <w:t>%</w:t>
            </w:r>
          </w:p>
        </w:tc>
        <w:tc>
          <w:tcPr>
            <w:tcW w:w="1269" w:type="dxa"/>
            <w:vAlign w:val="bottom"/>
          </w:tcPr>
          <w:p w14:paraId="57EACA11" w14:textId="46E55E7B"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9.9</w:t>
            </w:r>
            <w:r w:rsidRPr="00067996">
              <w:rPr>
                <w:rFonts w:ascii="Arial" w:hAnsi="Arial" w:cs="Arial"/>
                <w:color w:val="215868" w:themeColor="accent5" w:themeShade="80"/>
                <w:sz w:val="18"/>
                <w:szCs w:val="18"/>
              </w:rPr>
              <w:t>%</w:t>
            </w:r>
          </w:p>
        </w:tc>
        <w:tc>
          <w:tcPr>
            <w:tcW w:w="1269" w:type="dxa"/>
            <w:vAlign w:val="bottom"/>
          </w:tcPr>
          <w:p w14:paraId="6556DE0B" w14:textId="688A596A"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25.7</w:t>
            </w:r>
            <w:r w:rsidRPr="00067996">
              <w:rPr>
                <w:rFonts w:ascii="Arial" w:hAnsi="Arial" w:cs="Arial"/>
                <w:color w:val="215868" w:themeColor="accent5" w:themeShade="80"/>
                <w:sz w:val="18"/>
                <w:szCs w:val="18"/>
              </w:rPr>
              <w:t>%</w:t>
            </w:r>
          </w:p>
        </w:tc>
        <w:tc>
          <w:tcPr>
            <w:tcW w:w="1269" w:type="dxa"/>
            <w:vAlign w:val="bottom"/>
          </w:tcPr>
          <w:p w14:paraId="50912D1A" w14:textId="1ABED21A" w:rsidR="00BD7CB1" w:rsidRPr="00FB29BD" w:rsidRDefault="00951B01"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4.2</w:t>
            </w:r>
            <w:r w:rsidR="00BD7CB1" w:rsidRPr="00FB29BD">
              <w:rPr>
                <w:rFonts w:ascii="Arial" w:hAnsi="Arial" w:cs="Arial"/>
                <w:color w:val="215868" w:themeColor="accent5" w:themeShade="80"/>
                <w:sz w:val="18"/>
                <w:szCs w:val="18"/>
              </w:rPr>
              <w:t>%</w:t>
            </w:r>
          </w:p>
        </w:tc>
        <w:tc>
          <w:tcPr>
            <w:tcW w:w="1100" w:type="dxa"/>
            <w:vAlign w:val="bottom"/>
          </w:tcPr>
          <w:p w14:paraId="6C7C27DE" w14:textId="1159FEA8" w:rsidR="00BD7CB1" w:rsidRPr="00FB29BD" w:rsidRDefault="00951B0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6.5</w:t>
            </w:r>
            <w:r w:rsidR="00BD7CB1" w:rsidRPr="00FB29BD">
              <w:rPr>
                <w:rFonts w:ascii="Arial" w:hAnsi="Arial" w:cs="Arial"/>
                <w:color w:val="215868" w:themeColor="accent5" w:themeShade="80"/>
                <w:sz w:val="18"/>
                <w:szCs w:val="18"/>
              </w:rPr>
              <w:t>%</w:t>
            </w:r>
          </w:p>
        </w:tc>
        <w:tc>
          <w:tcPr>
            <w:tcW w:w="1098" w:type="dxa"/>
            <w:vAlign w:val="bottom"/>
          </w:tcPr>
          <w:p w14:paraId="72125F4A" w14:textId="2150A254" w:rsidR="00BD7CB1" w:rsidRPr="00FB29BD"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0.4</w:t>
            </w:r>
            <w:r w:rsidRPr="00FB29BD">
              <w:rPr>
                <w:rFonts w:ascii="Arial" w:hAnsi="Arial" w:cs="Arial"/>
                <w:color w:val="215868" w:themeColor="accent5" w:themeShade="80"/>
                <w:sz w:val="18"/>
                <w:szCs w:val="18"/>
              </w:rPr>
              <w:t>%</w:t>
            </w:r>
          </w:p>
        </w:tc>
      </w:tr>
      <w:tr w:rsidR="00BD7CB1" w:rsidRPr="00067996" w14:paraId="60227BBC" w14:textId="77777777" w:rsidTr="00951B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05C4A706" w14:textId="77777777" w:rsidR="00BD7CB1" w:rsidRPr="00067996" w:rsidRDefault="00BD7CB1" w:rsidP="00951B01">
            <w:pPr>
              <w:rPr>
                <w:rFonts w:ascii="Arial" w:eastAsia="Times New Roman" w:hAnsi="Arial" w:cs="Arial"/>
                <w:b w:val="0"/>
                <w:bCs w:val="0"/>
                <w:color w:val="215868" w:themeColor="accent5" w:themeShade="80"/>
                <w:sz w:val="18"/>
                <w:szCs w:val="18"/>
              </w:rPr>
            </w:pPr>
            <w:r w:rsidRPr="00067996">
              <w:rPr>
                <w:rFonts w:ascii="Arial" w:eastAsia="Times New Roman" w:hAnsi="Arial" w:cs="Arial"/>
                <w:b w:val="0"/>
                <w:bCs w:val="0"/>
                <w:color w:val="215868" w:themeColor="accent5" w:themeShade="80"/>
                <w:sz w:val="18"/>
                <w:szCs w:val="18"/>
              </w:rPr>
              <w:t>Total grocery (center store)</w:t>
            </w:r>
          </w:p>
        </w:tc>
        <w:tc>
          <w:tcPr>
            <w:tcW w:w="1006" w:type="dxa"/>
            <w:gridSpan w:val="2"/>
          </w:tcPr>
          <w:p w14:paraId="644831B2" w14:textId="1A8F826C" w:rsidR="00BD7CB1" w:rsidRPr="00067996"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sidR="002E71DE">
              <w:rPr>
                <w:rFonts w:ascii="Arial" w:eastAsia="Times New Roman" w:hAnsi="Arial" w:cs="Arial"/>
                <w:color w:val="215868" w:themeColor="accent5" w:themeShade="80"/>
                <w:sz w:val="18"/>
                <w:szCs w:val="18"/>
              </w:rPr>
              <w:t>34.6</w:t>
            </w:r>
            <w:r w:rsidRPr="00067996">
              <w:rPr>
                <w:rFonts w:ascii="Arial" w:eastAsia="Times New Roman" w:hAnsi="Arial" w:cs="Arial"/>
                <w:color w:val="215868" w:themeColor="accent5" w:themeShade="80"/>
                <w:sz w:val="18"/>
                <w:szCs w:val="18"/>
              </w:rPr>
              <w:t>B</w:t>
            </w:r>
          </w:p>
        </w:tc>
        <w:tc>
          <w:tcPr>
            <w:tcW w:w="1269" w:type="dxa"/>
            <w:vAlign w:val="bottom"/>
          </w:tcPr>
          <w:p w14:paraId="40A7736C" w14:textId="20F05518" w:rsidR="00BD7CB1" w:rsidRPr="00067996"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10.5</w:t>
            </w:r>
            <w:r w:rsidRPr="00067996">
              <w:rPr>
                <w:rFonts w:ascii="Arial" w:hAnsi="Arial" w:cs="Arial"/>
                <w:color w:val="215868" w:themeColor="accent5" w:themeShade="80"/>
                <w:sz w:val="18"/>
                <w:szCs w:val="18"/>
              </w:rPr>
              <w:t>%</w:t>
            </w:r>
          </w:p>
        </w:tc>
        <w:tc>
          <w:tcPr>
            <w:tcW w:w="1269" w:type="dxa"/>
            <w:vAlign w:val="bottom"/>
          </w:tcPr>
          <w:p w14:paraId="7303D671" w14:textId="5835CB91" w:rsidR="00BD7CB1" w:rsidRPr="00067996"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12.3</w:t>
            </w:r>
            <w:r w:rsidRPr="00067996">
              <w:rPr>
                <w:rFonts w:ascii="Arial" w:hAnsi="Arial" w:cs="Arial"/>
                <w:color w:val="215868" w:themeColor="accent5" w:themeShade="80"/>
                <w:sz w:val="18"/>
                <w:szCs w:val="18"/>
              </w:rPr>
              <w:t>%</w:t>
            </w:r>
          </w:p>
        </w:tc>
        <w:tc>
          <w:tcPr>
            <w:tcW w:w="1269" w:type="dxa"/>
            <w:vAlign w:val="bottom"/>
          </w:tcPr>
          <w:p w14:paraId="75468F94" w14:textId="7BE0EC33" w:rsidR="00BD7CB1" w:rsidRPr="00067996"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29.4</w:t>
            </w:r>
            <w:r w:rsidRPr="00067996">
              <w:rPr>
                <w:rFonts w:ascii="Arial" w:hAnsi="Arial" w:cs="Arial"/>
                <w:color w:val="215868" w:themeColor="accent5" w:themeShade="80"/>
                <w:sz w:val="18"/>
                <w:szCs w:val="18"/>
              </w:rPr>
              <w:t>%</w:t>
            </w:r>
          </w:p>
        </w:tc>
        <w:tc>
          <w:tcPr>
            <w:tcW w:w="1269" w:type="dxa"/>
            <w:vAlign w:val="bottom"/>
          </w:tcPr>
          <w:p w14:paraId="2EFF1B93" w14:textId="28E847D8" w:rsidR="00BD7CB1" w:rsidRPr="00FB29BD" w:rsidRDefault="00951B0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4.2</w:t>
            </w:r>
            <w:r w:rsidR="00BD7CB1" w:rsidRPr="00FB29BD">
              <w:rPr>
                <w:rFonts w:ascii="Arial" w:hAnsi="Arial" w:cs="Arial"/>
                <w:color w:val="215868" w:themeColor="accent5" w:themeShade="80"/>
                <w:sz w:val="18"/>
                <w:szCs w:val="18"/>
              </w:rPr>
              <w:t>%</w:t>
            </w:r>
          </w:p>
        </w:tc>
        <w:tc>
          <w:tcPr>
            <w:tcW w:w="1100" w:type="dxa"/>
            <w:vAlign w:val="bottom"/>
          </w:tcPr>
          <w:p w14:paraId="0BD1A528" w14:textId="56460125" w:rsidR="00BD7CB1" w:rsidRPr="00FB29BD" w:rsidRDefault="00951B0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7.0</w:t>
            </w:r>
            <w:r w:rsidR="00BD7CB1" w:rsidRPr="00FB29BD">
              <w:rPr>
                <w:rFonts w:ascii="Arial" w:hAnsi="Arial" w:cs="Arial"/>
                <w:color w:val="215868" w:themeColor="accent5" w:themeShade="80"/>
                <w:sz w:val="18"/>
                <w:szCs w:val="18"/>
              </w:rPr>
              <w:t>%</w:t>
            </w:r>
          </w:p>
        </w:tc>
        <w:tc>
          <w:tcPr>
            <w:tcW w:w="1098" w:type="dxa"/>
            <w:vAlign w:val="bottom"/>
          </w:tcPr>
          <w:p w14:paraId="04B99F57" w14:textId="61CA0B0B" w:rsidR="00BD7CB1" w:rsidRPr="00FB29BD" w:rsidRDefault="00BD7CB1" w:rsidP="00951B0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0.2</w:t>
            </w:r>
            <w:r w:rsidRPr="00FB29BD">
              <w:rPr>
                <w:rFonts w:ascii="Arial" w:hAnsi="Arial" w:cs="Arial"/>
                <w:color w:val="215868" w:themeColor="accent5" w:themeShade="80"/>
                <w:sz w:val="18"/>
                <w:szCs w:val="18"/>
              </w:rPr>
              <w:t>%</w:t>
            </w:r>
          </w:p>
        </w:tc>
      </w:tr>
      <w:tr w:rsidR="00BD7CB1" w:rsidRPr="00067996" w14:paraId="7DF596E5" w14:textId="77777777" w:rsidTr="00951B01">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25F1BECE" w14:textId="77777777" w:rsidR="00BD7CB1" w:rsidRPr="00067996" w:rsidRDefault="00BD7CB1" w:rsidP="00951B01">
            <w:pPr>
              <w:rPr>
                <w:rFonts w:ascii="Arial" w:eastAsia="Times New Roman" w:hAnsi="Arial" w:cs="Arial"/>
                <w:b w:val="0"/>
                <w:color w:val="215868" w:themeColor="accent5" w:themeShade="80"/>
                <w:sz w:val="18"/>
                <w:szCs w:val="18"/>
              </w:rPr>
            </w:pPr>
            <w:r w:rsidRPr="00067996">
              <w:rPr>
                <w:rFonts w:ascii="Arial" w:eastAsia="Times New Roman" w:hAnsi="Arial" w:cs="Arial"/>
                <w:b w:val="0"/>
                <w:color w:val="215868" w:themeColor="accent5" w:themeShade="80"/>
                <w:sz w:val="18"/>
                <w:szCs w:val="18"/>
              </w:rPr>
              <w:t xml:space="preserve">Total </w:t>
            </w:r>
            <w:r>
              <w:rPr>
                <w:rFonts w:ascii="Arial" w:eastAsia="Times New Roman" w:hAnsi="Arial" w:cs="Arial"/>
                <w:b w:val="0"/>
                <w:color w:val="215868" w:themeColor="accent5" w:themeShade="80"/>
                <w:sz w:val="18"/>
                <w:szCs w:val="18"/>
              </w:rPr>
              <w:t>perishables</w:t>
            </w:r>
          </w:p>
        </w:tc>
        <w:tc>
          <w:tcPr>
            <w:tcW w:w="1006" w:type="dxa"/>
            <w:gridSpan w:val="2"/>
          </w:tcPr>
          <w:p w14:paraId="4631A0B4" w14:textId="39273EF6"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67996">
              <w:rPr>
                <w:rFonts w:ascii="Arial" w:eastAsia="Times New Roman" w:hAnsi="Arial" w:cs="Arial"/>
                <w:color w:val="215868" w:themeColor="accent5" w:themeShade="80"/>
                <w:sz w:val="18"/>
                <w:szCs w:val="18"/>
              </w:rPr>
              <w:t>$</w:t>
            </w:r>
            <w:r w:rsidR="002E71DE">
              <w:rPr>
                <w:rFonts w:ascii="Arial" w:eastAsia="Times New Roman" w:hAnsi="Arial" w:cs="Arial"/>
                <w:color w:val="215868" w:themeColor="accent5" w:themeShade="80"/>
                <w:sz w:val="18"/>
                <w:szCs w:val="18"/>
              </w:rPr>
              <w:t>32.8</w:t>
            </w:r>
            <w:r w:rsidRPr="00067996">
              <w:rPr>
                <w:rFonts w:ascii="Arial" w:eastAsia="Times New Roman" w:hAnsi="Arial" w:cs="Arial"/>
                <w:color w:val="215868" w:themeColor="accent5" w:themeShade="80"/>
                <w:sz w:val="18"/>
                <w:szCs w:val="18"/>
              </w:rPr>
              <w:t>B</w:t>
            </w:r>
          </w:p>
        </w:tc>
        <w:tc>
          <w:tcPr>
            <w:tcW w:w="1269" w:type="dxa"/>
            <w:vAlign w:val="bottom"/>
          </w:tcPr>
          <w:p w14:paraId="78EEF83F" w14:textId="7E1CF6B3"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8.1</w:t>
            </w:r>
            <w:r w:rsidRPr="00067996">
              <w:rPr>
                <w:rFonts w:ascii="Arial" w:hAnsi="Arial" w:cs="Arial"/>
                <w:color w:val="215868" w:themeColor="accent5" w:themeShade="80"/>
                <w:sz w:val="18"/>
                <w:szCs w:val="18"/>
              </w:rPr>
              <w:t>%</w:t>
            </w:r>
          </w:p>
        </w:tc>
        <w:tc>
          <w:tcPr>
            <w:tcW w:w="1269" w:type="dxa"/>
            <w:vAlign w:val="bottom"/>
          </w:tcPr>
          <w:p w14:paraId="02B68772" w14:textId="5F83DAFE"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9.6</w:t>
            </w:r>
            <w:r w:rsidRPr="00067996">
              <w:rPr>
                <w:rFonts w:ascii="Arial" w:hAnsi="Arial" w:cs="Arial"/>
                <w:color w:val="215868" w:themeColor="accent5" w:themeShade="80"/>
                <w:sz w:val="18"/>
                <w:szCs w:val="18"/>
              </w:rPr>
              <w:t>%</w:t>
            </w:r>
          </w:p>
        </w:tc>
        <w:tc>
          <w:tcPr>
            <w:tcW w:w="1269" w:type="dxa"/>
            <w:vAlign w:val="bottom"/>
          </w:tcPr>
          <w:p w14:paraId="2F76CBF3" w14:textId="1D02DCD1" w:rsidR="00BD7CB1" w:rsidRPr="00067996"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24.2</w:t>
            </w:r>
            <w:r w:rsidRPr="00067996">
              <w:rPr>
                <w:rFonts w:ascii="Arial" w:hAnsi="Arial" w:cs="Arial"/>
                <w:color w:val="215868" w:themeColor="accent5" w:themeShade="80"/>
                <w:sz w:val="18"/>
                <w:szCs w:val="18"/>
              </w:rPr>
              <w:t>%</w:t>
            </w:r>
          </w:p>
        </w:tc>
        <w:tc>
          <w:tcPr>
            <w:tcW w:w="1269" w:type="dxa"/>
            <w:vAlign w:val="bottom"/>
          </w:tcPr>
          <w:p w14:paraId="7B7AF135" w14:textId="31CF1177" w:rsidR="00BD7CB1" w:rsidRPr="00FB29BD" w:rsidRDefault="00951B01"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8.5</w:t>
            </w:r>
            <w:r w:rsidR="00BD7CB1" w:rsidRPr="00FB29BD">
              <w:rPr>
                <w:rFonts w:ascii="Arial" w:hAnsi="Arial" w:cs="Arial"/>
                <w:color w:val="215868" w:themeColor="accent5" w:themeShade="80"/>
                <w:sz w:val="18"/>
                <w:szCs w:val="18"/>
              </w:rPr>
              <w:t>%</w:t>
            </w:r>
          </w:p>
        </w:tc>
        <w:tc>
          <w:tcPr>
            <w:tcW w:w="1100" w:type="dxa"/>
            <w:vAlign w:val="bottom"/>
          </w:tcPr>
          <w:p w14:paraId="36847D7C" w14:textId="0289329F" w:rsidR="00BD7CB1" w:rsidRPr="00FB29BD" w:rsidRDefault="00951B0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4.0</w:t>
            </w:r>
            <w:r w:rsidR="00BD7CB1" w:rsidRPr="00FB29BD">
              <w:rPr>
                <w:rFonts w:ascii="Arial" w:hAnsi="Arial" w:cs="Arial"/>
                <w:color w:val="215868" w:themeColor="accent5" w:themeShade="80"/>
                <w:sz w:val="18"/>
                <w:szCs w:val="18"/>
              </w:rPr>
              <w:t>%</w:t>
            </w:r>
          </w:p>
        </w:tc>
        <w:tc>
          <w:tcPr>
            <w:tcW w:w="1098" w:type="dxa"/>
            <w:vAlign w:val="bottom"/>
          </w:tcPr>
          <w:p w14:paraId="13CEC203" w14:textId="1B136049" w:rsidR="00BD7CB1" w:rsidRPr="00FB29BD" w:rsidRDefault="00BD7CB1" w:rsidP="00951B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2E71DE">
              <w:rPr>
                <w:rFonts w:ascii="Arial" w:hAnsi="Arial" w:cs="Arial"/>
                <w:color w:val="215868" w:themeColor="accent5" w:themeShade="80"/>
                <w:sz w:val="18"/>
                <w:szCs w:val="18"/>
              </w:rPr>
              <w:t>0.6</w:t>
            </w:r>
            <w:r w:rsidRPr="00FB29BD">
              <w:rPr>
                <w:rFonts w:ascii="Arial" w:hAnsi="Arial" w:cs="Arial"/>
                <w:color w:val="215868" w:themeColor="accent5" w:themeShade="80"/>
                <w:sz w:val="18"/>
                <w:szCs w:val="18"/>
              </w:rPr>
              <w:t>%</w:t>
            </w:r>
          </w:p>
        </w:tc>
      </w:tr>
    </w:tbl>
    <w:p w14:paraId="0263B544" w14:textId="77777777" w:rsidR="00BD7CB1" w:rsidRPr="00B64ECF" w:rsidRDefault="00BD7CB1" w:rsidP="00BD7CB1">
      <w:pPr>
        <w:pStyle w:val="NoSpacing"/>
        <w:rPr>
          <w:rFonts w:ascii="Arial" w:hAnsi="Arial" w:cs="Arial"/>
          <w:sz w:val="12"/>
          <w:szCs w:val="16"/>
        </w:rPr>
      </w:pPr>
    </w:p>
    <w:p w14:paraId="462D979E" w14:textId="77777777" w:rsidR="00BD7CB1" w:rsidRDefault="00BD7CB1" w:rsidP="00BD7CB1">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p w14:paraId="52BE2674" w14:textId="0F6EA919" w:rsidR="00C616F0" w:rsidRDefault="00C616F0" w:rsidP="001210D2">
      <w:pPr>
        <w:pStyle w:val="NoSpacing"/>
        <w:rPr>
          <w:rFonts w:ascii="Arial" w:hAnsi="Arial" w:cs="Arial"/>
          <w:sz w:val="20"/>
          <w:szCs w:val="20"/>
        </w:rPr>
      </w:pPr>
    </w:p>
    <w:p w14:paraId="2359F070" w14:textId="77777777" w:rsidR="00BD7CB1" w:rsidRDefault="00BD7CB1" w:rsidP="001210D2">
      <w:pPr>
        <w:pStyle w:val="NoSpacing"/>
        <w:rPr>
          <w:rFonts w:ascii="Arial" w:hAnsi="Arial" w:cs="Arial"/>
          <w:sz w:val="20"/>
          <w:szCs w:val="20"/>
        </w:rPr>
      </w:pPr>
    </w:p>
    <w:p w14:paraId="5C40F56A" w14:textId="4F755848" w:rsidR="001C641C" w:rsidRDefault="00BD7CB1" w:rsidP="00CF43CE">
      <w:pPr>
        <w:pStyle w:val="NoSpacing"/>
        <w:rPr>
          <w:rFonts w:ascii="Arial" w:hAnsi="Arial" w:cs="Arial"/>
          <w:sz w:val="20"/>
          <w:szCs w:val="20"/>
        </w:rPr>
      </w:pPr>
      <w:r w:rsidRPr="00854F55">
        <w:rPr>
          <w:rFonts w:ascii="Arial" w:hAnsi="Arial" w:cs="Arial"/>
          <w:sz w:val="20"/>
          <w:szCs w:val="20"/>
        </w:rPr>
        <w:t>Ju</w:t>
      </w:r>
      <w:r w:rsidR="00854F55">
        <w:rPr>
          <w:rFonts w:ascii="Arial" w:hAnsi="Arial" w:cs="Arial"/>
          <w:sz w:val="20"/>
          <w:szCs w:val="20"/>
        </w:rPr>
        <w:t>ly</w:t>
      </w:r>
      <w:r w:rsidRPr="00854F55">
        <w:rPr>
          <w:rFonts w:ascii="Arial" w:hAnsi="Arial" w:cs="Arial"/>
          <w:sz w:val="20"/>
          <w:szCs w:val="20"/>
        </w:rPr>
        <w:t xml:space="preserve"> </w:t>
      </w:r>
      <w:r w:rsidR="00647DD6" w:rsidRPr="00854F55">
        <w:rPr>
          <w:rFonts w:ascii="Arial" w:hAnsi="Arial" w:cs="Arial"/>
          <w:sz w:val="20"/>
          <w:szCs w:val="20"/>
        </w:rPr>
        <w:t xml:space="preserve">2022 </w:t>
      </w:r>
      <w:r w:rsidR="00A96063" w:rsidRPr="00854F55">
        <w:rPr>
          <w:rFonts w:ascii="Arial" w:hAnsi="Arial" w:cs="Arial"/>
          <w:sz w:val="20"/>
          <w:szCs w:val="20"/>
        </w:rPr>
        <w:t xml:space="preserve">fresh </w:t>
      </w:r>
      <w:r w:rsidR="00891C7E" w:rsidRPr="00854F55">
        <w:rPr>
          <w:rFonts w:ascii="Arial" w:hAnsi="Arial" w:cs="Arial"/>
          <w:sz w:val="20"/>
          <w:szCs w:val="20"/>
        </w:rPr>
        <w:t xml:space="preserve">produce sales </w:t>
      </w:r>
      <w:r w:rsidR="00D046CF" w:rsidRPr="00854F55">
        <w:rPr>
          <w:rFonts w:ascii="Arial" w:hAnsi="Arial" w:cs="Arial"/>
          <w:sz w:val="20"/>
          <w:szCs w:val="20"/>
        </w:rPr>
        <w:t>reached $</w:t>
      </w:r>
      <w:r w:rsidR="00854F55">
        <w:rPr>
          <w:rFonts w:ascii="Arial" w:hAnsi="Arial" w:cs="Arial"/>
          <w:sz w:val="20"/>
          <w:szCs w:val="20"/>
        </w:rPr>
        <w:t>7.7</w:t>
      </w:r>
      <w:r w:rsidR="00D046CF" w:rsidRPr="00854F55">
        <w:rPr>
          <w:rFonts w:ascii="Arial" w:hAnsi="Arial" w:cs="Arial"/>
          <w:sz w:val="20"/>
          <w:szCs w:val="20"/>
        </w:rPr>
        <w:t xml:space="preserve"> billion</w:t>
      </w:r>
      <w:r w:rsidR="001C641C" w:rsidRPr="00854F55">
        <w:rPr>
          <w:rFonts w:ascii="Arial" w:hAnsi="Arial" w:cs="Arial"/>
          <w:sz w:val="20"/>
          <w:szCs w:val="20"/>
        </w:rPr>
        <w:t xml:space="preserve">, surpassing the record set </w:t>
      </w:r>
      <w:r w:rsidR="008A426C" w:rsidRPr="00854F55">
        <w:rPr>
          <w:rFonts w:ascii="Arial" w:hAnsi="Arial" w:cs="Arial"/>
          <w:sz w:val="20"/>
          <w:szCs w:val="20"/>
        </w:rPr>
        <w:t xml:space="preserve">the prior year </w:t>
      </w:r>
      <w:r w:rsidR="00576505" w:rsidRPr="00854F55">
        <w:rPr>
          <w:rFonts w:ascii="Arial" w:hAnsi="Arial" w:cs="Arial"/>
          <w:sz w:val="20"/>
          <w:szCs w:val="20"/>
        </w:rPr>
        <w:t xml:space="preserve">by </w:t>
      </w:r>
      <w:r w:rsidR="00676B67" w:rsidRPr="00854F55">
        <w:rPr>
          <w:rFonts w:ascii="Arial" w:hAnsi="Arial" w:cs="Arial"/>
          <w:sz w:val="20"/>
          <w:szCs w:val="20"/>
        </w:rPr>
        <w:t>+</w:t>
      </w:r>
      <w:r w:rsidR="00854F55">
        <w:rPr>
          <w:rFonts w:ascii="Arial" w:hAnsi="Arial" w:cs="Arial"/>
          <w:sz w:val="20"/>
          <w:szCs w:val="20"/>
        </w:rPr>
        <w:t>4.2</w:t>
      </w:r>
      <w:r w:rsidR="00576505" w:rsidRPr="00854F55">
        <w:rPr>
          <w:rFonts w:ascii="Arial" w:hAnsi="Arial" w:cs="Arial"/>
          <w:sz w:val="20"/>
          <w:szCs w:val="20"/>
        </w:rPr>
        <w:t>%</w:t>
      </w:r>
      <w:r w:rsidR="001C641C" w:rsidRPr="00854F55">
        <w:rPr>
          <w:rFonts w:ascii="Arial" w:hAnsi="Arial" w:cs="Arial"/>
          <w:sz w:val="20"/>
          <w:szCs w:val="20"/>
        </w:rPr>
        <w:t xml:space="preserve">. </w:t>
      </w:r>
      <w:r w:rsidR="00A96063" w:rsidRPr="00854F55">
        <w:rPr>
          <w:rFonts w:ascii="Arial" w:hAnsi="Arial" w:cs="Arial"/>
          <w:sz w:val="20"/>
          <w:szCs w:val="20"/>
        </w:rPr>
        <w:t>However, looking beyond dollars that were highly affected by inflation</w:t>
      </w:r>
      <w:r w:rsidR="006005FF" w:rsidRPr="00854F55">
        <w:rPr>
          <w:rFonts w:ascii="Arial" w:hAnsi="Arial" w:cs="Arial"/>
          <w:sz w:val="20"/>
          <w:szCs w:val="20"/>
        </w:rPr>
        <w:t>,</w:t>
      </w:r>
      <w:r w:rsidR="00A96063" w:rsidRPr="00854F55">
        <w:rPr>
          <w:rFonts w:ascii="Arial" w:hAnsi="Arial" w:cs="Arial"/>
          <w:sz w:val="20"/>
          <w:szCs w:val="20"/>
        </w:rPr>
        <w:t xml:space="preserve"> </w:t>
      </w:r>
      <w:r w:rsidR="001C641C" w:rsidRPr="00854F55">
        <w:rPr>
          <w:rFonts w:ascii="Arial" w:hAnsi="Arial" w:cs="Arial"/>
          <w:sz w:val="20"/>
          <w:szCs w:val="20"/>
        </w:rPr>
        <w:t>unit and volume decline</w:t>
      </w:r>
      <w:r w:rsidR="00676B67" w:rsidRPr="00854F55">
        <w:rPr>
          <w:rFonts w:ascii="Arial" w:hAnsi="Arial" w:cs="Arial"/>
          <w:sz w:val="20"/>
          <w:szCs w:val="20"/>
        </w:rPr>
        <w:t>d</w:t>
      </w:r>
      <w:r w:rsidR="008A426C" w:rsidRPr="00854F55">
        <w:rPr>
          <w:rFonts w:ascii="Arial" w:hAnsi="Arial" w:cs="Arial"/>
          <w:sz w:val="20"/>
          <w:szCs w:val="20"/>
        </w:rPr>
        <w:t xml:space="preserve"> versus </w:t>
      </w:r>
      <w:r w:rsidR="00854F55">
        <w:rPr>
          <w:rFonts w:ascii="Arial" w:hAnsi="Arial" w:cs="Arial"/>
          <w:sz w:val="20"/>
          <w:szCs w:val="20"/>
        </w:rPr>
        <w:t xml:space="preserve">July </w:t>
      </w:r>
      <w:r w:rsidR="008A426C" w:rsidRPr="00854F55">
        <w:rPr>
          <w:rFonts w:ascii="Arial" w:hAnsi="Arial" w:cs="Arial"/>
          <w:sz w:val="20"/>
          <w:szCs w:val="20"/>
        </w:rPr>
        <w:t>2021</w:t>
      </w:r>
      <w:r w:rsidR="001C641C" w:rsidRPr="00854F55">
        <w:rPr>
          <w:rFonts w:ascii="Arial" w:hAnsi="Arial" w:cs="Arial"/>
          <w:sz w:val="20"/>
          <w:szCs w:val="20"/>
        </w:rPr>
        <w:t xml:space="preserve">. </w:t>
      </w:r>
      <w:r w:rsidR="00854F55">
        <w:rPr>
          <w:rFonts w:ascii="Arial" w:hAnsi="Arial" w:cs="Arial"/>
          <w:sz w:val="20"/>
          <w:szCs w:val="20"/>
        </w:rPr>
        <w:t xml:space="preserve">Vegetables were down slightly less than fruit. </w:t>
      </w:r>
      <w:r w:rsidR="001C641C">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5A4700E6" w:rsidR="001729EA" w:rsidRPr="001729EA" w:rsidRDefault="00951B01" w:rsidP="00951B01">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July</w:t>
            </w:r>
            <w:r w:rsidR="00B75D3A">
              <w:rPr>
                <w:rFonts w:ascii="Arial" w:eastAsia="Times New Roman" w:hAnsi="Arial" w:cs="Arial"/>
                <w:color w:val="FFFFFF" w:themeColor="background1"/>
                <w:sz w:val="18"/>
                <w:szCs w:val="20"/>
              </w:rPr>
              <w:t xml:space="preserve">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38781D">
              <w:rPr>
                <w:rFonts w:ascii="Arial" w:eastAsia="Times New Roman" w:hAnsi="Arial" w:cs="Arial"/>
                <w:color w:val="FFFFFF" w:themeColor="background1"/>
                <w:sz w:val="18"/>
                <w:szCs w:val="20"/>
              </w:rPr>
              <w:t>20</w:t>
            </w:r>
          </w:p>
        </w:tc>
      </w:tr>
      <w:tr w:rsidR="001729EA" w:rsidRPr="000A733E" w14:paraId="4C79F54A"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44D110A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7.7</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0F38B50D"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4.2</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59A8AFAD" w:rsidR="001729EA" w:rsidRPr="00E97D52" w:rsidRDefault="00B75D3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4.0</w:t>
            </w:r>
            <w:r w:rsidR="001729EA"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41C6C4B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5.1</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050F07A5"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7.6</w:t>
            </w:r>
            <w:r w:rsidR="001729EA"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5486DD2E"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4.8</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64B42360"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7.7</w:t>
            </w:r>
            <w:r w:rsidR="001729EA" w:rsidRPr="00560673">
              <w:rPr>
                <w:rFonts w:ascii="Arial" w:eastAsia="Times New Roman" w:hAnsi="Arial" w:cs="Arial"/>
                <w:color w:val="17365D" w:themeColor="text2" w:themeShade="BF"/>
                <w:sz w:val="18"/>
                <w:szCs w:val="18"/>
              </w:rPr>
              <w:t>%</w:t>
            </w:r>
          </w:p>
        </w:tc>
      </w:tr>
      <w:tr w:rsidR="00B75D3A" w:rsidRPr="000A733E" w14:paraId="00EC79C9" w14:textId="77777777" w:rsidTr="00951B01">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77FB79A1"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4.1</w:t>
            </w:r>
            <w:r w:rsidRPr="00E97D52">
              <w:rPr>
                <w:rFonts w:ascii="Arial" w:eastAsia="Times New Roman" w:hAnsi="Arial" w:cs="Arial"/>
                <w:color w:val="17365D" w:themeColor="text2" w:themeShade="BF"/>
                <w:sz w:val="18"/>
                <w:szCs w:val="18"/>
              </w:rPr>
              <w:t>B</w:t>
            </w:r>
          </w:p>
        </w:tc>
        <w:tc>
          <w:tcPr>
            <w:tcW w:w="1265" w:type="dxa"/>
          </w:tcPr>
          <w:p w14:paraId="57664D8C" w14:textId="23469172" w:rsidR="00B75D3A" w:rsidRPr="00E97D52" w:rsidRDefault="00854F55"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+4.2</w:t>
            </w:r>
            <w:r w:rsidR="00B75D3A" w:rsidRPr="00591300">
              <w:rPr>
                <w:rFonts w:ascii="Arial" w:eastAsia="Times New Roman" w:hAnsi="Arial" w:cs="Arial"/>
                <w:color w:val="17365D" w:themeColor="text2" w:themeShade="BF"/>
                <w:sz w:val="18"/>
                <w:szCs w:val="18"/>
              </w:rPr>
              <w:t>%</w:t>
            </w:r>
          </w:p>
        </w:tc>
        <w:tc>
          <w:tcPr>
            <w:tcW w:w="1265" w:type="dxa"/>
          </w:tcPr>
          <w:p w14:paraId="0AB9E5AE" w14:textId="19DE3CA1"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8.0</w:t>
            </w:r>
            <w:r w:rsidRPr="00591300">
              <w:rPr>
                <w:rFonts w:ascii="Arial" w:eastAsia="Times New Roman" w:hAnsi="Arial" w:cs="Arial"/>
                <w:color w:val="17365D" w:themeColor="text2" w:themeShade="BF"/>
                <w:sz w:val="18"/>
                <w:szCs w:val="18"/>
              </w:rPr>
              <w:t>%</w:t>
            </w:r>
          </w:p>
        </w:tc>
        <w:tc>
          <w:tcPr>
            <w:tcW w:w="1265" w:type="dxa"/>
          </w:tcPr>
          <w:p w14:paraId="18ACF451" w14:textId="7BCA5FFD"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5.5</w:t>
            </w:r>
            <w:r w:rsidRPr="000A0500">
              <w:rPr>
                <w:rFonts w:ascii="Arial" w:eastAsia="Times New Roman" w:hAnsi="Arial" w:cs="Arial"/>
                <w:color w:val="17365D" w:themeColor="text2" w:themeShade="BF"/>
                <w:sz w:val="18"/>
                <w:szCs w:val="18"/>
              </w:rPr>
              <w:t>%</w:t>
            </w:r>
          </w:p>
        </w:tc>
        <w:tc>
          <w:tcPr>
            <w:tcW w:w="1265" w:type="dxa"/>
          </w:tcPr>
          <w:p w14:paraId="3E25926E" w14:textId="11E36201"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5.7</w:t>
            </w:r>
            <w:r w:rsidRPr="007650CC">
              <w:rPr>
                <w:rFonts w:ascii="Arial" w:eastAsia="Times New Roman" w:hAnsi="Arial" w:cs="Arial"/>
                <w:color w:val="17365D" w:themeColor="text2" w:themeShade="BF"/>
                <w:sz w:val="18"/>
                <w:szCs w:val="18"/>
              </w:rPr>
              <w:t>%</w:t>
            </w:r>
          </w:p>
        </w:tc>
        <w:tc>
          <w:tcPr>
            <w:tcW w:w="1265" w:type="dxa"/>
          </w:tcPr>
          <w:p w14:paraId="426F58FB" w14:textId="7FE53B8C"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5.1</w:t>
            </w:r>
            <w:r w:rsidRPr="00E87888">
              <w:rPr>
                <w:rFonts w:ascii="Arial" w:eastAsia="Times New Roman" w:hAnsi="Arial" w:cs="Arial"/>
                <w:color w:val="17365D" w:themeColor="text2" w:themeShade="BF"/>
                <w:sz w:val="18"/>
                <w:szCs w:val="18"/>
              </w:rPr>
              <w:t>%</w:t>
            </w:r>
          </w:p>
        </w:tc>
        <w:tc>
          <w:tcPr>
            <w:tcW w:w="1266" w:type="dxa"/>
          </w:tcPr>
          <w:p w14:paraId="44B578EA" w14:textId="51CA11A3"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6.3</w:t>
            </w:r>
            <w:r w:rsidRPr="00560673">
              <w:rPr>
                <w:rFonts w:ascii="Arial" w:eastAsia="Times New Roman" w:hAnsi="Arial" w:cs="Arial"/>
                <w:color w:val="17365D" w:themeColor="text2" w:themeShade="BF"/>
                <w:sz w:val="18"/>
                <w:szCs w:val="18"/>
              </w:rPr>
              <w:t>%</w:t>
            </w:r>
          </w:p>
        </w:tc>
      </w:tr>
      <w:tr w:rsidR="00B75D3A" w:rsidRPr="000A733E" w14:paraId="52DE1385"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0D78BDAF"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3.5</w:t>
            </w:r>
            <w:r w:rsidRPr="00E97D52">
              <w:rPr>
                <w:rFonts w:ascii="Arial" w:eastAsia="Times New Roman" w:hAnsi="Arial" w:cs="Arial"/>
                <w:color w:val="17365D" w:themeColor="text2" w:themeShade="BF"/>
                <w:sz w:val="18"/>
                <w:szCs w:val="18"/>
              </w:rPr>
              <w:t>B</w:t>
            </w:r>
          </w:p>
        </w:tc>
        <w:tc>
          <w:tcPr>
            <w:tcW w:w="1265" w:type="dxa"/>
          </w:tcPr>
          <w:p w14:paraId="62E753B2" w14:textId="248BAEBA"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4.4</w:t>
            </w:r>
            <w:r w:rsidRPr="00591300">
              <w:rPr>
                <w:rFonts w:ascii="Arial" w:eastAsia="Times New Roman" w:hAnsi="Arial" w:cs="Arial"/>
                <w:color w:val="17365D" w:themeColor="text2" w:themeShade="BF"/>
                <w:sz w:val="18"/>
                <w:szCs w:val="18"/>
              </w:rPr>
              <w:t>%</w:t>
            </w:r>
          </w:p>
        </w:tc>
        <w:tc>
          <w:tcPr>
            <w:tcW w:w="1265" w:type="dxa"/>
          </w:tcPr>
          <w:p w14:paraId="5F82C4A8" w14:textId="7A0BA626"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0.5</w:t>
            </w:r>
            <w:r w:rsidRPr="00591300">
              <w:rPr>
                <w:rFonts w:ascii="Arial" w:eastAsia="Times New Roman" w:hAnsi="Arial" w:cs="Arial"/>
                <w:color w:val="17365D" w:themeColor="text2" w:themeShade="BF"/>
                <w:sz w:val="18"/>
                <w:szCs w:val="18"/>
              </w:rPr>
              <w:t>%</w:t>
            </w:r>
          </w:p>
        </w:tc>
        <w:tc>
          <w:tcPr>
            <w:tcW w:w="1265" w:type="dxa"/>
          </w:tcPr>
          <w:p w14:paraId="36BF3793" w14:textId="38D53EB9"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4.7</w:t>
            </w:r>
            <w:r w:rsidRPr="000A0500">
              <w:rPr>
                <w:rFonts w:ascii="Arial" w:eastAsia="Times New Roman" w:hAnsi="Arial" w:cs="Arial"/>
                <w:color w:val="17365D" w:themeColor="text2" w:themeShade="BF"/>
                <w:sz w:val="18"/>
                <w:szCs w:val="18"/>
              </w:rPr>
              <w:t>%</w:t>
            </w:r>
          </w:p>
        </w:tc>
        <w:tc>
          <w:tcPr>
            <w:tcW w:w="1265" w:type="dxa"/>
          </w:tcPr>
          <w:p w14:paraId="60C3D45F" w14:textId="1247948D"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9.3</w:t>
            </w:r>
            <w:r w:rsidRPr="007650CC">
              <w:rPr>
                <w:rFonts w:ascii="Arial" w:eastAsia="Times New Roman" w:hAnsi="Arial" w:cs="Arial"/>
                <w:color w:val="17365D" w:themeColor="text2" w:themeShade="BF"/>
                <w:sz w:val="18"/>
                <w:szCs w:val="18"/>
              </w:rPr>
              <w:t>%</w:t>
            </w:r>
          </w:p>
        </w:tc>
        <w:tc>
          <w:tcPr>
            <w:tcW w:w="1265" w:type="dxa"/>
          </w:tcPr>
          <w:p w14:paraId="53B735C6" w14:textId="5683F4A8"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4.4</w:t>
            </w:r>
            <w:r w:rsidRPr="00E87888">
              <w:rPr>
                <w:rFonts w:ascii="Arial" w:eastAsia="Times New Roman" w:hAnsi="Arial" w:cs="Arial"/>
                <w:color w:val="17365D" w:themeColor="text2" w:themeShade="BF"/>
                <w:sz w:val="18"/>
                <w:szCs w:val="18"/>
              </w:rPr>
              <w:t>%</w:t>
            </w:r>
          </w:p>
        </w:tc>
        <w:tc>
          <w:tcPr>
            <w:tcW w:w="1266" w:type="dxa"/>
          </w:tcPr>
          <w:p w14:paraId="3696D109" w14:textId="56CCBF90"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854F55">
              <w:rPr>
                <w:rFonts w:ascii="Arial" w:eastAsia="Times New Roman" w:hAnsi="Arial" w:cs="Arial"/>
                <w:color w:val="17365D" w:themeColor="text2" w:themeShade="BF"/>
                <w:sz w:val="18"/>
                <w:szCs w:val="18"/>
              </w:rPr>
              <w:t>9.8</w:t>
            </w:r>
            <w:r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644FC7D5"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89E18F0" w14:textId="77777777" w:rsidTr="009D788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2B589CF"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lastRenderedPageBreak/>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97495A7"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F6EDA89"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789DFE22" w14:textId="5D3683E5"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vs. </w:t>
            </w:r>
            <w:r w:rsidR="009D7889">
              <w:rPr>
                <w:rFonts w:ascii="Arial" w:hAnsi="Arial" w:cs="Arial"/>
                <w:color w:val="FFFFFF" w:themeColor="background1"/>
                <w:sz w:val="18"/>
                <w:szCs w:val="20"/>
              </w:rPr>
              <w:t>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0F40F68" w14:textId="195B8A9C" w:rsidR="009D7889" w:rsidRDefault="00DB005E"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l</w:t>
            </w:r>
            <w:r w:rsidR="009D7889">
              <w:rPr>
                <w:rFonts w:ascii="Arial" w:hAnsi="Arial" w:cs="Arial"/>
                <w:color w:val="FFFFFF" w:themeColor="background1"/>
                <w:sz w:val="18"/>
                <w:szCs w:val="20"/>
              </w:rPr>
              <w:t xml:space="preserve">bs </w:t>
            </w:r>
          </w:p>
          <w:p w14:paraId="602B4FB7" w14:textId="2AC2744A" w:rsidR="00A225AD" w:rsidRPr="00DE633B"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A225AD" w:rsidRPr="00361BCC" w14:paraId="2B024870"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2F99E2" w14:textId="21F9C594" w:rsidR="00A225AD" w:rsidRPr="00361BCC" w:rsidRDefault="00DB005E" w:rsidP="00AF4FDD">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J</w:t>
            </w:r>
            <w:r w:rsidR="00951B01">
              <w:rPr>
                <w:rFonts w:ascii="Arial" w:hAnsi="Arial" w:cs="Arial"/>
                <w:color w:val="215868" w:themeColor="accent5" w:themeShade="80"/>
                <w:sz w:val="18"/>
                <w:szCs w:val="18"/>
              </w:rPr>
              <w:t>uly</w:t>
            </w:r>
            <w:r w:rsidR="00A96063">
              <w:rPr>
                <w:rFonts w:ascii="Arial" w:hAnsi="Arial" w:cs="Arial"/>
                <w:color w:val="215868" w:themeColor="accent5" w:themeShade="80"/>
                <w:sz w:val="18"/>
                <w:szCs w:val="18"/>
              </w:rPr>
              <w:t xml:space="preserve"> </w:t>
            </w:r>
            <w:r w:rsidR="00112E9A">
              <w:rPr>
                <w:rFonts w:ascii="Arial" w:hAnsi="Arial" w:cs="Arial"/>
                <w:color w:val="215868" w:themeColor="accent5" w:themeShade="80"/>
                <w:sz w:val="18"/>
                <w:szCs w:val="18"/>
              </w:rPr>
              <w:t>2022</w:t>
            </w:r>
          </w:p>
        </w:tc>
        <w:tc>
          <w:tcPr>
            <w:tcW w:w="1276" w:type="dxa"/>
            <w:tcBorders>
              <w:left w:val="none" w:sz="0" w:space="0" w:color="auto"/>
              <w:right w:val="none" w:sz="0" w:space="0" w:color="auto"/>
            </w:tcBorders>
            <w:vAlign w:val="center"/>
          </w:tcPr>
          <w:p w14:paraId="112F661F" w14:textId="6E769388"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EF0D81">
              <w:rPr>
                <w:rFonts w:ascii="Arial" w:hAnsi="Arial" w:cs="Arial"/>
                <w:b/>
                <w:bCs/>
                <w:color w:val="215868" w:themeColor="accent5" w:themeShade="80"/>
                <w:sz w:val="18"/>
                <w:szCs w:val="20"/>
              </w:rPr>
              <w:t>7.682</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626D5FC4" w14:textId="3CE89679"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EF0D81">
              <w:rPr>
                <w:rFonts w:ascii="Arial" w:hAnsi="Arial" w:cs="Arial"/>
                <w:b/>
                <w:bCs/>
                <w:color w:val="215868" w:themeColor="accent5" w:themeShade="80"/>
                <w:sz w:val="18"/>
                <w:szCs w:val="20"/>
              </w:rPr>
              <w:t>4.2</w:t>
            </w:r>
            <w:r w:rsidR="00A225AD"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18FFDE5D" w14:textId="3E63119C" w:rsidR="00A225AD" w:rsidRPr="00361BCC" w:rsidRDefault="009D7889"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EF0D81">
              <w:rPr>
                <w:rFonts w:ascii="Arial" w:hAnsi="Arial" w:cs="Arial"/>
                <w:b/>
                <w:bCs/>
                <w:color w:val="215868" w:themeColor="accent5" w:themeShade="80"/>
                <w:sz w:val="18"/>
                <w:szCs w:val="20"/>
              </w:rPr>
              <w:t>4.8</w:t>
            </w:r>
            <w:r w:rsidR="00A225AD" w:rsidRPr="00361BCC">
              <w:rPr>
                <w:rFonts w:ascii="Arial" w:hAnsi="Arial" w:cs="Arial"/>
                <w:b/>
                <w:bCs/>
                <w:color w:val="215868" w:themeColor="accent5" w:themeShade="80"/>
                <w:sz w:val="18"/>
                <w:szCs w:val="20"/>
              </w:rPr>
              <w:t>%</w:t>
            </w:r>
          </w:p>
        </w:tc>
      </w:tr>
      <w:tr w:rsidR="005B198A" w:rsidRPr="00E736B9" w14:paraId="0E6C1C11"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A1C270" w14:textId="62F81692" w:rsidR="005B198A" w:rsidRPr="00E736B9" w:rsidRDefault="005B198A" w:rsidP="00951B01">
            <w:pPr>
              <w:pStyle w:val="NoSpacing"/>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 xml:space="preserve">w.e. </w:t>
            </w:r>
            <w:r w:rsidR="00951B01">
              <w:rPr>
                <w:rFonts w:ascii="Arial" w:hAnsi="Arial" w:cs="Arial"/>
                <w:b w:val="0"/>
                <w:color w:val="215868" w:themeColor="accent5" w:themeShade="80"/>
                <w:sz w:val="18"/>
                <w:szCs w:val="18"/>
              </w:rPr>
              <w:t>7</w:t>
            </w:r>
            <w:r w:rsidR="00BD60AA">
              <w:rPr>
                <w:rFonts w:ascii="Arial" w:hAnsi="Arial" w:cs="Arial"/>
                <w:b w:val="0"/>
                <w:color w:val="215868" w:themeColor="accent5" w:themeShade="80"/>
                <w:sz w:val="18"/>
                <w:szCs w:val="18"/>
              </w:rPr>
              <w:t>/</w:t>
            </w:r>
            <w:r w:rsidR="00951B01">
              <w:rPr>
                <w:rFonts w:ascii="Arial" w:hAnsi="Arial" w:cs="Arial"/>
                <w:b w:val="0"/>
                <w:color w:val="215868" w:themeColor="accent5" w:themeShade="80"/>
                <w:sz w:val="18"/>
                <w:szCs w:val="18"/>
              </w:rPr>
              <w:t>3</w:t>
            </w:r>
            <w:r>
              <w:rPr>
                <w:rFonts w:ascii="Arial" w:hAnsi="Arial" w:cs="Arial"/>
                <w:b w:val="0"/>
                <w:color w:val="215868" w:themeColor="accent5" w:themeShade="80"/>
                <w:sz w:val="18"/>
                <w:szCs w:val="18"/>
              </w:rPr>
              <w:t>/2022</w:t>
            </w:r>
          </w:p>
        </w:tc>
        <w:tc>
          <w:tcPr>
            <w:tcW w:w="1276" w:type="dxa"/>
            <w:vAlign w:val="center"/>
          </w:tcPr>
          <w:p w14:paraId="05ACFCB0" w14:textId="056EA02B"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1.637</w:t>
            </w:r>
            <w:r w:rsidRPr="005B198A">
              <w:rPr>
                <w:rFonts w:ascii="Arial" w:hAnsi="Arial" w:cs="Arial"/>
                <w:color w:val="215868" w:themeColor="accent5" w:themeShade="80"/>
                <w:sz w:val="18"/>
                <w:szCs w:val="20"/>
              </w:rPr>
              <w:t>B</w:t>
            </w:r>
          </w:p>
        </w:tc>
        <w:tc>
          <w:tcPr>
            <w:tcW w:w="1291" w:type="dxa"/>
            <w:vAlign w:val="center"/>
          </w:tcPr>
          <w:p w14:paraId="58668FAD" w14:textId="77650B2C" w:rsidR="005B198A" w:rsidRPr="005B198A" w:rsidRDefault="002C4F5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0.9</w:t>
            </w:r>
            <w:r w:rsidR="005B198A" w:rsidRPr="005B198A">
              <w:rPr>
                <w:rFonts w:ascii="Arial" w:hAnsi="Arial" w:cs="Arial"/>
                <w:color w:val="215868" w:themeColor="accent5" w:themeShade="80"/>
                <w:sz w:val="18"/>
                <w:szCs w:val="20"/>
              </w:rPr>
              <w:t>%</w:t>
            </w:r>
          </w:p>
        </w:tc>
        <w:tc>
          <w:tcPr>
            <w:tcW w:w="1291" w:type="dxa"/>
            <w:vAlign w:val="center"/>
          </w:tcPr>
          <w:p w14:paraId="71A2D256" w14:textId="00E972AF"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6.1</w:t>
            </w:r>
            <w:r w:rsidRPr="005B198A">
              <w:rPr>
                <w:rFonts w:ascii="Arial" w:hAnsi="Arial" w:cs="Arial"/>
                <w:color w:val="215868" w:themeColor="accent5" w:themeShade="80"/>
                <w:sz w:val="18"/>
                <w:szCs w:val="20"/>
              </w:rPr>
              <w:t>%</w:t>
            </w:r>
          </w:p>
        </w:tc>
      </w:tr>
      <w:tr w:rsidR="005B198A" w:rsidRPr="00E736B9" w14:paraId="6851F49E"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7D5E2A" w14:textId="66CE11A1" w:rsidR="005B198A" w:rsidRPr="00E736B9" w:rsidRDefault="005B198A" w:rsidP="00951B01">
            <w:pPr>
              <w:rPr>
                <w:color w:val="215868" w:themeColor="accent5" w:themeShade="80"/>
              </w:rPr>
            </w:pPr>
            <w:r w:rsidRPr="00E736B9">
              <w:rPr>
                <w:rFonts w:ascii="Arial" w:hAnsi="Arial" w:cs="Arial"/>
                <w:b w:val="0"/>
                <w:color w:val="215868" w:themeColor="accent5" w:themeShade="80"/>
                <w:sz w:val="18"/>
                <w:szCs w:val="18"/>
              </w:rPr>
              <w:t xml:space="preserve">w.e. </w:t>
            </w:r>
            <w:r w:rsidR="00951B01">
              <w:rPr>
                <w:rFonts w:ascii="Arial" w:hAnsi="Arial" w:cs="Arial"/>
                <w:b w:val="0"/>
                <w:color w:val="215868" w:themeColor="accent5" w:themeShade="80"/>
                <w:sz w:val="18"/>
                <w:szCs w:val="18"/>
              </w:rPr>
              <w:t>7</w:t>
            </w:r>
            <w:r w:rsidR="00BD60AA">
              <w:rPr>
                <w:rFonts w:ascii="Arial" w:hAnsi="Arial" w:cs="Arial"/>
                <w:b w:val="0"/>
                <w:color w:val="215868" w:themeColor="accent5" w:themeShade="80"/>
                <w:sz w:val="18"/>
                <w:szCs w:val="18"/>
              </w:rPr>
              <w:t>/1</w:t>
            </w:r>
            <w:r w:rsidR="00951B01">
              <w:rPr>
                <w:rFonts w:ascii="Arial" w:hAnsi="Arial" w:cs="Arial"/>
                <w:b w:val="0"/>
                <w:color w:val="215868" w:themeColor="accent5" w:themeShade="80"/>
                <w:sz w:val="18"/>
                <w:szCs w:val="18"/>
              </w:rPr>
              <w:t>0</w:t>
            </w:r>
            <w:r>
              <w:rPr>
                <w:rFonts w:ascii="Arial" w:hAnsi="Arial" w:cs="Arial"/>
                <w:b w:val="0"/>
                <w:color w:val="215868" w:themeColor="accent5" w:themeShade="80"/>
                <w:sz w:val="18"/>
                <w:szCs w:val="18"/>
              </w:rPr>
              <w:t>/2022</w:t>
            </w:r>
          </w:p>
        </w:tc>
        <w:tc>
          <w:tcPr>
            <w:tcW w:w="1276" w:type="dxa"/>
            <w:tcBorders>
              <w:left w:val="none" w:sz="0" w:space="0" w:color="auto"/>
              <w:right w:val="none" w:sz="0" w:space="0" w:color="auto"/>
            </w:tcBorders>
            <w:vAlign w:val="center"/>
          </w:tcPr>
          <w:p w14:paraId="38924E9F" w14:textId="14C40B97"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1.540</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5FDEE9AD" w14:textId="7B871236"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5.1</w:t>
            </w:r>
            <w:r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05B7695E" w14:textId="3A274142"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2.9</w:t>
            </w:r>
            <w:r w:rsidRPr="005B198A">
              <w:rPr>
                <w:rFonts w:ascii="Arial" w:hAnsi="Arial" w:cs="Arial"/>
                <w:color w:val="215868" w:themeColor="accent5" w:themeShade="80"/>
                <w:sz w:val="18"/>
                <w:szCs w:val="20"/>
              </w:rPr>
              <w:t>%</w:t>
            </w:r>
          </w:p>
        </w:tc>
      </w:tr>
      <w:tr w:rsidR="005B198A" w:rsidRPr="00E736B9" w14:paraId="0D2847A6"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223774" w14:textId="6964295C" w:rsidR="005B198A" w:rsidRPr="00E736B9" w:rsidRDefault="005B198A" w:rsidP="005B198A">
            <w:pPr>
              <w:rPr>
                <w:color w:val="215868" w:themeColor="accent5" w:themeShade="80"/>
              </w:rPr>
            </w:pPr>
            <w:r>
              <w:rPr>
                <w:rFonts w:ascii="Arial" w:hAnsi="Arial" w:cs="Arial"/>
                <w:b w:val="0"/>
                <w:color w:val="215868" w:themeColor="accent5" w:themeShade="80"/>
                <w:sz w:val="18"/>
                <w:szCs w:val="18"/>
              </w:rPr>
              <w:t xml:space="preserve">w.e. </w:t>
            </w:r>
            <w:r w:rsidR="00951B01">
              <w:rPr>
                <w:rFonts w:ascii="Arial" w:hAnsi="Arial" w:cs="Arial"/>
                <w:b w:val="0"/>
                <w:color w:val="215868" w:themeColor="accent5" w:themeShade="80"/>
                <w:sz w:val="18"/>
                <w:szCs w:val="18"/>
              </w:rPr>
              <w:t>7/17</w:t>
            </w:r>
            <w:r>
              <w:rPr>
                <w:rFonts w:ascii="Arial" w:hAnsi="Arial" w:cs="Arial"/>
                <w:b w:val="0"/>
                <w:color w:val="215868" w:themeColor="accent5" w:themeShade="80"/>
                <w:sz w:val="18"/>
                <w:szCs w:val="18"/>
              </w:rPr>
              <w:t>/2022</w:t>
            </w:r>
          </w:p>
        </w:tc>
        <w:tc>
          <w:tcPr>
            <w:tcW w:w="1276" w:type="dxa"/>
            <w:vAlign w:val="center"/>
          </w:tcPr>
          <w:p w14:paraId="5AB61FC0" w14:textId="76E39AD1"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1.503</w:t>
            </w:r>
            <w:r w:rsidRPr="005B198A">
              <w:rPr>
                <w:rFonts w:ascii="Arial" w:hAnsi="Arial" w:cs="Arial"/>
                <w:color w:val="215868" w:themeColor="accent5" w:themeShade="80"/>
                <w:sz w:val="18"/>
                <w:szCs w:val="20"/>
              </w:rPr>
              <w:t>B</w:t>
            </w:r>
          </w:p>
        </w:tc>
        <w:tc>
          <w:tcPr>
            <w:tcW w:w="1291" w:type="dxa"/>
            <w:vAlign w:val="center"/>
          </w:tcPr>
          <w:p w14:paraId="17ECF4F3" w14:textId="1C34A22C"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4.5</w:t>
            </w:r>
            <w:r w:rsidRPr="005B198A">
              <w:rPr>
                <w:rFonts w:ascii="Arial" w:hAnsi="Arial" w:cs="Arial"/>
                <w:color w:val="215868" w:themeColor="accent5" w:themeShade="80"/>
                <w:sz w:val="18"/>
                <w:szCs w:val="20"/>
              </w:rPr>
              <w:t>%</w:t>
            </w:r>
          </w:p>
        </w:tc>
        <w:tc>
          <w:tcPr>
            <w:tcW w:w="1291" w:type="dxa"/>
            <w:vAlign w:val="center"/>
          </w:tcPr>
          <w:p w14:paraId="787DCCD7" w14:textId="759F7CF3" w:rsidR="005B198A" w:rsidRPr="005B198A" w:rsidRDefault="002C4F5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4.6</w:t>
            </w:r>
            <w:r w:rsidR="005B198A" w:rsidRPr="005B198A">
              <w:rPr>
                <w:rFonts w:ascii="Arial" w:hAnsi="Arial" w:cs="Arial"/>
                <w:color w:val="215868" w:themeColor="accent5" w:themeShade="80"/>
                <w:sz w:val="18"/>
                <w:szCs w:val="20"/>
              </w:rPr>
              <w:t>%</w:t>
            </w:r>
          </w:p>
        </w:tc>
      </w:tr>
      <w:tr w:rsidR="005B198A" w:rsidRPr="00E736B9" w14:paraId="480D89B1"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5D516260" w14:textId="16439EFC" w:rsidR="005B198A" w:rsidRPr="00E736B9" w:rsidRDefault="005B198A" w:rsidP="005B198A">
            <w:pPr>
              <w:rPr>
                <w:color w:val="215868" w:themeColor="accent5" w:themeShade="80"/>
              </w:rPr>
            </w:pPr>
            <w:r>
              <w:rPr>
                <w:rFonts w:ascii="Arial" w:hAnsi="Arial" w:cs="Arial"/>
                <w:b w:val="0"/>
                <w:color w:val="215868" w:themeColor="accent5" w:themeShade="80"/>
                <w:sz w:val="18"/>
                <w:szCs w:val="18"/>
              </w:rPr>
              <w:t xml:space="preserve">w.e. </w:t>
            </w:r>
            <w:r w:rsidR="00951B01">
              <w:rPr>
                <w:rFonts w:ascii="Arial" w:hAnsi="Arial" w:cs="Arial"/>
                <w:b w:val="0"/>
                <w:color w:val="215868" w:themeColor="accent5" w:themeShade="80"/>
                <w:sz w:val="18"/>
                <w:szCs w:val="18"/>
              </w:rPr>
              <w:t>7/24</w:t>
            </w:r>
            <w:r>
              <w:rPr>
                <w:rFonts w:ascii="Arial" w:hAnsi="Arial" w:cs="Arial"/>
                <w:b w:val="0"/>
                <w:color w:val="215868" w:themeColor="accent5" w:themeShade="80"/>
                <w:sz w:val="18"/>
                <w:szCs w:val="18"/>
              </w:rPr>
              <w:t>/2022</w:t>
            </w:r>
          </w:p>
        </w:tc>
        <w:tc>
          <w:tcPr>
            <w:tcW w:w="1276" w:type="dxa"/>
            <w:tcBorders>
              <w:left w:val="none" w:sz="0" w:space="0" w:color="auto"/>
              <w:right w:val="none" w:sz="0" w:space="0" w:color="auto"/>
            </w:tcBorders>
            <w:vAlign w:val="center"/>
          </w:tcPr>
          <w:p w14:paraId="1637EA20" w14:textId="32ADB8F3"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1.514</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7A1D7AA7" w14:textId="7F6273DF" w:rsidR="005B198A" w:rsidRPr="005B198A" w:rsidRDefault="002C4F5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5.8</w:t>
            </w:r>
            <w:r w:rsidR="005B198A"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57F75F3D" w14:textId="52CB962F"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4.7</w:t>
            </w:r>
            <w:r w:rsidRPr="005B198A">
              <w:rPr>
                <w:rFonts w:ascii="Arial" w:hAnsi="Arial" w:cs="Arial"/>
                <w:color w:val="215868" w:themeColor="accent5" w:themeShade="80"/>
                <w:sz w:val="18"/>
                <w:szCs w:val="20"/>
              </w:rPr>
              <w:t>%</w:t>
            </w:r>
          </w:p>
        </w:tc>
      </w:tr>
      <w:tr w:rsidR="00951B01" w:rsidRPr="00E736B9" w14:paraId="02ADEFA1"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7AD13A5" w14:textId="0883048C" w:rsidR="00951B01" w:rsidRPr="00951B01" w:rsidRDefault="00951B01" w:rsidP="005B198A">
            <w:pPr>
              <w:rPr>
                <w:rFonts w:ascii="Arial" w:hAnsi="Arial" w:cs="Arial"/>
                <w:b w:val="0"/>
                <w:color w:val="215868" w:themeColor="accent5" w:themeShade="80"/>
                <w:sz w:val="18"/>
                <w:szCs w:val="18"/>
              </w:rPr>
            </w:pPr>
            <w:r w:rsidRPr="00951B01">
              <w:rPr>
                <w:rFonts w:ascii="Arial" w:hAnsi="Arial" w:cs="Arial"/>
                <w:b w:val="0"/>
                <w:color w:val="215868" w:themeColor="accent5" w:themeShade="80"/>
                <w:sz w:val="18"/>
                <w:szCs w:val="18"/>
              </w:rPr>
              <w:t>w.e. 7/31/2022</w:t>
            </w:r>
          </w:p>
        </w:tc>
        <w:tc>
          <w:tcPr>
            <w:tcW w:w="1276" w:type="dxa"/>
            <w:vAlign w:val="center"/>
          </w:tcPr>
          <w:p w14:paraId="75D791C8" w14:textId="4D9B1F1C" w:rsidR="00951B01" w:rsidRPr="00951B01" w:rsidRDefault="00951B01"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1.489</w:t>
            </w:r>
            <w:r>
              <w:rPr>
                <w:rFonts w:ascii="Arial" w:hAnsi="Arial" w:cs="Arial"/>
                <w:color w:val="215868" w:themeColor="accent5" w:themeShade="80"/>
                <w:sz w:val="18"/>
                <w:szCs w:val="20"/>
              </w:rPr>
              <w:t>B</w:t>
            </w:r>
          </w:p>
        </w:tc>
        <w:tc>
          <w:tcPr>
            <w:tcW w:w="1291" w:type="dxa"/>
            <w:vAlign w:val="center"/>
          </w:tcPr>
          <w:p w14:paraId="6A00949F" w14:textId="2149848E" w:rsidR="00951B01" w:rsidRPr="00951B01" w:rsidRDefault="00951B01"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5.1</w:t>
            </w:r>
            <w:r>
              <w:rPr>
                <w:rFonts w:ascii="Arial" w:hAnsi="Arial" w:cs="Arial"/>
                <w:color w:val="215868" w:themeColor="accent5" w:themeShade="80"/>
                <w:sz w:val="18"/>
                <w:szCs w:val="20"/>
              </w:rPr>
              <w:t>%</w:t>
            </w:r>
          </w:p>
        </w:tc>
        <w:tc>
          <w:tcPr>
            <w:tcW w:w="1291" w:type="dxa"/>
            <w:vAlign w:val="center"/>
          </w:tcPr>
          <w:p w14:paraId="3352986A" w14:textId="5C8D7D41" w:rsidR="00951B01" w:rsidRPr="00951B01" w:rsidRDefault="00951B01"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F0D81">
              <w:rPr>
                <w:rFonts w:ascii="Arial" w:hAnsi="Arial" w:cs="Arial"/>
                <w:color w:val="215868" w:themeColor="accent5" w:themeShade="80"/>
                <w:sz w:val="18"/>
                <w:szCs w:val="20"/>
              </w:rPr>
              <w:t>5.8</w:t>
            </w:r>
            <w:r>
              <w:rPr>
                <w:rFonts w:ascii="Arial" w:hAnsi="Arial" w:cs="Arial"/>
                <w:color w:val="215868" w:themeColor="accent5" w:themeShade="80"/>
                <w:sz w:val="18"/>
                <w:szCs w:val="20"/>
              </w:rPr>
              <w:t>%</w:t>
            </w:r>
          </w:p>
        </w:tc>
      </w:tr>
    </w:tbl>
    <w:p w14:paraId="2E1C73C4" w14:textId="6D5B1013" w:rsidR="00253765" w:rsidRDefault="002C4F5A" w:rsidP="00D4285A">
      <w:pPr>
        <w:spacing w:after="0" w:line="240" w:lineRule="auto"/>
        <w:rPr>
          <w:rFonts w:ascii="Arial" w:hAnsi="Arial" w:cs="Arial"/>
          <w:sz w:val="20"/>
          <w:szCs w:val="20"/>
        </w:rPr>
      </w:pPr>
      <w:r>
        <w:rPr>
          <w:rFonts w:ascii="Arial" w:hAnsi="Arial" w:cs="Arial"/>
          <w:sz w:val="20"/>
          <w:szCs w:val="20"/>
        </w:rPr>
        <w:t xml:space="preserve">Each of the </w:t>
      </w:r>
      <w:r w:rsidR="00BD7CB1">
        <w:rPr>
          <w:rFonts w:ascii="Arial" w:hAnsi="Arial" w:cs="Arial"/>
          <w:sz w:val="20"/>
          <w:szCs w:val="20"/>
        </w:rPr>
        <w:t>Ju</w:t>
      </w:r>
      <w:r w:rsidR="00854F55">
        <w:rPr>
          <w:rFonts w:ascii="Arial" w:hAnsi="Arial" w:cs="Arial"/>
          <w:sz w:val="20"/>
          <w:szCs w:val="20"/>
        </w:rPr>
        <w:t>ly</w:t>
      </w:r>
      <w:r w:rsidR="00BD7CB1">
        <w:rPr>
          <w:rFonts w:ascii="Arial" w:hAnsi="Arial" w:cs="Arial"/>
          <w:sz w:val="20"/>
          <w:szCs w:val="20"/>
        </w:rPr>
        <w:t xml:space="preserve"> </w:t>
      </w:r>
      <w:r>
        <w:rPr>
          <w:rFonts w:ascii="Arial" w:hAnsi="Arial" w:cs="Arial"/>
          <w:sz w:val="20"/>
          <w:szCs w:val="20"/>
        </w:rPr>
        <w:t xml:space="preserve">weeks generated </w:t>
      </w:r>
      <w:r w:rsidR="00EF0D81">
        <w:rPr>
          <w:rFonts w:ascii="Arial" w:hAnsi="Arial" w:cs="Arial"/>
          <w:sz w:val="20"/>
          <w:szCs w:val="20"/>
        </w:rPr>
        <w:t>right around $</w:t>
      </w:r>
      <w:r>
        <w:rPr>
          <w:rFonts w:ascii="Arial" w:hAnsi="Arial" w:cs="Arial"/>
          <w:sz w:val="20"/>
          <w:szCs w:val="20"/>
        </w:rPr>
        <w:t>1.</w:t>
      </w:r>
      <w:r w:rsidR="00EF0D81">
        <w:rPr>
          <w:rFonts w:ascii="Arial" w:hAnsi="Arial" w:cs="Arial"/>
          <w:sz w:val="20"/>
          <w:szCs w:val="20"/>
        </w:rPr>
        <w:t>5</w:t>
      </w:r>
      <w:r>
        <w:rPr>
          <w:rFonts w:ascii="Arial" w:hAnsi="Arial" w:cs="Arial"/>
          <w:sz w:val="20"/>
          <w:szCs w:val="20"/>
        </w:rPr>
        <w:t xml:space="preserve"> billion in fresh produce sales. The </w:t>
      </w:r>
      <w:r w:rsidR="008A426C">
        <w:rPr>
          <w:rFonts w:ascii="Arial" w:hAnsi="Arial" w:cs="Arial"/>
          <w:sz w:val="20"/>
          <w:szCs w:val="20"/>
        </w:rPr>
        <w:t>first week</w:t>
      </w:r>
      <w:r w:rsidR="00EF0D81">
        <w:rPr>
          <w:rFonts w:ascii="Arial" w:hAnsi="Arial" w:cs="Arial"/>
          <w:sz w:val="20"/>
          <w:szCs w:val="20"/>
        </w:rPr>
        <w:t xml:space="preserve">, the holiday week, was the strongest but sales held remarkably steady throughout the month. </w:t>
      </w:r>
      <w:r>
        <w:rPr>
          <w:rFonts w:ascii="Arial" w:hAnsi="Arial" w:cs="Arial"/>
          <w:sz w:val="20"/>
          <w:szCs w:val="20"/>
        </w:rPr>
        <w:t xml:space="preserve"> </w:t>
      </w:r>
    </w:p>
    <w:p w14:paraId="3D60D6F7" w14:textId="7608788F" w:rsidR="00253765" w:rsidRDefault="00253765" w:rsidP="00D4285A">
      <w:pPr>
        <w:spacing w:after="0" w:line="240" w:lineRule="auto"/>
        <w:rPr>
          <w:rFonts w:ascii="Arial" w:hAnsi="Arial" w:cs="Arial"/>
          <w:sz w:val="20"/>
          <w:szCs w:val="20"/>
        </w:rPr>
      </w:pPr>
      <w:r>
        <w:rPr>
          <w:rFonts w:ascii="Arial" w:hAnsi="Arial" w:cs="Arial"/>
          <w:noProof/>
          <w:sz w:val="20"/>
          <w:szCs w:val="20"/>
          <w:lang w:val="nl-NL" w:eastAsia="nl-NL"/>
        </w:rPr>
        <mc:AlternateContent>
          <mc:Choice Requires="wps">
            <w:drawing>
              <wp:anchor distT="0" distB="0" distL="114300" distR="114300" simplePos="0" relativeHeight="251662336" behindDoc="0" locked="0" layoutInCell="1" allowOverlap="1" wp14:anchorId="521DE452" wp14:editId="46536706">
                <wp:simplePos x="0" y="0"/>
                <wp:positionH relativeFrom="column">
                  <wp:posOffset>3100126</wp:posOffset>
                </wp:positionH>
                <wp:positionV relativeFrom="paragraph">
                  <wp:posOffset>2346</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951B01" w:rsidRDefault="00951B01"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4.1pt;margin-top:.2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" stroked="f">
                <v:textbox>
                  <w:txbxContent>
                    <w:p w14:paraId="61B6AA1E" w14:textId="77777777" w:rsidR="00951B01" w:rsidRDefault="00951B01" w:rsidP="0053257C">
                      <w:pPr>
                        <w:pStyle w:val="NoSpacing"/>
                      </w:pPr>
                      <w:r>
                        <w:rPr>
                          <w:rFonts w:ascii="Arial" w:hAnsi="Arial" w:cs="Arial"/>
                          <w:sz w:val="16"/>
                          <w:szCs w:val="16"/>
                        </w:rPr>
                        <w:t>Source: IRI, Integrated Fresh, Total US, MULO</w:t>
                      </w:r>
                    </w:p>
                  </w:txbxContent>
                </v:textbox>
                <w10:wrap type="square"/>
              </v:shape>
            </w:pict>
          </mc:Fallback>
        </mc:AlternateContent>
      </w:r>
    </w:p>
    <w:p w14:paraId="03B014E3" w14:textId="48D7F662" w:rsidR="005567F4" w:rsidRDefault="009A10DA" w:rsidP="00D4285A">
      <w:pPr>
        <w:spacing w:after="0" w:line="240" w:lineRule="auto"/>
        <w:rPr>
          <w:rFonts w:ascii="Arial" w:hAnsi="Arial" w:cs="Arial"/>
          <w:sz w:val="20"/>
          <w:szCs w:val="20"/>
        </w:rPr>
      </w:pPr>
      <w:r>
        <w:rPr>
          <w:rFonts w:ascii="Arial" w:hAnsi="Arial" w:cs="Arial"/>
          <w:sz w:val="20"/>
          <w:szCs w:val="20"/>
        </w:rPr>
        <w:t xml:space="preserve">“In the fourth quarter of 2021 and the first quarter of 2022, the sales performances of fruit and vegetables were far apart,” explained Parker. “In July, they are converging </w:t>
      </w:r>
      <w:r w:rsidR="00F026CE">
        <w:rPr>
          <w:rFonts w:ascii="Arial" w:hAnsi="Arial" w:cs="Arial"/>
          <w:sz w:val="20"/>
          <w:szCs w:val="20"/>
        </w:rPr>
        <w:t xml:space="preserve">right around +4% dollar growth. Back-to-school shopping is in full swing and that brings about many healthy produce snacking campaigns at retailers around the country in addition to the final weeks of grilling season.” </w:t>
      </w:r>
    </w:p>
    <w:p w14:paraId="7AF020BD" w14:textId="7E6319D5" w:rsidR="00824EAC" w:rsidRDefault="00824EAC" w:rsidP="00D4285A">
      <w:pPr>
        <w:spacing w:after="0" w:line="240" w:lineRule="auto"/>
        <w:rPr>
          <w:rFonts w:ascii="Arial" w:hAnsi="Arial" w:cs="Arial"/>
          <w:sz w:val="20"/>
          <w:szCs w:val="20"/>
        </w:rPr>
      </w:pPr>
    </w:p>
    <w:p w14:paraId="3AE2F20C" w14:textId="334256AE" w:rsidR="00824EAC" w:rsidRDefault="009A10DA" w:rsidP="00D4285A">
      <w:pPr>
        <w:spacing w:after="0" w:line="240" w:lineRule="auto"/>
        <w:rPr>
          <w:rFonts w:ascii="Arial" w:hAnsi="Arial" w:cs="Arial"/>
          <w:sz w:val="20"/>
          <w:szCs w:val="20"/>
        </w:rPr>
      </w:pPr>
      <w:r>
        <w:rPr>
          <w:noProof/>
        </w:rPr>
        <w:drawing>
          <wp:inline distT="0" distB="0" distL="0" distR="0" wp14:anchorId="13041C84" wp14:editId="4506AB42">
            <wp:extent cx="6750685" cy="3102610"/>
            <wp:effectExtent l="0" t="0" r="0" b="2540"/>
            <wp:docPr id="10" name="Chart 10">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4CCBDDCC" w:rsidR="00AC0CDA" w:rsidRDefault="0028208D" w:rsidP="00AC0CDA">
      <w:pPr>
        <w:pStyle w:val="NoSpacing"/>
        <w:rPr>
          <w:rFonts w:ascii="Arial" w:hAnsi="Arial" w:cs="Arial"/>
          <w:sz w:val="20"/>
          <w:szCs w:val="20"/>
        </w:rPr>
      </w:pPr>
      <w:r>
        <w:rPr>
          <w:rFonts w:ascii="Arial" w:hAnsi="Arial" w:cs="Arial"/>
          <w:sz w:val="20"/>
          <w:szCs w:val="20"/>
        </w:rPr>
        <w:t xml:space="preserve"> “The fresh share of the business is one </w:t>
      </w:r>
      <w:r w:rsidR="00313611">
        <w:rPr>
          <w:rFonts w:ascii="Arial" w:hAnsi="Arial" w:cs="Arial"/>
          <w:sz w:val="20"/>
          <w:szCs w:val="20"/>
        </w:rPr>
        <w:t xml:space="preserve">metric </w:t>
      </w:r>
      <w:r>
        <w:rPr>
          <w:rFonts w:ascii="Arial" w:hAnsi="Arial" w:cs="Arial"/>
          <w:sz w:val="20"/>
          <w:szCs w:val="20"/>
        </w:rPr>
        <w:t>we watch closely at IFPA,” Watson commented. “While it</w:t>
      </w:r>
      <w:r w:rsidR="00313611">
        <w:rPr>
          <w:rFonts w:ascii="Arial" w:hAnsi="Arial" w:cs="Arial"/>
          <w:sz w:val="20"/>
          <w:szCs w:val="20"/>
        </w:rPr>
        <w:t xml:space="preserve"> seems that fresh produce growth</w:t>
      </w:r>
      <w:r>
        <w:rPr>
          <w:rFonts w:ascii="Arial" w:hAnsi="Arial" w:cs="Arial"/>
          <w:sz w:val="20"/>
          <w:szCs w:val="20"/>
        </w:rPr>
        <w:t>, at +4.2%, is below average,</w:t>
      </w:r>
      <w:r w:rsidR="00313611">
        <w:rPr>
          <w:rFonts w:ascii="Arial" w:hAnsi="Arial" w:cs="Arial"/>
          <w:sz w:val="20"/>
          <w:szCs w:val="20"/>
        </w:rPr>
        <w:t xml:space="preserve"> we have to keep in mind that inflation in frozen and shelf stable was much higher plus the produce department is much bigger. </w:t>
      </w:r>
      <w:r>
        <w:rPr>
          <w:rFonts w:ascii="Arial" w:hAnsi="Arial" w:cs="Arial"/>
          <w:sz w:val="20"/>
          <w:szCs w:val="20"/>
        </w:rPr>
        <w:t xml:space="preserve"> </w:t>
      </w:r>
      <w:r w:rsidR="00313611">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5367D5A2" w:rsidR="00770809" w:rsidRPr="00B265F0" w:rsidRDefault="00951B01"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July</w:t>
            </w:r>
            <w:r w:rsidR="00253765">
              <w:rPr>
                <w:rFonts w:ascii="Arial" w:hAnsi="Arial" w:cs="Arial"/>
                <w:color w:val="FFFFFF" w:themeColor="background1"/>
                <w:sz w:val="18"/>
                <w:szCs w:val="20"/>
              </w:rPr>
              <w:t xml:space="preserve">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112E9A">
              <w:rPr>
                <w:rFonts w:ascii="Arial" w:hAnsi="Arial" w:cs="Arial"/>
                <w:color w:val="FFFFFF" w:themeColor="background1"/>
                <w:sz w:val="18"/>
                <w:szCs w:val="20"/>
              </w:rPr>
              <w:t>20</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70809" w:rsidRPr="00E43E81" w14:paraId="5658F64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7D622E5E" w14:textId="77777777" w:rsidR="00770809" w:rsidRPr="000D5031" w:rsidRDefault="00770809" w:rsidP="001F29DC">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584" w:type="dxa"/>
            <w:tcBorders>
              <w:left w:val="none" w:sz="0" w:space="0" w:color="auto"/>
              <w:right w:val="none" w:sz="0" w:space="0" w:color="auto"/>
            </w:tcBorders>
            <w:vAlign w:val="center"/>
          </w:tcPr>
          <w:p w14:paraId="3A99D57E" w14:textId="22AC5625" w:rsidR="00770809" w:rsidRPr="000D5031" w:rsidRDefault="006D4E7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28208D">
              <w:rPr>
                <w:rFonts w:ascii="Arial" w:hAnsi="Arial" w:cs="Arial"/>
                <w:b/>
                <w:bCs/>
                <w:color w:val="215868" w:themeColor="accent5" w:themeShade="80"/>
                <w:sz w:val="18"/>
                <w:szCs w:val="20"/>
              </w:rPr>
              <w:t>7.7</w:t>
            </w:r>
            <w:r w:rsidR="00770809" w:rsidRPr="00361BCC">
              <w:rPr>
                <w:rFonts w:ascii="Arial" w:hAnsi="Arial" w:cs="Arial"/>
                <w:b/>
                <w:bCs/>
                <w:color w:val="215868" w:themeColor="accent5" w:themeShade="80"/>
                <w:sz w:val="18"/>
                <w:szCs w:val="20"/>
              </w:rPr>
              <w:t>B</w:t>
            </w:r>
          </w:p>
        </w:tc>
        <w:tc>
          <w:tcPr>
            <w:tcW w:w="1584" w:type="dxa"/>
            <w:tcBorders>
              <w:left w:val="none" w:sz="0" w:space="0" w:color="auto"/>
              <w:right w:val="none" w:sz="0" w:space="0" w:color="auto"/>
            </w:tcBorders>
            <w:vAlign w:val="center"/>
          </w:tcPr>
          <w:p w14:paraId="3AA01AAA" w14:textId="176377F2"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28208D">
              <w:rPr>
                <w:rFonts w:ascii="Arial" w:hAnsi="Arial" w:cs="Arial"/>
                <w:b/>
                <w:bCs/>
                <w:color w:val="215868" w:themeColor="accent5" w:themeShade="80"/>
                <w:sz w:val="18"/>
                <w:szCs w:val="20"/>
              </w:rPr>
              <w:t>4.2</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vAlign w:val="center"/>
          </w:tcPr>
          <w:p w14:paraId="2B2BC812" w14:textId="3F5F5498" w:rsidR="00770809" w:rsidRPr="000D5031" w:rsidRDefault="00253765"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Pr>
                <w:rFonts w:ascii="Arial" w:hAnsi="Arial" w:cs="Arial"/>
                <w:b/>
                <w:bCs/>
                <w:color w:val="215868" w:themeColor="accent5" w:themeShade="80"/>
                <w:sz w:val="18"/>
                <w:szCs w:val="20"/>
              </w:rPr>
              <w:t>+</w:t>
            </w:r>
            <w:r w:rsidR="0028208D">
              <w:rPr>
                <w:rFonts w:ascii="Arial" w:hAnsi="Arial" w:cs="Arial"/>
                <w:b/>
                <w:bCs/>
                <w:color w:val="215868" w:themeColor="accent5" w:themeShade="80"/>
                <w:sz w:val="18"/>
                <w:szCs w:val="20"/>
              </w:rPr>
              <w:t>4.0</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tcPr>
          <w:p w14:paraId="49A72BFC" w14:textId="322D50B2"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28208D">
              <w:rPr>
                <w:rFonts w:ascii="Arial" w:hAnsi="Arial" w:cs="Arial"/>
                <w:b/>
                <w:bCs/>
                <w:color w:val="215868" w:themeColor="accent5" w:themeShade="80"/>
                <w:sz w:val="18"/>
                <w:szCs w:val="20"/>
              </w:rPr>
              <w:t>2.61</w:t>
            </w:r>
          </w:p>
        </w:tc>
        <w:tc>
          <w:tcPr>
            <w:tcW w:w="1584" w:type="dxa"/>
            <w:tcBorders>
              <w:left w:val="none" w:sz="0" w:space="0" w:color="auto"/>
              <w:right w:val="none" w:sz="0" w:space="0" w:color="auto"/>
            </w:tcBorders>
          </w:tcPr>
          <w:p w14:paraId="2D4F4D65" w14:textId="412BC84D" w:rsidR="00770809" w:rsidRPr="00361BCC"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28208D">
              <w:rPr>
                <w:rFonts w:ascii="Arial" w:hAnsi="Arial" w:cs="Arial"/>
                <w:b/>
                <w:bCs/>
                <w:color w:val="215868" w:themeColor="accent5" w:themeShade="80"/>
                <w:sz w:val="18"/>
                <w:szCs w:val="20"/>
              </w:rPr>
              <w:t>9.8</w:t>
            </w:r>
            <w:r w:rsidR="00770809">
              <w:rPr>
                <w:rFonts w:ascii="Arial" w:hAnsi="Arial" w:cs="Arial"/>
                <w:b/>
                <w:bCs/>
                <w:color w:val="215868" w:themeColor="accent5" w:themeShade="80"/>
                <w:sz w:val="18"/>
                <w:szCs w:val="20"/>
              </w:rPr>
              <w:t>%</w:t>
            </w:r>
          </w:p>
        </w:tc>
      </w:tr>
      <w:tr w:rsidR="00770809" w:rsidRPr="00E43E81" w14:paraId="6436AB32"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tcPr>
          <w:p w14:paraId="762ADF8F" w14:textId="5790229E"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359</w:t>
            </w:r>
            <w:r w:rsidR="006D4E7C">
              <w:rPr>
                <w:rFonts w:ascii="Arial" w:hAnsi="Arial" w:cs="Arial"/>
                <w:color w:val="215868" w:themeColor="accent5" w:themeShade="80"/>
                <w:sz w:val="18"/>
                <w:szCs w:val="20"/>
              </w:rPr>
              <w:t>M</w:t>
            </w:r>
          </w:p>
        </w:tc>
        <w:tc>
          <w:tcPr>
            <w:tcW w:w="1584" w:type="dxa"/>
          </w:tcPr>
          <w:p w14:paraId="65CF6948" w14:textId="2D54AF9A"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8.8</w:t>
            </w:r>
            <w:r w:rsidR="00770809" w:rsidRPr="000D5031">
              <w:rPr>
                <w:rFonts w:ascii="Arial" w:hAnsi="Arial" w:cs="Arial"/>
                <w:color w:val="215868" w:themeColor="accent5" w:themeShade="80"/>
                <w:sz w:val="18"/>
                <w:szCs w:val="20"/>
              </w:rPr>
              <w:t>%</w:t>
            </w:r>
          </w:p>
        </w:tc>
        <w:tc>
          <w:tcPr>
            <w:tcW w:w="1584" w:type="dxa"/>
          </w:tcPr>
          <w:p w14:paraId="6106E491" w14:textId="21A112FA" w:rsidR="00770809" w:rsidRPr="000D5031" w:rsidRDefault="00E33D11"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11.4</w:t>
            </w:r>
            <w:r w:rsidR="00770809" w:rsidRPr="000D5031">
              <w:rPr>
                <w:rFonts w:ascii="Arial" w:hAnsi="Arial" w:cs="Arial"/>
                <w:color w:val="215868" w:themeColor="accent5" w:themeShade="80"/>
                <w:sz w:val="18"/>
                <w:szCs w:val="20"/>
              </w:rPr>
              <w:t>%</w:t>
            </w:r>
          </w:p>
        </w:tc>
        <w:tc>
          <w:tcPr>
            <w:tcW w:w="1584" w:type="dxa"/>
          </w:tcPr>
          <w:p w14:paraId="607B80B7" w14:textId="13D1609F"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3.15</w:t>
            </w:r>
          </w:p>
        </w:tc>
        <w:tc>
          <w:tcPr>
            <w:tcW w:w="1584" w:type="dxa"/>
          </w:tcPr>
          <w:p w14:paraId="7D05D7D9" w14:textId="1E2BBD19"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16.1</w:t>
            </w:r>
            <w:r w:rsidR="00E33D11">
              <w:rPr>
                <w:rFonts w:ascii="Arial" w:hAnsi="Arial" w:cs="Arial"/>
                <w:color w:val="215868" w:themeColor="accent5" w:themeShade="80"/>
                <w:sz w:val="18"/>
                <w:szCs w:val="20"/>
              </w:rPr>
              <w:t>%</w:t>
            </w:r>
          </w:p>
        </w:tc>
      </w:tr>
      <w:tr w:rsidR="00253765" w:rsidRPr="00E43E81" w14:paraId="136DBAD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205297AD"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tcBorders>
              <w:left w:val="none" w:sz="0" w:space="0" w:color="auto"/>
              <w:right w:val="none" w:sz="0" w:space="0" w:color="auto"/>
            </w:tcBorders>
          </w:tcPr>
          <w:p w14:paraId="1B917AA7" w14:textId="6AAFFA4E" w:rsidR="00253765" w:rsidRPr="000D5031"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493</w:t>
            </w:r>
            <w:r>
              <w:rPr>
                <w:rFonts w:ascii="Arial" w:hAnsi="Arial" w:cs="Arial"/>
                <w:color w:val="215868" w:themeColor="accent5" w:themeShade="80"/>
                <w:sz w:val="18"/>
                <w:szCs w:val="20"/>
              </w:rPr>
              <w:t>M</w:t>
            </w:r>
          </w:p>
        </w:tc>
        <w:tc>
          <w:tcPr>
            <w:tcW w:w="1584" w:type="dxa"/>
            <w:tcBorders>
              <w:left w:val="none" w:sz="0" w:space="0" w:color="auto"/>
              <w:right w:val="none" w:sz="0" w:space="0" w:color="auto"/>
            </w:tcBorders>
          </w:tcPr>
          <w:p w14:paraId="371B11FD" w14:textId="4CEA0352" w:rsidR="00253765" w:rsidRPr="000D5031"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12.9</w:t>
            </w:r>
            <w:r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248DEF07" w14:textId="70215B57" w:rsidR="00253765" w:rsidRPr="000D5031" w:rsidRDefault="00951B01"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1.6</w:t>
            </w:r>
            <w:r w:rsidR="00253765"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7417AA65" w14:textId="50A1C285" w:rsidR="00253765"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1.46</w:t>
            </w:r>
          </w:p>
        </w:tc>
        <w:tc>
          <w:tcPr>
            <w:tcW w:w="1584" w:type="dxa"/>
            <w:tcBorders>
              <w:left w:val="none" w:sz="0" w:space="0" w:color="auto"/>
              <w:right w:val="none" w:sz="0" w:space="0" w:color="auto"/>
            </w:tcBorders>
          </w:tcPr>
          <w:p w14:paraId="4AF0D023" w14:textId="2B78DC3C" w:rsidR="00253765"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15.1</w:t>
            </w:r>
            <w:r w:rsidR="00E33D11">
              <w:rPr>
                <w:rFonts w:ascii="Arial" w:hAnsi="Arial" w:cs="Arial"/>
                <w:color w:val="215868" w:themeColor="accent5" w:themeShade="80"/>
                <w:sz w:val="18"/>
                <w:szCs w:val="20"/>
              </w:rPr>
              <w:t>%</w:t>
            </w:r>
          </w:p>
        </w:tc>
      </w:tr>
      <w:tr w:rsidR="00253765" w:rsidRPr="00E43E81" w14:paraId="5F847BCF"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73A581B3"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tcPr>
          <w:p w14:paraId="2F6DA7B0" w14:textId="73E96891"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687</w:t>
            </w:r>
            <w:r>
              <w:rPr>
                <w:rFonts w:ascii="Arial" w:hAnsi="Arial" w:cs="Arial"/>
                <w:color w:val="215868" w:themeColor="accent5" w:themeShade="80"/>
                <w:sz w:val="18"/>
                <w:szCs w:val="20"/>
              </w:rPr>
              <w:t>M</w:t>
            </w:r>
          </w:p>
        </w:tc>
        <w:tc>
          <w:tcPr>
            <w:tcW w:w="1584" w:type="dxa"/>
          </w:tcPr>
          <w:p w14:paraId="1CC6E7ED" w14:textId="75867C30"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12.4</w:t>
            </w:r>
            <w:r w:rsidRPr="000D5031">
              <w:rPr>
                <w:rFonts w:ascii="Arial" w:hAnsi="Arial" w:cs="Arial"/>
                <w:color w:val="215868" w:themeColor="accent5" w:themeShade="80"/>
                <w:sz w:val="18"/>
                <w:szCs w:val="20"/>
              </w:rPr>
              <w:t>%</w:t>
            </w:r>
          </w:p>
        </w:tc>
        <w:tc>
          <w:tcPr>
            <w:tcW w:w="1584" w:type="dxa"/>
          </w:tcPr>
          <w:p w14:paraId="15BC3289" w14:textId="32A70B01" w:rsidR="00253765" w:rsidRPr="000D5031" w:rsidRDefault="00951B01"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4.9</w:t>
            </w:r>
            <w:r w:rsidR="00253765" w:rsidRPr="000D5031">
              <w:rPr>
                <w:rFonts w:ascii="Arial" w:hAnsi="Arial" w:cs="Arial"/>
                <w:color w:val="215868" w:themeColor="accent5" w:themeShade="80"/>
                <w:sz w:val="18"/>
                <w:szCs w:val="20"/>
              </w:rPr>
              <w:t>%</w:t>
            </w:r>
          </w:p>
        </w:tc>
        <w:tc>
          <w:tcPr>
            <w:tcW w:w="1584" w:type="dxa"/>
          </w:tcPr>
          <w:p w14:paraId="6FEB7786" w14:textId="1D40E869"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3.04</w:t>
            </w:r>
          </w:p>
        </w:tc>
        <w:tc>
          <w:tcPr>
            <w:tcW w:w="1584" w:type="dxa"/>
          </w:tcPr>
          <w:p w14:paraId="37555401" w14:textId="25429A60"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28208D">
              <w:rPr>
                <w:rFonts w:ascii="Arial" w:hAnsi="Arial" w:cs="Arial"/>
                <w:color w:val="215868" w:themeColor="accent5" w:themeShade="80"/>
                <w:sz w:val="18"/>
                <w:szCs w:val="20"/>
              </w:rPr>
              <w:t>16.6</w:t>
            </w:r>
            <w:r w:rsidR="00E33D11">
              <w:rPr>
                <w:rFonts w:ascii="Arial" w:hAnsi="Arial" w:cs="Arial"/>
                <w:color w:val="215868" w:themeColor="accent5" w:themeShade="80"/>
                <w:sz w:val="18"/>
                <w:szCs w:val="20"/>
              </w:rPr>
              <w:t>%</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5B6B997C" w:rsidR="00770809" w:rsidRDefault="00770809" w:rsidP="00770809">
      <w:pPr>
        <w:pStyle w:val="NoSpacing"/>
        <w:rPr>
          <w:rFonts w:ascii="Arial" w:hAnsi="Arial" w:cs="Arial"/>
          <w:sz w:val="20"/>
          <w:szCs w:val="20"/>
        </w:rPr>
      </w:pPr>
    </w:p>
    <w:p w14:paraId="6D01AD83" w14:textId="60570FBA" w:rsidR="00C05AA1" w:rsidRDefault="00313611" w:rsidP="00313611">
      <w:pPr>
        <w:pStyle w:val="NoSpacing"/>
        <w:rPr>
          <w:rFonts w:ascii="Arial" w:hAnsi="Arial" w:cs="Arial"/>
          <w:sz w:val="20"/>
          <w:szCs w:val="20"/>
        </w:rPr>
      </w:pPr>
      <w:r>
        <w:rPr>
          <w:rFonts w:ascii="Arial" w:hAnsi="Arial" w:cs="Arial"/>
          <w:sz w:val="20"/>
          <w:szCs w:val="20"/>
        </w:rPr>
        <w:t xml:space="preserve">In fact, the fresh share of the business has been rising steadily. While certainly summer is a top season for fresh produce sales, July 2022 shows that consumers are not switching out of fresh produce out of inflationary concerns. </w:t>
      </w:r>
    </w:p>
    <w:p w14:paraId="53C7F7C1" w14:textId="39788B12" w:rsidR="00E33D11" w:rsidRDefault="00E33D11" w:rsidP="00770809">
      <w:pPr>
        <w:pStyle w:val="NoSpacing"/>
        <w:rPr>
          <w:rFonts w:ascii="Arial" w:hAnsi="Arial" w:cs="Arial"/>
          <w:sz w:val="20"/>
          <w:szCs w:val="20"/>
        </w:rPr>
      </w:pPr>
    </w:p>
    <w:p w14:paraId="55311572" w14:textId="57004685" w:rsidR="003508FD" w:rsidRPr="00983F3F" w:rsidRDefault="00313611" w:rsidP="00983F3F">
      <w:pPr>
        <w:spacing w:after="0" w:line="240" w:lineRule="auto"/>
        <w:rPr>
          <w:rFonts w:ascii="Arial" w:hAnsi="Arial" w:cs="Arial"/>
          <w:color w:val="000000" w:themeColor="text1"/>
          <w:sz w:val="10"/>
          <w:szCs w:val="10"/>
          <w:shd w:val="clear" w:color="auto" w:fill="FFFFFF"/>
        </w:rPr>
      </w:pPr>
      <w:r>
        <w:rPr>
          <w:noProof/>
        </w:rPr>
        <w:lastRenderedPageBreak/>
        <w:drawing>
          <wp:inline distT="0" distB="0" distL="0" distR="0" wp14:anchorId="409E5387" wp14:editId="35D2B418">
            <wp:extent cx="6750685" cy="2722245"/>
            <wp:effectExtent l="0" t="0" r="0" b="1905"/>
            <wp:docPr id="13" name="Chart 13">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177FE160" w:rsidR="0005157F" w:rsidRDefault="00223410" w:rsidP="006069A6">
      <w:pPr>
        <w:pStyle w:val="NoSpacing"/>
        <w:rPr>
          <w:rFonts w:ascii="Arial" w:hAnsi="Arial" w:cs="Arial"/>
          <w:sz w:val="20"/>
          <w:szCs w:val="20"/>
        </w:rPr>
      </w:pPr>
      <w:r>
        <w:rPr>
          <w:rFonts w:ascii="Arial" w:hAnsi="Arial" w:cs="Arial"/>
          <w:sz w:val="20"/>
          <w:szCs w:val="20"/>
        </w:rPr>
        <w:t>Fresh produce pound sales trailed behind year ago levels all throughout 2021</w:t>
      </w:r>
      <w:r w:rsidR="001A0E90">
        <w:rPr>
          <w:rFonts w:ascii="Arial" w:hAnsi="Arial" w:cs="Arial"/>
          <w:sz w:val="20"/>
          <w:szCs w:val="20"/>
        </w:rPr>
        <w:t xml:space="preserve"> and </w:t>
      </w:r>
      <w:r w:rsidR="00313611">
        <w:rPr>
          <w:rFonts w:ascii="Arial" w:hAnsi="Arial" w:cs="Arial"/>
          <w:sz w:val="20"/>
          <w:szCs w:val="20"/>
        </w:rPr>
        <w:t xml:space="preserve">thus far in </w:t>
      </w:r>
      <w:r w:rsidR="001A0E90">
        <w:rPr>
          <w:rFonts w:ascii="Arial" w:hAnsi="Arial" w:cs="Arial"/>
          <w:sz w:val="20"/>
          <w:szCs w:val="20"/>
        </w:rPr>
        <w:t>2022</w:t>
      </w:r>
      <w:r>
        <w:rPr>
          <w:rFonts w:ascii="Arial" w:hAnsi="Arial" w:cs="Arial"/>
          <w:sz w:val="20"/>
          <w:szCs w:val="20"/>
        </w:rPr>
        <w:t xml:space="preserve">. In </w:t>
      </w:r>
      <w:r w:rsidR="00313611">
        <w:rPr>
          <w:rFonts w:ascii="Arial" w:hAnsi="Arial" w:cs="Arial"/>
          <w:sz w:val="20"/>
          <w:szCs w:val="20"/>
        </w:rPr>
        <w:t>July</w:t>
      </w:r>
      <w:r>
        <w:rPr>
          <w:rFonts w:ascii="Arial" w:hAnsi="Arial" w:cs="Arial"/>
          <w:sz w:val="20"/>
          <w:szCs w:val="20"/>
        </w:rPr>
        <w:t xml:space="preserve">, pound </w:t>
      </w:r>
      <w:r w:rsidR="001A0E90">
        <w:rPr>
          <w:rFonts w:ascii="Arial" w:hAnsi="Arial" w:cs="Arial"/>
          <w:sz w:val="20"/>
          <w:szCs w:val="20"/>
        </w:rPr>
        <w:t xml:space="preserve">sales were down </w:t>
      </w:r>
      <w:r w:rsidR="00676B67">
        <w:rPr>
          <w:rFonts w:ascii="Arial" w:hAnsi="Arial" w:cs="Arial"/>
          <w:sz w:val="20"/>
          <w:szCs w:val="20"/>
        </w:rPr>
        <w:t>-</w:t>
      </w:r>
      <w:r w:rsidR="004314BF">
        <w:rPr>
          <w:rFonts w:ascii="Arial" w:hAnsi="Arial" w:cs="Arial"/>
          <w:sz w:val="20"/>
          <w:szCs w:val="20"/>
        </w:rPr>
        <w:t>4.</w:t>
      </w:r>
      <w:r w:rsidR="00313611">
        <w:rPr>
          <w:rFonts w:ascii="Arial" w:hAnsi="Arial" w:cs="Arial"/>
          <w:sz w:val="20"/>
          <w:szCs w:val="20"/>
        </w:rPr>
        <w:t>8</w:t>
      </w:r>
      <w:r w:rsidR="001A0E90">
        <w:rPr>
          <w:rFonts w:ascii="Arial" w:hAnsi="Arial" w:cs="Arial"/>
          <w:sz w:val="20"/>
          <w:szCs w:val="20"/>
        </w:rPr>
        <w:t>%</w:t>
      </w:r>
      <w:r w:rsidR="00135BE7">
        <w:rPr>
          <w:rFonts w:ascii="Arial" w:hAnsi="Arial" w:cs="Arial"/>
          <w:sz w:val="20"/>
          <w:szCs w:val="20"/>
        </w:rPr>
        <w:t xml:space="preserve"> year-on-year</w:t>
      </w:r>
      <w:r w:rsidR="00581F51">
        <w:rPr>
          <w:rFonts w:ascii="Arial" w:hAnsi="Arial" w:cs="Arial"/>
          <w:sz w:val="20"/>
          <w:szCs w:val="20"/>
        </w:rPr>
        <w:t xml:space="preserve">. </w:t>
      </w:r>
      <w:r w:rsidR="001A0E90">
        <w:rPr>
          <w:rFonts w:ascii="Arial" w:hAnsi="Arial" w:cs="Arial"/>
          <w:sz w:val="20"/>
          <w:szCs w:val="20"/>
        </w:rPr>
        <w:t>Importantly, compared with 2019, the pre-pandemic normal, dollars remain</w:t>
      </w:r>
      <w:r w:rsidR="00313611">
        <w:rPr>
          <w:rFonts w:ascii="Arial" w:hAnsi="Arial" w:cs="Arial"/>
          <w:sz w:val="20"/>
          <w:szCs w:val="20"/>
        </w:rPr>
        <w:t>ed</w:t>
      </w:r>
      <w:r w:rsidR="001A0E90">
        <w:rPr>
          <w:rFonts w:ascii="Arial" w:hAnsi="Arial" w:cs="Arial"/>
          <w:sz w:val="20"/>
          <w:szCs w:val="20"/>
        </w:rPr>
        <w:t xml:space="preserve"> </w:t>
      </w:r>
      <w:r w:rsidR="00676B67">
        <w:rPr>
          <w:rFonts w:ascii="Arial" w:hAnsi="Arial" w:cs="Arial"/>
          <w:sz w:val="20"/>
          <w:szCs w:val="20"/>
        </w:rPr>
        <w:t>+</w:t>
      </w:r>
      <w:r w:rsidR="00F700E5">
        <w:rPr>
          <w:rFonts w:ascii="Arial" w:hAnsi="Arial" w:cs="Arial"/>
          <w:sz w:val="20"/>
          <w:szCs w:val="20"/>
        </w:rPr>
        <w:t>17.</w:t>
      </w:r>
      <w:r w:rsidR="00313611">
        <w:rPr>
          <w:rFonts w:ascii="Arial" w:hAnsi="Arial" w:cs="Arial"/>
          <w:sz w:val="20"/>
          <w:szCs w:val="20"/>
        </w:rPr>
        <w:t>7</w:t>
      </w:r>
      <w:r w:rsidR="001A0E90">
        <w:rPr>
          <w:rFonts w:ascii="Arial" w:hAnsi="Arial" w:cs="Arial"/>
          <w:sz w:val="20"/>
          <w:szCs w:val="20"/>
        </w:rPr>
        <w:t xml:space="preserve">% ahead </w:t>
      </w:r>
      <w:r w:rsidR="00E648E4">
        <w:rPr>
          <w:rFonts w:ascii="Arial" w:hAnsi="Arial" w:cs="Arial"/>
          <w:sz w:val="20"/>
          <w:szCs w:val="20"/>
        </w:rPr>
        <w:t xml:space="preserve">(green triangles) </w:t>
      </w:r>
      <w:r w:rsidR="00581F51">
        <w:rPr>
          <w:rFonts w:ascii="Arial" w:hAnsi="Arial" w:cs="Arial"/>
          <w:sz w:val="20"/>
          <w:szCs w:val="20"/>
        </w:rPr>
        <w:t xml:space="preserve">and pounds stayed above </w:t>
      </w:r>
      <w:r w:rsidR="00F700E5">
        <w:rPr>
          <w:rFonts w:ascii="Arial" w:hAnsi="Arial" w:cs="Arial"/>
          <w:sz w:val="20"/>
          <w:szCs w:val="20"/>
        </w:rPr>
        <w:t xml:space="preserve">2019 levels by </w:t>
      </w:r>
      <w:r w:rsidR="008A426C">
        <w:rPr>
          <w:rFonts w:ascii="Arial" w:hAnsi="Arial" w:cs="Arial"/>
          <w:sz w:val="20"/>
          <w:szCs w:val="20"/>
        </w:rPr>
        <w:t>+</w:t>
      </w:r>
      <w:r w:rsidR="00313611">
        <w:rPr>
          <w:rFonts w:ascii="Arial" w:hAnsi="Arial" w:cs="Arial"/>
          <w:sz w:val="20"/>
          <w:szCs w:val="20"/>
        </w:rPr>
        <w:t>0.7</w:t>
      </w:r>
      <w:r w:rsidR="00F700E5">
        <w:rPr>
          <w:rFonts w:ascii="Arial" w:hAnsi="Arial" w:cs="Arial"/>
          <w:sz w:val="20"/>
          <w:szCs w:val="20"/>
        </w:rPr>
        <w:t>%</w:t>
      </w:r>
      <w:r w:rsidR="00F122CD">
        <w:rPr>
          <w:rFonts w:ascii="Arial" w:hAnsi="Arial" w:cs="Arial"/>
          <w:sz w:val="20"/>
          <w:szCs w:val="20"/>
        </w:rPr>
        <w:t xml:space="preserve"> (purple squares)</w:t>
      </w:r>
      <w:r w:rsidR="00E648E4">
        <w:rPr>
          <w:rFonts w:ascii="Arial" w:hAnsi="Arial" w:cs="Arial"/>
          <w:sz w:val="20"/>
          <w:szCs w:val="20"/>
        </w:rPr>
        <w:t>.</w:t>
      </w:r>
      <w:r w:rsidR="00F122CD">
        <w:rPr>
          <w:rFonts w:ascii="Arial" w:hAnsi="Arial" w:cs="Arial"/>
          <w:sz w:val="20"/>
          <w:szCs w:val="20"/>
        </w:rPr>
        <w:t xml:space="preserve"> </w:t>
      </w:r>
    </w:p>
    <w:p w14:paraId="21AE6872" w14:textId="52842E4B" w:rsidR="00AC478B" w:rsidRDefault="00AC478B" w:rsidP="009D1A60">
      <w:pPr>
        <w:pStyle w:val="NoSpacing"/>
        <w:rPr>
          <w:noProof/>
        </w:rPr>
      </w:pPr>
    </w:p>
    <w:p w14:paraId="33F0DBEC" w14:textId="5CD099D7" w:rsidR="00BA5935" w:rsidRDefault="00EF0D81" w:rsidP="009D1A60">
      <w:pPr>
        <w:pStyle w:val="NoSpacing"/>
        <w:rPr>
          <w:noProof/>
        </w:rPr>
      </w:pPr>
      <w:r>
        <w:rPr>
          <w:noProof/>
        </w:rPr>
        <w:drawing>
          <wp:inline distT="0" distB="0" distL="0" distR="0" wp14:anchorId="49AAB46E" wp14:editId="417BCA24">
            <wp:extent cx="6750685" cy="2931795"/>
            <wp:effectExtent l="0" t="0" r="0" b="1905"/>
            <wp:docPr id="9" name="Chart 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62AB8" w14:textId="77777777" w:rsidR="00BA5935" w:rsidRPr="009D1A60" w:rsidRDefault="00BA5935" w:rsidP="009D1A60">
      <w:pPr>
        <w:pStyle w:val="NoSpacing"/>
      </w:pP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36374F10" w:rsidR="00EF524A" w:rsidRDefault="00581F51"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Fruit had been experiencing some volume pressure</w:t>
      </w:r>
      <w:r w:rsidR="008342E9">
        <w:rPr>
          <w:rFonts w:ascii="Arial" w:hAnsi="Arial" w:cs="Arial"/>
          <w:color w:val="000000" w:themeColor="text1"/>
          <w:sz w:val="20"/>
          <w:szCs w:val="18"/>
          <w:shd w:val="clear" w:color="auto" w:fill="FFFFFF"/>
        </w:rPr>
        <w:t xml:space="preserve"> in the early months of 2022</w:t>
      </w:r>
      <w:r>
        <w:rPr>
          <w:rFonts w:ascii="Arial" w:hAnsi="Arial" w:cs="Arial"/>
          <w:color w:val="000000" w:themeColor="text1"/>
          <w:sz w:val="20"/>
          <w:szCs w:val="18"/>
          <w:shd w:val="clear" w:color="auto" w:fill="FFFFFF"/>
        </w:rPr>
        <w:t xml:space="preserve">, but </w:t>
      </w:r>
      <w:r w:rsidR="008342E9">
        <w:rPr>
          <w:rFonts w:ascii="Arial" w:hAnsi="Arial" w:cs="Arial"/>
          <w:color w:val="000000" w:themeColor="text1"/>
          <w:sz w:val="20"/>
          <w:szCs w:val="18"/>
          <w:shd w:val="clear" w:color="auto" w:fill="FFFFFF"/>
        </w:rPr>
        <w:t>pulled even with 2019 levels on much better prices in July.</w:t>
      </w:r>
      <w:r w:rsidR="00E6448D">
        <w:rPr>
          <w:rFonts w:ascii="Arial" w:hAnsi="Arial" w:cs="Arial"/>
          <w:color w:val="000000" w:themeColor="text1"/>
          <w:sz w:val="20"/>
          <w:szCs w:val="18"/>
          <w:shd w:val="clear" w:color="auto" w:fill="FFFFFF"/>
        </w:rPr>
        <w:t xml:space="preserve"> Vegetable</w:t>
      </w:r>
      <w:r>
        <w:rPr>
          <w:rFonts w:ascii="Arial" w:hAnsi="Arial" w:cs="Arial"/>
          <w:color w:val="000000" w:themeColor="text1"/>
          <w:sz w:val="20"/>
          <w:szCs w:val="18"/>
          <w:shd w:val="clear" w:color="auto" w:fill="FFFFFF"/>
        </w:rPr>
        <w:t xml:space="preserve"> pounds </w:t>
      </w:r>
      <w:r w:rsidR="008342E9">
        <w:rPr>
          <w:rFonts w:ascii="Arial" w:hAnsi="Arial" w:cs="Arial"/>
          <w:color w:val="000000" w:themeColor="text1"/>
          <w:sz w:val="20"/>
          <w:szCs w:val="18"/>
          <w:shd w:val="clear" w:color="auto" w:fill="FFFFFF"/>
        </w:rPr>
        <w:t xml:space="preserve">were </w:t>
      </w:r>
      <w:r>
        <w:rPr>
          <w:rFonts w:ascii="Arial" w:hAnsi="Arial" w:cs="Arial"/>
          <w:color w:val="000000" w:themeColor="text1"/>
          <w:sz w:val="20"/>
          <w:szCs w:val="18"/>
          <w:shd w:val="clear" w:color="auto" w:fill="FFFFFF"/>
        </w:rPr>
        <w:t xml:space="preserve">down year-on-year as well, but </w:t>
      </w:r>
      <w:r w:rsidR="008342E9">
        <w:rPr>
          <w:rFonts w:ascii="Arial" w:hAnsi="Arial" w:cs="Arial"/>
          <w:color w:val="000000" w:themeColor="text1"/>
          <w:sz w:val="20"/>
          <w:szCs w:val="18"/>
          <w:shd w:val="clear" w:color="auto" w:fill="FFFFFF"/>
        </w:rPr>
        <w:t xml:space="preserve">still sit 2.1% ahead of </w:t>
      </w:r>
      <w:r>
        <w:rPr>
          <w:rFonts w:ascii="Arial" w:hAnsi="Arial" w:cs="Arial"/>
          <w:color w:val="000000" w:themeColor="text1"/>
          <w:sz w:val="20"/>
          <w:szCs w:val="18"/>
          <w:shd w:val="clear" w:color="auto" w:fill="FFFFFF"/>
        </w:rPr>
        <w:t>2019</w:t>
      </w:r>
      <w:r w:rsidR="00E6448D">
        <w:rPr>
          <w:rFonts w:ascii="Arial" w:hAnsi="Arial" w:cs="Arial"/>
          <w:color w:val="000000" w:themeColor="text1"/>
          <w:sz w:val="20"/>
          <w:szCs w:val="18"/>
          <w:shd w:val="clear" w:color="auto" w:fill="FFFFFF"/>
        </w:rPr>
        <w:t>.</w:t>
      </w:r>
      <w:r w:rsidR="00991296">
        <w:rPr>
          <w:rFonts w:ascii="Arial" w:hAnsi="Arial" w:cs="Arial"/>
          <w:color w:val="000000" w:themeColor="text1"/>
          <w:sz w:val="20"/>
          <w:szCs w:val="18"/>
          <w:shd w:val="clear" w:color="auto" w:fill="FFFFFF"/>
        </w:rPr>
        <w:t xml:space="preserve"> </w:t>
      </w:r>
    </w:p>
    <w:p w14:paraId="32003095"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62"/>
        <w:gridCol w:w="319"/>
        <w:gridCol w:w="513"/>
        <w:gridCol w:w="337"/>
        <w:gridCol w:w="850"/>
        <w:gridCol w:w="850"/>
        <w:gridCol w:w="850"/>
        <w:gridCol w:w="850"/>
        <w:gridCol w:w="850"/>
        <w:gridCol w:w="850"/>
        <w:gridCol w:w="850"/>
        <w:gridCol w:w="850"/>
        <w:gridCol w:w="850"/>
        <w:gridCol w:w="850"/>
      </w:tblGrid>
      <w:tr w:rsidR="00FA74C5" w:rsidRPr="00CF309B" w14:paraId="54D27BD5" w14:textId="77777777" w:rsidTr="007373EF">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6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FA74C5" w:rsidRPr="00CF309B" w:rsidRDefault="00FA74C5" w:rsidP="00EC62BA">
            <w:pPr>
              <w:pStyle w:val="NoSpacing"/>
              <w:jc w:val="center"/>
              <w:rPr>
                <w:rFonts w:ascii="Arial" w:hAnsi="Arial" w:cs="Arial"/>
                <w:color w:val="FFFFFF" w:themeColor="background1"/>
                <w:sz w:val="18"/>
                <w:szCs w:val="18"/>
              </w:rPr>
            </w:pPr>
          </w:p>
        </w:tc>
        <w:tc>
          <w:tcPr>
            <w:tcW w:w="832"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CFA624D" w14:textId="77777777" w:rsidR="00FA74C5" w:rsidRPr="00CF309B" w:rsidRDefault="00FA74C5"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837" w:type="dxa"/>
            <w:gridSpan w:val="11"/>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78BFB11B" w:rsidR="00FA74C5" w:rsidRPr="00CF309B" w:rsidRDefault="00FA74C5"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FA74C5" w:rsidRPr="00CF309B" w14:paraId="2188E4FF" w14:textId="77777777" w:rsidTr="007373E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81" w:type="dxa"/>
            <w:gridSpan w:val="2"/>
            <w:tcBorders>
              <w:left w:val="none" w:sz="0" w:space="0" w:color="auto"/>
              <w:right w:val="none" w:sz="0" w:space="0" w:color="auto"/>
            </w:tcBorders>
            <w:shd w:val="clear" w:color="auto" w:fill="17365D" w:themeFill="text2" w:themeFillShade="BF"/>
            <w:vAlign w:val="center"/>
          </w:tcPr>
          <w:p w14:paraId="29E5768B" w14:textId="77777777" w:rsidR="00FA74C5" w:rsidRPr="00CF309B" w:rsidRDefault="00FA74C5" w:rsidP="00D44AC8">
            <w:pPr>
              <w:pStyle w:val="NoSpacing"/>
              <w:jc w:val="right"/>
              <w:rPr>
                <w:rFonts w:ascii="Arial" w:hAnsi="Arial" w:cs="Arial"/>
                <w:color w:val="FFFFFF" w:themeColor="background1"/>
                <w:sz w:val="18"/>
                <w:szCs w:val="18"/>
              </w:rPr>
            </w:pPr>
          </w:p>
        </w:tc>
        <w:tc>
          <w:tcPr>
            <w:tcW w:w="850" w:type="dxa"/>
            <w:gridSpan w:val="2"/>
            <w:tcBorders>
              <w:left w:val="none" w:sz="0" w:space="0" w:color="auto"/>
              <w:right w:val="none" w:sz="0" w:space="0" w:color="auto"/>
            </w:tcBorders>
            <w:shd w:val="clear" w:color="auto" w:fill="17365D" w:themeFill="text2" w:themeFillShade="BF"/>
            <w:vAlign w:val="center"/>
          </w:tcPr>
          <w:p w14:paraId="63017601" w14:textId="77777777" w:rsidR="00FA74C5" w:rsidRPr="003C245B"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50" w:type="dxa"/>
            <w:tcBorders>
              <w:left w:val="none" w:sz="0" w:space="0" w:color="auto"/>
              <w:right w:val="none" w:sz="0" w:space="0" w:color="auto"/>
            </w:tcBorders>
            <w:shd w:val="clear" w:color="auto" w:fill="17365D" w:themeFill="text2" w:themeFillShade="BF"/>
            <w:vAlign w:val="center"/>
          </w:tcPr>
          <w:p w14:paraId="4A18F774" w14:textId="77777777" w:rsidR="00FA74C5" w:rsidRPr="003C245B"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850" w:type="dxa"/>
            <w:tcBorders>
              <w:left w:val="none" w:sz="0" w:space="0" w:color="auto"/>
              <w:right w:val="none" w:sz="0" w:space="0" w:color="auto"/>
            </w:tcBorders>
            <w:shd w:val="clear" w:color="auto" w:fill="17365D" w:themeFill="text2" w:themeFillShade="BF"/>
            <w:vAlign w:val="center"/>
          </w:tcPr>
          <w:p w14:paraId="3AD9F6FB" w14:textId="345B94E0"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850" w:type="dxa"/>
            <w:tcBorders>
              <w:left w:val="none" w:sz="0" w:space="0" w:color="auto"/>
              <w:right w:val="none" w:sz="0" w:space="0" w:color="auto"/>
            </w:tcBorders>
            <w:shd w:val="clear" w:color="auto" w:fill="17365D" w:themeFill="text2" w:themeFillShade="BF"/>
            <w:vAlign w:val="center"/>
          </w:tcPr>
          <w:p w14:paraId="56E4CCDB" w14:textId="79790FAF"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850" w:type="dxa"/>
            <w:tcBorders>
              <w:left w:val="none" w:sz="0" w:space="0" w:color="auto"/>
              <w:right w:val="none" w:sz="0" w:space="0" w:color="auto"/>
            </w:tcBorders>
            <w:shd w:val="clear" w:color="auto" w:fill="17365D" w:themeFill="text2" w:themeFillShade="BF"/>
            <w:vAlign w:val="center"/>
          </w:tcPr>
          <w:p w14:paraId="2293C6F3" w14:textId="1E5D39A4"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50" w:type="dxa"/>
            <w:tcBorders>
              <w:left w:val="none" w:sz="0" w:space="0" w:color="auto"/>
              <w:right w:val="none" w:sz="0" w:space="0" w:color="auto"/>
            </w:tcBorders>
            <w:shd w:val="clear" w:color="auto" w:fill="17365D" w:themeFill="text2" w:themeFillShade="BF"/>
            <w:vAlign w:val="center"/>
          </w:tcPr>
          <w:p w14:paraId="1A442681" w14:textId="5AB2F491"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50" w:type="dxa"/>
            <w:tcBorders>
              <w:left w:val="none" w:sz="0" w:space="0" w:color="auto"/>
              <w:right w:val="none" w:sz="0" w:space="0" w:color="auto"/>
            </w:tcBorders>
            <w:shd w:val="clear" w:color="auto" w:fill="17365D" w:themeFill="text2" w:themeFillShade="BF"/>
            <w:vAlign w:val="center"/>
          </w:tcPr>
          <w:p w14:paraId="4385EE9E" w14:textId="22D4D9C4"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50" w:type="dxa"/>
            <w:tcBorders>
              <w:left w:val="none" w:sz="0" w:space="0" w:color="auto"/>
              <w:right w:val="none" w:sz="0" w:space="0" w:color="auto"/>
            </w:tcBorders>
            <w:shd w:val="clear" w:color="auto" w:fill="17365D" w:themeFill="text2" w:themeFillShade="BF"/>
            <w:vAlign w:val="center"/>
          </w:tcPr>
          <w:p w14:paraId="1C76D19F" w14:textId="11890A13"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50" w:type="dxa"/>
            <w:tcBorders>
              <w:left w:val="none" w:sz="0" w:space="0" w:color="auto"/>
              <w:right w:val="none" w:sz="0" w:space="0" w:color="auto"/>
            </w:tcBorders>
            <w:shd w:val="clear" w:color="auto" w:fill="17365D" w:themeFill="text2" w:themeFillShade="BF"/>
            <w:vAlign w:val="center"/>
          </w:tcPr>
          <w:p w14:paraId="7DD4E35E" w14:textId="665FF657" w:rsidR="00FA74C5" w:rsidRDefault="00951B01"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Jul</w:t>
            </w:r>
            <w:r w:rsidR="00FA74C5">
              <w:rPr>
                <w:rFonts w:ascii="Arial" w:hAnsi="Arial" w:cs="Arial"/>
                <w:b/>
                <w:color w:val="FFFFFF" w:themeColor="background1"/>
                <w:sz w:val="18"/>
                <w:szCs w:val="18"/>
              </w:rPr>
              <w:t xml:space="preserve"> 22</w:t>
            </w:r>
          </w:p>
        </w:tc>
        <w:tc>
          <w:tcPr>
            <w:tcW w:w="850" w:type="dxa"/>
            <w:tcBorders>
              <w:left w:val="none" w:sz="0" w:space="0" w:color="auto"/>
              <w:right w:val="none" w:sz="0" w:space="0" w:color="auto"/>
            </w:tcBorders>
            <w:shd w:val="clear" w:color="auto" w:fill="17365D" w:themeFill="text2" w:themeFillShade="BF"/>
            <w:vAlign w:val="center"/>
          </w:tcPr>
          <w:p w14:paraId="041FEF61" w14:textId="4E21B2CB"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850" w:type="dxa"/>
            <w:tcBorders>
              <w:left w:val="none" w:sz="0" w:space="0" w:color="auto"/>
              <w:right w:val="none" w:sz="0" w:space="0" w:color="auto"/>
            </w:tcBorders>
            <w:shd w:val="clear" w:color="auto" w:fill="17365D" w:themeFill="text2" w:themeFillShade="BF"/>
            <w:vAlign w:val="center"/>
          </w:tcPr>
          <w:p w14:paraId="582F16C2" w14:textId="2A0FD017" w:rsidR="00FA74C5" w:rsidRDefault="00FA74C5" w:rsidP="00FA74C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2019</w:t>
            </w:r>
          </w:p>
        </w:tc>
      </w:tr>
      <w:tr w:rsidR="00FA74C5" w:rsidRPr="00E43E81" w14:paraId="63E25688" w14:textId="77777777" w:rsidTr="00FA74C5">
        <w:trPr>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1BC5E048" w14:textId="77777777" w:rsidR="00FA74C5" w:rsidRPr="00E43E81" w:rsidRDefault="00FA74C5"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850" w:type="dxa"/>
            <w:gridSpan w:val="2"/>
            <w:vAlign w:val="center"/>
          </w:tcPr>
          <w:p w14:paraId="1139F53D"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vAlign w:val="center"/>
          </w:tcPr>
          <w:p w14:paraId="7781D8C8"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vAlign w:val="center"/>
          </w:tcPr>
          <w:p w14:paraId="4B6676A1" w14:textId="77777777" w:rsidR="00FA74C5" w:rsidRPr="00E43E81" w:rsidRDefault="00FA74C5"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34E1CFA3" w14:textId="77777777" w:rsidR="00FA74C5" w:rsidRPr="00E43E81" w:rsidRDefault="00FA74C5"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55E76F30" w14:textId="77777777" w:rsidR="00FA74C5" w:rsidRPr="00E43E81" w:rsidRDefault="00FA74C5"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2AA16F83" w14:textId="77777777" w:rsidR="00FA74C5" w:rsidRPr="00E43E81" w:rsidRDefault="00FA74C5"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0E3FBDB9"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63E23AFE"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4EFAFB8B" w14:textId="15547391"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3E5E2079" w14:textId="6B23943E"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0" w:type="dxa"/>
          </w:tcPr>
          <w:p w14:paraId="3C1099A0" w14:textId="77777777" w:rsidR="00FA74C5" w:rsidRPr="00E43E81" w:rsidRDefault="00FA74C5"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FA74C5" w:rsidRPr="00EF524A" w14:paraId="5AEC7600" w14:textId="77777777" w:rsidTr="007373EF">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281" w:type="dxa"/>
            <w:gridSpan w:val="2"/>
            <w:tcBorders>
              <w:left w:val="none" w:sz="0" w:space="0" w:color="auto"/>
              <w:right w:val="none" w:sz="0" w:space="0" w:color="auto"/>
            </w:tcBorders>
            <w:vAlign w:val="center"/>
          </w:tcPr>
          <w:p w14:paraId="7D1E7D37" w14:textId="77777777" w:rsidR="00FA74C5" w:rsidRPr="00EF524A" w:rsidRDefault="00FA74C5" w:rsidP="00FA74C5">
            <w:pPr>
              <w:pStyle w:val="NoSpacing"/>
              <w:jc w:val="right"/>
              <w:rPr>
                <w:rFonts w:ascii="Arial" w:hAnsi="Arial" w:cs="Arial"/>
                <w:b w:val="0"/>
                <w:color w:val="215868" w:themeColor="accent5" w:themeShade="80"/>
                <w:sz w:val="18"/>
                <w:szCs w:val="18"/>
              </w:rPr>
            </w:pPr>
            <w:r w:rsidRPr="00EF524A">
              <w:rPr>
                <w:rFonts w:ascii="Arial" w:hAnsi="Arial" w:cs="Arial"/>
                <w:b w:val="0"/>
                <w:color w:val="215868" w:themeColor="accent5" w:themeShade="80"/>
                <w:sz w:val="18"/>
                <w:szCs w:val="18"/>
              </w:rPr>
              <w:t xml:space="preserve">   Dollars</w:t>
            </w:r>
          </w:p>
        </w:tc>
        <w:tc>
          <w:tcPr>
            <w:tcW w:w="850" w:type="dxa"/>
            <w:gridSpan w:val="2"/>
            <w:tcBorders>
              <w:left w:val="none" w:sz="0" w:space="0" w:color="auto"/>
              <w:right w:val="none" w:sz="0" w:space="0" w:color="auto"/>
            </w:tcBorders>
            <w:vAlign w:val="center"/>
          </w:tcPr>
          <w:p w14:paraId="15B690B5" w14:textId="2D5E8518"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-0.2</w:t>
            </w:r>
            <w:r w:rsidRPr="00EF524A">
              <w:rPr>
                <w:rFonts w:ascii="Arial" w:hAnsi="Arial" w:cs="Arial"/>
                <w:bCs/>
                <w:color w:val="215868"/>
                <w:sz w:val="18"/>
                <w:szCs w:val="18"/>
              </w:rPr>
              <w:t>%</w:t>
            </w:r>
          </w:p>
        </w:tc>
        <w:tc>
          <w:tcPr>
            <w:tcW w:w="850" w:type="dxa"/>
            <w:tcBorders>
              <w:left w:val="none" w:sz="0" w:space="0" w:color="auto"/>
              <w:right w:val="none" w:sz="0" w:space="0" w:color="auto"/>
            </w:tcBorders>
            <w:vAlign w:val="center"/>
          </w:tcPr>
          <w:p w14:paraId="17DA2E9F" w14:textId="31E8E4EC"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Pr>
                <w:rFonts w:ascii="Arial" w:hAnsi="Arial" w:cs="Arial"/>
                <w:bCs/>
                <w:color w:val="215868"/>
                <w:sz w:val="18"/>
                <w:szCs w:val="18"/>
              </w:rPr>
              <w:t>8.7</w:t>
            </w:r>
            <w:r w:rsidRPr="00EF524A">
              <w:rPr>
                <w:rFonts w:ascii="Arial" w:hAnsi="Arial" w:cs="Arial"/>
                <w:bCs/>
                <w:color w:val="215868"/>
                <w:sz w:val="18"/>
                <w:szCs w:val="18"/>
              </w:rPr>
              <w:t>%</w:t>
            </w:r>
          </w:p>
        </w:tc>
        <w:tc>
          <w:tcPr>
            <w:tcW w:w="850" w:type="dxa"/>
            <w:tcBorders>
              <w:left w:val="none" w:sz="0" w:space="0" w:color="auto"/>
              <w:right w:val="none" w:sz="0" w:space="0" w:color="auto"/>
            </w:tcBorders>
            <w:vAlign w:val="center"/>
          </w:tcPr>
          <w:p w14:paraId="283B4C73" w14:textId="4E5BDF02"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+5.1</w:t>
            </w:r>
            <w:r w:rsidRPr="00EF524A">
              <w:rPr>
                <w:rFonts w:ascii="Arial" w:hAnsi="Arial" w:cs="Arial"/>
                <w:bCs/>
                <w:color w:val="215868"/>
                <w:sz w:val="18"/>
                <w:szCs w:val="18"/>
              </w:rPr>
              <w:t>%</w:t>
            </w:r>
          </w:p>
        </w:tc>
        <w:tc>
          <w:tcPr>
            <w:tcW w:w="850" w:type="dxa"/>
            <w:tcBorders>
              <w:left w:val="none" w:sz="0" w:space="0" w:color="auto"/>
              <w:right w:val="none" w:sz="0" w:space="0" w:color="auto"/>
            </w:tcBorders>
            <w:vAlign w:val="center"/>
          </w:tcPr>
          <w:p w14:paraId="05F0A495" w14:textId="76FC154B"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+4.5</w:t>
            </w:r>
            <w:r w:rsidRPr="00EF524A">
              <w:rPr>
                <w:rFonts w:ascii="Arial" w:hAnsi="Arial" w:cs="Arial"/>
                <w:bCs/>
                <w:color w:val="215868"/>
                <w:sz w:val="18"/>
                <w:szCs w:val="18"/>
              </w:rPr>
              <w:t>%</w:t>
            </w:r>
          </w:p>
        </w:tc>
        <w:tc>
          <w:tcPr>
            <w:tcW w:w="850" w:type="dxa"/>
            <w:tcBorders>
              <w:left w:val="none" w:sz="0" w:space="0" w:color="auto"/>
              <w:right w:val="none" w:sz="0" w:space="0" w:color="auto"/>
            </w:tcBorders>
            <w:vAlign w:val="center"/>
          </w:tcPr>
          <w:p w14:paraId="7BE6A292" w14:textId="269A829D"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+6.2</w:t>
            </w:r>
            <w:r w:rsidRPr="00EF524A">
              <w:rPr>
                <w:rFonts w:ascii="Arial" w:hAnsi="Arial" w:cs="Arial"/>
                <w:bCs/>
                <w:color w:val="215868"/>
                <w:sz w:val="18"/>
                <w:szCs w:val="18"/>
              </w:rPr>
              <w:t>%</w:t>
            </w:r>
          </w:p>
        </w:tc>
        <w:tc>
          <w:tcPr>
            <w:tcW w:w="850" w:type="dxa"/>
            <w:tcBorders>
              <w:left w:val="none" w:sz="0" w:space="0" w:color="auto"/>
              <w:right w:val="none" w:sz="0" w:space="0" w:color="auto"/>
            </w:tcBorders>
            <w:vAlign w:val="center"/>
          </w:tcPr>
          <w:p w14:paraId="59F7AEF4" w14:textId="14B767C5"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10.9</w:t>
            </w:r>
            <w:r w:rsidRPr="00EF524A">
              <w:rPr>
                <w:rFonts w:ascii="Arial" w:hAnsi="Arial" w:cs="Arial"/>
                <w:bCs/>
                <w:color w:val="215868" w:themeColor="accent5" w:themeShade="80"/>
                <w:sz w:val="18"/>
                <w:szCs w:val="18"/>
              </w:rPr>
              <w:t>%</w:t>
            </w:r>
          </w:p>
        </w:tc>
        <w:tc>
          <w:tcPr>
            <w:tcW w:w="850" w:type="dxa"/>
            <w:tcBorders>
              <w:left w:val="none" w:sz="0" w:space="0" w:color="auto"/>
              <w:right w:val="none" w:sz="0" w:space="0" w:color="auto"/>
            </w:tcBorders>
            <w:vAlign w:val="center"/>
          </w:tcPr>
          <w:p w14:paraId="0DFFA07C" w14:textId="30F90A73"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10.2</w:t>
            </w:r>
            <w:r w:rsidRPr="00EF524A">
              <w:rPr>
                <w:rFonts w:ascii="Arial" w:hAnsi="Arial" w:cs="Arial"/>
                <w:bCs/>
                <w:color w:val="215868" w:themeColor="accent5" w:themeShade="80"/>
                <w:sz w:val="18"/>
                <w:szCs w:val="18"/>
              </w:rPr>
              <w:t>%</w:t>
            </w:r>
          </w:p>
        </w:tc>
        <w:tc>
          <w:tcPr>
            <w:tcW w:w="850" w:type="dxa"/>
            <w:tcBorders>
              <w:left w:val="none" w:sz="0" w:space="0" w:color="auto"/>
              <w:right w:val="none" w:sz="0" w:space="0" w:color="auto"/>
            </w:tcBorders>
            <w:vAlign w:val="center"/>
          </w:tcPr>
          <w:p w14:paraId="483B56F7" w14:textId="39BE030B"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5E13EA">
              <w:rPr>
                <w:rFonts w:ascii="Arial" w:hAnsi="Arial" w:cs="Arial"/>
                <w:bCs/>
                <w:color w:val="215868" w:themeColor="accent5" w:themeShade="80"/>
                <w:sz w:val="18"/>
                <w:szCs w:val="18"/>
              </w:rPr>
              <w:t>4.2</w:t>
            </w:r>
            <w:r w:rsidRPr="00EF524A">
              <w:rPr>
                <w:rFonts w:ascii="Arial" w:hAnsi="Arial" w:cs="Arial"/>
                <w:bCs/>
                <w:color w:val="215868" w:themeColor="accent5" w:themeShade="80"/>
                <w:sz w:val="18"/>
                <w:szCs w:val="18"/>
              </w:rPr>
              <w:t>%</w:t>
            </w:r>
          </w:p>
        </w:tc>
        <w:tc>
          <w:tcPr>
            <w:tcW w:w="850" w:type="dxa"/>
            <w:tcBorders>
              <w:left w:val="none" w:sz="0" w:space="0" w:color="auto"/>
              <w:right w:val="none" w:sz="0" w:space="0" w:color="auto"/>
            </w:tcBorders>
            <w:vAlign w:val="center"/>
          </w:tcPr>
          <w:p w14:paraId="0B316AC7" w14:textId="03107462"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7373EF">
              <w:rPr>
                <w:rFonts w:ascii="Arial" w:hAnsi="Arial" w:cs="Arial"/>
                <w:bCs/>
                <w:color w:val="215868" w:themeColor="accent5" w:themeShade="80"/>
                <w:sz w:val="18"/>
                <w:szCs w:val="18"/>
              </w:rPr>
              <w:t>4.1</w:t>
            </w:r>
            <w:r>
              <w:rPr>
                <w:rFonts w:ascii="Arial" w:hAnsi="Arial" w:cs="Arial"/>
                <w:bCs/>
                <w:color w:val="215868" w:themeColor="accent5" w:themeShade="80"/>
                <w:sz w:val="18"/>
                <w:szCs w:val="18"/>
              </w:rPr>
              <w:t>B</w:t>
            </w:r>
          </w:p>
        </w:tc>
        <w:tc>
          <w:tcPr>
            <w:tcW w:w="850" w:type="dxa"/>
            <w:tcBorders>
              <w:left w:val="none" w:sz="0" w:space="0" w:color="auto"/>
              <w:right w:val="none" w:sz="0" w:space="0" w:color="auto"/>
            </w:tcBorders>
            <w:vAlign w:val="center"/>
          </w:tcPr>
          <w:p w14:paraId="22BC605C" w14:textId="39287C5D" w:rsidR="00FA74C5" w:rsidRPr="00EF524A" w:rsidRDefault="007373EF"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+4.2</w:t>
            </w:r>
            <w:r w:rsidR="00FA74C5" w:rsidRPr="00EF524A">
              <w:rPr>
                <w:rFonts w:ascii="Arial" w:hAnsi="Arial" w:cs="Arial"/>
                <w:bCs/>
                <w:color w:val="215868" w:themeColor="accent5" w:themeShade="80"/>
                <w:sz w:val="18"/>
                <w:szCs w:val="18"/>
              </w:rPr>
              <w:t>%</w:t>
            </w:r>
          </w:p>
        </w:tc>
        <w:tc>
          <w:tcPr>
            <w:tcW w:w="850" w:type="dxa"/>
            <w:tcBorders>
              <w:left w:val="none" w:sz="0" w:space="0" w:color="auto"/>
              <w:right w:val="none" w:sz="0" w:space="0" w:color="auto"/>
            </w:tcBorders>
            <w:vAlign w:val="center"/>
          </w:tcPr>
          <w:p w14:paraId="2FC95C73" w14:textId="130B2EBB"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7373EF">
              <w:rPr>
                <w:rFonts w:ascii="Arial" w:hAnsi="Arial" w:cs="Arial"/>
                <w:bCs/>
                <w:color w:val="215868" w:themeColor="accent5" w:themeShade="80"/>
                <w:sz w:val="18"/>
                <w:szCs w:val="18"/>
              </w:rPr>
              <w:t>18.9</w:t>
            </w:r>
            <w:r w:rsidRPr="00EF524A">
              <w:rPr>
                <w:rFonts w:ascii="Arial" w:hAnsi="Arial" w:cs="Arial"/>
                <w:bCs/>
                <w:color w:val="215868" w:themeColor="accent5" w:themeShade="80"/>
                <w:sz w:val="18"/>
                <w:szCs w:val="18"/>
              </w:rPr>
              <w:t>%</w:t>
            </w:r>
          </w:p>
        </w:tc>
      </w:tr>
      <w:tr w:rsidR="00FA74C5" w:rsidRPr="00E43E81" w14:paraId="3476271B" w14:textId="77777777" w:rsidTr="007373EF">
        <w:trPr>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3C77D01E" w14:textId="77777777" w:rsidR="00FA74C5" w:rsidRPr="00E43E81" w:rsidRDefault="00FA74C5" w:rsidP="00FA74C5">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lastRenderedPageBreak/>
              <w:t xml:space="preserve">   Volume</w:t>
            </w:r>
          </w:p>
        </w:tc>
        <w:tc>
          <w:tcPr>
            <w:tcW w:w="850" w:type="dxa"/>
            <w:gridSpan w:val="2"/>
            <w:vAlign w:val="center"/>
          </w:tcPr>
          <w:p w14:paraId="5B77DAE0" w14:textId="4B2A03E1" w:rsidR="00FA74C5" w:rsidRPr="00EF524A"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r w:rsidRPr="00EF524A">
              <w:rPr>
                <w:rFonts w:ascii="Arial" w:hAnsi="Arial" w:cs="Arial"/>
                <w:color w:val="215868"/>
                <w:sz w:val="18"/>
                <w:szCs w:val="18"/>
              </w:rPr>
              <w:t>%</w:t>
            </w:r>
          </w:p>
        </w:tc>
        <w:tc>
          <w:tcPr>
            <w:tcW w:w="850" w:type="dxa"/>
            <w:vAlign w:val="center"/>
          </w:tcPr>
          <w:p w14:paraId="2014A442" w14:textId="08B1A478"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+8.8%</w:t>
            </w:r>
          </w:p>
        </w:tc>
        <w:tc>
          <w:tcPr>
            <w:tcW w:w="850" w:type="dxa"/>
            <w:vAlign w:val="center"/>
          </w:tcPr>
          <w:p w14:paraId="52EE4C7F" w14:textId="31CCBE58"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-0.5%</w:t>
            </w:r>
          </w:p>
        </w:tc>
        <w:tc>
          <w:tcPr>
            <w:tcW w:w="850" w:type="dxa"/>
            <w:vAlign w:val="center"/>
          </w:tcPr>
          <w:p w14:paraId="1AF979C8" w14:textId="3295E934"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850" w:type="dxa"/>
            <w:vAlign w:val="center"/>
          </w:tcPr>
          <w:p w14:paraId="6FC1B8BB" w14:textId="0D832A70"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p>
        </w:tc>
        <w:tc>
          <w:tcPr>
            <w:tcW w:w="850" w:type="dxa"/>
            <w:vAlign w:val="center"/>
          </w:tcPr>
          <w:p w14:paraId="75D8DE48" w14:textId="3904B9C4"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p>
        </w:tc>
        <w:tc>
          <w:tcPr>
            <w:tcW w:w="850" w:type="dxa"/>
            <w:vAlign w:val="center"/>
          </w:tcPr>
          <w:p w14:paraId="1BD47635" w14:textId="083E156A"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-3.7</w:t>
            </w:r>
            <w:r w:rsidRPr="00E43E81">
              <w:rPr>
                <w:rFonts w:ascii="Arial" w:hAnsi="Arial" w:cs="Arial"/>
                <w:color w:val="215868" w:themeColor="accent5" w:themeShade="80"/>
                <w:sz w:val="18"/>
                <w:szCs w:val="18"/>
              </w:rPr>
              <w:t>%</w:t>
            </w:r>
          </w:p>
        </w:tc>
        <w:tc>
          <w:tcPr>
            <w:tcW w:w="850" w:type="dxa"/>
            <w:vAlign w:val="center"/>
          </w:tcPr>
          <w:p w14:paraId="14C8E331" w14:textId="2811330F"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E13EA">
              <w:rPr>
                <w:rFonts w:ascii="Arial" w:hAnsi="Arial" w:cs="Arial"/>
                <w:color w:val="215868" w:themeColor="accent5" w:themeShade="80"/>
                <w:sz w:val="18"/>
                <w:szCs w:val="18"/>
              </w:rPr>
              <w:t>4.8</w:t>
            </w:r>
            <w:r w:rsidRPr="00E43E81">
              <w:rPr>
                <w:rFonts w:ascii="Arial" w:hAnsi="Arial" w:cs="Arial"/>
                <w:color w:val="215868" w:themeColor="accent5" w:themeShade="80"/>
                <w:sz w:val="18"/>
                <w:szCs w:val="18"/>
              </w:rPr>
              <w:t>%</w:t>
            </w:r>
          </w:p>
        </w:tc>
        <w:tc>
          <w:tcPr>
            <w:tcW w:w="850" w:type="dxa"/>
            <w:vAlign w:val="center"/>
          </w:tcPr>
          <w:p w14:paraId="24ED1C4B" w14:textId="385E6080" w:rsidR="00FA74C5" w:rsidRDefault="007373EF"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2.7</w:t>
            </w:r>
            <w:r w:rsidR="00FA74C5">
              <w:rPr>
                <w:rFonts w:ascii="Arial" w:hAnsi="Arial" w:cs="Arial"/>
                <w:color w:val="215868" w:themeColor="accent5" w:themeShade="80"/>
                <w:sz w:val="18"/>
                <w:szCs w:val="18"/>
              </w:rPr>
              <w:t>B</w:t>
            </w:r>
          </w:p>
        </w:tc>
        <w:tc>
          <w:tcPr>
            <w:tcW w:w="850" w:type="dxa"/>
            <w:vAlign w:val="center"/>
          </w:tcPr>
          <w:p w14:paraId="40C78115" w14:textId="289CBD99" w:rsidR="00FA74C5" w:rsidRPr="00E43E81"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7373EF">
              <w:rPr>
                <w:rFonts w:ascii="Arial" w:hAnsi="Arial" w:cs="Arial"/>
                <w:bCs/>
                <w:color w:val="215868" w:themeColor="accent5" w:themeShade="80"/>
                <w:sz w:val="18"/>
                <w:szCs w:val="18"/>
              </w:rPr>
              <w:t>5.1</w:t>
            </w:r>
            <w:r w:rsidRPr="00EF524A">
              <w:rPr>
                <w:rFonts w:ascii="Arial" w:hAnsi="Arial" w:cs="Arial"/>
                <w:bCs/>
                <w:color w:val="215868" w:themeColor="accent5" w:themeShade="80"/>
                <w:sz w:val="18"/>
                <w:szCs w:val="18"/>
              </w:rPr>
              <w:t>%</w:t>
            </w:r>
          </w:p>
        </w:tc>
        <w:tc>
          <w:tcPr>
            <w:tcW w:w="850" w:type="dxa"/>
            <w:vAlign w:val="center"/>
          </w:tcPr>
          <w:p w14:paraId="40AFD473" w14:textId="7B9A272A" w:rsidR="00FA74C5" w:rsidRPr="00E43E81" w:rsidRDefault="007373EF"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-0.3</w:t>
            </w:r>
            <w:r w:rsidR="00FA74C5" w:rsidRPr="00EF524A">
              <w:rPr>
                <w:rFonts w:ascii="Arial" w:hAnsi="Arial" w:cs="Arial"/>
                <w:bCs/>
                <w:color w:val="215868" w:themeColor="accent5" w:themeShade="80"/>
                <w:sz w:val="18"/>
                <w:szCs w:val="18"/>
              </w:rPr>
              <w:t>%</w:t>
            </w:r>
          </w:p>
        </w:tc>
      </w:tr>
      <w:tr w:rsidR="00FA74C5" w:rsidRPr="00E43E81" w14:paraId="086B8DCB" w14:textId="77777777" w:rsidTr="007373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81" w:type="dxa"/>
            <w:gridSpan w:val="2"/>
            <w:tcBorders>
              <w:left w:val="none" w:sz="0" w:space="0" w:color="auto"/>
              <w:right w:val="none" w:sz="0" w:space="0" w:color="auto"/>
            </w:tcBorders>
            <w:vAlign w:val="center"/>
          </w:tcPr>
          <w:p w14:paraId="33C6FCCB" w14:textId="77777777" w:rsidR="00FA74C5" w:rsidRPr="00E43E81" w:rsidRDefault="00FA74C5" w:rsidP="00FA74C5">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850" w:type="dxa"/>
            <w:gridSpan w:val="2"/>
            <w:tcBorders>
              <w:left w:val="none" w:sz="0" w:space="0" w:color="auto"/>
              <w:right w:val="none" w:sz="0" w:space="0" w:color="auto"/>
            </w:tcBorders>
            <w:vAlign w:val="center"/>
          </w:tcPr>
          <w:p w14:paraId="73DCC43F" w14:textId="77777777"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Borders>
              <w:left w:val="none" w:sz="0" w:space="0" w:color="auto"/>
              <w:right w:val="none" w:sz="0" w:space="0" w:color="auto"/>
            </w:tcBorders>
            <w:vAlign w:val="center"/>
          </w:tcPr>
          <w:p w14:paraId="7761902E" w14:textId="77777777"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Borders>
              <w:left w:val="none" w:sz="0" w:space="0" w:color="auto"/>
              <w:right w:val="none" w:sz="0" w:space="0" w:color="auto"/>
            </w:tcBorders>
            <w:vAlign w:val="center"/>
          </w:tcPr>
          <w:p w14:paraId="74E5391B" w14:textId="77777777"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Borders>
              <w:left w:val="none" w:sz="0" w:space="0" w:color="auto"/>
              <w:right w:val="none" w:sz="0" w:space="0" w:color="auto"/>
            </w:tcBorders>
            <w:vAlign w:val="center"/>
          </w:tcPr>
          <w:p w14:paraId="18CCBF84" w14:textId="77777777"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Borders>
              <w:left w:val="none" w:sz="0" w:space="0" w:color="auto"/>
              <w:right w:val="none" w:sz="0" w:space="0" w:color="auto"/>
            </w:tcBorders>
            <w:vAlign w:val="center"/>
          </w:tcPr>
          <w:p w14:paraId="01DBE46D" w14:textId="77777777"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0" w:type="dxa"/>
            <w:tcBorders>
              <w:left w:val="none" w:sz="0" w:space="0" w:color="auto"/>
              <w:right w:val="none" w:sz="0" w:space="0" w:color="auto"/>
            </w:tcBorders>
            <w:vAlign w:val="center"/>
          </w:tcPr>
          <w:p w14:paraId="6BD6E949" w14:textId="77777777"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2EC07E7F" w14:textId="77777777"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6CFBC54D" w14:textId="77777777"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7096CAC7" w14:textId="79C09AB3"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29C1AAF9" w14:textId="37631E86"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0" w:type="dxa"/>
            <w:tcBorders>
              <w:left w:val="none" w:sz="0" w:space="0" w:color="auto"/>
              <w:right w:val="none" w:sz="0" w:space="0" w:color="auto"/>
            </w:tcBorders>
            <w:vAlign w:val="center"/>
          </w:tcPr>
          <w:p w14:paraId="05C8EE53" w14:textId="77777777"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FA74C5" w:rsidRPr="00E43E81" w14:paraId="21073A7E" w14:textId="77777777" w:rsidTr="007373EF">
        <w:trPr>
          <w:trHeight w:val="140"/>
        </w:trPr>
        <w:tc>
          <w:tcPr>
            <w:cnfStyle w:val="001000000000" w:firstRow="0" w:lastRow="0" w:firstColumn="1" w:lastColumn="0" w:oddVBand="0" w:evenVBand="0" w:oddHBand="0" w:evenHBand="0" w:firstRowFirstColumn="0" w:firstRowLastColumn="0" w:lastRowFirstColumn="0" w:lastRowLastColumn="0"/>
            <w:tcW w:w="1281" w:type="dxa"/>
            <w:gridSpan w:val="2"/>
            <w:vAlign w:val="center"/>
          </w:tcPr>
          <w:p w14:paraId="212B5B99" w14:textId="77777777" w:rsidR="00FA74C5" w:rsidRPr="00E43E81" w:rsidRDefault="00FA74C5" w:rsidP="00FA74C5">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850" w:type="dxa"/>
            <w:gridSpan w:val="2"/>
            <w:vAlign w:val="center"/>
          </w:tcPr>
          <w:p w14:paraId="1765AE90" w14:textId="72591C81" w:rsidR="00FA74C5" w:rsidRPr="00EF524A"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Pr>
                <w:rFonts w:ascii="Arial" w:hAnsi="Arial" w:cs="Arial"/>
                <w:color w:val="215868"/>
                <w:sz w:val="18"/>
                <w:szCs w:val="18"/>
              </w:rPr>
              <w:t>3.9</w:t>
            </w:r>
            <w:r w:rsidRPr="00EF524A">
              <w:rPr>
                <w:rFonts w:ascii="Arial" w:hAnsi="Arial" w:cs="Arial"/>
                <w:color w:val="215868"/>
                <w:sz w:val="18"/>
                <w:szCs w:val="18"/>
              </w:rPr>
              <w:t>%</w:t>
            </w:r>
          </w:p>
        </w:tc>
        <w:tc>
          <w:tcPr>
            <w:tcW w:w="850" w:type="dxa"/>
            <w:vAlign w:val="center"/>
          </w:tcPr>
          <w:p w14:paraId="32E683B5" w14:textId="21A20A32"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850" w:type="dxa"/>
            <w:vAlign w:val="center"/>
          </w:tcPr>
          <w:p w14:paraId="505795D6" w14:textId="430CA0F4"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850" w:type="dxa"/>
            <w:vAlign w:val="center"/>
          </w:tcPr>
          <w:p w14:paraId="4B1C1FD6" w14:textId="16BEDA07"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-7.1%</w:t>
            </w:r>
          </w:p>
        </w:tc>
        <w:tc>
          <w:tcPr>
            <w:tcW w:w="850" w:type="dxa"/>
            <w:vAlign w:val="center"/>
          </w:tcPr>
          <w:p w14:paraId="10FE4091" w14:textId="07896E09"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-2.3%</w:t>
            </w:r>
          </w:p>
        </w:tc>
        <w:tc>
          <w:tcPr>
            <w:tcW w:w="850" w:type="dxa"/>
            <w:vAlign w:val="center"/>
          </w:tcPr>
          <w:p w14:paraId="04FFBCC4" w14:textId="7AC5FC90"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p>
        </w:tc>
        <w:tc>
          <w:tcPr>
            <w:tcW w:w="850" w:type="dxa"/>
            <w:vAlign w:val="center"/>
          </w:tcPr>
          <w:p w14:paraId="61F9669F" w14:textId="289A7C87"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-0.4</w:t>
            </w:r>
            <w:r w:rsidRPr="00E43E81">
              <w:rPr>
                <w:rFonts w:ascii="Arial" w:hAnsi="Arial" w:cs="Arial"/>
                <w:color w:val="215868" w:themeColor="accent5" w:themeShade="80"/>
                <w:sz w:val="18"/>
              </w:rPr>
              <w:t>%</w:t>
            </w:r>
          </w:p>
        </w:tc>
        <w:tc>
          <w:tcPr>
            <w:tcW w:w="850" w:type="dxa"/>
            <w:vAlign w:val="center"/>
          </w:tcPr>
          <w:p w14:paraId="046A612B" w14:textId="54BF3968" w:rsidR="00FA74C5" w:rsidRDefault="005E13EA"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themeColor="accent5" w:themeShade="80"/>
                <w:sz w:val="18"/>
              </w:rPr>
              <w:t>+2.9</w:t>
            </w:r>
            <w:r w:rsidR="00FA74C5" w:rsidRPr="00E43E81">
              <w:rPr>
                <w:rFonts w:ascii="Arial" w:hAnsi="Arial" w:cs="Arial"/>
                <w:color w:val="215868" w:themeColor="accent5" w:themeShade="80"/>
                <w:sz w:val="18"/>
              </w:rPr>
              <w:t>%</w:t>
            </w:r>
          </w:p>
        </w:tc>
        <w:tc>
          <w:tcPr>
            <w:tcW w:w="850" w:type="dxa"/>
            <w:vAlign w:val="center"/>
          </w:tcPr>
          <w:p w14:paraId="3FA0D484" w14:textId="0DE663F9" w:rsidR="00FA74C5"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7373EF">
              <w:rPr>
                <w:rFonts w:ascii="Arial" w:hAnsi="Arial" w:cs="Arial"/>
                <w:bCs/>
                <w:color w:val="215868" w:themeColor="accent5" w:themeShade="80"/>
                <w:sz w:val="18"/>
                <w:szCs w:val="18"/>
              </w:rPr>
              <w:t>3.5</w:t>
            </w:r>
            <w:r>
              <w:rPr>
                <w:rFonts w:ascii="Arial" w:hAnsi="Arial" w:cs="Arial"/>
                <w:bCs/>
                <w:color w:val="215868" w:themeColor="accent5" w:themeShade="80"/>
                <w:sz w:val="18"/>
                <w:szCs w:val="18"/>
              </w:rPr>
              <w:t>B</w:t>
            </w:r>
          </w:p>
        </w:tc>
        <w:tc>
          <w:tcPr>
            <w:tcW w:w="850" w:type="dxa"/>
            <w:vAlign w:val="center"/>
          </w:tcPr>
          <w:p w14:paraId="37E2BD2D" w14:textId="77405713" w:rsidR="00FA74C5" w:rsidRPr="00E43E81" w:rsidRDefault="00FA74C5"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F524A">
              <w:rPr>
                <w:rFonts w:ascii="Arial" w:hAnsi="Arial" w:cs="Arial"/>
                <w:bCs/>
                <w:color w:val="215868" w:themeColor="accent5" w:themeShade="80"/>
                <w:sz w:val="18"/>
                <w:szCs w:val="18"/>
              </w:rPr>
              <w:t>+</w:t>
            </w:r>
            <w:r w:rsidR="007373EF">
              <w:rPr>
                <w:rFonts w:ascii="Arial" w:hAnsi="Arial" w:cs="Arial"/>
                <w:bCs/>
                <w:color w:val="215868" w:themeColor="accent5" w:themeShade="80"/>
                <w:sz w:val="18"/>
                <w:szCs w:val="18"/>
              </w:rPr>
              <w:t>4.4</w:t>
            </w:r>
            <w:r w:rsidRPr="00EF524A">
              <w:rPr>
                <w:rFonts w:ascii="Arial" w:hAnsi="Arial" w:cs="Arial"/>
                <w:bCs/>
                <w:color w:val="215868" w:themeColor="accent5" w:themeShade="80"/>
                <w:sz w:val="18"/>
                <w:szCs w:val="18"/>
              </w:rPr>
              <w:t>%</w:t>
            </w:r>
          </w:p>
        </w:tc>
        <w:tc>
          <w:tcPr>
            <w:tcW w:w="850" w:type="dxa"/>
            <w:vAlign w:val="center"/>
          </w:tcPr>
          <w:p w14:paraId="108031E8" w14:textId="33755D75" w:rsidR="00FA74C5" w:rsidRPr="00E43E81" w:rsidRDefault="007373EF"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8342E9">
              <w:rPr>
                <w:rFonts w:ascii="Arial" w:hAnsi="Arial" w:cs="Arial"/>
                <w:bCs/>
                <w:color w:val="215868" w:themeColor="accent5" w:themeShade="80"/>
                <w:sz w:val="18"/>
                <w:szCs w:val="18"/>
              </w:rPr>
              <w:t>16.3</w:t>
            </w:r>
            <w:r w:rsidR="00FA74C5" w:rsidRPr="00EF524A">
              <w:rPr>
                <w:rFonts w:ascii="Arial" w:hAnsi="Arial" w:cs="Arial"/>
                <w:bCs/>
                <w:color w:val="215868" w:themeColor="accent5" w:themeShade="80"/>
                <w:sz w:val="18"/>
                <w:szCs w:val="18"/>
              </w:rPr>
              <w:t>%</w:t>
            </w:r>
          </w:p>
        </w:tc>
      </w:tr>
      <w:tr w:rsidR="00FA74C5" w:rsidRPr="00E43E81" w14:paraId="43A744ED" w14:textId="77777777" w:rsidTr="007373E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81" w:type="dxa"/>
            <w:gridSpan w:val="2"/>
            <w:tcBorders>
              <w:left w:val="none" w:sz="0" w:space="0" w:color="auto"/>
              <w:right w:val="none" w:sz="0" w:space="0" w:color="auto"/>
            </w:tcBorders>
            <w:vAlign w:val="center"/>
          </w:tcPr>
          <w:p w14:paraId="2D5BC9DE" w14:textId="77777777" w:rsidR="00FA74C5" w:rsidRPr="00E43E81" w:rsidRDefault="00FA74C5" w:rsidP="00FA74C5">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850" w:type="dxa"/>
            <w:gridSpan w:val="2"/>
            <w:tcBorders>
              <w:left w:val="none" w:sz="0" w:space="0" w:color="auto"/>
              <w:right w:val="none" w:sz="0" w:space="0" w:color="auto"/>
            </w:tcBorders>
            <w:vAlign w:val="center"/>
          </w:tcPr>
          <w:p w14:paraId="355C182D" w14:textId="3C9BCCA6" w:rsidR="00FA74C5" w:rsidRPr="00EF524A"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r w:rsidRPr="00EF524A">
              <w:rPr>
                <w:rFonts w:ascii="Arial" w:hAnsi="Arial" w:cs="Arial"/>
                <w:color w:val="215868"/>
                <w:sz w:val="18"/>
                <w:szCs w:val="18"/>
              </w:rPr>
              <w:t>%</w:t>
            </w:r>
          </w:p>
        </w:tc>
        <w:tc>
          <w:tcPr>
            <w:tcW w:w="850" w:type="dxa"/>
            <w:tcBorders>
              <w:left w:val="none" w:sz="0" w:space="0" w:color="auto"/>
              <w:right w:val="none" w:sz="0" w:space="0" w:color="auto"/>
            </w:tcBorders>
            <w:vAlign w:val="center"/>
          </w:tcPr>
          <w:p w14:paraId="2918379D" w14:textId="51CBC7BE"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+14.2%</w:t>
            </w:r>
          </w:p>
        </w:tc>
        <w:tc>
          <w:tcPr>
            <w:tcW w:w="850" w:type="dxa"/>
            <w:tcBorders>
              <w:left w:val="none" w:sz="0" w:space="0" w:color="auto"/>
              <w:right w:val="none" w:sz="0" w:space="0" w:color="auto"/>
            </w:tcBorders>
            <w:vAlign w:val="center"/>
          </w:tcPr>
          <w:p w14:paraId="211A3D88" w14:textId="2EC2143F"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+13.5%</w:t>
            </w:r>
          </w:p>
        </w:tc>
        <w:tc>
          <w:tcPr>
            <w:tcW w:w="850" w:type="dxa"/>
            <w:tcBorders>
              <w:left w:val="none" w:sz="0" w:space="0" w:color="auto"/>
              <w:right w:val="none" w:sz="0" w:space="0" w:color="auto"/>
            </w:tcBorders>
            <w:vAlign w:val="center"/>
          </w:tcPr>
          <w:p w14:paraId="06B7466D" w14:textId="6D80E197"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-11.7%</w:t>
            </w:r>
          </w:p>
        </w:tc>
        <w:tc>
          <w:tcPr>
            <w:tcW w:w="850" w:type="dxa"/>
            <w:tcBorders>
              <w:left w:val="none" w:sz="0" w:space="0" w:color="auto"/>
              <w:right w:val="none" w:sz="0" w:space="0" w:color="auto"/>
            </w:tcBorders>
            <w:vAlign w:val="center"/>
          </w:tcPr>
          <w:p w14:paraId="40158A08" w14:textId="77463885"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850" w:type="dxa"/>
            <w:tcBorders>
              <w:left w:val="none" w:sz="0" w:space="0" w:color="auto"/>
              <w:right w:val="none" w:sz="0" w:space="0" w:color="auto"/>
            </w:tcBorders>
            <w:vAlign w:val="center"/>
          </w:tcPr>
          <w:p w14:paraId="155D24DC" w14:textId="6F0E25FC"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-5.7%</w:t>
            </w:r>
          </w:p>
        </w:tc>
        <w:tc>
          <w:tcPr>
            <w:tcW w:w="850" w:type="dxa"/>
            <w:tcBorders>
              <w:left w:val="none" w:sz="0" w:space="0" w:color="auto"/>
              <w:right w:val="none" w:sz="0" w:space="0" w:color="auto"/>
            </w:tcBorders>
            <w:vAlign w:val="center"/>
          </w:tcPr>
          <w:p w14:paraId="315BB821" w14:textId="016F5A2B"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-6.0</w:t>
            </w:r>
            <w:r w:rsidRPr="00E43E81">
              <w:rPr>
                <w:rFonts w:ascii="Arial" w:hAnsi="Arial" w:cs="Arial"/>
                <w:color w:val="215868" w:themeColor="accent5" w:themeShade="80"/>
                <w:sz w:val="18"/>
              </w:rPr>
              <w:t>%</w:t>
            </w:r>
          </w:p>
        </w:tc>
        <w:tc>
          <w:tcPr>
            <w:tcW w:w="850" w:type="dxa"/>
            <w:tcBorders>
              <w:left w:val="none" w:sz="0" w:space="0" w:color="auto"/>
              <w:right w:val="none" w:sz="0" w:space="0" w:color="auto"/>
            </w:tcBorders>
            <w:vAlign w:val="center"/>
          </w:tcPr>
          <w:p w14:paraId="28025221" w14:textId="559A4216" w:rsidR="00FA74C5"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rPr>
              <w:t>-</w:t>
            </w:r>
            <w:r w:rsidR="005E13EA">
              <w:rPr>
                <w:rFonts w:ascii="Arial" w:hAnsi="Arial" w:cs="Arial"/>
                <w:color w:val="215868" w:themeColor="accent5" w:themeShade="80"/>
                <w:sz w:val="18"/>
              </w:rPr>
              <w:t>4.6</w:t>
            </w:r>
            <w:r w:rsidRPr="00E43E81">
              <w:rPr>
                <w:rFonts w:ascii="Arial" w:hAnsi="Arial" w:cs="Arial"/>
                <w:color w:val="215868" w:themeColor="accent5" w:themeShade="80"/>
                <w:sz w:val="18"/>
              </w:rPr>
              <w:t>%</w:t>
            </w:r>
          </w:p>
        </w:tc>
        <w:tc>
          <w:tcPr>
            <w:tcW w:w="850" w:type="dxa"/>
            <w:tcBorders>
              <w:left w:val="none" w:sz="0" w:space="0" w:color="auto"/>
              <w:right w:val="none" w:sz="0" w:space="0" w:color="auto"/>
            </w:tcBorders>
            <w:vAlign w:val="center"/>
          </w:tcPr>
          <w:p w14:paraId="286BF450" w14:textId="6E0E2F74" w:rsidR="00FA74C5" w:rsidRDefault="007373EF"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szCs w:val="18"/>
              </w:rPr>
              <w:t>1.8</w:t>
            </w:r>
            <w:r w:rsidR="00FA74C5">
              <w:rPr>
                <w:rFonts w:ascii="Arial" w:hAnsi="Arial" w:cs="Arial"/>
                <w:color w:val="215868" w:themeColor="accent5" w:themeShade="80"/>
                <w:sz w:val="18"/>
                <w:szCs w:val="18"/>
              </w:rPr>
              <w:t>B</w:t>
            </w:r>
          </w:p>
        </w:tc>
        <w:tc>
          <w:tcPr>
            <w:tcW w:w="850" w:type="dxa"/>
            <w:tcBorders>
              <w:left w:val="none" w:sz="0" w:space="0" w:color="auto"/>
              <w:right w:val="none" w:sz="0" w:space="0" w:color="auto"/>
            </w:tcBorders>
            <w:vAlign w:val="center"/>
          </w:tcPr>
          <w:p w14:paraId="26B3AA46" w14:textId="76A27713"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7373EF">
              <w:rPr>
                <w:rFonts w:ascii="Arial" w:hAnsi="Arial" w:cs="Arial"/>
                <w:bCs/>
                <w:color w:val="215868" w:themeColor="accent5" w:themeShade="80"/>
                <w:sz w:val="18"/>
                <w:szCs w:val="18"/>
              </w:rPr>
              <w:t>4.4</w:t>
            </w:r>
            <w:r w:rsidRPr="00EF524A">
              <w:rPr>
                <w:rFonts w:ascii="Arial" w:hAnsi="Arial" w:cs="Arial"/>
                <w:bCs/>
                <w:color w:val="215868" w:themeColor="accent5" w:themeShade="80"/>
                <w:sz w:val="18"/>
                <w:szCs w:val="18"/>
              </w:rPr>
              <w:t>%</w:t>
            </w:r>
          </w:p>
        </w:tc>
        <w:tc>
          <w:tcPr>
            <w:tcW w:w="850" w:type="dxa"/>
            <w:tcBorders>
              <w:left w:val="none" w:sz="0" w:space="0" w:color="auto"/>
              <w:right w:val="none" w:sz="0" w:space="0" w:color="auto"/>
            </w:tcBorders>
            <w:vAlign w:val="center"/>
          </w:tcPr>
          <w:p w14:paraId="55980290" w14:textId="03F18F50" w:rsidR="00FA74C5" w:rsidRPr="00E43E81" w:rsidRDefault="00FA74C5"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8342E9">
              <w:rPr>
                <w:rFonts w:ascii="Arial" w:hAnsi="Arial" w:cs="Arial"/>
                <w:bCs/>
                <w:color w:val="215868" w:themeColor="accent5" w:themeShade="80"/>
                <w:sz w:val="18"/>
                <w:szCs w:val="18"/>
              </w:rPr>
              <w:t>2.1</w:t>
            </w:r>
            <w:r w:rsidRPr="00EF524A">
              <w:rPr>
                <w:rFonts w:ascii="Arial" w:hAnsi="Arial" w:cs="Arial"/>
                <w:bCs/>
                <w:color w:val="215868" w:themeColor="accent5" w:themeShade="80"/>
                <w:sz w:val="18"/>
                <w:szCs w:val="18"/>
              </w:rPr>
              <w:t>%</w:t>
            </w:r>
          </w:p>
        </w:tc>
      </w:tr>
    </w:tbl>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07B2C15A"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581F51">
        <w:rPr>
          <w:rFonts w:ascii="Arial" w:hAnsi="Arial" w:cs="Arial"/>
          <w:b/>
          <w:color w:val="595959" w:themeColor="text1" w:themeTint="A6"/>
          <w:sz w:val="24"/>
          <w:szCs w:val="24"/>
        </w:rPr>
        <w:t>Ju</w:t>
      </w:r>
      <w:r w:rsidR="008342E9">
        <w:rPr>
          <w:rFonts w:ascii="Arial" w:hAnsi="Arial" w:cs="Arial"/>
          <w:b/>
          <w:color w:val="595959" w:themeColor="text1" w:themeTint="A6"/>
          <w:sz w:val="24"/>
          <w:szCs w:val="24"/>
        </w:rPr>
        <w:t>ly</w:t>
      </w:r>
    </w:p>
    <w:p w14:paraId="0A2BF398" w14:textId="28F34554" w:rsidR="00BB3051" w:rsidRDefault="00CB6454" w:rsidP="00CB6454">
      <w:pPr>
        <w:pStyle w:val="NoSpacing"/>
        <w:rPr>
          <w:rFonts w:ascii="Arial" w:hAnsi="Arial" w:cs="Arial"/>
          <w:sz w:val="20"/>
          <w:szCs w:val="20"/>
        </w:rPr>
      </w:pPr>
      <w:r>
        <w:rPr>
          <w:rFonts w:ascii="Arial" w:hAnsi="Arial" w:cs="Arial"/>
          <w:sz w:val="20"/>
          <w:szCs w:val="20"/>
        </w:rPr>
        <w:t>“</w:t>
      </w:r>
      <w:r w:rsidR="00211933">
        <w:rPr>
          <w:rFonts w:ascii="Arial" w:hAnsi="Arial" w:cs="Arial"/>
          <w:sz w:val="20"/>
          <w:szCs w:val="20"/>
        </w:rPr>
        <w:t>While berries were the biggest seller in July, the gap with the number two, melons, was by far not as big as we’ve seen</w:t>
      </w:r>
      <w:r w:rsidR="00BE4D67">
        <w:rPr>
          <w:rFonts w:ascii="Arial" w:hAnsi="Arial" w:cs="Arial"/>
          <w:sz w:val="20"/>
          <w:szCs w:val="20"/>
        </w:rPr>
        <w:t xml:space="preserve">,” Parker said. </w:t>
      </w:r>
      <w:r w:rsidRPr="00B35CE9">
        <w:rPr>
          <w:rFonts w:ascii="Arial" w:hAnsi="Arial" w:cs="Arial"/>
          <w:sz w:val="20"/>
          <w:szCs w:val="20"/>
        </w:rPr>
        <w:t>“</w:t>
      </w:r>
      <w:r w:rsidR="00C06A0B">
        <w:rPr>
          <w:rFonts w:ascii="Arial" w:hAnsi="Arial" w:cs="Arial"/>
          <w:sz w:val="20"/>
          <w:szCs w:val="20"/>
        </w:rPr>
        <w:t xml:space="preserve">In part this has to do with below-average inflation, but we also saw cherries come on strong and mixed fruit moving back in the top 10 sellers due to the Fourth of July sales spike. </w:t>
      </w:r>
      <w:r w:rsidR="002839FE">
        <w:rPr>
          <w:rFonts w:ascii="Arial" w:hAnsi="Arial" w:cs="Arial"/>
          <w:sz w:val="20"/>
          <w:szCs w:val="20"/>
        </w:rPr>
        <w:t>Volume sales were a mix with increases for</w:t>
      </w:r>
      <w:r w:rsidR="00C06A0B">
        <w:rPr>
          <w:rFonts w:ascii="Arial" w:hAnsi="Arial" w:cs="Arial"/>
          <w:sz w:val="20"/>
          <w:szCs w:val="20"/>
        </w:rPr>
        <w:t xml:space="preserve"> berries and pineapples</w:t>
      </w:r>
      <w:r w:rsidR="002839FE">
        <w:rPr>
          <w:rFonts w:ascii="Arial" w:hAnsi="Arial" w:cs="Arial"/>
          <w:sz w:val="20"/>
          <w:szCs w:val="20"/>
        </w:rPr>
        <w:t xml:space="preserve"> </w:t>
      </w:r>
      <w:r w:rsidR="009B4A81">
        <w:rPr>
          <w:rFonts w:ascii="Arial" w:hAnsi="Arial" w:cs="Arial"/>
          <w:sz w:val="20"/>
          <w:szCs w:val="20"/>
        </w:rPr>
        <w:t>but down results for all other top 10 sellers</w:t>
      </w:r>
      <w:r w:rsidR="00F33BE2">
        <w:rPr>
          <w:rFonts w:ascii="Arial" w:hAnsi="Arial" w:cs="Arial"/>
          <w:sz w:val="20"/>
          <w:szCs w:val="20"/>
        </w:rPr>
        <w:t>.</w:t>
      </w:r>
      <w:r w:rsidR="00365D81">
        <w:rPr>
          <w:rFonts w:ascii="Arial" w:hAnsi="Arial" w:cs="Arial"/>
          <w:sz w:val="20"/>
          <w:szCs w:val="20"/>
        </w:rPr>
        <w:t>”</w:t>
      </w:r>
      <w:r w:rsidR="00BB3051">
        <w:rPr>
          <w:rFonts w:ascii="Arial" w:hAnsi="Arial" w:cs="Arial"/>
          <w:sz w:val="20"/>
          <w:szCs w:val="20"/>
        </w:rPr>
        <w:t xml:space="preserve"> </w:t>
      </w:r>
    </w:p>
    <w:p w14:paraId="114F402F" w14:textId="77777777" w:rsidR="005E2F61" w:rsidRDefault="005E2F61" w:rsidP="00CB6454">
      <w:pPr>
        <w:pStyle w:val="NoSpacing"/>
        <w:rPr>
          <w:rFonts w:ascii="Arial" w:hAnsi="Arial" w:cs="Arial"/>
          <w:sz w:val="20"/>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170"/>
        <w:gridCol w:w="175"/>
        <w:gridCol w:w="722"/>
        <w:gridCol w:w="123"/>
        <w:gridCol w:w="728"/>
        <w:gridCol w:w="116"/>
        <w:gridCol w:w="733"/>
        <w:gridCol w:w="112"/>
        <w:gridCol w:w="844"/>
        <w:gridCol w:w="844"/>
        <w:gridCol w:w="844"/>
        <w:gridCol w:w="844"/>
        <w:gridCol w:w="844"/>
        <w:gridCol w:w="844"/>
        <w:gridCol w:w="844"/>
        <w:gridCol w:w="844"/>
      </w:tblGrid>
      <w:tr w:rsidR="00DD2F0B" w:rsidRPr="0003007F" w14:paraId="3DFD75C2" w14:textId="77777777" w:rsidTr="007373E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67" w:type="dxa"/>
            <w:gridSpan w:val="3"/>
            <w:tcBorders>
              <w:top w:val="none" w:sz="0" w:space="0" w:color="auto"/>
              <w:left w:val="none" w:sz="0" w:space="0" w:color="auto"/>
              <w:bottom w:val="none" w:sz="0" w:space="0" w:color="auto"/>
              <w:right w:val="none" w:sz="0" w:space="0" w:color="auto"/>
            </w:tcBorders>
            <w:shd w:val="clear" w:color="auto" w:fill="17365D" w:themeFill="text2" w:themeFillShade="BF"/>
          </w:tcPr>
          <w:p w14:paraId="285E05F8" w14:textId="77777777" w:rsidR="00DD2F0B" w:rsidRPr="00AB1306" w:rsidRDefault="00DD2F0B"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5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68BD2C0" w14:textId="77777777" w:rsidR="00DD2F0B" w:rsidRPr="00AB1306" w:rsidRDefault="00DD2F0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49"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112830F6" w14:textId="77777777" w:rsidR="00DD2F0B" w:rsidRPr="00AB1306" w:rsidRDefault="00DD2F0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864" w:type="dxa"/>
            <w:gridSpan w:val="9"/>
            <w:tcBorders>
              <w:top w:val="none" w:sz="0" w:space="0" w:color="auto"/>
              <w:left w:val="none" w:sz="0" w:space="0" w:color="auto"/>
              <w:bottom w:val="none" w:sz="0" w:space="0" w:color="auto"/>
              <w:right w:val="none" w:sz="0" w:space="0" w:color="auto"/>
            </w:tcBorders>
            <w:shd w:val="clear" w:color="auto" w:fill="17365D" w:themeFill="text2" w:themeFillShade="BF"/>
          </w:tcPr>
          <w:p w14:paraId="3A17CC18" w14:textId="5B637263" w:rsidR="00DD2F0B" w:rsidRPr="0003007F" w:rsidRDefault="00DD2F0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DD2F0B" w:rsidRPr="0003007F" w14:paraId="74BF3700" w14:textId="77777777" w:rsidTr="007373E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345" w:type="dxa"/>
            <w:gridSpan w:val="2"/>
            <w:tcBorders>
              <w:left w:val="none" w:sz="0" w:space="0" w:color="auto"/>
              <w:right w:val="none" w:sz="0" w:space="0" w:color="auto"/>
            </w:tcBorders>
            <w:shd w:val="clear" w:color="auto" w:fill="17365D" w:themeFill="text2" w:themeFillShade="BF"/>
          </w:tcPr>
          <w:p w14:paraId="3F9B606E" w14:textId="77777777" w:rsidR="00DD2F0B" w:rsidRPr="000F7932" w:rsidRDefault="00DD2F0B" w:rsidP="00F103B9">
            <w:pPr>
              <w:pStyle w:val="NoSpacing"/>
              <w:rPr>
                <w:rFonts w:ascii="Arial" w:hAnsi="Arial" w:cs="Arial"/>
                <w:color w:val="FFFFFF" w:themeColor="background1"/>
                <w:sz w:val="18"/>
                <w:szCs w:val="18"/>
              </w:rPr>
            </w:pPr>
          </w:p>
        </w:tc>
        <w:tc>
          <w:tcPr>
            <w:tcW w:w="845" w:type="dxa"/>
            <w:gridSpan w:val="2"/>
            <w:tcBorders>
              <w:left w:val="none" w:sz="0" w:space="0" w:color="auto"/>
              <w:right w:val="none" w:sz="0" w:space="0" w:color="auto"/>
            </w:tcBorders>
            <w:shd w:val="clear" w:color="auto" w:fill="17365D" w:themeFill="text2" w:themeFillShade="BF"/>
            <w:vAlign w:val="center"/>
          </w:tcPr>
          <w:p w14:paraId="46CF2457" w14:textId="77777777" w:rsidR="00DD2F0B" w:rsidRPr="000F7932"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44" w:type="dxa"/>
            <w:gridSpan w:val="2"/>
            <w:tcBorders>
              <w:left w:val="none" w:sz="0" w:space="0" w:color="auto"/>
              <w:right w:val="none" w:sz="0" w:space="0" w:color="auto"/>
            </w:tcBorders>
            <w:shd w:val="clear" w:color="auto" w:fill="17365D" w:themeFill="text2" w:themeFillShade="BF"/>
            <w:vAlign w:val="center"/>
          </w:tcPr>
          <w:p w14:paraId="13B20948" w14:textId="77777777" w:rsidR="00DD2F0B" w:rsidRPr="000F7932"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845" w:type="dxa"/>
            <w:gridSpan w:val="2"/>
            <w:tcBorders>
              <w:left w:val="none" w:sz="0" w:space="0" w:color="auto"/>
              <w:right w:val="none" w:sz="0" w:space="0" w:color="auto"/>
            </w:tcBorders>
            <w:shd w:val="clear" w:color="auto" w:fill="17365D" w:themeFill="text2" w:themeFillShade="BF"/>
            <w:vAlign w:val="center"/>
          </w:tcPr>
          <w:p w14:paraId="301AC34F" w14:textId="08B3D72B" w:rsidR="00DD2F0B" w:rsidRPr="000F7932"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844" w:type="dxa"/>
            <w:tcBorders>
              <w:left w:val="none" w:sz="0" w:space="0" w:color="auto"/>
              <w:right w:val="none" w:sz="0" w:space="0" w:color="auto"/>
            </w:tcBorders>
            <w:shd w:val="clear" w:color="auto" w:fill="17365D" w:themeFill="text2" w:themeFillShade="BF"/>
            <w:vAlign w:val="center"/>
          </w:tcPr>
          <w:p w14:paraId="0DC3715D" w14:textId="76524617" w:rsidR="00DD2F0B" w:rsidRPr="000F7932"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844" w:type="dxa"/>
            <w:tcBorders>
              <w:left w:val="none" w:sz="0" w:space="0" w:color="auto"/>
              <w:right w:val="none" w:sz="0" w:space="0" w:color="auto"/>
            </w:tcBorders>
            <w:shd w:val="clear" w:color="auto" w:fill="17365D" w:themeFill="text2" w:themeFillShade="BF"/>
            <w:vAlign w:val="center"/>
          </w:tcPr>
          <w:p w14:paraId="1DE0B116" w14:textId="4D57C668" w:rsidR="00DD2F0B"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44" w:type="dxa"/>
            <w:tcBorders>
              <w:left w:val="none" w:sz="0" w:space="0" w:color="auto"/>
              <w:right w:val="none" w:sz="0" w:space="0" w:color="auto"/>
            </w:tcBorders>
            <w:shd w:val="clear" w:color="auto" w:fill="17365D" w:themeFill="text2" w:themeFillShade="BF"/>
            <w:vAlign w:val="center"/>
          </w:tcPr>
          <w:p w14:paraId="4FF66A97" w14:textId="27B4D369" w:rsidR="00DD2F0B"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44" w:type="dxa"/>
            <w:tcBorders>
              <w:left w:val="none" w:sz="0" w:space="0" w:color="auto"/>
              <w:right w:val="none" w:sz="0" w:space="0" w:color="auto"/>
            </w:tcBorders>
            <w:shd w:val="clear" w:color="auto" w:fill="17365D" w:themeFill="text2" w:themeFillShade="BF"/>
            <w:vAlign w:val="center"/>
          </w:tcPr>
          <w:p w14:paraId="049C0CDE" w14:textId="77777777" w:rsidR="00DD2F0B"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147A02D7" w14:textId="5F1F3125" w:rsidR="00DD2F0B"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44" w:type="dxa"/>
            <w:tcBorders>
              <w:left w:val="none" w:sz="0" w:space="0" w:color="auto"/>
              <w:right w:val="none" w:sz="0" w:space="0" w:color="auto"/>
            </w:tcBorders>
            <w:shd w:val="clear" w:color="auto" w:fill="17365D" w:themeFill="text2" w:themeFillShade="BF"/>
            <w:vAlign w:val="center"/>
          </w:tcPr>
          <w:p w14:paraId="4B0DB5D5" w14:textId="4BC3FEB8" w:rsidR="00DD2F0B"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44" w:type="dxa"/>
            <w:tcBorders>
              <w:left w:val="none" w:sz="0" w:space="0" w:color="auto"/>
              <w:right w:val="none" w:sz="0" w:space="0" w:color="auto"/>
            </w:tcBorders>
            <w:shd w:val="clear" w:color="auto" w:fill="17365D" w:themeFill="text2" w:themeFillShade="BF"/>
            <w:vAlign w:val="center"/>
          </w:tcPr>
          <w:p w14:paraId="3B63F547" w14:textId="17B2865B" w:rsidR="00DD2F0B" w:rsidRPr="000F7932" w:rsidRDefault="00951B01"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Jul</w:t>
            </w:r>
            <w:r w:rsidR="00DD2F0B">
              <w:rPr>
                <w:rFonts w:ascii="Arial" w:hAnsi="Arial" w:cs="Arial"/>
                <w:b/>
                <w:color w:val="FFFFFF" w:themeColor="background1"/>
                <w:sz w:val="18"/>
                <w:szCs w:val="18"/>
              </w:rPr>
              <w:t xml:space="preserve"> 22</w:t>
            </w:r>
          </w:p>
        </w:tc>
        <w:tc>
          <w:tcPr>
            <w:tcW w:w="844" w:type="dxa"/>
            <w:tcBorders>
              <w:left w:val="none" w:sz="0" w:space="0" w:color="auto"/>
              <w:right w:val="none" w:sz="0" w:space="0" w:color="auto"/>
            </w:tcBorders>
            <w:shd w:val="clear" w:color="auto" w:fill="17365D" w:themeFill="text2" w:themeFillShade="BF"/>
            <w:vAlign w:val="center"/>
          </w:tcPr>
          <w:p w14:paraId="04C57725" w14:textId="5C847B3A" w:rsidR="00DD2F0B" w:rsidRPr="000F7932"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844" w:type="dxa"/>
            <w:tcBorders>
              <w:left w:val="none" w:sz="0" w:space="0" w:color="auto"/>
              <w:right w:val="none" w:sz="0" w:space="0" w:color="auto"/>
            </w:tcBorders>
            <w:shd w:val="clear" w:color="auto" w:fill="17365D" w:themeFill="text2" w:themeFillShade="BF"/>
            <w:vAlign w:val="center"/>
          </w:tcPr>
          <w:p w14:paraId="26786B75" w14:textId="46025FBA" w:rsidR="00DD2F0B" w:rsidRPr="000F7932" w:rsidRDefault="00DD2F0B" w:rsidP="007373EF">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lbs vs YA</w:t>
            </w:r>
          </w:p>
        </w:tc>
      </w:tr>
      <w:tr w:rsidR="00DD2F0B" w:rsidRPr="00091E61" w14:paraId="0CA2F74A" w14:textId="77777777" w:rsidTr="007373EF">
        <w:trPr>
          <w:trHeight w:val="298"/>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6ADF07C" w14:textId="77777777" w:rsidR="00DD2F0B" w:rsidRPr="00091E61" w:rsidRDefault="00DD2F0B" w:rsidP="00DD2F0B">
            <w:pPr>
              <w:pStyle w:val="NoSpacing"/>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1020" w:type="dxa"/>
            <w:gridSpan w:val="3"/>
            <w:vAlign w:val="center"/>
          </w:tcPr>
          <w:p w14:paraId="39EFBE0F" w14:textId="79A27A34"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844" w:type="dxa"/>
            <w:gridSpan w:val="2"/>
            <w:vAlign w:val="center"/>
          </w:tcPr>
          <w:p w14:paraId="3D5B0656" w14:textId="639FCB0F"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+8.7</w:t>
            </w:r>
            <w:r w:rsidRPr="00091E61">
              <w:rPr>
                <w:rFonts w:ascii="Arial" w:hAnsi="Arial" w:cs="Arial"/>
                <w:b/>
                <w:bCs/>
                <w:color w:val="17365D" w:themeColor="text2" w:themeShade="BF"/>
                <w:sz w:val="18"/>
                <w:szCs w:val="18"/>
              </w:rPr>
              <w:t>%</w:t>
            </w:r>
          </w:p>
        </w:tc>
        <w:tc>
          <w:tcPr>
            <w:tcW w:w="845" w:type="dxa"/>
            <w:gridSpan w:val="2"/>
            <w:vAlign w:val="center"/>
          </w:tcPr>
          <w:p w14:paraId="680EF69E" w14:textId="6178A30E"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+5.1</w:t>
            </w:r>
            <w:r w:rsidRPr="00091E61">
              <w:rPr>
                <w:rFonts w:ascii="Arial" w:hAnsi="Arial" w:cs="Arial"/>
                <w:b/>
                <w:bCs/>
                <w:color w:val="17365D" w:themeColor="text2" w:themeShade="BF"/>
                <w:sz w:val="18"/>
                <w:szCs w:val="18"/>
              </w:rPr>
              <w:t>%</w:t>
            </w:r>
          </w:p>
        </w:tc>
        <w:tc>
          <w:tcPr>
            <w:tcW w:w="844" w:type="dxa"/>
            <w:vAlign w:val="center"/>
          </w:tcPr>
          <w:p w14:paraId="21180263" w14:textId="2CD779D7"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+4.5</w:t>
            </w:r>
            <w:r w:rsidRPr="00091E61">
              <w:rPr>
                <w:rFonts w:ascii="Arial" w:hAnsi="Arial" w:cs="Arial"/>
                <w:b/>
                <w:bCs/>
                <w:color w:val="17365D" w:themeColor="text2" w:themeShade="BF"/>
                <w:sz w:val="18"/>
                <w:szCs w:val="18"/>
              </w:rPr>
              <w:t>%</w:t>
            </w:r>
          </w:p>
        </w:tc>
        <w:tc>
          <w:tcPr>
            <w:tcW w:w="844" w:type="dxa"/>
            <w:vAlign w:val="center"/>
          </w:tcPr>
          <w:p w14:paraId="31205487" w14:textId="3715B793"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r>
              <w:rPr>
                <w:rFonts w:ascii="Arial" w:hAnsi="Arial" w:cs="Arial"/>
                <w:b/>
                <w:bCs/>
                <w:color w:val="17365D" w:themeColor="text2" w:themeShade="BF"/>
                <w:sz w:val="18"/>
                <w:szCs w:val="18"/>
              </w:rPr>
              <w:t>.2</w:t>
            </w:r>
            <w:r w:rsidRPr="00091E61">
              <w:rPr>
                <w:rFonts w:ascii="Arial" w:hAnsi="Arial" w:cs="Arial"/>
                <w:b/>
                <w:bCs/>
                <w:color w:val="17365D" w:themeColor="text2" w:themeShade="BF"/>
                <w:sz w:val="18"/>
                <w:szCs w:val="18"/>
              </w:rPr>
              <w:t>%</w:t>
            </w:r>
          </w:p>
        </w:tc>
        <w:tc>
          <w:tcPr>
            <w:tcW w:w="844" w:type="dxa"/>
            <w:vAlign w:val="center"/>
          </w:tcPr>
          <w:p w14:paraId="40577A3D" w14:textId="764C7CD0"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+10.</w:t>
            </w:r>
            <w:r>
              <w:rPr>
                <w:rFonts w:ascii="Arial" w:hAnsi="Arial" w:cs="Arial"/>
                <w:b/>
                <w:bCs/>
                <w:color w:val="17365D" w:themeColor="text2" w:themeShade="BF"/>
                <w:sz w:val="18"/>
                <w:szCs w:val="18"/>
              </w:rPr>
              <w:t>9</w:t>
            </w:r>
            <w:r w:rsidRPr="00091E61">
              <w:rPr>
                <w:rFonts w:ascii="Arial" w:hAnsi="Arial" w:cs="Arial"/>
                <w:b/>
                <w:bCs/>
                <w:color w:val="17365D" w:themeColor="text2" w:themeShade="BF"/>
                <w:sz w:val="18"/>
                <w:szCs w:val="18"/>
              </w:rPr>
              <w:t>%</w:t>
            </w:r>
          </w:p>
        </w:tc>
        <w:tc>
          <w:tcPr>
            <w:tcW w:w="844" w:type="dxa"/>
            <w:vAlign w:val="center"/>
          </w:tcPr>
          <w:p w14:paraId="4976E3FE" w14:textId="590242C0"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Pr>
                <w:rFonts w:ascii="Arial" w:hAnsi="Arial" w:cs="Arial"/>
                <w:b/>
                <w:bCs/>
                <w:color w:val="17365D" w:themeColor="text2" w:themeShade="BF"/>
                <w:sz w:val="18"/>
                <w:szCs w:val="18"/>
              </w:rPr>
              <w:t>10.2</w:t>
            </w:r>
            <w:r w:rsidRPr="00091E61">
              <w:rPr>
                <w:rFonts w:ascii="Arial" w:hAnsi="Arial" w:cs="Arial"/>
                <w:b/>
                <w:bCs/>
                <w:color w:val="17365D" w:themeColor="text2" w:themeShade="BF"/>
                <w:sz w:val="18"/>
                <w:szCs w:val="18"/>
              </w:rPr>
              <w:t>%</w:t>
            </w:r>
          </w:p>
        </w:tc>
        <w:tc>
          <w:tcPr>
            <w:tcW w:w="844" w:type="dxa"/>
            <w:vAlign w:val="center"/>
          </w:tcPr>
          <w:p w14:paraId="355736E6" w14:textId="523F53A0" w:rsidR="00DD2F0B"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5E13EA">
              <w:rPr>
                <w:rFonts w:ascii="Arial" w:hAnsi="Arial" w:cs="Arial"/>
                <w:b/>
                <w:bCs/>
                <w:color w:val="17365D" w:themeColor="text2" w:themeShade="BF"/>
                <w:sz w:val="18"/>
                <w:szCs w:val="18"/>
              </w:rPr>
              <w:t>4.2</w:t>
            </w:r>
            <w:r w:rsidRPr="00091E61">
              <w:rPr>
                <w:rFonts w:ascii="Arial" w:hAnsi="Arial" w:cs="Arial"/>
                <w:b/>
                <w:bCs/>
                <w:color w:val="17365D" w:themeColor="text2" w:themeShade="BF"/>
                <w:sz w:val="18"/>
                <w:szCs w:val="18"/>
              </w:rPr>
              <w:t>%</w:t>
            </w:r>
          </w:p>
        </w:tc>
        <w:tc>
          <w:tcPr>
            <w:tcW w:w="844" w:type="dxa"/>
            <w:vAlign w:val="center"/>
          </w:tcPr>
          <w:p w14:paraId="76F93CAA" w14:textId="7BAB57CE"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C06A0B">
              <w:rPr>
                <w:rFonts w:ascii="Arial" w:hAnsi="Arial" w:cs="Arial"/>
                <w:b/>
                <w:bCs/>
                <w:color w:val="17365D" w:themeColor="text2" w:themeShade="BF"/>
                <w:sz w:val="18"/>
                <w:szCs w:val="18"/>
              </w:rPr>
              <w:t>4.1</w:t>
            </w:r>
            <w:r w:rsidRPr="00091E61">
              <w:rPr>
                <w:rFonts w:ascii="Arial" w:hAnsi="Arial" w:cs="Arial"/>
                <w:b/>
                <w:bCs/>
                <w:color w:val="17365D" w:themeColor="text2" w:themeShade="BF"/>
                <w:sz w:val="18"/>
                <w:szCs w:val="18"/>
              </w:rPr>
              <w:t>B</w:t>
            </w:r>
          </w:p>
        </w:tc>
        <w:tc>
          <w:tcPr>
            <w:tcW w:w="844" w:type="dxa"/>
            <w:vAlign w:val="center"/>
          </w:tcPr>
          <w:p w14:paraId="52994309" w14:textId="36515290" w:rsidR="00DD2F0B" w:rsidRPr="00A052A1"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18"/>
                <w:szCs w:val="18"/>
              </w:rPr>
            </w:pPr>
            <w:r>
              <w:rPr>
                <w:rFonts w:ascii="Arial" w:hAnsi="Arial" w:cs="Arial"/>
                <w:b/>
                <w:color w:val="17365D" w:themeColor="text2" w:themeShade="BF"/>
                <w:sz w:val="18"/>
                <w:szCs w:val="18"/>
              </w:rPr>
              <w:t>+4.2</w:t>
            </w:r>
            <w:r w:rsidR="00DD2F0B" w:rsidRPr="00A052A1">
              <w:rPr>
                <w:rFonts w:ascii="Arial" w:hAnsi="Arial" w:cs="Arial"/>
                <w:b/>
                <w:color w:val="17365D" w:themeColor="text2" w:themeShade="BF"/>
                <w:sz w:val="18"/>
                <w:szCs w:val="18"/>
              </w:rPr>
              <w:t>%</w:t>
            </w:r>
          </w:p>
        </w:tc>
        <w:tc>
          <w:tcPr>
            <w:tcW w:w="844" w:type="dxa"/>
            <w:vAlign w:val="center"/>
          </w:tcPr>
          <w:p w14:paraId="5CADA515" w14:textId="6EA192A3" w:rsidR="00DD2F0B" w:rsidRPr="009B4A8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9B4A81">
              <w:rPr>
                <w:rFonts w:ascii="Arial" w:hAnsi="Arial" w:cs="Arial"/>
                <w:b/>
                <w:bCs/>
                <w:color w:val="215868" w:themeColor="accent5" w:themeShade="80"/>
                <w:sz w:val="18"/>
                <w:szCs w:val="18"/>
              </w:rPr>
              <w:t>-</w:t>
            </w:r>
            <w:r w:rsidR="00C06A0B">
              <w:rPr>
                <w:rFonts w:ascii="Arial" w:hAnsi="Arial" w:cs="Arial"/>
                <w:b/>
                <w:bCs/>
                <w:color w:val="215868" w:themeColor="accent5" w:themeShade="80"/>
                <w:sz w:val="18"/>
                <w:szCs w:val="18"/>
              </w:rPr>
              <w:t>5.1</w:t>
            </w:r>
            <w:r w:rsidRPr="009B4A81">
              <w:rPr>
                <w:rFonts w:ascii="Arial" w:hAnsi="Arial" w:cs="Arial"/>
                <w:b/>
                <w:bCs/>
                <w:color w:val="215868" w:themeColor="accent5" w:themeShade="80"/>
                <w:sz w:val="18"/>
                <w:szCs w:val="18"/>
              </w:rPr>
              <w:t>%</w:t>
            </w:r>
          </w:p>
        </w:tc>
      </w:tr>
      <w:tr w:rsidR="00DD2F0B" w:rsidRPr="00E407FC" w14:paraId="5BEE13FC" w14:textId="77777777" w:rsidTr="007373E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62F5917F" w14:textId="77777777" w:rsidR="00DD2F0B" w:rsidRPr="00E407FC" w:rsidRDefault="00DD2F0B"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1020" w:type="dxa"/>
            <w:gridSpan w:val="3"/>
            <w:tcBorders>
              <w:left w:val="none" w:sz="0" w:space="0" w:color="auto"/>
              <w:right w:val="none" w:sz="0" w:space="0" w:color="auto"/>
            </w:tcBorders>
            <w:vAlign w:val="center"/>
          </w:tcPr>
          <w:p w14:paraId="01DB9726" w14:textId="56BD2298" w:rsidR="00DD2F0B" w:rsidRPr="00091E61"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+4.4</w:t>
            </w:r>
            <w:r w:rsidRPr="00091E61">
              <w:rPr>
                <w:rFonts w:ascii="Arial" w:hAnsi="Arial" w:cs="Arial"/>
                <w:color w:val="17365D" w:themeColor="text2" w:themeShade="BF"/>
                <w:sz w:val="18"/>
                <w:szCs w:val="18"/>
              </w:rPr>
              <w:t>%</w:t>
            </w:r>
          </w:p>
        </w:tc>
        <w:tc>
          <w:tcPr>
            <w:tcW w:w="844" w:type="dxa"/>
            <w:gridSpan w:val="2"/>
            <w:tcBorders>
              <w:left w:val="none" w:sz="0" w:space="0" w:color="auto"/>
              <w:right w:val="none" w:sz="0" w:space="0" w:color="auto"/>
            </w:tcBorders>
            <w:vAlign w:val="center"/>
          </w:tcPr>
          <w:p w14:paraId="60423065" w14:textId="60466D34"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+14.2</w:t>
            </w:r>
            <w:r w:rsidRPr="00E407FC">
              <w:rPr>
                <w:rFonts w:ascii="Arial" w:hAnsi="Arial" w:cs="Arial"/>
                <w:color w:val="17365D" w:themeColor="text2" w:themeShade="BF"/>
                <w:sz w:val="18"/>
                <w:szCs w:val="18"/>
              </w:rPr>
              <w:t>%</w:t>
            </w:r>
          </w:p>
        </w:tc>
        <w:tc>
          <w:tcPr>
            <w:tcW w:w="845" w:type="dxa"/>
            <w:gridSpan w:val="2"/>
            <w:tcBorders>
              <w:left w:val="none" w:sz="0" w:space="0" w:color="auto"/>
              <w:right w:val="none" w:sz="0" w:space="0" w:color="auto"/>
            </w:tcBorders>
            <w:vAlign w:val="center"/>
          </w:tcPr>
          <w:p w14:paraId="6647773F" w14:textId="5F9ECFE7"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+10.9</w:t>
            </w:r>
            <w:r w:rsidRPr="00E407FC">
              <w:rPr>
                <w:rFonts w:ascii="Arial" w:hAnsi="Arial" w:cs="Arial"/>
                <w:color w:val="17365D" w:themeColor="text2" w:themeShade="BF"/>
                <w:sz w:val="18"/>
                <w:szCs w:val="18"/>
              </w:rPr>
              <w:t>%</w:t>
            </w:r>
          </w:p>
        </w:tc>
        <w:tc>
          <w:tcPr>
            <w:tcW w:w="844" w:type="dxa"/>
            <w:tcBorders>
              <w:left w:val="none" w:sz="0" w:space="0" w:color="auto"/>
              <w:right w:val="none" w:sz="0" w:space="0" w:color="auto"/>
            </w:tcBorders>
            <w:vAlign w:val="center"/>
          </w:tcPr>
          <w:p w14:paraId="5EB69396" w14:textId="308C31B0"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+9.2</w:t>
            </w:r>
            <w:r w:rsidRPr="00E407FC">
              <w:rPr>
                <w:rFonts w:ascii="Arial" w:hAnsi="Arial" w:cs="Arial"/>
                <w:color w:val="17365D" w:themeColor="text2" w:themeShade="BF"/>
                <w:sz w:val="18"/>
                <w:szCs w:val="18"/>
              </w:rPr>
              <w:t>%</w:t>
            </w:r>
          </w:p>
        </w:tc>
        <w:tc>
          <w:tcPr>
            <w:tcW w:w="844" w:type="dxa"/>
            <w:tcBorders>
              <w:left w:val="none" w:sz="0" w:space="0" w:color="auto"/>
              <w:right w:val="none" w:sz="0" w:space="0" w:color="auto"/>
            </w:tcBorders>
            <w:vAlign w:val="center"/>
          </w:tcPr>
          <w:p w14:paraId="1D48CA52" w14:textId="11267B6E"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+11.2</w:t>
            </w:r>
            <w:r w:rsidRPr="00E407FC">
              <w:rPr>
                <w:rFonts w:ascii="Arial" w:hAnsi="Arial" w:cs="Arial"/>
                <w:color w:val="17365D" w:themeColor="text2" w:themeShade="BF"/>
                <w:sz w:val="18"/>
                <w:szCs w:val="18"/>
              </w:rPr>
              <w:t>%</w:t>
            </w:r>
          </w:p>
        </w:tc>
        <w:tc>
          <w:tcPr>
            <w:tcW w:w="844" w:type="dxa"/>
            <w:tcBorders>
              <w:left w:val="none" w:sz="0" w:space="0" w:color="auto"/>
              <w:right w:val="none" w:sz="0" w:space="0" w:color="auto"/>
            </w:tcBorders>
            <w:vAlign w:val="center"/>
          </w:tcPr>
          <w:p w14:paraId="0C8663B0" w14:textId="6F63B899"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+16.</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844" w:type="dxa"/>
            <w:tcBorders>
              <w:left w:val="none" w:sz="0" w:space="0" w:color="auto"/>
              <w:right w:val="none" w:sz="0" w:space="0" w:color="auto"/>
            </w:tcBorders>
            <w:vAlign w:val="center"/>
          </w:tcPr>
          <w:p w14:paraId="5BEAEAD4" w14:textId="01B29678"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14.7</w:t>
            </w:r>
            <w:r w:rsidRPr="00E407FC">
              <w:rPr>
                <w:rFonts w:ascii="Arial" w:hAnsi="Arial" w:cs="Arial"/>
                <w:bCs/>
                <w:color w:val="17365D" w:themeColor="text2" w:themeShade="BF"/>
                <w:sz w:val="18"/>
                <w:szCs w:val="18"/>
              </w:rPr>
              <w:t>%</w:t>
            </w:r>
          </w:p>
        </w:tc>
        <w:tc>
          <w:tcPr>
            <w:tcW w:w="844" w:type="dxa"/>
            <w:tcBorders>
              <w:left w:val="none" w:sz="0" w:space="0" w:color="auto"/>
              <w:right w:val="none" w:sz="0" w:space="0" w:color="auto"/>
            </w:tcBorders>
            <w:vAlign w:val="center"/>
          </w:tcPr>
          <w:p w14:paraId="0DC6DD18" w14:textId="5598DC8E"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5E13EA">
              <w:rPr>
                <w:rFonts w:ascii="Arial" w:hAnsi="Arial" w:cs="Arial"/>
                <w:bCs/>
                <w:color w:val="17365D" w:themeColor="text2" w:themeShade="BF"/>
                <w:sz w:val="18"/>
                <w:szCs w:val="18"/>
              </w:rPr>
              <w:t>4.6</w:t>
            </w:r>
            <w:r w:rsidRPr="00E407FC">
              <w:rPr>
                <w:rFonts w:ascii="Arial" w:hAnsi="Arial" w:cs="Arial"/>
                <w:bCs/>
                <w:color w:val="17365D" w:themeColor="text2" w:themeShade="BF"/>
                <w:sz w:val="18"/>
                <w:szCs w:val="18"/>
              </w:rPr>
              <w:t>%</w:t>
            </w:r>
          </w:p>
        </w:tc>
        <w:tc>
          <w:tcPr>
            <w:tcW w:w="844" w:type="dxa"/>
            <w:tcBorders>
              <w:left w:val="none" w:sz="0" w:space="0" w:color="auto"/>
              <w:right w:val="none" w:sz="0" w:space="0" w:color="auto"/>
            </w:tcBorders>
            <w:vAlign w:val="center"/>
          </w:tcPr>
          <w:p w14:paraId="1AAB1DBF" w14:textId="48118FA7" w:rsidR="00DD2F0B" w:rsidRPr="00E407FC" w:rsidRDefault="00DD2F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792</w:t>
            </w:r>
            <w:r w:rsidRPr="00E407FC">
              <w:rPr>
                <w:rFonts w:ascii="Arial" w:hAnsi="Arial" w:cs="Arial"/>
                <w:bCs/>
                <w:color w:val="17365D" w:themeColor="text2" w:themeShade="BF"/>
                <w:sz w:val="18"/>
                <w:szCs w:val="18"/>
              </w:rPr>
              <w:t>M</w:t>
            </w:r>
          </w:p>
        </w:tc>
        <w:tc>
          <w:tcPr>
            <w:tcW w:w="844" w:type="dxa"/>
            <w:tcBorders>
              <w:left w:val="none" w:sz="0" w:space="0" w:color="auto"/>
              <w:right w:val="none" w:sz="0" w:space="0" w:color="auto"/>
            </w:tcBorders>
            <w:vAlign w:val="center"/>
          </w:tcPr>
          <w:p w14:paraId="31A0F4D1" w14:textId="3142B3B2" w:rsidR="00DD2F0B" w:rsidRPr="00E407FC" w:rsidRDefault="00C06A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bCs/>
                <w:color w:val="17365D" w:themeColor="text2" w:themeShade="BF"/>
                <w:sz w:val="18"/>
                <w:szCs w:val="18"/>
              </w:rPr>
              <w:t>-0.1</w:t>
            </w:r>
            <w:r w:rsidR="00DD2F0B" w:rsidRPr="00E407FC">
              <w:rPr>
                <w:rFonts w:ascii="Arial" w:hAnsi="Arial" w:cs="Arial"/>
                <w:bCs/>
                <w:color w:val="17365D" w:themeColor="text2" w:themeShade="BF"/>
                <w:sz w:val="18"/>
                <w:szCs w:val="18"/>
              </w:rPr>
              <w:t>%</w:t>
            </w:r>
          </w:p>
        </w:tc>
        <w:tc>
          <w:tcPr>
            <w:tcW w:w="844" w:type="dxa"/>
            <w:tcBorders>
              <w:left w:val="none" w:sz="0" w:space="0" w:color="auto"/>
              <w:right w:val="none" w:sz="0" w:space="0" w:color="auto"/>
            </w:tcBorders>
            <w:vAlign w:val="center"/>
          </w:tcPr>
          <w:p w14:paraId="06DCB3E5" w14:textId="613524B7" w:rsidR="00DD2F0B" w:rsidRPr="009B4A81" w:rsidRDefault="00C06A0B"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+0.5</w:t>
            </w:r>
            <w:r w:rsidR="00DD2F0B" w:rsidRPr="009B4A81">
              <w:rPr>
                <w:rFonts w:ascii="Arial" w:hAnsi="Arial" w:cs="Arial"/>
                <w:color w:val="215868" w:themeColor="accent5" w:themeShade="80"/>
                <w:sz w:val="18"/>
                <w:szCs w:val="18"/>
              </w:rPr>
              <w:t>%</w:t>
            </w:r>
          </w:p>
        </w:tc>
      </w:tr>
      <w:tr w:rsidR="00DD2F0B" w:rsidRPr="00E407FC" w14:paraId="5E0FA04D" w14:textId="77777777" w:rsidTr="007373EF">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0450ED95" w14:textId="5C90822D" w:rsidR="00DD2F0B" w:rsidRPr="00E407FC" w:rsidRDefault="00DD2F0B"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Melons</w:t>
            </w:r>
          </w:p>
        </w:tc>
        <w:tc>
          <w:tcPr>
            <w:tcW w:w="1020" w:type="dxa"/>
            <w:gridSpan w:val="3"/>
            <w:vAlign w:val="center"/>
          </w:tcPr>
          <w:p w14:paraId="2FB712D2" w14:textId="77777777"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844" w:type="dxa"/>
            <w:gridSpan w:val="2"/>
            <w:vAlign w:val="center"/>
          </w:tcPr>
          <w:p w14:paraId="1D59C3C7" w14:textId="77777777"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+9.5</w:t>
            </w:r>
            <w:r w:rsidRPr="00E407FC">
              <w:rPr>
                <w:rFonts w:ascii="Arial" w:hAnsi="Arial" w:cs="Arial"/>
                <w:color w:val="17365D" w:themeColor="text2" w:themeShade="BF"/>
                <w:sz w:val="18"/>
                <w:szCs w:val="18"/>
              </w:rPr>
              <w:t>%</w:t>
            </w:r>
          </w:p>
        </w:tc>
        <w:tc>
          <w:tcPr>
            <w:tcW w:w="845" w:type="dxa"/>
            <w:gridSpan w:val="2"/>
            <w:vAlign w:val="center"/>
          </w:tcPr>
          <w:p w14:paraId="17B879B2" w14:textId="77777777"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844" w:type="dxa"/>
            <w:vAlign w:val="center"/>
          </w:tcPr>
          <w:p w14:paraId="1B215152" w14:textId="77777777"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+14.1</w:t>
            </w:r>
            <w:r w:rsidRPr="00E407FC">
              <w:rPr>
                <w:rFonts w:ascii="Arial" w:hAnsi="Arial" w:cs="Arial"/>
                <w:color w:val="17365D" w:themeColor="text2" w:themeShade="BF"/>
                <w:sz w:val="18"/>
                <w:szCs w:val="18"/>
              </w:rPr>
              <w:t>%</w:t>
            </w:r>
          </w:p>
        </w:tc>
        <w:tc>
          <w:tcPr>
            <w:tcW w:w="844" w:type="dxa"/>
            <w:vAlign w:val="center"/>
          </w:tcPr>
          <w:p w14:paraId="68397E58" w14:textId="77777777"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+5.8</w:t>
            </w:r>
            <w:r w:rsidRPr="00E407FC">
              <w:rPr>
                <w:rFonts w:ascii="Arial" w:hAnsi="Arial" w:cs="Arial"/>
                <w:color w:val="17365D" w:themeColor="text2" w:themeShade="BF"/>
                <w:sz w:val="18"/>
                <w:szCs w:val="18"/>
              </w:rPr>
              <w:t>%</w:t>
            </w:r>
          </w:p>
        </w:tc>
        <w:tc>
          <w:tcPr>
            <w:tcW w:w="844" w:type="dxa"/>
            <w:vAlign w:val="center"/>
          </w:tcPr>
          <w:p w14:paraId="00B0E1B8" w14:textId="77777777"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+23.</w:t>
            </w:r>
            <w:r>
              <w:rPr>
                <w:rFonts w:ascii="Arial" w:hAnsi="Arial" w:cs="Arial"/>
                <w:bCs/>
                <w:color w:val="17365D" w:themeColor="text2" w:themeShade="BF"/>
                <w:sz w:val="18"/>
                <w:szCs w:val="18"/>
              </w:rPr>
              <w:t>2</w:t>
            </w:r>
            <w:r w:rsidRPr="00E407FC">
              <w:rPr>
                <w:rFonts w:ascii="Arial" w:hAnsi="Arial" w:cs="Arial"/>
                <w:bCs/>
                <w:color w:val="17365D" w:themeColor="text2" w:themeShade="BF"/>
                <w:sz w:val="18"/>
                <w:szCs w:val="18"/>
              </w:rPr>
              <w:t>%</w:t>
            </w:r>
          </w:p>
        </w:tc>
        <w:tc>
          <w:tcPr>
            <w:tcW w:w="844" w:type="dxa"/>
            <w:vAlign w:val="center"/>
          </w:tcPr>
          <w:p w14:paraId="1CD00AF7" w14:textId="77777777"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27.7</w:t>
            </w:r>
            <w:r w:rsidRPr="00C7349C">
              <w:rPr>
                <w:rFonts w:ascii="Arial" w:hAnsi="Arial" w:cs="Arial"/>
                <w:bCs/>
                <w:color w:val="17365D" w:themeColor="text2" w:themeShade="BF"/>
                <w:sz w:val="18"/>
                <w:szCs w:val="18"/>
              </w:rPr>
              <w:t>%</w:t>
            </w:r>
          </w:p>
        </w:tc>
        <w:tc>
          <w:tcPr>
            <w:tcW w:w="844" w:type="dxa"/>
            <w:vAlign w:val="center"/>
          </w:tcPr>
          <w:p w14:paraId="60CDEE3F" w14:textId="4DA9C728"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sidR="005E13EA">
              <w:rPr>
                <w:rFonts w:ascii="Arial" w:hAnsi="Arial" w:cs="Arial"/>
                <w:bCs/>
                <w:color w:val="17365D" w:themeColor="text2" w:themeShade="BF"/>
                <w:sz w:val="18"/>
                <w:szCs w:val="18"/>
              </w:rPr>
              <w:t>7.4</w:t>
            </w:r>
            <w:r w:rsidRPr="00C7349C">
              <w:rPr>
                <w:rFonts w:ascii="Arial" w:hAnsi="Arial" w:cs="Arial"/>
                <w:bCs/>
                <w:color w:val="17365D" w:themeColor="text2" w:themeShade="BF"/>
                <w:sz w:val="18"/>
                <w:szCs w:val="18"/>
              </w:rPr>
              <w:t>%</w:t>
            </w:r>
          </w:p>
        </w:tc>
        <w:tc>
          <w:tcPr>
            <w:tcW w:w="844" w:type="dxa"/>
            <w:vAlign w:val="center"/>
          </w:tcPr>
          <w:p w14:paraId="74416545" w14:textId="2CFB2833"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596</w:t>
            </w:r>
            <w:r w:rsidRPr="00E407FC">
              <w:rPr>
                <w:rFonts w:ascii="Arial" w:hAnsi="Arial" w:cs="Arial"/>
                <w:bCs/>
                <w:color w:val="17365D" w:themeColor="text2" w:themeShade="BF"/>
                <w:sz w:val="18"/>
                <w:szCs w:val="18"/>
              </w:rPr>
              <w:t>M</w:t>
            </w:r>
          </w:p>
        </w:tc>
        <w:tc>
          <w:tcPr>
            <w:tcW w:w="844" w:type="dxa"/>
            <w:vAlign w:val="center"/>
          </w:tcPr>
          <w:p w14:paraId="0BD6EE9C" w14:textId="4AD93A2E" w:rsidR="00DD2F0B" w:rsidRDefault="00DD2F0B" w:rsidP="007373EF">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10.8</w:t>
            </w:r>
            <w:r w:rsidRPr="00E407FC">
              <w:rPr>
                <w:rFonts w:ascii="Arial" w:hAnsi="Arial" w:cs="Arial"/>
                <w:bCs/>
                <w:color w:val="17365D" w:themeColor="text2" w:themeShade="BF"/>
                <w:sz w:val="18"/>
                <w:szCs w:val="18"/>
              </w:rPr>
              <w:t>%</w:t>
            </w:r>
          </w:p>
        </w:tc>
        <w:tc>
          <w:tcPr>
            <w:tcW w:w="844" w:type="dxa"/>
            <w:vAlign w:val="center"/>
          </w:tcPr>
          <w:p w14:paraId="4F8C8D25" w14:textId="039DFC94" w:rsidR="00DD2F0B" w:rsidRPr="009B4A8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1.0</w:t>
            </w:r>
            <w:r w:rsidRPr="009B4A81">
              <w:rPr>
                <w:rFonts w:ascii="Arial" w:hAnsi="Arial" w:cs="Arial"/>
                <w:color w:val="215868" w:themeColor="accent5" w:themeShade="80"/>
                <w:sz w:val="18"/>
                <w:szCs w:val="18"/>
              </w:rPr>
              <w:t>%</w:t>
            </w:r>
          </w:p>
        </w:tc>
      </w:tr>
      <w:tr w:rsidR="00211933" w:rsidRPr="00E407FC" w14:paraId="311D074E" w14:textId="77777777" w:rsidTr="008A1B9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0A45A184" w14:textId="77777777" w:rsidR="00211933" w:rsidRPr="00E407FC" w:rsidRDefault="00211933" w:rsidP="008A1B9E">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Cherries</w:t>
            </w:r>
          </w:p>
        </w:tc>
        <w:tc>
          <w:tcPr>
            <w:tcW w:w="1020" w:type="dxa"/>
            <w:gridSpan w:val="3"/>
            <w:tcBorders>
              <w:left w:val="none" w:sz="0" w:space="0" w:color="auto"/>
              <w:right w:val="none" w:sz="0" w:space="0" w:color="auto"/>
            </w:tcBorders>
            <w:vAlign w:val="center"/>
          </w:tcPr>
          <w:p w14:paraId="2C51EDA4" w14:textId="77777777" w:rsidR="00211933" w:rsidRPr="00091E61"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-8.0%</w:t>
            </w:r>
          </w:p>
        </w:tc>
        <w:tc>
          <w:tcPr>
            <w:tcW w:w="844" w:type="dxa"/>
            <w:gridSpan w:val="2"/>
            <w:tcBorders>
              <w:left w:val="none" w:sz="0" w:space="0" w:color="auto"/>
              <w:right w:val="none" w:sz="0" w:space="0" w:color="auto"/>
            </w:tcBorders>
            <w:vAlign w:val="center"/>
          </w:tcPr>
          <w:p w14:paraId="5E167841"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+31.5%</w:t>
            </w:r>
          </w:p>
        </w:tc>
        <w:tc>
          <w:tcPr>
            <w:tcW w:w="845" w:type="dxa"/>
            <w:gridSpan w:val="2"/>
            <w:tcBorders>
              <w:left w:val="none" w:sz="0" w:space="0" w:color="auto"/>
              <w:right w:val="none" w:sz="0" w:space="0" w:color="auto"/>
            </w:tcBorders>
            <w:vAlign w:val="center"/>
          </w:tcPr>
          <w:p w14:paraId="1F1040FD"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844" w:type="dxa"/>
            <w:tcBorders>
              <w:left w:val="none" w:sz="0" w:space="0" w:color="auto"/>
              <w:right w:val="none" w:sz="0" w:space="0" w:color="auto"/>
            </w:tcBorders>
            <w:vAlign w:val="center"/>
          </w:tcPr>
          <w:p w14:paraId="4D99E88D"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p>
        </w:tc>
        <w:tc>
          <w:tcPr>
            <w:tcW w:w="844" w:type="dxa"/>
            <w:tcBorders>
              <w:left w:val="none" w:sz="0" w:space="0" w:color="auto"/>
              <w:right w:val="none" w:sz="0" w:space="0" w:color="auto"/>
            </w:tcBorders>
            <w:vAlign w:val="center"/>
          </w:tcPr>
          <w:p w14:paraId="247B3D5E"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p>
        </w:tc>
        <w:tc>
          <w:tcPr>
            <w:tcW w:w="844" w:type="dxa"/>
            <w:tcBorders>
              <w:left w:val="none" w:sz="0" w:space="0" w:color="auto"/>
              <w:right w:val="none" w:sz="0" w:space="0" w:color="auto"/>
            </w:tcBorders>
            <w:vAlign w:val="center"/>
          </w:tcPr>
          <w:p w14:paraId="26EE1851"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color w:val="17365D" w:themeColor="text2" w:themeShade="BF"/>
                <w:sz w:val="18"/>
                <w:szCs w:val="18"/>
              </w:rPr>
              <w:t>--</w:t>
            </w:r>
          </w:p>
        </w:tc>
        <w:tc>
          <w:tcPr>
            <w:tcW w:w="844" w:type="dxa"/>
            <w:tcBorders>
              <w:left w:val="none" w:sz="0" w:space="0" w:color="auto"/>
              <w:right w:val="none" w:sz="0" w:space="0" w:color="auto"/>
            </w:tcBorders>
            <w:vAlign w:val="center"/>
          </w:tcPr>
          <w:p w14:paraId="172794C0"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844" w:type="dxa"/>
            <w:tcBorders>
              <w:left w:val="none" w:sz="0" w:space="0" w:color="auto"/>
              <w:right w:val="none" w:sz="0" w:space="0" w:color="auto"/>
            </w:tcBorders>
            <w:vAlign w:val="center"/>
          </w:tcPr>
          <w:p w14:paraId="64823B80"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-25.1%</w:t>
            </w:r>
          </w:p>
        </w:tc>
        <w:tc>
          <w:tcPr>
            <w:tcW w:w="844" w:type="dxa"/>
            <w:tcBorders>
              <w:left w:val="none" w:sz="0" w:space="0" w:color="auto"/>
              <w:right w:val="none" w:sz="0" w:space="0" w:color="auto"/>
            </w:tcBorders>
            <w:vAlign w:val="center"/>
          </w:tcPr>
          <w:p w14:paraId="73318EB7" w14:textId="6AD7E9FF"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366</w:t>
            </w:r>
            <w:r w:rsidRPr="00E407FC">
              <w:rPr>
                <w:rFonts w:ascii="Arial" w:hAnsi="Arial" w:cs="Arial"/>
                <w:bCs/>
                <w:color w:val="17365D" w:themeColor="text2" w:themeShade="BF"/>
                <w:sz w:val="18"/>
                <w:szCs w:val="18"/>
              </w:rPr>
              <w:t>M</w:t>
            </w:r>
          </w:p>
        </w:tc>
        <w:tc>
          <w:tcPr>
            <w:tcW w:w="844" w:type="dxa"/>
            <w:tcBorders>
              <w:left w:val="none" w:sz="0" w:space="0" w:color="auto"/>
              <w:right w:val="none" w:sz="0" w:space="0" w:color="auto"/>
            </w:tcBorders>
            <w:vAlign w:val="center"/>
          </w:tcPr>
          <w:p w14:paraId="4F3CEDED" w14:textId="6E51385C" w:rsidR="00211933" w:rsidRDefault="00211933" w:rsidP="008A1B9E">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0.2</w:t>
            </w:r>
            <w:r w:rsidRPr="00E407FC">
              <w:rPr>
                <w:rFonts w:ascii="Arial" w:hAnsi="Arial" w:cs="Arial"/>
                <w:bCs/>
                <w:color w:val="17365D" w:themeColor="text2" w:themeShade="BF"/>
                <w:sz w:val="18"/>
                <w:szCs w:val="18"/>
              </w:rPr>
              <w:t>%</w:t>
            </w:r>
          </w:p>
        </w:tc>
        <w:tc>
          <w:tcPr>
            <w:tcW w:w="844" w:type="dxa"/>
            <w:tcBorders>
              <w:left w:val="none" w:sz="0" w:space="0" w:color="auto"/>
              <w:right w:val="none" w:sz="0" w:space="0" w:color="auto"/>
            </w:tcBorders>
            <w:vAlign w:val="center"/>
          </w:tcPr>
          <w:p w14:paraId="6F808937" w14:textId="115D8C2C" w:rsidR="00211933" w:rsidRPr="009B4A81"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33.1</w:t>
            </w:r>
            <w:r w:rsidRPr="009B4A81">
              <w:rPr>
                <w:rFonts w:ascii="Arial" w:hAnsi="Arial" w:cs="Arial"/>
                <w:color w:val="215868" w:themeColor="accent5" w:themeShade="80"/>
                <w:sz w:val="18"/>
                <w:szCs w:val="18"/>
              </w:rPr>
              <w:t>%</w:t>
            </w:r>
          </w:p>
        </w:tc>
      </w:tr>
      <w:tr w:rsidR="00DD2F0B" w:rsidRPr="00E407FC" w14:paraId="16006628" w14:textId="77777777" w:rsidTr="007373EF">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7818270" w14:textId="31835A18" w:rsidR="00DD2F0B" w:rsidRPr="00E407FC" w:rsidRDefault="00DD2F0B" w:rsidP="000811E7">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Apples</w:t>
            </w:r>
          </w:p>
        </w:tc>
        <w:tc>
          <w:tcPr>
            <w:tcW w:w="1020" w:type="dxa"/>
            <w:gridSpan w:val="3"/>
            <w:vAlign w:val="center"/>
          </w:tcPr>
          <w:p w14:paraId="1E75DF00" w14:textId="5FDD376F" w:rsidR="00DD2F0B" w:rsidRPr="00091E6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+0.0</w:t>
            </w:r>
            <w:r w:rsidRPr="00091E61">
              <w:rPr>
                <w:rFonts w:ascii="Arial" w:hAnsi="Arial" w:cs="Arial"/>
                <w:color w:val="17365D" w:themeColor="text2" w:themeShade="BF"/>
                <w:sz w:val="18"/>
                <w:szCs w:val="18"/>
              </w:rPr>
              <w:t>%</w:t>
            </w:r>
          </w:p>
        </w:tc>
        <w:tc>
          <w:tcPr>
            <w:tcW w:w="844" w:type="dxa"/>
            <w:gridSpan w:val="2"/>
            <w:vAlign w:val="center"/>
          </w:tcPr>
          <w:p w14:paraId="2AF8D473" w14:textId="0867F618"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845" w:type="dxa"/>
            <w:gridSpan w:val="2"/>
            <w:vAlign w:val="center"/>
          </w:tcPr>
          <w:p w14:paraId="26FB0443" w14:textId="49782033"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844" w:type="dxa"/>
            <w:vAlign w:val="center"/>
          </w:tcPr>
          <w:p w14:paraId="06DF58EF" w14:textId="1438F8E5"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r w:rsidRPr="00E407FC">
              <w:rPr>
                <w:rFonts w:ascii="Arial" w:hAnsi="Arial" w:cs="Arial"/>
                <w:color w:val="17365D" w:themeColor="text2" w:themeShade="BF"/>
                <w:sz w:val="18"/>
                <w:szCs w:val="18"/>
              </w:rPr>
              <w:t>%</w:t>
            </w:r>
          </w:p>
        </w:tc>
        <w:tc>
          <w:tcPr>
            <w:tcW w:w="844" w:type="dxa"/>
            <w:vAlign w:val="center"/>
          </w:tcPr>
          <w:p w14:paraId="41636D17" w14:textId="12FA8D32"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+8.9</w:t>
            </w:r>
            <w:r w:rsidRPr="00E407FC">
              <w:rPr>
                <w:rFonts w:ascii="Arial" w:hAnsi="Arial" w:cs="Arial"/>
                <w:color w:val="17365D" w:themeColor="text2" w:themeShade="BF"/>
                <w:sz w:val="18"/>
                <w:szCs w:val="18"/>
              </w:rPr>
              <w:t>%</w:t>
            </w:r>
          </w:p>
        </w:tc>
        <w:tc>
          <w:tcPr>
            <w:tcW w:w="844" w:type="dxa"/>
            <w:vAlign w:val="center"/>
          </w:tcPr>
          <w:p w14:paraId="1E5CE1E6" w14:textId="02F7D9BF"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+7.</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844" w:type="dxa"/>
            <w:vAlign w:val="center"/>
          </w:tcPr>
          <w:p w14:paraId="4A0AC33B" w14:textId="1FFDA15D"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7.8</w:t>
            </w:r>
            <w:r w:rsidRPr="00C7349C">
              <w:rPr>
                <w:rFonts w:ascii="Arial" w:hAnsi="Arial" w:cs="Arial"/>
                <w:bCs/>
                <w:color w:val="17365D" w:themeColor="text2" w:themeShade="BF"/>
                <w:sz w:val="18"/>
                <w:szCs w:val="18"/>
              </w:rPr>
              <w:t>%</w:t>
            </w:r>
          </w:p>
        </w:tc>
        <w:tc>
          <w:tcPr>
            <w:tcW w:w="844" w:type="dxa"/>
            <w:vAlign w:val="center"/>
          </w:tcPr>
          <w:p w14:paraId="627779A1" w14:textId="231731F1"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sidR="005E13EA">
              <w:rPr>
                <w:rFonts w:ascii="Arial" w:hAnsi="Arial" w:cs="Arial"/>
                <w:bCs/>
                <w:color w:val="17365D" w:themeColor="text2" w:themeShade="BF"/>
                <w:sz w:val="18"/>
                <w:szCs w:val="18"/>
              </w:rPr>
              <w:t>7.1</w:t>
            </w:r>
            <w:r w:rsidRPr="00C7349C">
              <w:rPr>
                <w:rFonts w:ascii="Arial" w:hAnsi="Arial" w:cs="Arial"/>
                <w:bCs/>
                <w:color w:val="17365D" w:themeColor="text2" w:themeShade="BF"/>
                <w:sz w:val="18"/>
                <w:szCs w:val="18"/>
              </w:rPr>
              <w:t>%</w:t>
            </w:r>
          </w:p>
        </w:tc>
        <w:tc>
          <w:tcPr>
            <w:tcW w:w="844" w:type="dxa"/>
            <w:vAlign w:val="center"/>
          </w:tcPr>
          <w:p w14:paraId="6C530686" w14:textId="489361FD"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345</w:t>
            </w:r>
            <w:r w:rsidRPr="00E407FC">
              <w:rPr>
                <w:rFonts w:ascii="Arial" w:hAnsi="Arial" w:cs="Arial"/>
                <w:bCs/>
                <w:color w:val="17365D" w:themeColor="text2" w:themeShade="BF"/>
                <w:sz w:val="18"/>
                <w:szCs w:val="18"/>
              </w:rPr>
              <w:t>M</w:t>
            </w:r>
          </w:p>
        </w:tc>
        <w:tc>
          <w:tcPr>
            <w:tcW w:w="844" w:type="dxa"/>
            <w:vAlign w:val="center"/>
          </w:tcPr>
          <w:p w14:paraId="482E37F1" w14:textId="2821C63A" w:rsidR="00DD2F0B" w:rsidRDefault="00DD2F0B" w:rsidP="007373EF">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3.3</w:t>
            </w:r>
            <w:r w:rsidRPr="00E407FC">
              <w:rPr>
                <w:rFonts w:ascii="Arial" w:hAnsi="Arial" w:cs="Arial"/>
                <w:bCs/>
                <w:color w:val="17365D" w:themeColor="text2" w:themeShade="BF"/>
                <w:sz w:val="18"/>
                <w:szCs w:val="18"/>
              </w:rPr>
              <w:t>%</w:t>
            </w:r>
          </w:p>
        </w:tc>
        <w:tc>
          <w:tcPr>
            <w:tcW w:w="844" w:type="dxa"/>
            <w:vAlign w:val="center"/>
          </w:tcPr>
          <w:p w14:paraId="3024FCBB" w14:textId="4F1FC5DD" w:rsidR="00DD2F0B" w:rsidRPr="009B4A8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3.3</w:t>
            </w:r>
            <w:r w:rsidRPr="009B4A81">
              <w:rPr>
                <w:rFonts w:ascii="Arial" w:hAnsi="Arial" w:cs="Arial"/>
                <w:color w:val="215868" w:themeColor="accent5" w:themeShade="80"/>
                <w:sz w:val="18"/>
                <w:szCs w:val="18"/>
              </w:rPr>
              <w:t>%</w:t>
            </w:r>
          </w:p>
        </w:tc>
      </w:tr>
      <w:tr w:rsidR="00211933" w:rsidRPr="00E407FC" w14:paraId="5E356ED3" w14:textId="77777777" w:rsidTr="008A1B9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E542B8A" w14:textId="77777777" w:rsidR="00211933" w:rsidRPr="00E407FC" w:rsidRDefault="00211933" w:rsidP="008A1B9E">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Grapes</w:t>
            </w:r>
          </w:p>
        </w:tc>
        <w:tc>
          <w:tcPr>
            <w:tcW w:w="1020" w:type="dxa"/>
            <w:gridSpan w:val="3"/>
            <w:vAlign w:val="center"/>
          </w:tcPr>
          <w:p w14:paraId="6E17265F" w14:textId="77777777" w:rsidR="00211933" w:rsidRPr="00091E61"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w:t>
            </w:r>
            <w:r w:rsidRPr="00091E61">
              <w:rPr>
                <w:rFonts w:ascii="Arial" w:hAnsi="Arial" w:cs="Arial"/>
                <w:color w:val="17365D" w:themeColor="text2" w:themeShade="BF"/>
                <w:sz w:val="18"/>
                <w:szCs w:val="18"/>
              </w:rPr>
              <w:t>%</w:t>
            </w:r>
          </w:p>
        </w:tc>
        <w:tc>
          <w:tcPr>
            <w:tcW w:w="844" w:type="dxa"/>
            <w:gridSpan w:val="2"/>
            <w:vAlign w:val="center"/>
          </w:tcPr>
          <w:p w14:paraId="0927F12B"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r w:rsidRPr="00E407FC">
              <w:rPr>
                <w:rFonts w:ascii="Arial" w:hAnsi="Arial" w:cs="Arial"/>
                <w:color w:val="17365D" w:themeColor="text2" w:themeShade="BF"/>
                <w:sz w:val="18"/>
                <w:szCs w:val="18"/>
              </w:rPr>
              <w:t>%</w:t>
            </w:r>
          </w:p>
        </w:tc>
        <w:tc>
          <w:tcPr>
            <w:tcW w:w="845" w:type="dxa"/>
            <w:gridSpan w:val="2"/>
            <w:vAlign w:val="center"/>
          </w:tcPr>
          <w:p w14:paraId="5C5BAC67"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r w:rsidRPr="00E407FC">
              <w:rPr>
                <w:rFonts w:ascii="Arial" w:hAnsi="Arial" w:cs="Arial"/>
                <w:color w:val="17365D" w:themeColor="text2" w:themeShade="BF"/>
                <w:sz w:val="18"/>
                <w:szCs w:val="18"/>
              </w:rPr>
              <w:t>%</w:t>
            </w:r>
          </w:p>
        </w:tc>
        <w:tc>
          <w:tcPr>
            <w:tcW w:w="844" w:type="dxa"/>
            <w:vAlign w:val="center"/>
          </w:tcPr>
          <w:p w14:paraId="43F1C495"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+3.5</w:t>
            </w:r>
            <w:r w:rsidRPr="00E407FC">
              <w:rPr>
                <w:rFonts w:ascii="Arial" w:hAnsi="Arial" w:cs="Arial"/>
                <w:color w:val="17365D" w:themeColor="text2" w:themeShade="BF"/>
                <w:sz w:val="18"/>
                <w:szCs w:val="18"/>
              </w:rPr>
              <w:t>%</w:t>
            </w:r>
          </w:p>
        </w:tc>
        <w:tc>
          <w:tcPr>
            <w:tcW w:w="844" w:type="dxa"/>
            <w:vAlign w:val="center"/>
          </w:tcPr>
          <w:p w14:paraId="2D0F67D0"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+6.9</w:t>
            </w:r>
            <w:r w:rsidRPr="00E407FC">
              <w:rPr>
                <w:rFonts w:ascii="Arial" w:hAnsi="Arial" w:cs="Arial"/>
                <w:color w:val="17365D" w:themeColor="text2" w:themeShade="BF"/>
                <w:sz w:val="18"/>
                <w:szCs w:val="18"/>
              </w:rPr>
              <w:t>%</w:t>
            </w:r>
          </w:p>
        </w:tc>
        <w:tc>
          <w:tcPr>
            <w:tcW w:w="844" w:type="dxa"/>
            <w:vAlign w:val="center"/>
          </w:tcPr>
          <w:p w14:paraId="430E6EAE"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w:t>
            </w: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844" w:type="dxa"/>
            <w:vAlign w:val="center"/>
          </w:tcPr>
          <w:p w14:paraId="1BB8D411"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4.8</w:t>
            </w:r>
            <w:r w:rsidRPr="00C7349C">
              <w:rPr>
                <w:rFonts w:ascii="Arial" w:hAnsi="Arial" w:cs="Arial"/>
                <w:bCs/>
                <w:color w:val="17365D" w:themeColor="text2" w:themeShade="BF"/>
                <w:sz w:val="18"/>
                <w:szCs w:val="18"/>
              </w:rPr>
              <w:t>%</w:t>
            </w:r>
          </w:p>
        </w:tc>
        <w:tc>
          <w:tcPr>
            <w:tcW w:w="844" w:type="dxa"/>
            <w:vAlign w:val="center"/>
          </w:tcPr>
          <w:p w14:paraId="1CAC5543"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6.3</w:t>
            </w:r>
            <w:r w:rsidRPr="00C7349C">
              <w:rPr>
                <w:rFonts w:ascii="Arial" w:hAnsi="Arial" w:cs="Arial"/>
                <w:bCs/>
                <w:color w:val="17365D" w:themeColor="text2" w:themeShade="BF"/>
                <w:sz w:val="18"/>
                <w:szCs w:val="18"/>
              </w:rPr>
              <w:t>%</w:t>
            </w:r>
          </w:p>
        </w:tc>
        <w:tc>
          <w:tcPr>
            <w:tcW w:w="844" w:type="dxa"/>
            <w:vAlign w:val="center"/>
          </w:tcPr>
          <w:p w14:paraId="1A4FB0F3" w14:textId="0F21B64B"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321</w:t>
            </w:r>
            <w:r w:rsidRPr="00E407FC">
              <w:rPr>
                <w:rFonts w:ascii="Arial" w:hAnsi="Arial" w:cs="Arial"/>
                <w:bCs/>
                <w:color w:val="17365D" w:themeColor="text2" w:themeShade="BF"/>
                <w:sz w:val="18"/>
                <w:szCs w:val="18"/>
              </w:rPr>
              <w:t>M</w:t>
            </w:r>
          </w:p>
        </w:tc>
        <w:tc>
          <w:tcPr>
            <w:tcW w:w="844" w:type="dxa"/>
            <w:vAlign w:val="center"/>
          </w:tcPr>
          <w:p w14:paraId="7E442A4C" w14:textId="19F7DDFE" w:rsidR="00211933" w:rsidRDefault="00211933" w:rsidP="008A1B9E">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1.1</w:t>
            </w:r>
            <w:r w:rsidRPr="00E407FC">
              <w:rPr>
                <w:rFonts w:ascii="Arial" w:hAnsi="Arial" w:cs="Arial"/>
                <w:bCs/>
                <w:color w:val="17365D" w:themeColor="text2" w:themeShade="BF"/>
                <w:sz w:val="18"/>
                <w:szCs w:val="18"/>
              </w:rPr>
              <w:t>%</w:t>
            </w:r>
          </w:p>
        </w:tc>
        <w:tc>
          <w:tcPr>
            <w:tcW w:w="844" w:type="dxa"/>
            <w:vAlign w:val="center"/>
          </w:tcPr>
          <w:p w14:paraId="1817A584" w14:textId="2D6EA373" w:rsidR="00211933" w:rsidRPr="009B4A81" w:rsidRDefault="00C06A0B"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-0.2</w:t>
            </w:r>
            <w:r w:rsidR="00211933" w:rsidRPr="009B4A81">
              <w:rPr>
                <w:rFonts w:ascii="Arial" w:hAnsi="Arial" w:cs="Arial"/>
                <w:color w:val="215868" w:themeColor="accent5" w:themeShade="80"/>
                <w:sz w:val="18"/>
                <w:szCs w:val="18"/>
              </w:rPr>
              <w:t>%</w:t>
            </w:r>
          </w:p>
        </w:tc>
      </w:tr>
      <w:tr w:rsidR="000933A2" w:rsidRPr="00E407FC" w14:paraId="64648E7F" w14:textId="77777777" w:rsidTr="007373EF">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CE895DC" w14:textId="77777777" w:rsidR="000933A2" w:rsidRPr="00E407FC" w:rsidRDefault="000933A2" w:rsidP="00951B01">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Bananas</w:t>
            </w:r>
          </w:p>
        </w:tc>
        <w:tc>
          <w:tcPr>
            <w:tcW w:w="1020" w:type="dxa"/>
            <w:gridSpan w:val="3"/>
            <w:vAlign w:val="center"/>
          </w:tcPr>
          <w:p w14:paraId="31C9FDDA" w14:textId="77777777" w:rsidR="000933A2" w:rsidRPr="00091E61"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r w:rsidRPr="00091E61">
              <w:rPr>
                <w:rFonts w:ascii="Arial" w:hAnsi="Arial" w:cs="Arial"/>
                <w:color w:val="17365D" w:themeColor="text2" w:themeShade="BF"/>
                <w:sz w:val="18"/>
                <w:szCs w:val="18"/>
              </w:rPr>
              <w:t>%</w:t>
            </w:r>
          </w:p>
        </w:tc>
        <w:tc>
          <w:tcPr>
            <w:tcW w:w="844" w:type="dxa"/>
            <w:gridSpan w:val="2"/>
            <w:vAlign w:val="center"/>
          </w:tcPr>
          <w:p w14:paraId="2D1C6173"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+3.6</w:t>
            </w:r>
            <w:r w:rsidRPr="00E407FC">
              <w:rPr>
                <w:rFonts w:ascii="Arial" w:hAnsi="Arial" w:cs="Arial"/>
                <w:color w:val="17365D" w:themeColor="text2" w:themeShade="BF"/>
                <w:sz w:val="18"/>
                <w:szCs w:val="18"/>
              </w:rPr>
              <w:t>%</w:t>
            </w:r>
          </w:p>
        </w:tc>
        <w:tc>
          <w:tcPr>
            <w:tcW w:w="845" w:type="dxa"/>
            <w:gridSpan w:val="2"/>
            <w:vAlign w:val="center"/>
          </w:tcPr>
          <w:p w14:paraId="34D336AB"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0.6</w:t>
            </w:r>
            <w:r w:rsidRPr="00E407FC">
              <w:rPr>
                <w:rFonts w:ascii="Arial" w:hAnsi="Arial" w:cs="Arial"/>
                <w:color w:val="17365D" w:themeColor="text2" w:themeShade="BF"/>
                <w:sz w:val="18"/>
                <w:szCs w:val="18"/>
              </w:rPr>
              <w:t>%</w:t>
            </w:r>
          </w:p>
        </w:tc>
        <w:tc>
          <w:tcPr>
            <w:tcW w:w="844" w:type="dxa"/>
            <w:vAlign w:val="center"/>
          </w:tcPr>
          <w:p w14:paraId="25E51950"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844" w:type="dxa"/>
            <w:vAlign w:val="center"/>
          </w:tcPr>
          <w:p w14:paraId="6108C7B6"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844" w:type="dxa"/>
            <w:vAlign w:val="center"/>
          </w:tcPr>
          <w:p w14:paraId="28E26D0E"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+3.0%</w:t>
            </w:r>
          </w:p>
        </w:tc>
        <w:tc>
          <w:tcPr>
            <w:tcW w:w="844" w:type="dxa"/>
            <w:vAlign w:val="center"/>
          </w:tcPr>
          <w:p w14:paraId="117E870F"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-0.8</w:t>
            </w:r>
            <w:r w:rsidRPr="00C7349C">
              <w:rPr>
                <w:rFonts w:ascii="Arial" w:hAnsi="Arial" w:cs="Arial"/>
                <w:bCs/>
                <w:color w:val="17365D" w:themeColor="text2" w:themeShade="BF"/>
                <w:sz w:val="18"/>
                <w:szCs w:val="18"/>
              </w:rPr>
              <w:t>%</w:t>
            </w:r>
          </w:p>
        </w:tc>
        <w:tc>
          <w:tcPr>
            <w:tcW w:w="844" w:type="dxa"/>
            <w:vAlign w:val="center"/>
          </w:tcPr>
          <w:p w14:paraId="3E0FFD2D" w14:textId="77777777"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-2.4</w:t>
            </w:r>
            <w:r w:rsidRPr="00C7349C">
              <w:rPr>
                <w:rFonts w:ascii="Arial" w:hAnsi="Arial" w:cs="Arial"/>
                <w:bCs/>
                <w:color w:val="17365D" w:themeColor="text2" w:themeShade="BF"/>
                <w:sz w:val="18"/>
                <w:szCs w:val="18"/>
              </w:rPr>
              <w:t>%</w:t>
            </w:r>
          </w:p>
        </w:tc>
        <w:tc>
          <w:tcPr>
            <w:tcW w:w="844" w:type="dxa"/>
            <w:vAlign w:val="center"/>
          </w:tcPr>
          <w:p w14:paraId="06708011" w14:textId="6651416F" w:rsidR="000933A2" w:rsidRPr="00E407FC"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321</w:t>
            </w:r>
            <w:r w:rsidRPr="00E407FC">
              <w:rPr>
                <w:rFonts w:ascii="Arial" w:hAnsi="Arial" w:cs="Arial"/>
                <w:bCs/>
                <w:color w:val="17365D" w:themeColor="text2" w:themeShade="BF"/>
                <w:sz w:val="18"/>
                <w:szCs w:val="18"/>
              </w:rPr>
              <w:t>M</w:t>
            </w:r>
          </w:p>
        </w:tc>
        <w:tc>
          <w:tcPr>
            <w:tcW w:w="844" w:type="dxa"/>
            <w:vAlign w:val="center"/>
          </w:tcPr>
          <w:p w14:paraId="24EDC20D" w14:textId="680A2485" w:rsidR="000933A2" w:rsidRDefault="000933A2" w:rsidP="007373EF">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3.1</w:t>
            </w:r>
            <w:r w:rsidRPr="00E407FC">
              <w:rPr>
                <w:rFonts w:ascii="Arial" w:hAnsi="Arial" w:cs="Arial"/>
                <w:bCs/>
                <w:color w:val="17365D" w:themeColor="text2" w:themeShade="BF"/>
                <w:sz w:val="18"/>
                <w:szCs w:val="18"/>
              </w:rPr>
              <w:t>%</w:t>
            </w:r>
          </w:p>
        </w:tc>
        <w:tc>
          <w:tcPr>
            <w:tcW w:w="844" w:type="dxa"/>
            <w:vAlign w:val="center"/>
          </w:tcPr>
          <w:p w14:paraId="503A3733" w14:textId="726276EA" w:rsidR="000933A2" w:rsidRPr="009B4A81" w:rsidRDefault="000933A2"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2.9</w:t>
            </w:r>
            <w:r w:rsidRPr="009B4A81">
              <w:rPr>
                <w:rFonts w:ascii="Arial" w:hAnsi="Arial" w:cs="Arial"/>
                <w:color w:val="215868" w:themeColor="accent5" w:themeShade="80"/>
                <w:sz w:val="18"/>
                <w:szCs w:val="18"/>
              </w:rPr>
              <w:t>%</w:t>
            </w:r>
          </w:p>
        </w:tc>
      </w:tr>
      <w:tr w:rsidR="00211933" w:rsidRPr="00E407FC" w14:paraId="4A8CBAFB" w14:textId="77777777" w:rsidTr="007373E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9971DE9" w14:textId="77777777" w:rsidR="005E13EA" w:rsidRPr="00E407FC" w:rsidRDefault="005E13EA" w:rsidP="00951B01">
            <w:pPr>
              <w:pStyle w:val="NoSpacing"/>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Avocados</w:t>
            </w:r>
          </w:p>
        </w:tc>
        <w:tc>
          <w:tcPr>
            <w:tcW w:w="1020" w:type="dxa"/>
            <w:gridSpan w:val="3"/>
            <w:vAlign w:val="center"/>
          </w:tcPr>
          <w:p w14:paraId="156356A1" w14:textId="77777777" w:rsidR="005E13EA" w:rsidRPr="00091E61"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+6.8</w:t>
            </w:r>
            <w:r w:rsidRPr="00091E61">
              <w:rPr>
                <w:rFonts w:ascii="Arial" w:hAnsi="Arial" w:cs="Arial"/>
                <w:color w:val="17365D" w:themeColor="text2" w:themeShade="BF"/>
                <w:sz w:val="18"/>
                <w:szCs w:val="18"/>
              </w:rPr>
              <w:t>%</w:t>
            </w:r>
          </w:p>
        </w:tc>
        <w:tc>
          <w:tcPr>
            <w:tcW w:w="844" w:type="dxa"/>
            <w:gridSpan w:val="2"/>
            <w:vAlign w:val="center"/>
          </w:tcPr>
          <w:p w14:paraId="1EFF0FF1" w14:textId="77777777"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r w:rsidRPr="00E407FC">
              <w:rPr>
                <w:rFonts w:ascii="Arial" w:hAnsi="Arial" w:cs="Arial"/>
                <w:color w:val="17365D" w:themeColor="text2" w:themeShade="BF"/>
                <w:sz w:val="18"/>
                <w:szCs w:val="18"/>
              </w:rPr>
              <w:t>%</w:t>
            </w:r>
          </w:p>
        </w:tc>
        <w:tc>
          <w:tcPr>
            <w:tcW w:w="845" w:type="dxa"/>
            <w:gridSpan w:val="2"/>
            <w:vAlign w:val="center"/>
          </w:tcPr>
          <w:p w14:paraId="3A1365E5" w14:textId="77777777"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844" w:type="dxa"/>
            <w:vAlign w:val="center"/>
          </w:tcPr>
          <w:p w14:paraId="1538D7C3" w14:textId="77777777"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9.4</w:t>
            </w:r>
            <w:r w:rsidRPr="00E407FC">
              <w:rPr>
                <w:rFonts w:ascii="Arial" w:hAnsi="Arial" w:cs="Arial"/>
                <w:color w:val="17365D" w:themeColor="text2" w:themeShade="BF"/>
                <w:sz w:val="18"/>
                <w:szCs w:val="18"/>
              </w:rPr>
              <w:t>%</w:t>
            </w:r>
          </w:p>
        </w:tc>
        <w:tc>
          <w:tcPr>
            <w:tcW w:w="844" w:type="dxa"/>
            <w:vAlign w:val="center"/>
          </w:tcPr>
          <w:p w14:paraId="40BA17F3" w14:textId="77777777"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2.8</w:t>
            </w:r>
            <w:r w:rsidRPr="00E407FC">
              <w:rPr>
                <w:rFonts w:ascii="Arial" w:hAnsi="Arial" w:cs="Arial"/>
                <w:color w:val="17365D" w:themeColor="text2" w:themeShade="BF"/>
                <w:sz w:val="18"/>
                <w:szCs w:val="18"/>
              </w:rPr>
              <w:t>%</w:t>
            </w:r>
          </w:p>
        </w:tc>
        <w:tc>
          <w:tcPr>
            <w:tcW w:w="844" w:type="dxa"/>
            <w:vAlign w:val="center"/>
          </w:tcPr>
          <w:p w14:paraId="3E35A363" w14:textId="77777777"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+9.</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844" w:type="dxa"/>
            <w:vAlign w:val="center"/>
          </w:tcPr>
          <w:p w14:paraId="2AC9EC33" w14:textId="77777777"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16.6</w:t>
            </w:r>
            <w:r w:rsidRPr="00C7349C">
              <w:rPr>
                <w:rFonts w:ascii="Arial" w:hAnsi="Arial" w:cs="Arial"/>
                <w:bCs/>
                <w:color w:val="17365D" w:themeColor="text2" w:themeShade="BF"/>
                <w:sz w:val="18"/>
                <w:szCs w:val="18"/>
              </w:rPr>
              <w:t>%</w:t>
            </w:r>
          </w:p>
        </w:tc>
        <w:tc>
          <w:tcPr>
            <w:tcW w:w="844" w:type="dxa"/>
            <w:vAlign w:val="center"/>
          </w:tcPr>
          <w:p w14:paraId="1F773533" w14:textId="468EFE89"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11.0</w:t>
            </w:r>
            <w:r w:rsidRPr="00C7349C">
              <w:rPr>
                <w:rFonts w:ascii="Arial" w:hAnsi="Arial" w:cs="Arial"/>
                <w:bCs/>
                <w:color w:val="17365D" w:themeColor="text2" w:themeShade="BF"/>
                <w:sz w:val="18"/>
                <w:szCs w:val="18"/>
              </w:rPr>
              <w:t>%</w:t>
            </w:r>
          </w:p>
        </w:tc>
        <w:tc>
          <w:tcPr>
            <w:tcW w:w="844" w:type="dxa"/>
            <w:vAlign w:val="center"/>
          </w:tcPr>
          <w:p w14:paraId="3B40A2BF" w14:textId="0BDA9563" w:rsidR="005E13EA" w:rsidRPr="00E407FC"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268</w:t>
            </w:r>
            <w:r w:rsidRPr="00E407FC">
              <w:rPr>
                <w:rFonts w:ascii="Arial" w:hAnsi="Arial" w:cs="Arial"/>
                <w:bCs/>
                <w:color w:val="17365D" w:themeColor="text2" w:themeShade="BF"/>
                <w:sz w:val="18"/>
                <w:szCs w:val="18"/>
              </w:rPr>
              <w:t>M</w:t>
            </w:r>
          </w:p>
        </w:tc>
        <w:tc>
          <w:tcPr>
            <w:tcW w:w="844" w:type="dxa"/>
            <w:vAlign w:val="center"/>
          </w:tcPr>
          <w:p w14:paraId="39B03C39" w14:textId="727933B2" w:rsidR="005E13EA" w:rsidRDefault="005E13EA" w:rsidP="007373EF">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9.9</w:t>
            </w:r>
            <w:r w:rsidRPr="00E407FC">
              <w:rPr>
                <w:rFonts w:ascii="Arial" w:hAnsi="Arial" w:cs="Arial"/>
                <w:bCs/>
                <w:color w:val="17365D" w:themeColor="text2" w:themeShade="BF"/>
                <w:sz w:val="18"/>
                <w:szCs w:val="18"/>
              </w:rPr>
              <w:t>%</w:t>
            </w:r>
          </w:p>
        </w:tc>
        <w:tc>
          <w:tcPr>
            <w:tcW w:w="844" w:type="dxa"/>
            <w:vAlign w:val="center"/>
          </w:tcPr>
          <w:p w14:paraId="39033172" w14:textId="3009BC23" w:rsidR="005E13EA" w:rsidRPr="009B4A81" w:rsidRDefault="005E13EA" w:rsidP="007373E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15.1</w:t>
            </w:r>
            <w:r w:rsidRPr="009B4A81">
              <w:rPr>
                <w:rFonts w:ascii="Arial" w:hAnsi="Arial" w:cs="Arial"/>
                <w:color w:val="215868" w:themeColor="accent5" w:themeShade="80"/>
                <w:sz w:val="18"/>
                <w:szCs w:val="18"/>
              </w:rPr>
              <w:t>%</w:t>
            </w:r>
          </w:p>
        </w:tc>
      </w:tr>
      <w:tr w:rsidR="00211933" w:rsidRPr="00E407FC" w14:paraId="1D1E2427" w14:textId="77777777" w:rsidTr="007373EF">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0360F3B" w14:textId="0C8DF85F" w:rsidR="00DD2F0B" w:rsidRPr="00E407FC" w:rsidRDefault="000933A2" w:rsidP="000811E7">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Peaches</w:t>
            </w:r>
          </w:p>
        </w:tc>
        <w:tc>
          <w:tcPr>
            <w:tcW w:w="1020" w:type="dxa"/>
            <w:gridSpan w:val="3"/>
            <w:vAlign w:val="center"/>
          </w:tcPr>
          <w:p w14:paraId="14F3392E" w14:textId="029B40E9" w:rsidR="00DD2F0B" w:rsidRPr="00091E61" w:rsidRDefault="00017BCE"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-8.3%</w:t>
            </w:r>
          </w:p>
        </w:tc>
        <w:tc>
          <w:tcPr>
            <w:tcW w:w="844" w:type="dxa"/>
            <w:gridSpan w:val="2"/>
            <w:vAlign w:val="center"/>
          </w:tcPr>
          <w:p w14:paraId="51E55F05" w14:textId="5A5FA46B" w:rsidR="00DD2F0B" w:rsidRPr="00E407FC" w:rsidRDefault="00017BCE"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-4.5%</w:t>
            </w:r>
          </w:p>
        </w:tc>
        <w:tc>
          <w:tcPr>
            <w:tcW w:w="845" w:type="dxa"/>
            <w:gridSpan w:val="2"/>
            <w:vAlign w:val="center"/>
          </w:tcPr>
          <w:p w14:paraId="677B1D54" w14:textId="18875BC7" w:rsidR="00DD2F0B" w:rsidRPr="00E407FC" w:rsidRDefault="00BE4D67"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844" w:type="dxa"/>
            <w:vAlign w:val="center"/>
          </w:tcPr>
          <w:p w14:paraId="79210989" w14:textId="7F914810" w:rsidR="00DD2F0B" w:rsidRPr="00E407FC" w:rsidRDefault="00017BCE"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+4.5%</w:t>
            </w:r>
          </w:p>
        </w:tc>
        <w:tc>
          <w:tcPr>
            <w:tcW w:w="844" w:type="dxa"/>
            <w:vAlign w:val="center"/>
          </w:tcPr>
          <w:p w14:paraId="0377CDCD" w14:textId="31AE814C" w:rsidR="00DD2F0B" w:rsidRPr="00E407FC" w:rsidRDefault="00017BCE"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+11.9%</w:t>
            </w:r>
          </w:p>
        </w:tc>
        <w:tc>
          <w:tcPr>
            <w:tcW w:w="844" w:type="dxa"/>
            <w:vAlign w:val="center"/>
          </w:tcPr>
          <w:p w14:paraId="261EDCDC" w14:textId="7232D4B9" w:rsidR="00DD2F0B" w:rsidRPr="00E407FC" w:rsidRDefault="00BE4D67"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844" w:type="dxa"/>
            <w:vAlign w:val="center"/>
          </w:tcPr>
          <w:p w14:paraId="090B9DEC" w14:textId="0BADC09E" w:rsidR="00DD2F0B" w:rsidRDefault="00BE4D67"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844" w:type="dxa"/>
            <w:vAlign w:val="center"/>
          </w:tcPr>
          <w:p w14:paraId="086F53ED" w14:textId="36FA2763" w:rsidR="00DD2F0B" w:rsidRPr="00E407FC" w:rsidRDefault="00BE4D67"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+10.6%</w:t>
            </w:r>
          </w:p>
        </w:tc>
        <w:tc>
          <w:tcPr>
            <w:tcW w:w="844" w:type="dxa"/>
            <w:vAlign w:val="center"/>
          </w:tcPr>
          <w:p w14:paraId="1DB60A7A" w14:textId="4077E623" w:rsidR="00DD2F0B" w:rsidRPr="00E407FC"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166</w:t>
            </w:r>
            <w:r w:rsidRPr="00E407FC">
              <w:rPr>
                <w:rFonts w:ascii="Arial" w:hAnsi="Arial" w:cs="Arial"/>
                <w:bCs/>
                <w:color w:val="17365D" w:themeColor="text2" w:themeShade="BF"/>
                <w:sz w:val="18"/>
                <w:szCs w:val="18"/>
              </w:rPr>
              <w:t>M</w:t>
            </w:r>
          </w:p>
        </w:tc>
        <w:tc>
          <w:tcPr>
            <w:tcW w:w="844" w:type="dxa"/>
            <w:vAlign w:val="center"/>
          </w:tcPr>
          <w:p w14:paraId="6BBCB672" w14:textId="1E1489F7" w:rsidR="00DD2F0B" w:rsidRDefault="00951B01" w:rsidP="007373EF">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17.0</w:t>
            </w:r>
            <w:r w:rsidR="00DD2F0B" w:rsidRPr="00E407FC">
              <w:rPr>
                <w:rFonts w:ascii="Arial" w:hAnsi="Arial" w:cs="Arial"/>
                <w:bCs/>
                <w:color w:val="17365D" w:themeColor="text2" w:themeShade="BF"/>
                <w:sz w:val="18"/>
                <w:szCs w:val="18"/>
              </w:rPr>
              <w:t>%</w:t>
            </w:r>
          </w:p>
        </w:tc>
        <w:tc>
          <w:tcPr>
            <w:tcW w:w="844" w:type="dxa"/>
            <w:vAlign w:val="center"/>
          </w:tcPr>
          <w:p w14:paraId="41B0223C" w14:textId="1C827E03" w:rsidR="00DD2F0B" w:rsidRPr="009B4A81" w:rsidRDefault="00DD2F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2.8</w:t>
            </w:r>
            <w:r w:rsidRPr="009B4A81">
              <w:rPr>
                <w:rFonts w:ascii="Arial" w:hAnsi="Arial" w:cs="Arial"/>
                <w:color w:val="215868" w:themeColor="accent5" w:themeShade="80"/>
                <w:sz w:val="18"/>
                <w:szCs w:val="18"/>
              </w:rPr>
              <w:t>%</w:t>
            </w:r>
          </w:p>
        </w:tc>
      </w:tr>
      <w:tr w:rsidR="00211933" w:rsidRPr="00E407FC" w14:paraId="7AFE797C" w14:textId="77777777" w:rsidTr="008A1B9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4F274466" w14:textId="77777777" w:rsidR="00211933" w:rsidRPr="00E407FC" w:rsidRDefault="00211933" w:rsidP="008A1B9E">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Pineapple</w:t>
            </w:r>
          </w:p>
        </w:tc>
        <w:tc>
          <w:tcPr>
            <w:tcW w:w="1020" w:type="dxa"/>
            <w:gridSpan w:val="3"/>
            <w:vAlign w:val="center"/>
          </w:tcPr>
          <w:p w14:paraId="3077CA9B" w14:textId="77777777" w:rsidR="00211933" w:rsidRPr="00091E61"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p>
        </w:tc>
        <w:tc>
          <w:tcPr>
            <w:tcW w:w="844" w:type="dxa"/>
            <w:gridSpan w:val="2"/>
            <w:vAlign w:val="center"/>
          </w:tcPr>
          <w:p w14:paraId="7EA47612"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p>
        </w:tc>
        <w:tc>
          <w:tcPr>
            <w:tcW w:w="845" w:type="dxa"/>
            <w:gridSpan w:val="2"/>
            <w:vAlign w:val="center"/>
          </w:tcPr>
          <w:p w14:paraId="0652819C"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+12.0%</w:t>
            </w:r>
          </w:p>
        </w:tc>
        <w:tc>
          <w:tcPr>
            <w:tcW w:w="844" w:type="dxa"/>
            <w:vAlign w:val="center"/>
          </w:tcPr>
          <w:p w14:paraId="2642F4E5"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+10.8%</w:t>
            </w:r>
          </w:p>
        </w:tc>
        <w:tc>
          <w:tcPr>
            <w:tcW w:w="844" w:type="dxa"/>
            <w:vAlign w:val="center"/>
          </w:tcPr>
          <w:p w14:paraId="71B9CA02"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+8.3%</w:t>
            </w:r>
          </w:p>
        </w:tc>
        <w:tc>
          <w:tcPr>
            <w:tcW w:w="844" w:type="dxa"/>
            <w:vAlign w:val="center"/>
          </w:tcPr>
          <w:p w14:paraId="7F87A03D"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+11.55</w:t>
            </w:r>
          </w:p>
        </w:tc>
        <w:tc>
          <w:tcPr>
            <w:tcW w:w="844" w:type="dxa"/>
            <w:vAlign w:val="center"/>
          </w:tcPr>
          <w:p w14:paraId="111B4B8F"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+12.0%</w:t>
            </w:r>
          </w:p>
        </w:tc>
        <w:tc>
          <w:tcPr>
            <w:tcW w:w="844" w:type="dxa"/>
            <w:vAlign w:val="center"/>
          </w:tcPr>
          <w:p w14:paraId="5F2E691D" w14:textId="77777777"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+11.1%</w:t>
            </w:r>
          </w:p>
        </w:tc>
        <w:tc>
          <w:tcPr>
            <w:tcW w:w="844" w:type="dxa"/>
            <w:vAlign w:val="center"/>
          </w:tcPr>
          <w:p w14:paraId="12837845" w14:textId="65AAFAF9" w:rsidR="00211933" w:rsidRPr="00E407FC"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107</w:t>
            </w:r>
            <w:r w:rsidRPr="00E407FC">
              <w:rPr>
                <w:rFonts w:ascii="Arial" w:hAnsi="Arial" w:cs="Arial"/>
                <w:bCs/>
                <w:color w:val="17365D" w:themeColor="text2" w:themeShade="BF"/>
                <w:sz w:val="18"/>
                <w:szCs w:val="18"/>
              </w:rPr>
              <w:t>M</w:t>
            </w:r>
          </w:p>
        </w:tc>
        <w:tc>
          <w:tcPr>
            <w:tcW w:w="844" w:type="dxa"/>
            <w:vAlign w:val="center"/>
          </w:tcPr>
          <w:p w14:paraId="58A9B6C6" w14:textId="52A5AB62" w:rsidR="00211933" w:rsidRDefault="00211933" w:rsidP="008A1B9E">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12.3</w:t>
            </w:r>
            <w:r w:rsidRPr="00E407FC">
              <w:rPr>
                <w:rFonts w:ascii="Arial" w:hAnsi="Arial" w:cs="Arial"/>
                <w:bCs/>
                <w:color w:val="17365D" w:themeColor="text2" w:themeShade="BF"/>
                <w:sz w:val="18"/>
                <w:szCs w:val="18"/>
              </w:rPr>
              <w:t>%</w:t>
            </w:r>
          </w:p>
        </w:tc>
        <w:tc>
          <w:tcPr>
            <w:tcW w:w="844" w:type="dxa"/>
            <w:vAlign w:val="center"/>
          </w:tcPr>
          <w:p w14:paraId="01D59D41" w14:textId="71386A3C" w:rsidR="00211933" w:rsidRPr="009B4A81" w:rsidRDefault="00211933"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C06A0B">
              <w:rPr>
                <w:rFonts w:ascii="Arial" w:hAnsi="Arial" w:cs="Arial"/>
                <w:color w:val="215868" w:themeColor="accent5" w:themeShade="80"/>
                <w:sz w:val="18"/>
                <w:szCs w:val="18"/>
              </w:rPr>
              <w:t>1.1</w:t>
            </w:r>
            <w:r w:rsidRPr="009B4A81">
              <w:rPr>
                <w:rFonts w:ascii="Arial" w:hAnsi="Arial" w:cs="Arial"/>
                <w:color w:val="215868" w:themeColor="accent5" w:themeShade="80"/>
                <w:sz w:val="18"/>
                <w:szCs w:val="18"/>
              </w:rPr>
              <w:t>%</w:t>
            </w:r>
          </w:p>
        </w:tc>
      </w:tr>
      <w:tr w:rsidR="00211933" w:rsidRPr="00E407FC" w14:paraId="16DDB452" w14:textId="77777777" w:rsidTr="007373EF">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2E6AE716" w14:textId="2A49C5B1" w:rsidR="005E13EA" w:rsidRPr="00E407FC" w:rsidRDefault="00211933" w:rsidP="00951B01">
            <w:pPr>
              <w:pStyle w:val="NoSpacing"/>
              <w:rPr>
                <w:rFonts w:ascii="Arial" w:hAnsi="Arial" w:cs="Arial"/>
                <w:b w:val="0"/>
                <w:color w:val="17365D" w:themeColor="text2" w:themeShade="BF"/>
                <w:sz w:val="18"/>
                <w:szCs w:val="18"/>
              </w:rPr>
            </w:pPr>
            <w:r>
              <w:rPr>
                <w:rFonts w:ascii="Arial" w:hAnsi="Arial" w:cs="Arial"/>
                <w:b w:val="0"/>
                <w:color w:val="17365D" w:themeColor="text2" w:themeShade="BF"/>
                <w:sz w:val="18"/>
                <w:szCs w:val="18"/>
              </w:rPr>
              <w:t>Mixed fruit</w:t>
            </w:r>
          </w:p>
        </w:tc>
        <w:tc>
          <w:tcPr>
            <w:tcW w:w="1020" w:type="dxa"/>
            <w:gridSpan w:val="3"/>
            <w:vAlign w:val="center"/>
          </w:tcPr>
          <w:p w14:paraId="563014A7" w14:textId="6A2D05BF" w:rsidR="005E13EA" w:rsidRPr="00091E61"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p>
        </w:tc>
        <w:tc>
          <w:tcPr>
            <w:tcW w:w="844" w:type="dxa"/>
            <w:gridSpan w:val="2"/>
            <w:vAlign w:val="center"/>
          </w:tcPr>
          <w:p w14:paraId="0D952675" w14:textId="03B80119"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-10.4%</w:t>
            </w:r>
          </w:p>
        </w:tc>
        <w:tc>
          <w:tcPr>
            <w:tcW w:w="845" w:type="dxa"/>
            <w:gridSpan w:val="2"/>
            <w:vAlign w:val="center"/>
          </w:tcPr>
          <w:p w14:paraId="2DF11D8A" w14:textId="6E793B3D"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+8.4%</w:t>
            </w:r>
          </w:p>
        </w:tc>
        <w:tc>
          <w:tcPr>
            <w:tcW w:w="844" w:type="dxa"/>
            <w:vAlign w:val="center"/>
          </w:tcPr>
          <w:p w14:paraId="1606F21B" w14:textId="156C59B9"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+59.3%</w:t>
            </w:r>
          </w:p>
        </w:tc>
        <w:tc>
          <w:tcPr>
            <w:tcW w:w="844" w:type="dxa"/>
            <w:vAlign w:val="center"/>
          </w:tcPr>
          <w:p w14:paraId="2382A76A" w14:textId="684FEFF6"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+28.8%</w:t>
            </w:r>
          </w:p>
        </w:tc>
        <w:tc>
          <w:tcPr>
            <w:tcW w:w="844" w:type="dxa"/>
            <w:vAlign w:val="center"/>
          </w:tcPr>
          <w:p w14:paraId="665D4A6C" w14:textId="06E34540"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+30.3%</w:t>
            </w:r>
          </w:p>
        </w:tc>
        <w:tc>
          <w:tcPr>
            <w:tcW w:w="844" w:type="dxa"/>
            <w:vAlign w:val="center"/>
          </w:tcPr>
          <w:p w14:paraId="23FD04ED" w14:textId="7913E631"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+18.4%</w:t>
            </w:r>
          </w:p>
        </w:tc>
        <w:tc>
          <w:tcPr>
            <w:tcW w:w="844" w:type="dxa"/>
            <w:vAlign w:val="center"/>
          </w:tcPr>
          <w:p w14:paraId="3CB2BCF5" w14:textId="7013D088" w:rsidR="005E13EA" w:rsidRPr="00E407FC"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+3.5%</w:t>
            </w:r>
          </w:p>
        </w:tc>
        <w:tc>
          <w:tcPr>
            <w:tcW w:w="844" w:type="dxa"/>
            <w:vAlign w:val="center"/>
          </w:tcPr>
          <w:p w14:paraId="3007DA12" w14:textId="6EA088B6" w:rsidR="005E13EA" w:rsidRPr="00E407FC" w:rsidRDefault="005E13EA"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C06A0B">
              <w:rPr>
                <w:rFonts w:ascii="Arial" w:hAnsi="Arial" w:cs="Arial"/>
                <w:bCs/>
                <w:color w:val="17365D" w:themeColor="text2" w:themeShade="BF"/>
                <w:sz w:val="18"/>
                <w:szCs w:val="18"/>
              </w:rPr>
              <w:t>104</w:t>
            </w:r>
            <w:r w:rsidRPr="00E407FC">
              <w:rPr>
                <w:rFonts w:ascii="Arial" w:hAnsi="Arial" w:cs="Arial"/>
                <w:bCs/>
                <w:color w:val="17365D" w:themeColor="text2" w:themeShade="BF"/>
                <w:sz w:val="18"/>
                <w:szCs w:val="18"/>
              </w:rPr>
              <w:t>M</w:t>
            </w:r>
          </w:p>
        </w:tc>
        <w:tc>
          <w:tcPr>
            <w:tcW w:w="844" w:type="dxa"/>
            <w:vAlign w:val="center"/>
          </w:tcPr>
          <w:p w14:paraId="3845C0ED" w14:textId="2D8C0469" w:rsidR="005E13EA" w:rsidRDefault="00C06A0B" w:rsidP="007373EF">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-2.2</w:t>
            </w:r>
            <w:r w:rsidR="005E13EA" w:rsidRPr="00E407FC">
              <w:rPr>
                <w:rFonts w:ascii="Arial" w:hAnsi="Arial" w:cs="Arial"/>
                <w:bCs/>
                <w:color w:val="17365D" w:themeColor="text2" w:themeShade="BF"/>
                <w:sz w:val="18"/>
                <w:szCs w:val="18"/>
              </w:rPr>
              <w:t>%</w:t>
            </w:r>
          </w:p>
        </w:tc>
        <w:tc>
          <w:tcPr>
            <w:tcW w:w="844" w:type="dxa"/>
            <w:vAlign w:val="center"/>
          </w:tcPr>
          <w:p w14:paraId="67071C83" w14:textId="68C04F83" w:rsidR="005E13EA" w:rsidRPr="009B4A81" w:rsidRDefault="00C06A0B" w:rsidP="007373E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-10.5</w:t>
            </w:r>
            <w:r w:rsidR="005E13EA" w:rsidRPr="009B4A81">
              <w:rPr>
                <w:rFonts w:ascii="Arial" w:hAnsi="Arial" w:cs="Arial"/>
                <w:color w:val="215868" w:themeColor="accent5" w:themeShade="80"/>
                <w:sz w:val="18"/>
                <w:szCs w:val="18"/>
              </w:rPr>
              <w:t>%</w:t>
            </w:r>
          </w:p>
        </w:tc>
      </w:tr>
    </w:tbl>
    <w:p w14:paraId="09DFFB42" w14:textId="2303DBBB"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3EF2F674" w14:textId="7B6BB7F0" w:rsidR="009C4990" w:rsidRDefault="009C4990" w:rsidP="00B10C22">
      <w:pPr>
        <w:pStyle w:val="NoSpacing"/>
        <w:rPr>
          <w:rFonts w:ascii="Arial" w:hAnsi="Arial" w:cs="Arial"/>
          <w:b/>
          <w:color w:val="595959" w:themeColor="text1" w:themeTint="A6"/>
          <w:sz w:val="24"/>
          <w:szCs w:val="24"/>
        </w:rPr>
      </w:pPr>
    </w:p>
    <w:p w14:paraId="16F61730" w14:textId="6A75A8D5"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0933A2">
        <w:rPr>
          <w:rFonts w:ascii="Arial" w:hAnsi="Arial" w:cs="Arial"/>
          <w:b/>
          <w:color w:val="595959" w:themeColor="text1" w:themeTint="A6"/>
          <w:sz w:val="24"/>
          <w:szCs w:val="24"/>
        </w:rPr>
        <w:t>Ju</w:t>
      </w:r>
      <w:r w:rsidR="008342E9">
        <w:rPr>
          <w:rFonts w:ascii="Arial" w:hAnsi="Arial" w:cs="Arial"/>
          <w:b/>
          <w:color w:val="595959" w:themeColor="text1" w:themeTint="A6"/>
          <w:sz w:val="24"/>
          <w:szCs w:val="24"/>
        </w:rPr>
        <w:t>ly</w:t>
      </w:r>
    </w:p>
    <w:p w14:paraId="79E43D5D" w14:textId="0A529001" w:rsidR="00836D73" w:rsidRDefault="007273B2" w:rsidP="00B10C22">
      <w:pPr>
        <w:pStyle w:val="NoSpacing"/>
        <w:rPr>
          <w:rFonts w:ascii="Arial" w:hAnsi="Arial" w:cs="Arial"/>
          <w:sz w:val="20"/>
          <w:szCs w:val="20"/>
        </w:rPr>
      </w:pPr>
      <w:r>
        <w:rPr>
          <w:rFonts w:ascii="Arial" w:hAnsi="Arial" w:cs="Arial"/>
          <w:sz w:val="20"/>
          <w:szCs w:val="20"/>
        </w:rPr>
        <w:t>“</w:t>
      </w:r>
      <w:r w:rsidR="007C182F">
        <w:rPr>
          <w:rFonts w:ascii="Arial" w:hAnsi="Arial" w:cs="Arial"/>
          <w:sz w:val="20"/>
          <w:szCs w:val="20"/>
        </w:rPr>
        <w:t>Ju</w:t>
      </w:r>
      <w:r w:rsidR="00C66ED4">
        <w:rPr>
          <w:rFonts w:ascii="Arial" w:hAnsi="Arial" w:cs="Arial"/>
          <w:sz w:val="20"/>
          <w:szCs w:val="20"/>
        </w:rPr>
        <w:t>ly</w:t>
      </w:r>
      <w:r w:rsidR="007C182F">
        <w:rPr>
          <w:rFonts w:ascii="Arial" w:hAnsi="Arial" w:cs="Arial"/>
          <w:sz w:val="20"/>
          <w:szCs w:val="20"/>
        </w:rPr>
        <w:t>’s vegetable performance was very mixed</w:t>
      </w:r>
      <w:r w:rsidR="00546508">
        <w:rPr>
          <w:rFonts w:ascii="Arial" w:hAnsi="Arial" w:cs="Arial"/>
          <w:sz w:val="20"/>
          <w:szCs w:val="20"/>
        </w:rPr>
        <w:t xml:space="preserve">,” said Watson. </w:t>
      </w:r>
      <w:r w:rsidR="00084469">
        <w:rPr>
          <w:rFonts w:ascii="Arial" w:hAnsi="Arial" w:cs="Arial"/>
          <w:sz w:val="20"/>
          <w:szCs w:val="20"/>
        </w:rPr>
        <w:t>“</w:t>
      </w:r>
      <w:r w:rsidR="00C66ED4">
        <w:rPr>
          <w:rFonts w:ascii="Arial" w:hAnsi="Arial" w:cs="Arial"/>
          <w:sz w:val="20"/>
          <w:szCs w:val="20"/>
        </w:rPr>
        <w:t>While most top sellers</w:t>
      </w:r>
      <w:r w:rsidR="007C182F">
        <w:rPr>
          <w:rFonts w:ascii="Arial" w:hAnsi="Arial" w:cs="Arial"/>
          <w:sz w:val="20"/>
          <w:szCs w:val="20"/>
        </w:rPr>
        <w:t xml:space="preserve"> increased dollar sales </w:t>
      </w:r>
      <w:r w:rsidR="00C66ED4">
        <w:rPr>
          <w:rFonts w:ascii="Arial" w:hAnsi="Arial" w:cs="Arial"/>
          <w:sz w:val="20"/>
          <w:szCs w:val="20"/>
        </w:rPr>
        <w:t>none saw volume increases. A stark illustration of the difficult marketplace</w:t>
      </w:r>
      <w:r w:rsidR="006852E6">
        <w:rPr>
          <w:rFonts w:ascii="Arial" w:hAnsi="Arial" w:cs="Arial"/>
          <w:sz w:val="20"/>
          <w:szCs w:val="20"/>
        </w:rPr>
        <w:t>.</w:t>
      </w:r>
      <w:r w:rsidR="00891C7E">
        <w:rPr>
          <w:rFonts w:ascii="Arial" w:hAnsi="Arial" w:cs="Arial"/>
          <w:sz w:val="20"/>
          <w:szCs w:val="20"/>
        </w:rPr>
        <w:t>”</w:t>
      </w:r>
      <w:r w:rsidR="00AA16AD">
        <w:rPr>
          <w:rFonts w:ascii="Arial" w:hAnsi="Arial" w:cs="Arial"/>
          <w:sz w:val="20"/>
          <w:szCs w:val="20"/>
        </w:rPr>
        <w:t xml:space="preserve"> </w:t>
      </w:r>
    </w:p>
    <w:p w14:paraId="44130A14" w14:textId="77777777" w:rsidR="001F53D3" w:rsidRPr="002E6833" w:rsidRDefault="001F53D3" w:rsidP="00B10C22">
      <w:pPr>
        <w:pStyle w:val="NoSpacing"/>
        <w:rPr>
          <w:rFonts w:ascii="Arial" w:hAnsi="Arial" w:cs="Arial"/>
          <w:sz w:val="18"/>
          <w:szCs w:val="20"/>
        </w:rPr>
      </w:pPr>
    </w:p>
    <w:tbl>
      <w:tblPr>
        <w:tblStyle w:val="LightShading-Accent5"/>
        <w:tblW w:w="10651" w:type="dxa"/>
        <w:tblBorders>
          <w:top w:val="none" w:sz="0" w:space="0" w:color="auto"/>
          <w:bottom w:val="none" w:sz="0" w:space="0" w:color="auto"/>
        </w:tblBorders>
        <w:tblLayout w:type="fixed"/>
        <w:tblLook w:val="04A0" w:firstRow="1" w:lastRow="0" w:firstColumn="1" w:lastColumn="0" w:noHBand="0" w:noVBand="1"/>
      </w:tblPr>
      <w:tblGrid>
        <w:gridCol w:w="1170"/>
        <w:gridCol w:w="290"/>
        <w:gridCol w:w="571"/>
        <w:gridCol w:w="162"/>
        <w:gridCol w:w="693"/>
        <w:gridCol w:w="153"/>
        <w:gridCol w:w="698"/>
        <w:gridCol w:w="148"/>
        <w:gridCol w:w="845"/>
        <w:gridCol w:w="846"/>
        <w:gridCol w:w="846"/>
        <w:gridCol w:w="845"/>
        <w:gridCol w:w="846"/>
        <w:gridCol w:w="846"/>
        <w:gridCol w:w="846"/>
        <w:gridCol w:w="846"/>
      </w:tblGrid>
      <w:tr w:rsidR="0020634E" w:rsidRPr="0003007F" w14:paraId="7A470830" w14:textId="77777777" w:rsidTr="007C182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31" w:type="dxa"/>
            <w:gridSpan w:val="3"/>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9766D52" w14:textId="77777777" w:rsidR="0020634E" w:rsidRPr="00AB1306" w:rsidRDefault="0020634E"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55"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9174915" w14:textId="77777777" w:rsidR="0020634E" w:rsidRPr="00AB1306" w:rsidRDefault="0020634E"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5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5C882C9F" w14:textId="77777777" w:rsidR="0020634E" w:rsidRPr="00AB1306" w:rsidRDefault="0020634E"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914" w:type="dxa"/>
            <w:gridSpan w:val="9"/>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F4CA447" w14:textId="2CFC0CEA" w:rsidR="0020634E" w:rsidRPr="0003007F" w:rsidRDefault="0020634E"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w:t>
            </w:r>
            <w:r>
              <w:rPr>
                <w:rFonts w:ascii="Arial" w:hAnsi="Arial" w:cs="Arial"/>
                <w:color w:val="FFFFFF" w:themeColor="background1"/>
                <w:sz w:val="18"/>
                <w:szCs w:val="18"/>
              </w:rPr>
              <w:t>YA</w:t>
            </w:r>
          </w:p>
        </w:tc>
      </w:tr>
      <w:tr w:rsidR="0020634E" w:rsidRPr="0003007F" w14:paraId="1A8BBFDE" w14:textId="77777777" w:rsidTr="007C182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60" w:type="dxa"/>
            <w:gridSpan w:val="2"/>
            <w:tcBorders>
              <w:left w:val="none" w:sz="0" w:space="0" w:color="auto"/>
              <w:right w:val="none" w:sz="0" w:space="0" w:color="auto"/>
            </w:tcBorders>
            <w:shd w:val="clear" w:color="auto" w:fill="17365D" w:themeFill="text2" w:themeFillShade="BF"/>
            <w:vAlign w:val="center"/>
          </w:tcPr>
          <w:p w14:paraId="121215D2" w14:textId="77777777" w:rsidR="0020634E" w:rsidRPr="0003007F" w:rsidRDefault="0020634E" w:rsidP="00A052A1">
            <w:pPr>
              <w:pStyle w:val="NoSpacing"/>
              <w:jc w:val="right"/>
              <w:rPr>
                <w:rFonts w:ascii="Arial" w:hAnsi="Arial" w:cs="Arial"/>
                <w:color w:val="FFFFFF" w:themeColor="background1"/>
                <w:sz w:val="18"/>
                <w:szCs w:val="18"/>
              </w:rPr>
            </w:pPr>
          </w:p>
        </w:tc>
        <w:tc>
          <w:tcPr>
            <w:tcW w:w="733" w:type="dxa"/>
            <w:gridSpan w:val="2"/>
            <w:tcBorders>
              <w:left w:val="none" w:sz="0" w:space="0" w:color="auto"/>
              <w:right w:val="none" w:sz="0" w:space="0" w:color="auto"/>
            </w:tcBorders>
            <w:shd w:val="clear" w:color="auto" w:fill="17365D" w:themeFill="text2" w:themeFillShade="BF"/>
            <w:vAlign w:val="bottom"/>
          </w:tcPr>
          <w:p w14:paraId="5ADBE0D8" w14:textId="77777777" w:rsidR="0020634E" w:rsidRPr="000F7932" w:rsidRDefault="0020634E"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846" w:type="dxa"/>
            <w:gridSpan w:val="2"/>
            <w:tcBorders>
              <w:left w:val="none" w:sz="0" w:space="0" w:color="auto"/>
              <w:right w:val="none" w:sz="0" w:space="0" w:color="auto"/>
            </w:tcBorders>
            <w:shd w:val="clear" w:color="auto" w:fill="17365D" w:themeFill="text2" w:themeFillShade="BF"/>
            <w:vAlign w:val="bottom"/>
          </w:tcPr>
          <w:p w14:paraId="404DAA37" w14:textId="77777777" w:rsidR="0020634E" w:rsidRPr="000F7932" w:rsidRDefault="0020634E"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846" w:type="dxa"/>
            <w:gridSpan w:val="2"/>
            <w:tcBorders>
              <w:left w:val="none" w:sz="0" w:space="0" w:color="auto"/>
              <w:right w:val="none" w:sz="0" w:space="0" w:color="auto"/>
            </w:tcBorders>
            <w:shd w:val="clear" w:color="auto" w:fill="17365D" w:themeFill="text2" w:themeFillShade="BF"/>
            <w:vAlign w:val="bottom"/>
          </w:tcPr>
          <w:p w14:paraId="7E87E175" w14:textId="6F836E9E"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845" w:type="dxa"/>
            <w:tcBorders>
              <w:left w:val="none" w:sz="0" w:space="0" w:color="auto"/>
              <w:right w:val="none" w:sz="0" w:space="0" w:color="auto"/>
            </w:tcBorders>
            <w:shd w:val="clear" w:color="auto" w:fill="17365D" w:themeFill="text2" w:themeFillShade="BF"/>
            <w:vAlign w:val="bottom"/>
          </w:tcPr>
          <w:p w14:paraId="3DE151C5" w14:textId="4E42B0BF"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846" w:type="dxa"/>
            <w:tcBorders>
              <w:left w:val="none" w:sz="0" w:space="0" w:color="auto"/>
              <w:right w:val="none" w:sz="0" w:space="0" w:color="auto"/>
            </w:tcBorders>
            <w:shd w:val="clear" w:color="auto" w:fill="17365D" w:themeFill="text2" w:themeFillShade="BF"/>
            <w:vAlign w:val="bottom"/>
          </w:tcPr>
          <w:p w14:paraId="080ACD9C" w14:textId="739C4CFE"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46" w:type="dxa"/>
            <w:tcBorders>
              <w:left w:val="none" w:sz="0" w:space="0" w:color="auto"/>
              <w:right w:val="none" w:sz="0" w:space="0" w:color="auto"/>
            </w:tcBorders>
            <w:shd w:val="clear" w:color="auto" w:fill="17365D" w:themeFill="text2" w:themeFillShade="BF"/>
            <w:vAlign w:val="bottom"/>
          </w:tcPr>
          <w:p w14:paraId="217E8163" w14:textId="130CF83F"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45" w:type="dxa"/>
            <w:tcBorders>
              <w:left w:val="none" w:sz="0" w:space="0" w:color="auto"/>
              <w:right w:val="none" w:sz="0" w:space="0" w:color="auto"/>
            </w:tcBorders>
            <w:shd w:val="clear" w:color="auto" w:fill="17365D" w:themeFill="text2" w:themeFillShade="BF"/>
          </w:tcPr>
          <w:p w14:paraId="0482655D" w14:textId="77777777" w:rsidR="0020634E"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0D3670C9" w14:textId="6D7258FC"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46" w:type="dxa"/>
            <w:tcBorders>
              <w:left w:val="none" w:sz="0" w:space="0" w:color="auto"/>
              <w:right w:val="none" w:sz="0" w:space="0" w:color="auto"/>
            </w:tcBorders>
            <w:shd w:val="clear" w:color="auto" w:fill="17365D" w:themeFill="text2" w:themeFillShade="BF"/>
            <w:vAlign w:val="bottom"/>
          </w:tcPr>
          <w:p w14:paraId="6DC49C85" w14:textId="0A2E304B" w:rsidR="0020634E" w:rsidRDefault="0020634E" w:rsidP="0020634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22</w:t>
            </w:r>
          </w:p>
        </w:tc>
        <w:tc>
          <w:tcPr>
            <w:tcW w:w="846" w:type="dxa"/>
            <w:tcBorders>
              <w:left w:val="none" w:sz="0" w:space="0" w:color="auto"/>
              <w:right w:val="none" w:sz="0" w:space="0" w:color="auto"/>
            </w:tcBorders>
            <w:shd w:val="clear" w:color="auto" w:fill="17365D" w:themeFill="text2" w:themeFillShade="BF"/>
            <w:vAlign w:val="bottom"/>
          </w:tcPr>
          <w:p w14:paraId="39075783" w14:textId="41D10C6E" w:rsidR="0020634E" w:rsidRDefault="00951B0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Jul</w:t>
            </w:r>
            <w:r w:rsidR="0020634E">
              <w:rPr>
                <w:rFonts w:ascii="Arial" w:hAnsi="Arial" w:cs="Arial"/>
                <w:b/>
                <w:color w:val="FFFFFF" w:themeColor="background1"/>
                <w:sz w:val="18"/>
                <w:szCs w:val="18"/>
              </w:rPr>
              <w:t xml:space="preserve"> 22</w:t>
            </w:r>
          </w:p>
        </w:tc>
        <w:tc>
          <w:tcPr>
            <w:tcW w:w="846" w:type="dxa"/>
            <w:tcBorders>
              <w:left w:val="none" w:sz="0" w:space="0" w:color="auto"/>
              <w:right w:val="none" w:sz="0" w:space="0" w:color="auto"/>
            </w:tcBorders>
            <w:shd w:val="clear" w:color="auto" w:fill="17365D" w:themeFill="text2" w:themeFillShade="BF"/>
            <w:vAlign w:val="bottom"/>
          </w:tcPr>
          <w:p w14:paraId="7C917CDF" w14:textId="7E9B3F40"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846" w:type="dxa"/>
            <w:tcBorders>
              <w:left w:val="none" w:sz="0" w:space="0" w:color="auto"/>
              <w:right w:val="none" w:sz="0" w:space="0" w:color="auto"/>
            </w:tcBorders>
            <w:shd w:val="clear" w:color="auto" w:fill="17365D" w:themeFill="text2" w:themeFillShade="BF"/>
            <w:vAlign w:val="bottom"/>
          </w:tcPr>
          <w:p w14:paraId="74707D81" w14:textId="51B49671" w:rsidR="0020634E" w:rsidRPr="000F7932" w:rsidRDefault="0020634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lbs vs YA</w:t>
            </w:r>
          </w:p>
        </w:tc>
      </w:tr>
      <w:tr w:rsidR="0020634E" w:rsidRPr="000C4A54" w14:paraId="64FEFD1E" w14:textId="77777777" w:rsidTr="000933A2">
        <w:trPr>
          <w:trHeight w:val="298"/>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7E4C60D1" w14:textId="77777777" w:rsidR="0020634E" w:rsidRPr="000C4A54" w:rsidRDefault="0020634E" w:rsidP="0020634E">
            <w:pPr>
              <w:pStyle w:val="NoSpacing"/>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Fresh vegetables</w:t>
            </w:r>
          </w:p>
        </w:tc>
        <w:tc>
          <w:tcPr>
            <w:tcW w:w="1023" w:type="dxa"/>
            <w:gridSpan w:val="3"/>
            <w:vAlign w:val="center"/>
          </w:tcPr>
          <w:p w14:paraId="532B2278" w14:textId="0DB4AB9F"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0933A2">
              <w:rPr>
                <w:rFonts w:ascii="Arial" w:hAnsi="Arial" w:cs="Arial"/>
                <w:b/>
                <w:bCs/>
                <w:color w:val="215868" w:themeColor="accent5" w:themeShade="80"/>
                <w:sz w:val="18"/>
                <w:szCs w:val="18"/>
              </w:rPr>
              <w:t>4</w:t>
            </w:r>
            <w:r w:rsidRPr="000C4A54">
              <w:rPr>
                <w:rFonts w:ascii="Arial" w:hAnsi="Arial" w:cs="Arial"/>
                <w:b/>
                <w:bCs/>
                <w:color w:val="215868" w:themeColor="accent5" w:themeShade="80"/>
                <w:sz w:val="18"/>
                <w:szCs w:val="18"/>
              </w:rPr>
              <w:t>%</w:t>
            </w:r>
          </w:p>
        </w:tc>
        <w:tc>
          <w:tcPr>
            <w:tcW w:w="846" w:type="dxa"/>
            <w:gridSpan w:val="2"/>
            <w:vAlign w:val="center"/>
          </w:tcPr>
          <w:p w14:paraId="38D628D7" w14:textId="2AB16628"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+14.8%</w:t>
            </w:r>
          </w:p>
        </w:tc>
        <w:tc>
          <w:tcPr>
            <w:tcW w:w="846" w:type="dxa"/>
            <w:gridSpan w:val="2"/>
            <w:vAlign w:val="center"/>
          </w:tcPr>
          <w:p w14:paraId="0AE99261" w14:textId="3F80A9FB"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+4.7%</w:t>
            </w:r>
          </w:p>
        </w:tc>
        <w:tc>
          <w:tcPr>
            <w:tcW w:w="845" w:type="dxa"/>
            <w:vAlign w:val="center"/>
          </w:tcPr>
          <w:p w14:paraId="3DA157A6" w14:textId="692137B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-7.1%</w:t>
            </w:r>
          </w:p>
        </w:tc>
        <w:tc>
          <w:tcPr>
            <w:tcW w:w="846" w:type="dxa"/>
            <w:vAlign w:val="center"/>
          </w:tcPr>
          <w:p w14:paraId="71AC4EEC" w14:textId="605113E5"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-2.3%</w:t>
            </w:r>
          </w:p>
        </w:tc>
        <w:tc>
          <w:tcPr>
            <w:tcW w:w="846" w:type="dxa"/>
            <w:vAlign w:val="center"/>
          </w:tcPr>
          <w:p w14:paraId="7A5CA8D8"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sidRPr="000C4A54">
              <w:rPr>
                <w:rFonts w:ascii="Arial" w:hAnsi="Arial" w:cs="Arial"/>
                <w:b/>
                <w:bCs/>
                <w:color w:val="215868" w:themeColor="accent5" w:themeShade="80"/>
                <w:sz w:val="18"/>
              </w:rPr>
              <w:t>+0.1%</w:t>
            </w:r>
          </w:p>
        </w:tc>
        <w:tc>
          <w:tcPr>
            <w:tcW w:w="845" w:type="dxa"/>
            <w:vAlign w:val="center"/>
          </w:tcPr>
          <w:p w14:paraId="4FC66313" w14:textId="11C5FAA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-0.4%</w:t>
            </w:r>
          </w:p>
        </w:tc>
        <w:tc>
          <w:tcPr>
            <w:tcW w:w="846" w:type="dxa"/>
            <w:vAlign w:val="center"/>
          </w:tcPr>
          <w:p w14:paraId="0FD3E1A9" w14:textId="14891A36" w:rsidR="0020634E" w:rsidRPr="000C4A54" w:rsidRDefault="00017BC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+2.9</w:t>
            </w:r>
            <w:r w:rsidR="0020634E" w:rsidRPr="000C4A54">
              <w:rPr>
                <w:rFonts w:ascii="Arial" w:hAnsi="Arial" w:cs="Arial"/>
                <w:b/>
                <w:bCs/>
                <w:color w:val="215868" w:themeColor="accent5" w:themeShade="80"/>
                <w:sz w:val="18"/>
                <w:szCs w:val="18"/>
              </w:rPr>
              <w:t>%</w:t>
            </w:r>
          </w:p>
        </w:tc>
        <w:tc>
          <w:tcPr>
            <w:tcW w:w="846" w:type="dxa"/>
            <w:vAlign w:val="center"/>
          </w:tcPr>
          <w:p w14:paraId="601C6ECF" w14:textId="2D99B1F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C66ED4">
              <w:rPr>
                <w:rFonts w:ascii="Arial" w:hAnsi="Arial" w:cs="Arial"/>
                <w:b/>
                <w:bCs/>
                <w:color w:val="215868" w:themeColor="accent5" w:themeShade="80"/>
                <w:sz w:val="18"/>
                <w:szCs w:val="18"/>
              </w:rPr>
              <w:t>3.5</w:t>
            </w:r>
            <w:r w:rsidRPr="000C4A54">
              <w:rPr>
                <w:rFonts w:ascii="Arial" w:hAnsi="Arial" w:cs="Arial"/>
                <w:b/>
                <w:bCs/>
                <w:color w:val="215868" w:themeColor="accent5" w:themeShade="80"/>
                <w:sz w:val="18"/>
                <w:szCs w:val="18"/>
              </w:rPr>
              <w:t>B</w:t>
            </w:r>
          </w:p>
        </w:tc>
        <w:tc>
          <w:tcPr>
            <w:tcW w:w="846" w:type="dxa"/>
            <w:vAlign w:val="center"/>
          </w:tcPr>
          <w:p w14:paraId="08D3AC71" w14:textId="00BCE49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color w:val="215868" w:themeColor="accent5" w:themeShade="80"/>
                <w:sz w:val="18"/>
                <w:szCs w:val="18"/>
              </w:rPr>
              <w:t>+</w:t>
            </w:r>
            <w:r w:rsidR="00C66ED4">
              <w:rPr>
                <w:rFonts w:ascii="Arial" w:hAnsi="Arial" w:cs="Arial"/>
                <w:b/>
                <w:color w:val="215868" w:themeColor="accent5" w:themeShade="80"/>
                <w:sz w:val="18"/>
                <w:szCs w:val="18"/>
              </w:rPr>
              <w:t>4.4</w:t>
            </w:r>
            <w:r w:rsidRPr="000C4A54">
              <w:rPr>
                <w:rFonts w:ascii="Arial" w:hAnsi="Arial" w:cs="Arial"/>
                <w:b/>
                <w:color w:val="215868" w:themeColor="accent5" w:themeShade="80"/>
                <w:sz w:val="18"/>
                <w:szCs w:val="18"/>
              </w:rPr>
              <w:t>%</w:t>
            </w:r>
          </w:p>
        </w:tc>
        <w:tc>
          <w:tcPr>
            <w:tcW w:w="846" w:type="dxa"/>
            <w:vAlign w:val="center"/>
          </w:tcPr>
          <w:p w14:paraId="3B8B2B0A" w14:textId="6CE7449C"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C66ED4">
              <w:rPr>
                <w:rFonts w:ascii="Arial" w:hAnsi="Arial" w:cs="Arial"/>
                <w:b/>
                <w:bCs/>
                <w:color w:val="215868" w:themeColor="accent5" w:themeShade="80"/>
                <w:sz w:val="18"/>
                <w:szCs w:val="18"/>
              </w:rPr>
              <w:t>4.4</w:t>
            </w:r>
            <w:r w:rsidRPr="000C4A54">
              <w:rPr>
                <w:rFonts w:ascii="Arial" w:hAnsi="Arial" w:cs="Arial"/>
                <w:b/>
                <w:bCs/>
                <w:color w:val="215868" w:themeColor="accent5" w:themeShade="80"/>
                <w:sz w:val="18"/>
                <w:szCs w:val="18"/>
              </w:rPr>
              <w:t>%</w:t>
            </w:r>
          </w:p>
        </w:tc>
      </w:tr>
      <w:tr w:rsidR="0020634E" w:rsidRPr="000C4A54" w14:paraId="0D095983"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2541439D"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Tomatoes</w:t>
            </w:r>
          </w:p>
        </w:tc>
        <w:tc>
          <w:tcPr>
            <w:tcW w:w="1023" w:type="dxa"/>
            <w:gridSpan w:val="3"/>
            <w:tcBorders>
              <w:left w:val="none" w:sz="0" w:space="0" w:color="auto"/>
              <w:right w:val="none" w:sz="0" w:space="0" w:color="auto"/>
            </w:tcBorders>
            <w:vAlign w:val="center"/>
          </w:tcPr>
          <w:p w14:paraId="53CB9E19" w14:textId="1C19D3DF"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w:t>
            </w:r>
          </w:p>
        </w:tc>
        <w:tc>
          <w:tcPr>
            <w:tcW w:w="846" w:type="dxa"/>
            <w:gridSpan w:val="2"/>
            <w:tcBorders>
              <w:left w:val="none" w:sz="0" w:space="0" w:color="auto"/>
              <w:right w:val="none" w:sz="0" w:space="0" w:color="auto"/>
            </w:tcBorders>
            <w:vAlign w:val="center"/>
          </w:tcPr>
          <w:p w14:paraId="457D0A89" w14:textId="21872C3A"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+18.4%</w:t>
            </w:r>
          </w:p>
        </w:tc>
        <w:tc>
          <w:tcPr>
            <w:tcW w:w="846" w:type="dxa"/>
            <w:gridSpan w:val="2"/>
            <w:tcBorders>
              <w:left w:val="none" w:sz="0" w:space="0" w:color="auto"/>
              <w:right w:val="none" w:sz="0" w:space="0" w:color="auto"/>
            </w:tcBorders>
            <w:vAlign w:val="center"/>
          </w:tcPr>
          <w:p w14:paraId="690A015C" w14:textId="5E641ED0"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+3.7%</w:t>
            </w:r>
          </w:p>
        </w:tc>
        <w:tc>
          <w:tcPr>
            <w:tcW w:w="845" w:type="dxa"/>
            <w:tcBorders>
              <w:left w:val="none" w:sz="0" w:space="0" w:color="auto"/>
              <w:right w:val="none" w:sz="0" w:space="0" w:color="auto"/>
            </w:tcBorders>
            <w:vAlign w:val="center"/>
          </w:tcPr>
          <w:p w14:paraId="3FE30D39" w14:textId="0B541A8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-8.5%</w:t>
            </w:r>
          </w:p>
        </w:tc>
        <w:tc>
          <w:tcPr>
            <w:tcW w:w="846" w:type="dxa"/>
            <w:tcBorders>
              <w:left w:val="none" w:sz="0" w:space="0" w:color="auto"/>
              <w:right w:val="none" w:sz="0" w:space="0" w:color="auto"/>
            </w:tcBorders>
            <w:vAlign w:val="center"/>
          </w:tcPr>
          <w:p w14:paraId="047F25A4" w14:textId="6B75C5D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-4.3%</w:t>
            </w:r>
          </w:p>
        </w:tc>
        <w:tc>
          <w:tcPr>
            <w:tcW w:w="846" w:type="dxa"/>
            <w:tcBorders>
              <w:left w:val="none" w:sz="0" w:space="0" w:color="auto"/>
              <w:right w:val="none" w:sz="0" w:space="0" w:color="auto"/>
            </w:tcBorders>
            <w:vAlign w:val="center"/>
          </w:tcPr>
          <w:p w14:paraId="1CD3C791"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-1.2%</w:t>
            </w:r>
          </w:p>
        </w:tc>
        <w:tc>
          <w:tcPr>
            <w:tcW w:w="845" w:type="dxa"/>
            <w:tcBorders>
              <w:left w:val="none" w:sz="0" w:space="0" w:color="auto"/>
              <w:right w:val="none" w:sz="0" w:space="0" w:color="auto"/>
            </w:tcBorders>
            <w:vAlign w:val="center"/>
          </w:tcPr>
          <w:p w14:paraId="039BC7FE" w14:textId="238A356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-4.8%</w:t>
            </w:r>
          </w:p>
        </w:tc>
        <w:tc>
          <w:tcPr>
            <w:tcW w:w="846" w:type="dxa"/>
            <w:tcBorders>
              <w:left w:val="none" w:sz="0" w:space="0" w:color="auto"/>
              <w:right w:val="none" w:sz="0" w:space="0" w:color="auto"/>
            </w:tcBorders>
            <w:vAlign w:val="center"/>
          </w:tcPr>
          <w:p w14:paraId="54A34778" w14:textId="494BBF0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0.1</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03D1649A" w14:textId="46FCC51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414</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0A54053D" w14:textId="3768F2E0"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2.6</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54599DD8" w14:textId="7625DB55"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1.2</w:t>
            </w:r>
            <w:r w:rsidRPr="000C4A54">
              <w:rPr>
                <w:rFonts w:ascii="Arial" w:hAnsi="Arial" w:cs="Arial"/>
                <w:bCs/>
                <w:color w:val="215868" w:themeColor="accent5" w:themeShade="80"/>
                <w:sz w:val="18"/>
                <w:szCs w:val="18"/>
              </w:rPr>
              <w:t>%</w:t>
            </w:r>
          </w:p>
        </w:tc>
      </w:tr>
      <w:tr w:rsidR="000933A2" w:rsidRPr="000C4A54" w14:paraId="32035DEA"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7D54096" w14:textId="77777777" w:rsidR="000933A2" w:rsidRPr="000C4A54" w:rsidRDefault="000933A2" w:rsidP="00951B01">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Potatoes</w:t>
            </w:r>
          </w:p>
        </w:tc>
        <w:tc>
          <w:tcPr>
            <w:tcW w:w="1023" w:type="dxa"/>
            <w:gridSpan w:val="3"/>
            <w:vAlign w:val="center"/>
          </w:tcPr>
          <w:p w14:paraId="2B1BA38B"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46" w:type="dxa"/>
            <w:gridSpan w:val="2"/>
            <w:vAlign w:val="center"/>
          </w:tcPr>
          <w:p w14:paraId="5E5DD84C"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+21.0%</w:t>
            </w:r>
          </w:p>
        </w:tc>
        <w:tc>
          <w:tcPr>
            <w:tcW w:w="846" w:type="dxa"/>
            <w:gridSpan w:val="2"/>
            <w:vAlign w:val="center"/>
          </w:tcPr>
          <w:p w14:paraId="513FBC6A"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-4.0%</w:t>
            </w:r>
          </w:p>
        </w:tc>
        <w:tc>
          <w:tcPr>
            <w:tcW w:w="845" w:type="dxa"/>
            <w:vAlign w:val="center"/>
          </w:tcPr>
          <w:p w14:paraId="152C226D"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-19.7%</w:t>
            </w:r>
          </w:p>
        </w:tc>
        <w:tc>
          <w:tcPr>
            <w:tcW w:w="846" w:type="dxa"/>
            <w:vAlign w:val="center"/>
          </w:tcPr>
          <w:p w14:paraId="593162FF"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-4.6%</w:t>
            </w:r>
          </w:p>
        </w:tc>
        <w:tc>
          <w:tcPr>
            <w:tcW w:w="846" w:type="dxa"/>
            <w:vAlign w:val="center"/>
          </w:tcPr>
          <w:p w14:paraId="56AFC1B4"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+0.2%</w:t>
            </w:r>
          </w:p>
        </w:tc>
        <w:tc>
          <w:tcPr>
            <w:tcW w:w="845" w:type="dxa"/>
            <w:vAlign w:val="center"/>
          </w:tcPr>
          <w:p w14:paraId="2FA6F3E7" w14:textId="77777777"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+4.9%</w:t>
            </w:r>
          </w:p>
        </w:tc>
        <w:tc>
          <w:tcPr>
            <w:tcW w:w="846" w:type="dxa"/>
            <w:vAlign w:val="center"/>
          </w:tcPr>
          <w:p w14:paraId="32E7B2C5" w14:textId="57D56791"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12.6</w:t>
            </w:r>
            <w:r w:rsidRPr="000C4A54">
              <w:rPr>
                <w:rFonts w:ascii="Arial" w:hAnsi="Arial" w:cs="Arial"/>
                <w:color w:val="215868" w:themeColor="accent5" w:themeShade="80"/>
                <w:sz w:val="18"/>
                <w:szCs w:val="18"/>
              </w:rPr>
              <w:t>%</w:t>
            </w:r>
          </w:p>
        </w:tc>
        <w:tc>
          <w:tcPr>
            <w:tcW w:w="846" w:type="dxa"/>
            <w:vAlign w:val="center"/>
          </w:tcPr>
          <w:p w14:paraId="7DC1FED6" w14:textId="4475656F"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337</w:t>
            </w:r>
            <w:r w:rsidRPr="000C4A54">
              <w:rPr>
                <w:rFonts w:ascii="Arial" w:hAnsi="Arial" w:cs="Arial"/>
                <w:bCs/>
                <w:color w:val="215868" w:themeColor="accent5" w:themeShade="80"/>
                <w:sz w:val="18"/>
                <w:szCs w:val="18"/>
              </w:rPr>
              <w:t>M</w:t>
            </w:r>
          </w:p>
        </w:tc>
        <w:tc>
          <w:tcPr>
            <w:tcW w:w="846" w:type="dxa"/>
            <w:vAlign w:val="center"/>
          </w:tcPr>
          <w:p w14:paraId="165A5EB1" w14:textId="2D557C6C"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15.2</w:t>
            </w:r>
            <w:r w:rsidRPr="000C4A54">
              <w:rPr>
                <w:rFonts w:ascii="Arial" w:hAnsi="Arial" w:cs="Arial"/>
                <w:bCs/>
                <w:color w:val="215868" w:themeColor="accent5" w:themeShade="80"/>
                <w:sz w:val="18"/>
                <w:szCs w:val="18"/>
              </w:rPr>
              <w:t>%</w:t>
            </w:r>
          </w:p>
        </w:tc>
        <w:tc>
          <w:tcPr>
            <w:tcW w:w="846" w:type="dxa"/>
            <w:vAlign w:val="center"/>
          </w:tcPr>
          <w:p w14:paraId="23EF6506" w14:textId="6962E7B4" w:rsidR="000933A2" w:rsidRPr="000C4A54" w:rsidRDefault="00C66ED4"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-2.6</w:t>
            </w:r>
            <w:r w:rsidR="000933A2" w:rsidRPr="000C4A54">
              <w:rPr>
                <w:rFonts w:ascii="Arial" w:hAnsi="Arial" w:cs="Arial"/>
                <w:bCs/>
                <w:color w:val="215868" w:themeColor="accent5" w:themeShade="80"/>
                <w:sz w:val="18"/>
                <w:szCs w:val="18"/>
              </w:rPr>
              <w:t>%</w:t>
            </w:r>
          </w:p>
        </w:tc>
      </w:tr>
      <w:tr w:rsidR="0020634E" w:rsidRPr="000C4A54" w14:paraId="336F4A77"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00B8C0A7"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Packaged salad</w:t>
            </w:r>
          </w:p>
        </w:tc>
        <w:tc>
          <w:tcPr>
            <w:tcW w:w="1023" w:type="dxa"/>
            <w:gridSpan w:val="3"/>
            <w:tcBorders>
              <w:left w:val="none" w:sz="0" w:space="0" w:color="auto"/>
              <w:right w:val="none" w:sz="0" w:space="0" w:color="auto"/>
            </w:tcBorders>
            <w:vAlign w:val="center"/>
          </w:tcPr>
          <w:p w14:paraId="4AC378B8" w14:textId="632849A6"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w:t>
            </w:r>
          </w:p>
        </w:tc>
        <w:tc>
          <w:tcPr>
            <w:tcW w:w="846" w:type="dxa"/>
            <w:gridSpan w:val="2"/>
            <w:tcBorders>
              <w:left w:val="none" w:sz="0" w:space="0" w:color="auto"/>
              <w:right w:val="none" w:sz="0" w:space="0" w:color="auto"/>
            </w:tcBorders>
            <w:vAlign w:val="center"/>
          </w:tcPr>
          <w:p w14:paraId="47FB1192"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+14.8%</w:t>
            </w:r>
          </w:p>
        </w:tc>
        <w:tc>
          <w:tcPr>
            <w:tcW w:w="846" w:type="dxa"/>
            <w:gridSpan w:val="2"/>
            <w:tcBorders>
              <w:left w:val="none" w:sz="0" w:space="0" w:color="auto"/>
              <w:right w:val="none" w:sz="0" w:space="0" w:color="auto"/>
            </w:tcBorders>
            <w:vAlign w:val="center"/>
          </w:tcPr>
          <w:p w14:paraId="05DDF478"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+12.6%</w:t>
            </w:r>
          </w:p>
        </w:tc>
        <w:tc>
          <w:tcPr>
            <w:tcW w:w="845" w:type="dxa"/>
            <w:tcBorders>
              <w:left w:val="none" w:sz="0" w:space="0" w:color="auto"/>
              <w:right w:val="none" w:sz="0" w:space="0" w:color="auto"/>
            </w:tcBorders>
            <w:vAlign w:val="center"/>
          </w:tcPr>
          <w:p w14:paraId="2EF85EAF"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14.5%</w:t>
            </w:r>
          </w:p>
        </w:tc>
        <w:tc>
          <w:tcPr>
            <w:tcW w:w="846" w:type="dxa"/>
            <w:tcBorders>
              <w:left w:val="none" w:sz="0" w:space="0" w:color="auto"/>
              <w:right w:val="none" w:sz="0" w:space="0" w:color="auto"/>
            </w:tcBorders>
            <w:vAlign w:val="center"/>
          </w:tcPr>
          <w:p w14:paraId="0955372B"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+10.3%</w:t>
            </w:r>
          </w:p>
        </w:tc>
        <w:tc>
          <w:tcPr>
            <w:tcW w:w="846" w:type="dxa"/>
            <w:tcBorders>
              <w:left w:val="none" w:sz="0" w:space="0" w:color="auto"/>
              <w:right w:val="none" w:sz="0" w:space="0" w:color="auto"/>
            </w:tcBorders>
            <w:vAlign w:val="center"/>
          </w:tcPr>
          <w:p w14:paraId="25322D10"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+8.5%</w:t>
            </w:r>
          </w:p>
        </w:tc>
        <w:tc>
          <w:tcPr>
            <w:tcW w:w="845" w:type="dxa"/>
            <w:tcBorders>
              <w:left w:val="none" w:sz="0" w:space="0" w:color="auto"/>
              <w:right w:val="none" w:sz="0" w:space="0" w:color="auto"/>
            </w:tcBorders>
            <w:vAlign w:val="center"/>
          </w:tcPr>
          <w:p w14:paraId="10F77A62"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+1.9%</w:t>
            </w:r>
          </w:p>
        </w:tc>
        <w:tc>
          <w:tcPr>
            <w:tcW w:w="846" w:type="dxa"/>
            <w:tcBorders>
              <w:left w:val="none" w:sz="0" w:space="0" w:color="auto"/>
              <w:right w:val="none" w:sz="0" w:space="0" w:color="auto"/>
            </w:tcBorders>
            <w:vAlign w:val="center"/>
          </w:tcPr>
          <w:p w14:paraId="03FC57F0" w14:textId="24F491E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1.9</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011EC497" w14:textId="49E06B4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317</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1468972C" w14:textId="2709F14A" w:rsidR="0020634E" w:rsidRPr="000C4A54" w:rsidRDefault="00951B01"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0.5</w:t>
            </w:r>
            <w:r w:rsidR="0020634E"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0B7C1CF3" w14:textId="55F960E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7.8</w:t>
            </w:r>
            <w:r w:rsidRPr="000C4A54">
              <w:rPr>
                <w:rFonts w:ascii="Arial" w:hAnsi="Arial" w:cs="Arial"/>
                <w:bCs/>
                <w:color w:val="215868" w:themeColor="accent5" w:themeShade="80"/>
                <w:sz w:val="18"/>
                <w:szCs w:val="18"/>
              </w:rPr>
              <w:t>%</w:t>
            </w:r>
          </w:p>
        </w:tc>
      </w:tr>
      <w:tr w:rsidR="0020634E" w:rsidRPr="000C4A54" w14:paraId="5FA6635F"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79FF0CCA"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Lettuce</w:t>
            </w:r>
          </w:p>
        </w:tc>
        <w:tc>
          <w:tcPr>
            <w:tcW w:w="1023" w:type="dxa"/>
            <w:gridSpan w:val="3"/>
            <w:vAlign w:val="center"/>
          </w:tcPr>
          <w:p w14:paraId="489A8A48" w14:textId="3893AD83"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846" w:type="dxa"/>
            <w:gridSpan w:val="2"/>
            <w:vAlign w:val="center"/>
          </w:tcPr>
          <w:p w14:paraId="6BB7D162" w14:textId="469DF2F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+12.0%</w:t>
            </w:r>
          </w:p>
        </w:tc>
        <w:tc>
          <w:tcPr>
            <w:tcW w:w="846" w:type="dxa"/>
            <w:gridSpan w:val="2"/>
            <w:vAlign w:val="center"/>
          </w:tcPr>
          <w:p w14:paraId="05E885A8" w14:textId="42B10D4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+9.0%</w:t>
            </w:r>
          </w:p>
        </w:tc>
        <w:tc>
          <w:tcPr>
            <w:tcW w:w="845" w:type="dxa"/>
            <w:vAlign w:val="center"/>
          </w:tcPr>
          <w:p w14:paraId="445C249F" w14:textId="4A1C3A01"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-3.3%</w:t>
            </w:r>
          </w:p>
        </w:tc>
        <w:tc>
          <w:tcPr>
            <w:tcW w:w="846" w:type="dxa"/>
            <w:vAlign w:val="center"/>
          </w:tcPr>
          <w:p w14:paraId="1DF5B025" w14:textId="000AEA7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+2.5%</w:t>
            </w:r>
          </w:p>
        </w:tc>
        <w:tc>
          <w:tcPr>
            <w:tcW w:w="846" w:type="dxa"/>
            <w:vAlign w:val="center"/>
          </w:tcPr>
          <w:p w14:paraId="757340BF" w14:textId="50EA9BF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+0.6%</w:t>
            </w:r>
          </w:p>
        </w:tc>
        <w:tc>
          <w:tcPr>
            <w:tcW w:w="845" w:type="dxa"/>
            <w:vAlign w:val="center"/>
          </w:tcPr>
          <w:p w14:paraId="6187E043" w14:textId="08926C70"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+4.8%</w:t>
            </w:r>
          </w:p>
        </w:tc>
        <w:tc>
          <w:tcPr>
            <w:tcW w:w="846" w:type="dxa"/>
            <w:vAlign w:val="center"/>
          </w:tcPr>
          <w:p w14:paraId="0D67CD76" w14:textId="6312A08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10.2</w:t>
            </w:r>
            <w:r w:rsidRPr="000C4A54">
              <w:rPr>
                <w:rFonts w:ascii="Arial" w:hAnsi="Arial" w:cs="Arial"/>
                <w:color w:val="215868" w:themeColor="accent5" w:themeShade="80"/>
                <w:sz w:val="18"/>
                <w:szCs w:val="18"/>
              </w:rPr>
              <w:t>%</w:t>
            </w:r>
          </w:p>
        </w:tc>
        <w:tc>
          <w:tcPr>
            <w:tcW w:w="846" w:type="dxa"/>
            <w:vAlign w:val="center"/>
          </w:tcPr>
          <w:p w14:paraId="6CD2C0F7" w14:textId="632F1D3C"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288</w:t>
            </w:r>
            <w:r w:rsidRPr="000C4A54">
              <w:rPr>
                <w:rFonts w:ascii="Arial" w:hAnsi="Arial" w:cs="Arial"/>
                <w:bCs/>
                <w:color w:val="215868" w:themeColor="accent5" w:themeShade="80"/>
                <w:sz w:val="18"/>
                <w:szCs w:val="18"/>
              </w:rPr>
              <w:t>M</w:t>
            </w:r>
          </w:p>
        </w:tc>
        <w:tc>
          <w:tcPr>
            <w:tcW w:w="846" w:type="dxa"/>
            <w:vAlign w:val="center"/>
          </w:tcPr>
          <w:p w14:paraId="34B3545D" w14:textId="44470474"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7.4</w:t>
            </w:r>
            <w:r w:rsidRPr="000C4A54">
              <w:rPr>
                <w:rFonts w:ascii="Arial" w:hAnsi="Arial" w:cs="Arial"/>
                <w:bCs/>
                <w:color w:val="215868" w:themeColor="accent5" w:themeShade="80"/>
                <w:sz w:val="18"/>
                <w:szCs w:val="18"/>
              </w:rPr>
              <w:t>%</w:t>
            </w:r>
          </w:p>
        </w:tc>
        <w:tc>
          <w:tcPr>
            <w:tcW w:w="846" w:type="dxa"/>
            <w:vAlign w:val="center"/>
          </w:tcPr>
          <w:p w14:paraId="5EB84E72" w14:textId="7CFF666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2.6</w:t>
            </w:r>
            <w:r w:rsidRPr="000C4A54">
              <w:rPr>
                <w:rFonts w:ascii="Arial" w:hAnsi="Arial" w:cs="Arial"/>
                <w:bCs/>
                <w:color w:val="215868" w:themeColor="accent5" w:themeShade="80"/>
                <w:sz w:val="18"/>
                <w:szCs w:val="18"/>
              </w:rPr>
              <w:t>%</w:t>
            </w:r>
          </w:p>
        </w:tc>
      </w:tr>
      <w:tr w:rsidR="000933A2" w:rsidRPr="000C4A54" w14:paraId="58A4C8AB"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72E7C846"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Onions</w:t>
            </w:r>
          </w:p>
        </w:tc>
        <w:tc>
          <w:tcPr>
            <w:tcW w:w="1023" w:type="dxa"/>
            <w:gridSpan w:val="3"/>
            <w:tcBorders>
              <w:left w:val="none" w:sz="0" w:space="0" w:color="auto"/>
              <w:right w:val="none" w:sz="0" w:space="0" w:color="auto"/>
            </w:tcBorders>
            <w:vAlign w:val="center"/>
          </w:tcPr>
          <w:p w14:paraId="40FB15BF" w14:textId="4B6AED91"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w:t>
            </w:r>
          </w:p>
        </w:tc>
        <w:tc>
          <w:tcPr>
            <w:tcW w:w="846" w:type="dxa"/>
            <w:gridSpan w:val="2"/>
            <w:tcBorders>
              <w:left w:val="none" w:sz="0" w:space="0" w:color="auto"/>
              <w:right w:val="none" w:sz="0" w:space="0" w:color="auto"/>
            </w:tcBorders>
            <w:vAlign w:val="center"/>
          </w:tcPr>
          <w:p w14:paraId="7B7E2503"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+14.5%</w:t>
            </w:r>
          </w:p>
        </w:tc>
        <w:tc>
          <w:tcPr>
            <w:tcW w:w="846" w:type="dxa"/>
            <w:gridSpan w:val="2"/>
            <w:tcBorders>
              <w:left w:val="none" w:sz="0" w:space="0" w:color="auto"/>
              <w:right w:val="none" w:sz="0" w:space="0" w:color="auto"/>
            </w:tcBorders>
            <w:vAlign w:val="center"/>
          </w:tcPr>
          <w:p w14:paraId="315EE21F"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+0.8%</w:t>
            </w:r>
          </w:p>
        </w:tc>
        <w:tc>
          <w:tcPr>
            <w:tcW w:w="845" w:type="dxa"/>
            <w:tcBorders>
              <w:left w:val="none" w:sz="0" w:space="0" w:color="auto"/>
              <w:right w:val="none" w:sz="0" w:space="0" w:color="auto"/>
            </w:tcBorders>
            <w:vAlign w:val="center"/>
          </w:tcPr>
          <w:p w14:paraId="201586D2"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-14.3%</w:t>
            </w:r>
          </w:p>
        </w:tc>
        <w:tc>
          <w:tcPr>
            <w:tcW w:w="846" w:type="dxa"/>
            <w:tcBorders>
              <w:left w:val="none" w:sz="0" w:space="0" w:color="auto"/>
              <w:right w:val="none" w:sz="0" w:space="0" w:color="auto"/>
            </w:tcBorders>
            <w:vAlign w:val="center"/>
          </w:tcPr>
          <w:p w14:paraId="74E1EBAB"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-1.7%</w:t>
            </w:r>
          </w:p>
        </w:tc>
        <w:tc>
          <w:tcPr>
            <w:tcW w:w="846" w:type="dxa"/>
            <w:tcBorders>
              <w:left w:val="none" w:sz="0" w:space="0" w:color="auto"/>
              <w:right w:val="none" w:sz="0" w:space="0" w:color="auto"/>
            </w:tcBorders>
            <w:vAlign w:val="center"/>
          </w:tcPr>
          <w:p w14:paraId="1A1B06F8"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+1.4%</w:t>
            </w:r>
          </w:p>
        </w:tc>
        <w:tc>
          <w:tcPr>
            <w:tcW w:w="845" w:type="dxa"/>
            <w:tcBorders>
              <w:left w:val="none" w:sz="0" w:space="0" w:color="auto"/>
              <w:right w:val="none" w:sz="0" w:space="0" w:color="auto"/>
            </w:tcBorders>
            <w:vAlign w:val="center"/>
          </w:tcPr>
          <w:p w14:paraId="19E717B6" w14:textId="5CE4BC02"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+5.9%</w:t>
            </w:r>
          </w:p>
        </w:tc>
        <w:tc>
          <w:tcPr>
            <w:tcW w:w="846" w:type="dxa"/>
            <w:tcBorders>
              <w:left w:val="none" w:sz="0" w:space="0" w:color="auto"/>
              <w:right w:val="none" w:sz="0" w:space="0" w:color="auto"/>
            </w:tcBorders>
            <w:vAlign w:val="center"/>
          </w:tcPr>
          <w:p w14:paraId="145EB702" w14:textId="00193588"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18.4</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51855CC2" w14:textId="21E3F24F"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278</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04446ECC" w14:textId="043BBAFE"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22.8</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505B464D" w14:textId="1785B61E" w:rsidR="0020634E" w:rsidRPr="000C4A54" w:rsidRDefault="00C66ED4"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-0.9</w:t>
            </w:r>
            <w:r w:rsidR="0020634E" w:rsidRPr="000C4A54">
              <w:rPr>
                <w:rFonts w:ascii="Arial" w:hAnsi="Arial" w:cs="Arial"/>
                <w:bCs/>
                <w:color w:val="215868" w:themeColor="accent5" w:themeShade="80"/>
                <w:sz w:val="18"/>
                <w:szCs w:val="18"/>
              </w:rPr>
              <w:t>%</w:t>
            </w:r>
          </w:p>
        </w:tc>
      </w:tr>
      <w:tr w:rsidR="0020634E" w:rsidRPr="000C4A54" w14:paraId="69318395" w14:textId="77777777" w:rsidTr="000933A2">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6E864BBD"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Peppers</w:t>
            </w:r>
          </w:p>
        </w:tc>
        <w:tc>
          <w:tcPr>
            <w:tcW w:w="1023" w:type="dxa"/>
            <w:gridSpan w:val="3"/>
            <w:vAlign w:val="center"/>
          </w:tcPr>
          <w:p w14:paraId="3114764A" w14:textId="14AF25F4"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w:t>
            </w:r>
          </w:p>
        </w:tc>
        <w:tc>
          <w:tcPr>
            <w:tcW w:w="846" w:type="dxa"/>
            <w:gridSpan w:val="2"/>
            <w:vAlign w:val="center"/>
          </w:tcPr>
          <w:p w14:paraId="790ACC9F"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+19.3%</w:t>
            </w:r>
          </w:p>
        </w:tc>
        <w:tc>
          <w:tcPr>
            <w:tcW w:w="846" w:type="dxa"/>
            <w:gridSpan w:val="2"/>
            <w:vAlign w:val="center"/>
          </w:tcPr>
          <w:p w14:paraId="2E58E480"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+11.6%</w:t>
            </w:r>
          </w:p>
        </w:tc>
        <w:tc>
          <w:tcPr>
            <w:tcW w:w="845" w:type="dxa"/>
            <w:vAlign w:val="center"/>
          </w:tcPr>
          <w:p w14:paraId="2342DC57"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-6.9%</w:t>
            </w:r>
          </w:p>
        </w:tc>
        <w:tc>
          <w:tcPr>
            <w:tcW w:w="846" w:type="dxa"/>
            <w:vAlign w:val="center"/>
          </w:tcPr>
          <w:p w14:paraId="570BC747"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-3.3%</w:t>
            </w:r>
          </w:p>
        </w:tc>
        <w:tc>
          <w:tcPr>
            <w:tcW w:w="846" w:type="dxa"/>
            <w:vAlign w:val="center"/>
          </w:tcPr>
          <w:p w14:paraId="79E8C82E"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-2.3%</w:t>
            </w:r>
          </w:p>
        </w:tc>
        <w:tc>
          <w:tcPr>
            <w:tcW w:w="845" w:type="dxa"/>
            <w:vAlign w:val="center"/>
          </w:tcPr>
          <w:p w14:paraId="7254814C" w14:textId="4D3BBFBD"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-2.1%</w:t>
            </w:r>
          </w:p>
        </w:tc>
        <w:tc>
          <w:tcPr>
            <w:tcW w:w="846" w:type="dxa"/>
            <w:vAlign w:val="center"/>
          </w:tcPr>
          <w:p w14:paraId="54120B5C" w14:textId="163C1185"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0.7</w:t>
            </w:r>
            <w:r w:rsidRPr="000C4A54">
              <w:rPr>
                <w:rFonts w:ascii="Arial" w:hAnsi="Arial" w:cs="Arial"/>
                <w:color w:val="215868" w:themeColor="accent5" w:themeShade="80"/>
                <w:sz w:val="18"/>
                <w:szCs w:val="18"/>
              </w:rPr>
              <w:t>%</w:t>
            </w:r>
          </w:p>
        </w:tc>
        <w:tc>
          <w:tcPr>
            <w:tcW w:w="846" w:type="dxa"/>
            <w:vAlign w:val="center"/>
          </w:tcPr>
          <w:p w14:paraId="2EF132BA" w14:textId="5CF5DA3E"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249</w:t>
            </w:r>
            <w:r w:rsidRPr="000C4A54">
              <w:rPr>
                <w:rFonts w:ascii="Arial" w:hAnsi="Arial" w:cs="Arial"/>
                <w:bCs/>
                <w:color w:val="215868" w:themeColor="accent5" w:themeShade="80"/>
                <w:sz w:val="18"/>
                <w:szCs w:val="18"/>
              </w:rPr>
              <w:t>M</w:t>
            </w:r>
          </w:p>
        </w:tc>
        <w:tc>
          <w:tcPr>
            <w:tcW w:w="846" w:type="dxa"/>
            <w:vAlign w:val="center"/>
          </w:tcPr>
          <w:p w14:paraId="7633D59F" w14:textId="5EB4AD73" w:rsidR="0020634E" w:rsidRPr="000C4A54" w:rsidRDefault="00951B01"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2.3</w:t>
            </w:r>
            <w:r w:rsidR="0020634E" w:rsidRPr="000C4A54">
              <w:rPr>
                <w:rFonts w:ascii="Arial" w:hAnsi="Arial" w:cs="Arial"/>
                <w:bCs/>
                <w:color w:val="215868" w:themeColor="accent5" w:themeShade="80"/>
                <w:sz w:val="18"/>
                <w:szCs w:val="18"/>
              </w:rPr>
              <w:t>%</w:t>
            </w:r>
          </w:p>
        </w:tc>
        <w:tc>
          <w:tcPr>
            <w:tcW w:w="846" w:type="dxa"/>
            <w:vAlign w:val="center"/>
          </w:tcPr>
          <w:p w14:paraId="3D971C9D" w14:textId="21B5654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3.5</w:t>
            </w:r>
            <w:r w:rsidRPr="000C4A54">
              <w:rPr>
                <w:rFonts w:ascii="Arial" w:hAnsi="Arial" w:cs="Arial"/>
                <w:bCs/>
                <w:color w:val="215868" w:themeColor="accent5" w:themeShade="80"/>
                <w:sz w:val="18"/>
                <w:szCs w:val="18"/>
              </w:rPr>
              <w:t>%</w:t>
            </w:r>
          </w:p>
        </w:tc>
      </w:tr>
      <w:tr w:rsidR="000933A2" w:rsidRPr="000C4A54" w14:paraId="770262AD" w14:textId="77777777" w:rsidTr="007C182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tcBorders>
              <w:left w:val="none" w:sz="0" w:space="0" w:color="auto"/>
              <w:right w:val="none" w:sz="0" w:space="0" w:color="auto"/>
            </w:tcBorders>
            <w:vAlign w:val="center"/>
          </w:tcPr>
          <w:p w14:paraId="0CC6387E"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Cucumbers</w:t>
            </w:r>
          </w:p>
        </w:tc>
        <w:tc>
          <w:tcPr>
            <w:tcW w:w="1023" w:type="dxa"/>
            <w:gridSpan w:val="3"/>
            <w:tcBorders>
              <w:left w:val="none" w:sz="0" w:space="0" w:color="auto"/>
              <w:right w:val="none" w:sz="0" w:space="0" w:color="auto"/>
            </w:tcBorders>
            <w:vAlign w:val="center"/>
          </w:tcPr>
          <w:p w14:paraId="2B71F2A5" w14:textId="758A730C"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w:t>
            </w:r>
          </w:p>
        </w:tc>
        <w:tc>
          <w:tcPr>
            <w:tcW w:w="846" w:type="dxa"/>
            <w:gridSpan w:val="2"/>
            <w:tcBorders>
              <w:left w:val="none" w:sz="0" w:space="0" w:color="auto"/>
              <w:right w:val="none" w:sz="0" w:space="0" w:color="auto"/>
            </w:tcBorders>
            <w:vAlign w:val="center"/>
          </w:tcPr>
          <w:p w14:paraId="4D76789C"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+18.1%</w:t>
            </w:r>
          </w:p>
        </w:tc>
        <w:tc>
          <w:tcPr>
            <w:tcW w:w="846" w:type="dxa"/>
            <w:gridSpan w:val="2"/>
            <w:tcBorders>
              <w:left w:val="none" w:sz="0" w:space="0" w:color="auto"/>
              <w:right w:val="none" w:sz="0" w:space="0" w:color="auto"/>
            </w:tcBorders>
            <w:vAlign w:val="center"/>
          </w:tcPr>
          <w:p w14:paraId="54FDDC40"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+10.1%</w:t>
            </w:r>
          </w:p>
        </w:tc>
        <w:tc>
          <w:tcPr>
            <w:tcW w:w="845" w:type="dxa"/>
            <w:tcBorders>
              <w:left w:val="none" w:sz="0" w:space="0" w:color="auto"/>
              <w:right w:val="none" w:sz="0" w:space="0" w:color="auto"/>
            </w:tcBorders>
            <w:vAlign w:val="center"/>
          </w:tcPr>
          <w:p w14:paraId="29F76C73"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+3.2%</w:t>
            </w:r>
          </w:p>
        </w:tc>
        <w:tc>
          <w:tcPr>
            <w:tcW w:w="846" w:type="dxa"/>
            <w:tcBorders>
              <w:left w:val="none" w:sz="0" w:space="0" w:color="auto"/>
              <w:right w:val="none" w:sz="0" w:space="0" w:color="auto"/>
            </w:tcBorders>
            <w:vAlign w:val="center"/>
          </w:tcPr>
          <w:p w14:paraId="14085285"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+4.0%</w:t>
            </w:r>
          </w:p>
        </w:tc>
        <w:tc>
          <w:tcPr>
            <w:tcW w:w="846" w:type="dxa"/>
            <w:tcBorders>
              <w:left w:val="none" w:sz="0" w:space="0" w:color="auto"/>
              <w:right w:val="none" w:sz="0" w:space="0" w:color="auto"/>
            </w:tcBorders>
            <w:vAlign w:val="center"/>
          </w:tcPr>
          <w:p w14:paraId="1E526A85"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+5.0%</w:t>
            </w:r>
          </w:p>
        </w:tc>
        <w:tc>
          <w:tcPr>
            <w:tcW w:w="845" w:type="dxa"/>
            <w:tcBorders>
              <w:left w:val="none" w:sz="0" w:space="0" w:color="auto"/>
              <w:right w:val="none" w:sz="0" w:space="0" w:color="auto"/>
            </w:tcBorders>
            <w:vAlign w:val="center"/>
          </w:tcPr>
          <w:p w14:paraId="5ACD3E9D" w14:textId="77777777"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+3.9%</w:t>
            </w:r>
          </w:p>
        </w:tc>
        <w:tc>
          <w:tcPr>
            <w:tcW w:w="846" w:type="dxa"/>
            <w:tcBorders>
              <w:left w:val="none" w:sz="0" w:space="0" w:color="auto"/>
              <w:right w:val="none" w:sz="0" w:space="0" w:color="auto"/>
            </w:tcBorders>
            <w:vAlign w:val="center"/>
          </w:tcPr>
          <w:p w14:paraId="72A1461A" w14:textId="40BDC5C0"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5.9</w:t>
            </w:r>
            <w:r w:rsidRPr="000C4A54">
              <w:rPr>
                <w:rFonts w:ascii="Arial" w:hAnsi="Arial" w:cs="Arial"/>
                <w:color w:val="215868" w:themeColor="accent5" w:themeShade="80"/>
                <w:sz w:val="18"/>
                <w:szCs w:val="18"/>
              </w:rPr>
              <w:t>%</w:t>
            </w:r>
          </w:p>
        </w:tc>
        <w:tc>
          <w:tcPr>
            <w:tcW w:w="846" w:type="dxa"/>
            <w:tcBorders>
              <w:left w:val="none" w:sz="0" w:space="0" w:color="auto"/>
              <w:right w:val="none" w:sz="0" w:space="0" w:color="auto"/>
            </w:tcBorders>
            <w:vAlign w:val="center"/>
          </w:tcPr>
          <w:p w14:paraId="0EE8061F" w14:textId="71E87104"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144</w:t>
            </w:r>
            <w:r w:rsidRPr="000C4A54">
              <w:rPr>
                <w:rFonts w:ascii="Arial" w:hAnsi="Arial" w:cs="Arial"/>
                <w:bCs/>
                <w:color w:val="215868" w:themeColor="accent5" w:themeShade="80"/>
                <w:sz w:val="18"/>
                <w:szCs w:val="18"/>
              </w:rPr>
              <w:t>M</w:t>
            </w:r>
          </w:p>
        </w:tc>
        <w:tc>
          <w:tcPr>
            <w:tcW w:w="846" w:type="dxa"/>
            <w:tcBorders>
              <w:left w:val="none" w:sz="0" w:space="0" w:color="auto"/>
              <w:right w:val="none" w:sz="0" w:space="0" w:color="auto"/>
            </w:tcBorders>
            <w:vAlign w:val="center"/>
          </w:tcPr>
          <w:p w14:paraId="763F9B1D" w14:textId="71767473" w:rsidR="0020634E" w:rsidRPr="000C4A54" w:rsidRDefault="0020634E"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7.2</w:t>
            </w:r>
            <w:r w:rsidRPr="000C4A54">
              <w:rPr>
                <w:rFonts w:ascii="Arial" w:hAnsi="Arial" w:cs="Arial"/>
                <w:bCs/>
                <w:color w:val="215868" w:themeColor="accent5" w:themeShade="80"/>
                <w:sz w:val="18"/>
                <w:szCs w:val="18"/>
              </w:rPr>
              <w:t>%</w:t>
            </w:r>
          </w:p>
        </w:tc>
        <w:tc>
          <w:tcPr>
            <w:tcW w:w="846" w:type="dxa"/>
            <w:tcBorders>
              <w:left w:val="none" w:sz="0" w:space="0" w:color="auto"/>
              <w:right w:val="none" w:sz="0" w:space="0" w:color="auto"/>
            </w:tcBorders>
            <w:vAlign w:val="center"/>
          </w:tcPr>
          <w:p w14:paraId="012EAF29" w14:textId="20C2D243" w:rsidR="0020634E" w:rsidRPr="000C4A54" w:rsidRDefault="00C66ED4" w:rsidP="0020634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0.0</w:t>
            </w:r>
            <w:r w:rsidR="0020634E" w:rsidRPr="000C4A54">
              <w:rPr>
                <w:rFonts w:ascii="Arial" w:hAnsi="Arial" w:cs="Arial"/>
                <w:bCs/>
                <w:color w:val="215868" w:themeColor="accent5" w:themeShade="80"/>
                <w:sz w:val="18"/>
                <w:szCs w:val="18"/>
              </w:rPr>
              <w:t>%</w:t>
            </w:r>
          </w:p>
        </w:tc>
      </w:tr>
      <w:tr w:rsidR="000933A2" w:rsidRPr="000C4A54" w14:paraId="1BE59849" w14:textId="77777777" w:rsidTr="00951B01">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3B279D62" w14:textId="77777777" w:rsidR="000933A2" w:rsidRPr="000C4A54" w:rsidRDefault="000933A2" w:rsidP="00951B01">
            <w:pPr>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Corn</w:t>
            </w:r>
          </w:p>
        </w:tc>
        <w:tc>
          <w:tcPr>
            <w:tcW w:w="1023" w:type="dxa"/>
            <w:gridSpan w:val="3"/>
            <w:vAlign w:val="center"/>
          </w:tcPr>
          <w:p w14:paraId="79CD98BB" w14:textId="2D6AD04E" w:rsidR="000933A2" w:rsidRPr="000C4A54" w:rsidRDefault="00BE4D67"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w:t>
            </w:r>
          </w:p>
        </w:tc>
        <w:tc>
          <w:tcPr>
            <w:tcW w:w="846" w:type="dxa"/>
            <w:gridSpan w:val="2"/>
            <w:vAlign w:val="center"/>
          </w:tcPr>
          <w:p w14:paraId="5F693FDC" w14:textId="46A18D5B" w:rsidR="000933A2" w:rsidRPr="000C4A54" w:rsidRDefault="00BE4D67"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+26.5%</w:t>
            </w:r>
          </w:p>
        </w:tc>
        <w:tc>
          <w:tcPr>
            <w:tcW w:w="846" w:type="dxa"/>
            <w:gridSpan w:val="2"/>
            <w:vAlign w:val="center"/>
          </w:tcPr>
          <w:p w14:paraId="63C3B38F" w14:textId="4A5E8ECF" w:rsidR="000933A2" w:rsidRPr="000C4A54" w:rsidRDefault="00BE4D67"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+11.9%</w:t>
            </w:r>
          </w:p>
        </w:tc>
        <w:tc>
          <w:tcPr>
            <w:tcW w:w="845" w:type="dxa"/>
            <w:vAlign w:val="center"/>
          </w:tcPr>
          <w:p w14:paraId="65CC7094" w14:textId="472B5842" w:rsidR="000933A2" w:rsidRPr="000C4A54" w:rsidRDefault="00BE4D67"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p>
        </w:tc>
        <w:tc>
          <w:tcPr>
            <w:tcW w:w="846" w:type="dxa"/>
            <w:vAlign w:val="center"/>
          </w:tcPr>
          <w:p w14:paraId="6F07D2BA" w14:textId="101828D0" w:rsidR="000933A2" w:rsidRPr="000C4A54" w:rsidRDefault="00BE4D67"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-12.9%</w:t>
            </w:r>
          </w:p>
        </w:tc>
        <w:tc>
          <w:tcPr>
            <w:tcW w:w="846" w:type="dxa"/>
            <w:vAlign w:val="center"/>
          </w:tcPr>
          <w:p w14:paraId="1A2C182B" w14:textId="1670F6B9" w:rsidR="000933A2" w:rsidRPr="000C4A54" w:rsidRDefault="00BE4D67"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-5.1%</w:t>
            </w:r>
          </w:p>
        </w:tc>
        <w:tc>
          <w:tcPr>
            <w:tcW w:w="845" w:type="dxa"/>
            <w:vAlign w:val="center"/>
          </w:tcPr>
          <w:p w14:paraId="28A7E0FF" w14:textId="5CDB9FBD" w:rsidR="000933A2" w:rsidRPr="000C4A54" w:rsidRDefault="007C182F" w:rsidP="00951B01">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color w:val="215868" w:themeColor="accent5" w:themeShade="80"/>
              </w:rPr>
              <w:t>+1.9%</w:t>
            </w:r>
          </w:p>
        </w:tc>
        <w:tc>
          <w:tcPr>
            <w:tcW w:w="846" w:type="dxa"/>
            <w:vAlign w:val="center"/>
          </w:tcPr>
          <w:p w14:paraId="4B6F5307" w14:textId="237D8D5F" w:rsidR="000933A2" w:rsidRPr="000C4A54" w:rsidRDefault="00017BCE"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themeColor="accent5" w:themeShade="80"/>
                <w:sz w:val="18"/>
                <w:szCs w:val="18"/>
              </w:rPr>
              <w:t>-8.5</w:t>
            </w:r>
            <w:r w:rsidR="000933A2" w:rsidRPr="000C4A54">
              <w:rPr>
                <w:rFonts w:ascii="Arial" w:hAnsi="Arial" w:cs="Arial"/>
                <w:color w:val="215868" w:themeColor="accent5" w:themeShade="80"/>
                <w:sz w:val="18"/>
                <w:szCs w:val="18"/>
              </w:rPr>
              <w:t>%</w:t>
            </w:r>
          </w:p>
        </w:tc>
        <w:tc>
          <w:tcPr>
            <w:tcW w:w="846" w:type="dxa"/>
            <w:vAlign w:val="center"/>
          </w:tcPr>
          <w:p w14:paraId="08D11CD2" w14:textId="6FE92E36"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130</w:t>
            </w:r>
            <w:r w:rsidRPr="000C4A54">
              <w:rPr>
                <w:rFonts w:ascii="Arial" w:hAnsi="Arial" w:cs="Arial"/>
                <w:bCs/>
                <w:color w:val="215868" w:themeColor="accent5" w:themeShade="80"/>
                <w:sz w:val="18"/>
                <w:szCs w:val="18"/>
              </w:rPr>
              <w:t>M</w:t>
            </w:r>
          </w:p>
        </w:tc>
        <w:tc>
          <w:tcPr>
            <w:tcW w:w="846" w:type="dxa"/>
            <w:vAlign w:val="center"/>
          </w:tcPr>
          <w:p w14:paraId="594B5FA2" w14:textId="1833F057" w:rsidR="000933A2" w:rsidRPr="000C4A54" w:rsidRDefault="00951B01"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6.3</w:t>
            </w:r>
            <w:r w:rsidR="000933A2" w:rsidRPr="000C4A54">
              <w:rPr>
                <w:rFonts w:ascii="Arial" w:hAnsi="Arial" w:cs="Arial"/>
                <w:bCs/>
                <w:color w:val="215868" w:themeColor="accent5" w:themeShade="80"/>
                <w:sz w:val="18"/>
                <w:szCs w:val="18"/>
              </w:rPr>
              <w:t>%</w:t>
            </w:r>
          </w:p>
        </w:tc>
        <w:tc>
          <w:tcPr>
            <w:tcW w:w="846" w:type="dxa"/>
            <w:vAlign w:val="center"/>
          </w:tcPr>
          <w:p w14:paraId="3BA09E4C" w14:textId="492BD22A" w:rsidR="000933A2" w:rsidRPr="000C4A54" w:rsidRDefault="000933A2" w:rsidP="00951B0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12.1</w:t>
            </w:r>
            <w:r w:rsidRPr="000C4A54">
              <w:rPr>
                <w:rFonts w:ascii="Arial" w:hAnsi="Arial" w:cs="Arial"/>
                <w:bCs/>
                <w:color w:val="215868" w:themeColor="accent5" w:themeShade="80"/>
                <w:sz w:val="18"/>
                <w:szCs w:val="18"/>
              </w:rPr>
              <w:t>%</w:t>
            </w:r>
          </w:p>
        </w:tc>
      </w:tr>
      <w:tr w:rsidR="00C66ED4" w:rsidRPr="000C4A54" w14:paraId="0109AA0D" w14:textId="77777777" w:rsidTr="008A1B9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50878611" w14:textId="77777777" w:rsidR="00C66ED4" w:rsidRPr="000C4A54" w:rsidRDefault="00C66ED4" w:rsidP="008A1B9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Carrots</w:t>
            </w:r>
          </w:p>
        </w:tc>
        <w:tc>
          <w:tcPr>
            <w:tcW w:w="1023" w:type="dxa"/>
            <w:gridSpan w:val="3"/>
            <w:vAlign w:val="center"/>
          </w:tcPr>
          <w:p w14:paraId="7A2F26BE"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2</w:t>
            </w:r>
            <w:r w:rsidRPr="000C4A54">
              <w:rPr>
                <w:rFonts w:ascii="Arial" w:hAnsi="Arial" w:cs="Arial"/>
                <w:color w:val="215868" w:themeColor="accent5" w:themeShade="80"/>
                <w:sz w:val="18"/>
                <w:szCs w:val="18"/>
              </w:rPr>
              <w:t>%</w:t>
            </w:r>
          </w:p>
        </w:tc>
        <w:tc>
          <w:tcPr>
            <w:tcW w:w="846" w:type="dxa"/>
            <w:gridSpan w:val="2"/>
            <w:vAlign w:val="center"/>
          </w:tcPr>
          <w:p w14:paraId="7DEE4ECA"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+7.3%</w:t>
            </w:r>
          </w:p>
        </w:tc>
        <w:tc>
          <w:tcPr>
            <w:tcW w:w="846" w:type="dxa"/>
            <w:gridSpan w:val="2"/>
            <w:vAlign w:val="center"/>
          </w:tcPr>
          <w:p w14:paraId="3A51A0AE"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-5.1%</w:t>
            </w:r>
          </w:p>
        </w:tc>
        <w:tc>
          <w:tcPr>
            <w:tcW w:w="845" w:type="dxa"/>
            <w:vAlign w:val="center"/>
          </w:tcPr>
          <w:p w14:paraId="688E1271"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-7.5%</w:t>
            </w:r>
          </w:p>
        </w:tc>
        <w:tc>
          <w:tcPr>
            <w:tcW w:w="846" w:type="dxa"/>
            <w:vAlign w:val="center"/>
          </w:tcPr>
          <w:p w14:paraId="2D667416"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0.0%</w:t>
            </w:r>
          </w:p>
        </w:tc>
        <w:tc>
          <w:tcPr>
            <w:tcW w:w="846" w:type="dxa"/>
            <w:vAlign w:val="center"/>
          </w:tcPr>
          <w:p w14:paraId="4E802D35"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+1.0%</w:t>
            </w:r>
          </w:p>
        </w:tc>
        <w:tc>
          <w:tcPr>
            <w:tcW w:w="845" w:type="dxa"/>
            <w:vAlign w:val="center"/>
          </w:tcPr>
          <w:p w14:paraId="26533375"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+3.5%</w:t>
            </w:r>
          </w:p>
        </w:tc>
        <w:tc>
          <w:tcPr>
            <w:tcW w:w="846" w:type="dxa"/>
            <w:vAlign w:val="center"/>
          </w:tcPr>
          <w:p w14:paraId="60E9C3E1" w14:textId="77777777"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Pr>
                <w:rFonts w:ascii="Arial" w:hAnsi="Arial" w:cs="Arial"/>
                <w:color w:val="215868" w:themeColor="accent5" w:themeShade="80"/>
                <w:sz w:val="18"/>
                <w:szCs w:val="18"/>
              </w:rPr>
              <w:t>4.0</w:t>
            </w:r>
            <w:r w:rsidRPr="000C4A54">
              <w:rPr>
                <w:rFonts w:ascii="Arial" w:hAnsi="Arial" w:cs="Arial"/>
                <w:color w:val="215868" w:themeColor="accent5" w:themeShade="80"/>
                <w:sz w:val="18"/>
                <w:szCs w:val="18"/>
              </w:rPr>
              <w:t>%</w:t>
            </w:r>
          </w:p>
        </w:tc>
        <w:tc>
          <w:tcPr>
            <w:tcW w:w="846" w:type="dxa"/>
            <w:vAlign w:val="center"/>
          </w:tcPr>
          <w:p w14:paraId="030C674F" w14:textId="64E9C0C9"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115</w:t>
            </w:r>
            <w:r w:rsidRPr="000C4A54">
              <w:rPr>
                <w:rFonts w:ascii="Arial" w:hAnsi="Arial" w:cs="Arial"/>
                <w:bCs/>
                <w:color w:val="215868" w:themeColor="accent5" w:themeShade="80"/>
                <w:sz w:val="18"/>
                <w:szCs w:val="18"/>
              </w:rPr>
              <w:t>M</w:t>
            </w:r>
          </w:p>
        </w:tc>
        <w:tc>
          <w:tcPr>
            <w:tcW w:w="846" w:type="dxa"/>
            <w:vAlign w:val="center"/>
          </w:tcPr>
          <w:p w14:paraId="0DE3E9A4" w14:textId="5406B0FE"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4.0</w:t>
            </w:r>
            <w:r w:rsidRPr="000C4A54">
              <w:rPr>
                <w:rFonts w:ascii="Arial" w:hAnsi="Arial" w:cs="Arial"/>
                <w:bCs/>
                <w:color w:val="215868" w:themeColor="accent5" w:themeShade="80"/>
                <w:sz w:val="18"/>
                <w:szCs w:val="18"/>
              </w:rPr>
              <w:t>%</w:t>
            </w:r>
          </w:p>
        </w:tc>
        <w:tc>
          <w:tcPr>
            <w:tcW w:w="846" w:type="dxa"/>
            <w:vAlign w:val="center"/>
          </w:tcPr>
          <w:p w14:paraId="7B86E4EF" w14:textId="69553C72" w:rsidR="00C66ED4" w:rsidRPr="000C4A54" w:rsidRDefault="00C66ED4" w:rsidP="008A1B9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Pr>
                <w:rFonts w:ascii="Arial" w:hAnsi="Arial" w:cs="Arial"/>
                <w:bCs/>
                <w:color w:val="215868" w:themeColor="accent5" w:themeShade="80"/>
                <w:sz w:val="18"/>
                <w:szCs w:val="18"/>
              </w:rPr>
              <w:t>2.9</w:t>
            </w:r>
            <w:r w:rsidRPr="000C4A54">
              <w:rPr>
                <w:rFonts w:ascii="Arial" w:hAnsi="Arial" w:cs="Arial"/>
                <w:bCs/>
                <w:color w:val="215868" w:themeColor="accent5" w:themeShade="80"/>
                <w:sz w:val="18"/>
                <w:szCs w:val="18"/>
              </w:rPr>
              <w:t>%</w:t>
            </w:r>
          </w:p>
        </w:tc>
      </w:tr>
      <w:tr w:rsidR="000933A2" w:rsidRPr="000C4A54" w14:paraId="5C1FA360" w14:textId="77777777" w:rsidTr="007C182F">
        <w:trPr>
          <w:trHeight w:val="253"/>
        </w:trPr>
        <w:tc>
          <w:tcPr>
            <w:cnfStyle w:val="001000000000" w:firstRow="0" w:lastRow="0" w:firstColumn="1" w:lastColumn="0" w:oddVBand="0" w:evenVBand="0" w:oddHBand="0" w:evenHBand="0" w:firstRowFirstColumn="0" w:firstRowLastColumn="0" w:lastRowFirstColumn="0" w:lastRowLastColumn="0"/>
            <w:tcW w:w="1170" w:type="dxa"/>
            <w:vAlign w:val="center"/>
          </w:tcPr>
          <w:p w14:paraId="13E4D5C4" w14:textId="77777777" w:rsidR="0020634E" w:rsidRPr="000C4A54" w:rsidRDefault="0020634E" w:rsidP="0020634E">
            <w:pPr>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Mushrooms</w:t>
            </w:r>
          </w:p>
        </w:tc>
        <w:tc>
          <w:tcPr>
            <w:tcW w:w="1023" w:type="dxa"/>
            <w:gridSpan w:val="3"/>
            <w:vAlign w:val="center"/>
          </w:tcPr>
          <w:p w14:paraId="4CE975C7" w14:textId="7D6C0885"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w:t>
            </w:r>
            <w:r w:rsidR="00BE4D67">
              <w:rPr>
                <w:rFonts w:ascii="Arial" w:hAnsi="Arial" w:cs="Arial"/>
                <w:color w:val="215868" w:themeColor="accent5" w:themeShade="80"/>
                <w:sz w:val="18"/>
                <w:szCs w:val="18"/>
              </w:rPr>
              <w:t>1</w:t>
            </w:r>
            <w:r w:rsidRPr="000C4A54">
              <w:rPr>
                <w:rFonts w:ascii="Arial" w:hAnsi="Arial" w:cs="Arial"/>
                <w:color w:val="215868" w:themeColor="accent5" w:themeShade="80"/>
                <w:sz w:val="18"/>
                <w:szCs w:val="18"/>
              </w:rPr>
              <w:t>%</w:t>
            </w:r>
          </w:p>
        </w:tc>
        <w:tc>
          <w:tcPr>
            <w:tcW w:w="846" w:type="dxa"/>
            <w:gridSpan w:val="2"/>
            <w:vAlign w:val="center"/>
          </w:tcPr>
          <w:p w14:paraId="33582843"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+19.7%</w:t>
            </w:r>
          </w:p>
        </w:tc>
        <w:tc>
          <w:tcPr>
            <w:tcW w:w="846" w:type="dxa"/>
            <w:gridSpan w:val="2"/>
            <w:vAlign w:val="center"/>
          </w:tcPr>
          <w:p w14:paraId="580D6B6E"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+8.6%</w:t>
            </w:r>
          </w:p>
        </w:tc>
        <w:tc>
          <w:tcPr>
            <w:tcW w:w="845" w:type="dxa"/>
            <w:vAlign w:val="center"/>
          </w:tcPr>
          <w:p w14:paraId="15DF33AE"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-12.6%</w:t>
            </w:r>
          </w:p>
        </w:tc>
        <w:tc>
          <w:tcPr>
            <w:tcW w:w="846" w:type="dxa"/>
            <w:vAlign w:val="center"/>
          </w:tcPr>
          <w:p w14:paraId="2ECE5016"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-9.2%</w:t>
            </w:r>
          </w:p>
        </w:tc>
        <w:tc>
          <w:tcPr>
            <w:tcW w:w="846" w:type="dxa"/>
            <w:vAlign w:val="center"/>
          </w:tcPr>
          <w:p w14:paraId="3BE32679"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-6.4%</w:t>
            </w:r>
          </w:p>
        </w:tc>
        <w:tc>
          <w:tcPr>
            <w:tcW w:w="845" w:type="dxa"/>
            <w:vAlign w:val="center"/>
          </w:tcPr>
          <w:p w14:paraId="1447B891" w14:textId="77777777"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-5.9%</w:t>
            </w:r>
          </w:p>
        </w:tc>
        <w:tc>
          <w:tcPr>
            <w:tcW w:w="846" w:type="dxa"/>
            <w:vAlign w:val="center"/>
          </w:tcPr>
          <w:p w14:paraId="3C4A47D9" w14:textId="33760CA2"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color w:val="215868" w:themeColor="accent5" w:themeShade="80"/>
                <w:sz w:val="18"/>
                <w:szCs w:val="18"/>
              </w:rPr>
              <w:t>-</w:t>
            </w:r>
            <w:r w:rsidR="00017BCE">
              <w:rPr>
                <w:rFonts w:ascii="Arial" w:hAnsi="Arial" w:cs="Arial"/>
                <w:color w:val="215868" w:themeColor="accent5" w:themeShade="80"/>
                <w:sz w:val="18"/>
                <w:szCs w:val="18"/>
              </w:rPr>
              <w:t>4.2</w:t>
            </w:r>
            <w:r w:rsidRPr="000C4A54">
              <w:rPr>
                <w:rFonts w:ascii="Arial" w:hAnsi="Arial" w:cs="Arial"/>
                <w:color w:val="215868" w:themeColor="accent5" w:themeShade="80"/>
                <w:sz w:val="18"/>
                <w:szCs w:val="18"/>
              </w:rPr>
              <w:t>%</w:t>
            </w:r>
          </w:p>
        </w:tc>
        <w:tc>
          <w:tcPr>
            <w:tcW w:w="846" w:type="dxa"/>
            <w:vAlign w:val="center"/>
          </w:tcPr>
          <w:p w14:paraId="1E804687" w14:textId="6B65849F"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112</w:t>
            </w:r>
            <w:r w:rsidRPr="000C4A54">
              <w:rPr>
                <w:rFonts w:ascii="Arial" w:hAnsi="Arial" w:cs="Arial"/>
                <w:bCs/>
                <w:color w:val="215868" w:themeColor="accent5" w:themeShade="80"/>
                <w:sz w:val="18"/>
                <w:szCs w:val="18"/>
              </w:rPr>
              <w:t>M</w:t>
            </w:r>
          </w:p>
        </w:tc>
        <w:tc>
          <w:tcPr>
            <w:tcW w:w="846" w:type="dxa"/>
            <w:vAlign w:val="center"/>
          </w:tcPr>
          <w:p w14:paraId="3A1E7732" w14:textId="777FC5BA"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3.1</w:t>
            </w:r>
            <w:r w:rsidRPr="000C4A54">
              <w:rPr>
                <w:rFonts w:ascii="Arial" w:hAnsi="Arial" w:cs="Arial"/>
                <w:bCs/>
                <w:color w:val="215868" w:themeColor="accent5" w:themeShade="80"/>
                <w:sz w:val="18"/>
                <w:szCs w:val="18"/>
              </w:rPr>
              <w:t>%</w:t>
            </w:r>
          </w:p>
        </w:tc>
        <w:tc>
          <w:tcPr>
            <w:tcW w:w="846" w:type="dxa"/>
            <w:vAlign w:val="center"/>
          </w:tcPr>
          <w:p w14:paraId="3DCF7DF3" w14:textId="5D0E53AB" w:rsidR="0020634E" w:rsidRPr="000C4A54" w:rsidRDefault="0020634E" w:rsidP="0020634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66ED4">
              <w:rPr>
                <w:rFonts w:ascii="Arial" w:hAnsi="Arial" w:cs="Arial"/>
                <w:bCs/>
                <w:color w:val="215868" w:themeColor="accent5" w:themeShade="80"/>
                <w:sz w:val="18"/>
                <w:szCs w:val="18"/>
              </w:rPr>
              <w:t>10.9</w:t>
            </w:r>
            <w:r w:rsidRPr="000C4A54">
              <w:rPr>
                <w:rFonts w:ascii="Arial" w:hAnsi="Arial" w:cs="Arial"/>
                <w:bCs/>
                <w:color w:val="215868" w:themeColor="accent5" w:themeShade="80"/>
                <w:sz w:val="18"/>
                <w:szCs w:val="18"/>
              </w:rPr>
              <w:t>%</w:t>
            </w:r>
          </w:p>
        </w:tc>
      </w:tr>
    </w:tbl>
    <w:p w14:paraId="4466B100" w14:textId="77777777"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39786EA0" w14:textId="77777777" w:rsidR="00C06A0B" w:rsidRDefault="00C06A0B" w:rsidP="009E5261">
      <w:pPr>
        <w:pStyle w:val="NoSpacing"/>
        <w:rPr>
          <w:rFonts w:ascii="Arial" w:hAnsi="Arial" w:cs="Arial"/>
          <w:b/>
          <w:color w:val="595959" w:themeColor="text1" w:themeTint="A6"/>
          <w:sz w:val="24"/>
          <w:szCs w:val="20"/>
        </w:rPr>
      </w:pPr>
    </w:p>
    <w:p w14:paraId="0932FFB5" w14:textId="77777777" w:rsidR="00C06A0B" w:rsidRDefault="00C06A0B" w:rsidP="009E5261">
      <w:pPr>
        <w:pStyle w:val="NoSpacing"/>
        <w:rPr>
          <w:rFonts w:ascii="Arial" w:hAnsi="Arial" w:cs="Arial"/>
          <w:b/>
          <w:color w:val="595959" w:themeColor="text1" w:themeTint="A6"/>
          <w:sz w:val="24"/>
          <w:szCs w:val="20"/>
        </w:rPr>
      </w:pPr>
    </w:p>
    <w:p w14:paraId="23DE661B" w14:textId="5C38C6E4"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lastRenderedPageBreak/>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1987F4CA" w:rsidR="009E5261" w:rsidRPr="00B35CE9" w:rsidRDefault="00CC484B" w:rsidP="009E5261">
      <w:pPr>
        <w:pStyle w:val="NoSpacing"/>
        <w:rPr>
          <w:rFonts w:ascii="Arial" w:hAnsi="Arial" w:cs="Arial"/>
          <w:sz w:val="20"/>
          <w:szCs w:val="20"/>
        </w:rPr>
      </w:pPr>
      <w:r>
        <w:rPr>
          <w:rFonts w:ascii="Arial" w:hAnsi="Arial" w:cs="Arial"/>
          <w:sz w:val="20"/>
          <w:szCs w:val="20"/>
        </w:rPr>
        <w:t xml:space="preserve">In </w:t>
      </w:r>
      <w:r w:rsidR="005625F4">
        <w:rPr>
          <w:rFonts w:ascii="Arial" w:hAnsi="Arial" w:cs="Arial"/>
          <w:sz w:val="20"/>
          <w:szCs w:val="20"/>
        </w:rPr>
        <w:t>Ju</w:t>
      </w:r>
      <w:r w:rsidR="00B175F0">
        <w:rPr>
          <w:rFonts w:ascii="Arial" w:hAnsi="Arial" w:cs="Arial"/>
          <w:sz w:val="20"/>
          <w:szCs w:val="20"/>
        </w:rPr>
        <w:t>ly</w:t>
      </w:r>
      <w:r w:rsidR="005625F4">
        <w:rPr>
          <w:rFonts w:ascii="Arial" w:hAnsi="Arial" w:cs="Arial"/>
          <w:sz w:val="20"/>
          <w:szCs w:val="20"/>
        </w:rPr>
        <w:t xml:space="preserve"> </w:t>
      </w:r>
      <w:r>
        <w:rPr>
          <w:rFonts w:ascii="Arial" w:hAnsi="Arial" w:cs="Arial"/>
          <w:sz w:val="20"/>
          <w:szCs w:val="20"/>
        </w:rPr>
        <w:t>2022, fresh fruit added $</w:t>
      </w:r>
      <w:r w:rsidR="00B175F0">
        <w:rPr>
          <w:rFonts w:ascii="Arial" w:hAnsi="Arial" w:cs="Arial"/>
          <w:sz w:val="20"/>
          <w:szCs w:val="20"/>
        </w:rPr>
        <w:t>163</w:t>
      </w:r>
      <w:r>
        <w:rPr>
          <w:rFonts w:ascii="Arial" w:hAnsi="Arial" w:cs="Arial"/>
          <w:sz w:val="20"/>
          <w:szCs w:val="20"/>
        </w:rPr>
        <w:t xml:space="preserve"> million in sales and vegetables added $</w:t>
      </w:r>
      <w:r w:rsidR="00B175F0">
        <w:rPr>
          <w:rFonts w:ascii="Arial" w:hAnsi="Arial" w:cs="Arial"/>
          <w:sz w:val="20"/>
          <w:szCs w:val="20"/>
        </w:rPr>
        <w:t>147</w:t>
      </w:r>
      <w:r>
        <w:rPr>
          <w:rFonts w:ascii="Arial" w:hAnsi="Arial" w:cs="Arial"/>
          <w:sz w:val="20"/>
          <w:szCs w:val="20"/>
        </w:rPr>
        <w:t xml:space="preserve"> million when compared to </w:t>
      </w:r>
      <w:r w:rsidR="000B0895">
        <w:rPr>
          <w:rFonts w:ascii="Arial" w:hAnsi="Arial" w:cs="Arial"/>
          <w:sz w:val="20"/>
          <w:szCs w:val="20"/>
        </w:rPr>
        <w:t>Ju</w:t>
      </w:r>
      <w:r w:rsidR="00B175F0">
        <w:rPr>
          <w:rFonts w:ascii="Arial" w:hAnsi="Arial" w:cs="Arial"/>
          <w:sz w:val="20"/>
          <w:szCs w:val="20"/>
        </w:rPr>
        <w:t>ly</w:t>
      </w:r>
      <w:r w:rsidR="000B0895">
        <w:rPr>
          <w:rFonts w:ascii="Arial" w:hAnsi="Arial" w:cs="Arial"/>
          <w:sz w:val="20"/>
          <w:szCs w:val="20"/>
        </w:rPr>
        <w:t xml:space="preserve"> </w:t>
      </w:r>
      <w:r>
        <w:rPr>
          <w:rFonts w:ascii="Arial" w:hAnsi="Arial" w:cs="Arial"/>
          <w:sz w:val="20"/>
          <w:szCs w:val="20"/>
        </w:rPr>
        <w:t xml:space="preserve">2021. </w:t>
      </w:r>
      <w:r w:rsidR="00DD28A9">
        <w:rPr>
          <w:rFonts w:ascii="Arial" w:hAnsi="Arial" w:cs="Arial"/>
          <w:sz w:val="20"/>
          <w:szCs w:val="20"/>
        </w:rPr>
        <w:t xml:space="preserve">Gains were achieved in many different ways. Avocados, peaches, nectarines and plums had very high inflation. Pineapples and apples had below-average inflation, but robust demand pushed their performances into the top 10 in absolute dollar </w:t>
      </w:r>
      <w:r w:rsidR="006852E6">
        <w:rPr>
          <w:rFonts w:ascii="Arial" w:hAnsi="Arial" w:cs="Arial"/>
          <w:sz w:val="20"/>
          <w:szCs w:val="20"/>
        </w:rPr>
        <w:t xml:space="preserve">growth </w:t>
      </w:r>
      <w:r w:rsidR="00DD28A9">
        <w:rPr>
          <w:rFonts w:ascii="Arial" w:hAnsi="Arial" w:cs="Arial"/>
          <w:sz w:val="20"/>
          <w:szCs w:val="20"/>
        </w:rPr>
        <w:t xml:space="preserve">in July. </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07FBD197" w:rsidR="0087772C" w:rsidRPr="001A4F53" w:rsidRDefault="00951B01"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July</w:t>
            </w:r>
            <w:r w:rsidR="000D3B17">
              <w:rPr>
                <w:rFonts w:ascii="Arial" w:hAnsi="Arial" w:cs="Arial"/>
                <w:color w:val="FFFFFF" w:themeColor="background1"/>
                <w:sz w:val="18"/>
                <w:szCs w:val="18"/>
              </w:rPr>
              <w:t xml:space="preserve">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18931E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6DA2C6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5EF30020"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Total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57CAFA7C" w:rsidR="0087772C" w:rsidRPr="001A4F53" w:rsidRDefault="00BE7DBD"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Change </w:t>
            </w:r>
            <w:r w:rsidR="0087772C">
              <w:rPr>
                <w:rFonts w:ascii="Arial" w:hAnsi="Arial" w:cs="Arial"/>
                <w:b/>
                <w:color w:val="FFFFFF" w:themeColor="background1"/>
                <w:sz w:val="18"/>
                <w:szCs w:val="18"/>
              </w:rPr>
              <w:t>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6E56057C" w:rsidR="0087772C" w:rsidRPr="0039690E" w:rsidRDefault="00B175F0"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1862" w:type="dxa"/>
            <w:vAlign w:val="center"/>
          </w:tcPr>
          <w:p w14:paraId="27F7C24E" w14:textId="680E16EA"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58</w:t>
            </w:r>
            <w:r w:rsidR="000D3B17">
              <w:rPr>
                <w:rFonts w:ascii="Arial" w:hAnsi="Arial" w:cs="Arial"/>
                <w:color w:val="215868" w:themeColor="accent5" w:themeShade="80"/>
                <w:sz w:val="18"/>
                <w:szCs w:val="18"/>
              </w:rPr>
              <w:t>M</w:t>
            </w:r>
          </w:p>
        </w:tc>
        <w:tc>
          <w:tcPr>
            <w:tcW w:w="1863" w:type="dxa"/>
            <w:vAlign w:val="center"/>
          </w:tcPr>
          <w:p w14:paraId="66E5E3BB" w14:textId="6B1E887A"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10.8</w:t>
            </w:r>
            <w:r w:rsidRPr="0039690E">
              <w:rPr>
                <w:rFonts w:ascii="Arial" w:hAnsi="Arial" w:cs="Arial"/>
                <w:color w:val="215868" w:themeColor="accent5" w:themeShade="80"/>
                <w:sz w:val="18"/>
                <w:szCs w:val="18"/>
              </w:rPr>
              <w:t>%</w:t>
            </w:r>
          </w:p>
        </w:tc>
        <w:tc>
          <w:tcPr>
            <w:tcW w:w="1862" w:type="dxa"/>
            <w:vAlign w:val="center"/>
          </w:tcPr>
          <w:p w14:paraId="1C5E5C05" w14:textId="799D3912"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596</w:t>
            </w:r>
            <w:r w:rsidRPr="0039690E">
              <w:rPr>
                <w:rFonts w:ascii="Arial" w:hAnsi="Arial" w:cs="Arial"/>
                <w:color w:val="215868" w:themeColor="accent5" w:themeShade="80"/>
                <w:sz w:val="18"/>
                <w:szCs w:val="18"/>
              </w:rPr>
              <w:t>M</w:t>
            </w:r>
          </w:p>
        </w:tc>
        <w:tc>
          <w:tcPr>
            <w:tcW w:w="1863" w:type="dxa"/>
            <w:gridSpan w:val="2"/>
          </w:tcPr>
          <w:p w14:paraId="6AFCF28C" w14:textId="42A4752F" w:rsidR="0087772C" w:rsidRPr="0039690E" w:rsidRDefault="000D3B17"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11.9</w:t>
            </w:r>
            <w:r w:rsidR="0087772C">
              <w:rPr>
                <w:rFonts w:ascii="Arial" w:hAnsi="Arial" w:cs="Arial"/>
                <w:color w:val="215868" w:themeColor="accent5" w:themeShade="80"/>
                <w:sz w:val="18"/>
                <w:szCs w:val="18"/>
              </w:rPr>
              <w:t>%</w:t>
            </w:r>
          </w:p>
        </w:tc>
      </w:tr>
      <w:tr w:rsidR="00025202" w:rsidRPr="0039690E" w14:paraId="43381836"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594605B6"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Onions</w:t>
            </w:r>
          </w:p>
        </w:tc>
        <w:tc>
          <w:tcPr>
            <w:tcW w:w="1862" w:type="dxa"/>
          </w:tcPr>
          <w:p w14:paraId="473224CC" w14:textId="21333E3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52</w:t>
            </w:r>
            <w:r w:rsidRPr="00B1671F">
              <w:rPr>
                <w:rFonts w:ascii="Arial" w:hAnsi="Arial" w:cs="Arial"/>
                <w:color w:val="215868" w:themeColor="accent5" w:themeShade="80"/>
                <w:sz w:val="18"/>
                <w:szCs w:val="18"/>
              </w:rPr>
              <w:t>M</w:t>
            </w:r>
          </w:p>
        </w:tc>
        <w:tc>
          <w:tcPr>
            <w:tcW w:w="1863" w:type="dxa"/>
          </w:tcPr>
          <w:p w14:paraId="69BA81BF" w14:textId="59CE9DE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22.8</w:t>
            </w:r>
            <w:r w:rsidRPr="009E037C">
              <w:rPr>
                <w:rFonts w:ascii="Arial" w:hAnsi="Arial" w:cs="Arial"/>
                <w:color w:val="215868" w:themeColor="accent5" w:themeShade="80"/>
                <w:sz w:val="18"/>
                <w:szCs w:val="18"/>
              </w:rPr>
              <w:t>%</w:t>
            </w:r>
          </w:p>
        </w:tc>
        <w:tc>
          <w:tcPr>
            <w:tcW w:w="1862" w:type="dxa"/>
          </w:tcPr>
          <w:p w14:paraId="33105BD9" w14:textId="26F145F0"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278</w:t>
            </w:r>
            <w:r w:rsidRPr="00FC3E4A">
              <w:rPr>
                <w:rFonts w:ascii="Arial" w:hAnsi="Arial" w:cs="Arial"/>
                <w:color w:val="215868" w:themeColor="accent5" w:themeShade="80"/>
                <w:sz w:val="18"/>
                <w:szCs w:val="18"/>
              </w:rPr>
              <w:t>M</w:t>
            </w:r>
          </w:p>
        </w:tc>
        <w:tc>
          <w:tcPr>
            <w:tcW w:w="1863" w:type="dxa"/>
            <w:gridSpan w:val="2"/>
          </w:tcPr>
          <w:p w14:paraId="15A0570C" w14:textId="147B86D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23.9</w:t>
            </w:r>
            <w:r>
              <w:rPr>
                <w:rFonts w:ascii="Arial" w:hAnsi="Arial" w:cs="Arial"/>
                <w:color w:val="215868" w:themeColor="accent5" w:themeShade="80"/>
                <w:sz w:val="18"/>
                <w:szCs w:val="18"/>
              </w:rPr>
              <w:t>%</w:t>
            </w:r>
          </w:p>
        </w:tc>
      </w:tr>
      <w:tr w:rsidR="00025202" w:rsidRPr="0039690E" w14:paraId="75511BE8"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769000F8"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Potatoes</w:t>
            </w:r>
          </w:p>
        </w:tc>
        <w:tc>
          <w:tcPr>
            <w:tcW w:w="1862" w:type="dxa"/>
          </w:tcPr>
          <w:p w14:paraId="575F9CA6" w14:textId="4FF5E47C"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44</w:t>
            </w:r>
            <w:r w:rsidRPr="00B1671F">
              <w:rPr>
                <w:rFonts w:ascii="Arial" w:hAnsi="Arial" w:cs="Arial"/>
                <w:color w:val="215868" w:themeColor="accent5" w:themeShade="80"/>
                <w:sz w:val="18"/>
                <w:szCs w:val="18"/>
              </w:rPr>
              <w:t>M</w:t>
            </w:r>
          </w:p>
        </w:tc>
        <w:tc>
          <w:tcPr>
            <w:tcW w:w="1863" w:type="dxa"/>
          </w:tcPr>
          <w:p w14:paraId="0A097B6D" w14:textId="5B2E428C"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15.2</w:t>
            </w:r>
            <w:r w:rsidRPr="009E037C">
              <w:rPr>
                <w:rFonts w:ascii="Arial" w:hAnsi="Arial" w:cs="Arial"/>
                <w:color w:val="215868" w:themeColor="accent5" w:themeShade="80"/>
                <w:sz w:val="18"/>
                <w:szCs w:val="18"/>
              </w:rPr>
              <w:t>%</w:t>
            </w:r>
          </w:p>
        </w:tc>
        <w:tc>
          <w:tcPr>
            <w:tcW w:w="1862" w:type="dxa"/>
          </w:tcPr>
          <w:p w14:paraId="28D0C663" w14:textId="64AA9CC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337</w:t>
            </w:r>
            <w:r w:rsidRPr="00FC3E4A">
              <w:rPr>
                <w:rFonts w:ascii="Arial" w:hAnsi="Arial" w:cs="Arial"/>
                <w:color w:val="215868" w:themeColor="accent5" w:themeShade="80"/>
                <w:sz w:val="18"/>
                <w:szCs w:val="18"/>
              </w:rPr>
              <w:t>M</w:t>
            </w:r>
          </w:p>
        </w:tc>
        <w:tc>
          <w:tcPr>
            <w:tcW w:w="1863" w:type="dxa"/>
            <w:gridSpan w:val="2"/>
          </w:tcPr>
          <w:p w14:paraId="6C5789DF" w14:textId="5D0AF65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18.2</w:t>
            </w:r>
            <w:r>
              <w:rPr>
                <w:rFonts w:ascii="Arial" w:hAnsi="Arial" w:cs="Arial"/>
                <w:color w:val="215868" w:themeColor="accent5" w:themeShade="80"/>
                <w:sz w:val="18"/>
                <w:szCs w:val="18"/>
              </w:rPr>
              <w:t>%</w:t>
            </w:r>
          </w:p>
        </w:tc>
      </w:tr>
      <w:tr w:rsidR="00025202" w:rsidRPr="0039690E" w14:paraId="1A21AA15"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33CEF3B7" w:rsidR="00B175F0" w:rsidRPr="00B175F0" w:rsidRDefault="00B175F0" w:rsidP="00B175F0">
            <w:pPr>
              <w:jc w:val="right"/>
              <w:rPr>
                <w:rFonts w:ascii="Arial" w:hAnsi="Arial" w:cs="Arial"/>
                <w:bCs w:val="0"/>
                <w:color w:val="215868" w:themeColor="accent5" w:themeShade="80"/>
                <w:sz w:val="18"/>
                <w:szCs w:val="18"/>
              </w:rPr>
            </w:pPr>
            <w:r>
              <w:rPr>
                <w:rFonts w:ascii="Arial" w:hAnsi="Arial" w:cs="Arial"/>
                <w:b w:val="0"/>
                <w:color w:val="215868" w:themeColor="accent5" w:themeShade="80"/>
                <w:sz w:val="18"/>
                <w:szCs w:val="18"/>
              </w:rPr>
              <w:t>Avocados</w:t>
            </w:r>
          </w:p>
        </w:tc>
        <w:tc>
          <w:tcPr>
            <w:tcW w:w="1862" w:type="dxa"/>
          </w:tcPr>
          <w:p w14:paraId="53A4FBF5" w14:textId="0CC2169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24</w:t>
            </w:r>
            <w:r w:rsidRPr="00B1671F">
              <w:rPr>
                <w:rFonts w:ascii="Arial" w:hAnsi="Arial" w:cs="Arial"/>
                <w:color w:val="215868" w:themeColor="accent5" w:themeShade="80"/>
                <w:sz w:val="18"/>
                <w:szCs w:val="18"/>
              </w:rPr>
              <w:t>M</w:t>
            </w:r>
          </w:p>
        </w:tc>
        <w:tc>
          <w:tcPr>
            <w:tcW w:w="1863" w:type="dxa"/>
          </w:tcPr>
          <w:p w14:paraId="7B62BF9D" w14:textId="39045EF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9.9</w:t>
            </w:r>
            <w:r w:rsidRPr="009E037C">
              <w:rPr>
                <w:rFonts w:ascii="Arial" w:hAnsi="Arial" w:cs="Arial"/>
                <w:color w:val="215868" w:themeColor="accent5" w:themeShade="80"/>
                <w:sz w:val="18"/>
                <w:szCs w:val="18"/>
              </w:rPr>
              <w:t>%</w:t>
            </w:r>
          </w:p>
        </w:tc>
        <w:tc>
          <w:tcPr>
            <w:tcW w:w="1862" w:type="dxa"/>
          </w:tcPr>
          <w:p w14:paraId="165DF388" w14:textId="1915DF89"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268</w:t>
            </w:r>
            <w:r w:rsidRPr="00FC3E4A">
              <w:rPr>
                <w:rFonts w:ascii="Arial" w:hAnsi="Arial" w:cs="Arial"/>
                <w:color w:val="215868" w:themeColor="accent5" w:themeShade="80"/>
                <w:sz w:val="18"/>
                <w:szCs w:val="18"/>
              </w:rPr>
              <w:t>M</w:t>
            </w:r>
          </w:p>
        </w:tc>
        <w:tc>
          <w:tcPr>
            <w:tcW w:w="1863" w:type="dxa"/>
            <w:gridSpan w:val="2"/>
          </w:tcPr>
          <w:p w14:paraId="2D5467DF" w14:textId="40566FE5" w:rsidR="00025202" w:rsidRDefault="00384436"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29.5</w:t>
            </w:r>
            <w:r w:rsidR="00025202">
              <w:rPr>
                <w:rFonts w:ascii="Arial" w:hAnsi="Arial" w:cs="Arial"/>
                <w:color w:val="215868" w:themeColor="accent5" w:themeShade="80"/>
                <w:sz w:val="18"/>
                <w:szCs w:val="18"/>
              </w:rPr>
              <w:t>%</w:t>
            </w:r>
          </w:p>
        </w:tc>
      </w:tr>
      <w:tr w:rsidR="00025202" w:rsidRPr="0039690E" w14:paraId="75397FB3"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4CED3EE2"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Peaches</w:t>
            </w:r>
          </w:p>
        </w:tc>
        <w:tc>
          <w:tcPr>
            <w:tcW w:w="1862" w:type="dxa"/>
          </w:tcPr>
          <w:p w14:paraId="5A00940C" w14:textId="071837E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24</w:t>
            </w:r>
            <w:r w:rsidRPr="00B1671F">
              <w:rPr>
                <w:rFonts w:ascii="Arial" w:hAnsi="Arial" w:cs="Arial"/>
                <w:color w:val="215868" w:themeColor="accent5" w:themeShade="80"/>
                <w:sz w:val="18"/>
                <w:szCs w:val="18"/>
              </w:rPr>
              <w:t>M</w:t>
            </w:r>
          </w:p>
        </w:tc>
        <w:tc>
          <w:tcPr>
            <w:tcW w:w="1863" w:type="dxa"/>
          </w:tcPr>
          <w:p w14:paraId="633C67A6" w14:textId="7BC6C9E1"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17.0</w:t>
            </w:r>
            <w:r w:rsidRPr="009E037C">
              <w:rPr>
                <w:rFonts w:ascii="Arial" w:hAnsi="Arial" w:cs="Arial"/>
                <w:color w:val="215868" w:themeColor="accent5" w:themeShade="80"/>
                <w:sz w:val="18"/>
                <w:szCs w:val="18"/>
              </w:rPr>
              <w:t>%</w:t>
            </w:r>
          </w:p>
        </w:tc>
        <w:tc>
          <w:tcPr>
            <w:tcW w:w="1862" w:type="dxa"/>
          </w:tcPr>
          <w:p w14:paraId="1F613C99" w14:textId="3DEC0B5F"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166</w:t>
            </w:r>
            <w:r w:rsidRPr="00FC3E4A">
              <w:rPr>
                <w:rFonts w:ascii="Arial" w:hAnsi="Arial" w:cs="Arial"/>
                <w:color w:val="215868" w:themeColor="accent5" w:themeShade="80"/>
                <w:sz w:val="18"/>
                <w:szCs w:val="18"/>
              </w:rPr>
              <w:t>M</w:t>
            </w:r>
          </w:p>
        </w:tc>
        <w:tc>
          <w:tcPr>
            <w:tcW w:w="1863" w:type="dxa"/>
            <w:gridSpan w:val="2"/>
          </w:tcPr>
          <w:p w14:paraId="705E85A2" w14:textId="68A9743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20.3</w:t>
            </w:r>
            <w:r>
              <w:rPr>
                <w:rFonts w:ascii="Arial" w:hAnsi="Arial" w:cs="Arial"/>
                <w:color w:val="215868" w:themeColor="accent5" w:themeShade="80"/>
                <w:sz w:val="18"/>
                <w:szCs w:val="18"/>
              </w:rPr>
              <w:t>%</w:t>
            </w:r>
          </w:p>
        </w:tc>
      </w:tr>
      <w:tr w:rsidR="00025202" w:rsidRPr="0039690E" w14:paraId="60EECAA3"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3F3AC64C"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tcBorders>
              <w:left w:val="none" w:sz="0" w:space="0" w:color="auto"/>
              <w:right w:val="none" w:sz="0" w:space="0" w:color="auto"/>
            </w:tcBorders>
          </w:tcPr>
          <w:p w14:paraId="71B192EF" w14:textId="787883D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20</w:t>
            </w:r>
            <w:r w:rsidRPr="00B1671F">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445EC599" w14:textId="5D14FB2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7.4</w:t>
            </w:r>
            <w:r w:rsidRPr="009E037C">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02CF5248" w14:textId="49DF908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288</w:t>
            </w:r>
            <w:r w:rsidRPr="00FC3E4A">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18AC7411"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10.2</w:t>
            </w:r>
            <w:r>
              <w:rPr>
                <w:rFonts w:ascii="Arial" w:hAnsi="Arial" w:cs="Arial"/>
                <w:color w:val="215868" w:themeColor="accent5" w:themeShade="80"/>
                <w:sz w:val="18"/>
                <w:szCs w:val="18"/>
              </w:rPr>
              <w:t>%</w:t>
            </w:r>
          </w:p>
        </w:tc>
      </w:tr>
      <w:tr w:rsidR="00025202" w:rsidRPr="0039690E" w14:paraId="702F2F7B"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4B7D334C"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Nectarines</w:t>
            </w:r>
          </w:p>
        </w:tc>
        <w:tc>
          <w:tcPr>
            <w:tcW w:w="1862" w:type="dxa"/>
          </w:tcPr>
          <w:p w14:paraId="6C6039DB" w14:textId="7030F0F2"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D90BB5">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17</w:t>
            </w:r>
            <w:r w:rsidRPr="00B1671F">
              <w:rPr>
                <w:rFonts w:ascii="Arial" w:hAnsi="Arial" w:cs="Arial"/>
                <w:color w:val="215868" w:themeColor="accent5" w:themeShade="80"/>
                <w:sz w:val="18"/>
                <w:szCs w:val="18"/>
              </w:rPr>
              <w:t>M</w:t>
            </w:r>
          </w:p>
        </w:tc>
        <w:tc>
          <w:tcPr>
            <w:tcW w:w="1863" w:type="dxa"/>
          </w:tcPr>
          <w:p w14:paraId="429880EB" w14:textId="21DDE6D7"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21.6</w:t>
            </w:r>
            <w:r w:rsidRPr="009E037C">
              <w:rPr>
                <w:rFonts w:ascii="Arial" w:hAnsi="Arial" w:cs="Arial"/>
                <w:color w:val="215868" w:themeColor="accent5" w:themeShade="80"/>
                <w:sz w:val="18"/>
                <w:szCs w:val="18"/>
              </w:rPr>
              <w:t>%</w:t>
            </w:r>
          </w:p>
        </w:tc>
        <w:tc>
          <w:tcPr>
            <w:tcW w:w="1862" w:type="dxa"/>
          </w:tcPr>
          <w:p w14:paraId="6F9682AC" w14:textId="516C893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96</w:t>
            </w:r>
            <w:r w:rsidRPr="00FC3E4A">
              <w:rPr>
                <w:rFonts w:ascii="Arial" w:hAnsi="Arial" w:cs="Arial"/>
                <w:color w:val="215868" w:themeColor="accent5" w:themeShade="80"/>
                <w:sz w:val="18"/>
                <w:szCs w:val="18"/>
              </w:rPr>
              <w:t>M</w:t>
            </w:r>
          </w:p>
        </w:tc>
        <w:tc>
          <w:tcPr>
            <w:tcW w:w="1863" w:type="dxa"/>
            <w:gridSpan w:val="2"/>
          </w:tcPr>
          <w:p w14:paraId="7C1FEF60" w14:textId="6F84CA60"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18.6</w:t>
            </w:r>
            <w:r>
              <w:rPr>
                <w:rFonts w:ascii="Arial" w:hAnsi="Arial" w:cs="Arial"/>
                <w:color w:val="215868" w:themeColor="accent5" w:themeShade="80"/>
                <w:sz w:val="18"/>
                <w:szCs w:val="18"/>
              </w:rPr>
              <w:t>%</w:t>
            </w:r>
          </w:p>
        </w:tc>
      </w:tr>
      <w:tr w:rsidR="00025202" w:rsidRPr="0039690E" w14:paraId="5460D770"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4EEB540C"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Plums</w:t>
            </w:r>
          </w:p>
        </w:tc>
        <w:tc>
          <w:tcPr>
            <w:tcW w:w="1862" w:type="dxa"/>
          </w:tcPr>
          <w:p w14:paraId="708615DE" w14:textId="0FEE3FCA"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15</w:t>
            </w:r>
            <w:r w:rsidRPr="00B1671F">
              <w:rPr>
                <w:rFonts w:ascii="Arial" w:hAnsi="Arial" w:cs="Arial"/>
                <w:color w:val="215868" w:themeColor="accent5" w:themeShade="80"/>
                <w:sz w:val="18"/>
                <w:szCs w:val="18"/>
              </w:rPr>
              <w:t>M</w:t>
            </w:r>
          </w:p>
        </w:tc>
        <w:tc>
          <w:tcPr>
            <w:tcW w:w="1863" w:type="dxa"/>
          </w:tcPr>
          <w:p w14:paraId="6301E553" w14:textId="75B0A59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26.4</w:t>
            </w:r>
            <w:r w:rsidRPr="009E037C">
              <w:rPr>
                <w:rFonts w:ascii="Arial" w:hAnsi="Arial" w:cs="Arial"/>
                <w:color w:val="215868" w:themeColor="accent5" w:themeShade="80"/>
                <w:sz w:val="18"/>
                <w:szCs w:val="18"/>
              </w:rPr>
              <w:t>%</w:t>
            </w:r>
          </w:p>
        </w:tc>
        <w:tc>
          <w:tcPr>
            <w:tcW w:w="1862" w:type="dxa"/>
          </w:tcPr>
          <w:p w14:paraId="5AC78EC5" w14:textId="7B3A72C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72</w:t>
            </w:r>
            <w:r w:rsidRPr="00FC3E4A">
              <w:rPr>
                <w:rFonts w:ascii="Arial" w:hAnsi="Arial" w:cs="Arial"/>
                <w:color w:val="215868" w:themeColor="accent5" w:themeShade="80"/>
                <w:sz w:val="18"/>
                <w:szCs w:val="18"/>
              </w:rPr>
              <w:t>M</w:t>
            </w:r>
          </w:p>
        </w:tc>
        <w:tc>
          <w:tcPr>
            <w:tcW w:w="1863" w:type="dxa"/>
            <w:gridSpan w:val="2"/>
          </w:tcPr>
          <w:p w14:paraId="34BD11CE" w14:textId="16189049"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30.0</w:t>
            </w:r>
            <w:r>
              <w:rPr>
                <w:rFonts w:ascii="Arial" w:hAnsi="Arial" w:cs="Arial"/>
                <w:color w:val="215868" w:themeColor="accent5" w:themeShade="80"/>
                <w:sz w:val="18"/>
                <w:szCs w:val="18"/>
              </w:rPr>
              <w:t>%</w:t>
            </w:r>
          </w:p>
        </w:tc>
      </w:tr>
      <w:tr w:rsidR="00025202" w:rsidRPr="0039690E" w14:paraId="796068CA" w14:textId="77777777" w:rsidTr="00951B01">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4D9ECD34"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Pineapples</w:t>
            </w:r>
          </w:p>
        </w:tc>
        <w:tc>
          <w:tcPr>
            <w:tcW w:w="1862" w:type="dxa"/>
          </w:tcPr>
          <w:p w14:paraId="044A037C" w14:textId="42E17072"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12</w:t>
            </w:r>
            <w:r w:rsidRPr="00B1671F">
              <w:rPr>
                <w:rFonts w:ascii="Arial" w:hAnsi="Arial" w:cs="Arial"/>
                <w:color w:val="215868" w:themeColor="accent5" w:themeShade="80"/>
                <w:sz w:val="18"/>
                <w:szCs w:val="18"/>
              </w:rPr>
              <w:t>M</w:t>
            </w:r>
          </w:p>
        </w:tc>
        <w:tc>
          <w:tcPr>
            <w:tcW w:w="1863" w:type="dxa"/>
          </w:tcPr>
          <w:p w14:paraId="26745975" w14:textId="4600069A"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12.3</w:t>
            </w:r>
            <w:r w:rsidRPr="009E037C">
              <w:rPr>
                <w:rFonts w:ascii="Arial" w:hAnsi="Arial" w:cs="Arial"/>
                <w:color w:val="215868" w:themeColor="accent5" w:themeShade="80"/>
                <w:sz w:val="18"/>
                <w:szCs w:val="18"/>
              </w:rPr>
              <w:t>%</w:t>
            </w:r>
          </w:p>
        </w:tc>
        <w:tc>
          <w:tcPr>
            <w:tcW w:w="1862" w:type="dxa"/>
          </w:tcPr>
          <w:p w14:paraId="589893D3" w14:textId="0592C2CA"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107</w:t>
            </w:r>
            <w:r w:rsidRPr="00FC3E4A">
              <w:rPr>
                <w:rFonts w:ascii="Arial" w:hAnsi="Arial" w:cs="Arial"/>
                <w:color w:val="215868" w:themeColor="accent5" w:themeShade="80"/>
                <w:sz w:val="18"/>
                <w:szCs w:val="18"/>
              </w:rPr>
              <w:t>M</w:t>
            </w:r>
          </w:p>
        </w:tc>
        <w:tc>
          <w:tcPr>
            <w:tcW w:w="1863" w:type="dxa"/>
            <w:gridSpan w:val="2"/>
          </w:tcPr>
          <w:p w14:paraId="706BF9F0" w14:textId="462EBEFC"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7.8</w:t>
            </w:r>
            <w:r>
              <w:rPr>
                <w:rFonts w:ascii="Arial" w:hAnsi="Arial" w:cs="Arial"/>
                <w:color w:val="215868" w:themeColor="accent5" w:themeShade="80"/>
                <w:sz w:val="18"/>
                <w:szCs w:val="18"/>
              </w:rPr>
              <w:t>%</w:t>
            </w:r>
          </w:p>
        </w:tc>
      </w:tr>
      <w:tr w:rsidR="00025202" w:rsidRPr="0039690E" w14:paraId="461D5732" w14:textId="77777777" w:rsidTr="00951B0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6DD9CEEC" w:rsidR="00025202" w:rsidRPr="0039690E" w:rsidRDefault="00B175F0"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tcPr>
          <w:p w14:paraId="77FA8095" w14:textId="6A6623A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11</w:t>
            </w:r>
            <w:r w:rsidRPr="00B1671F">
              <w:rPr>
                <w:rFonts w:ascii="Arial" w:hAnsi="Arial" w:cs="Arial"/>
                <w:color w:val="215868" w:themeColor="accent5" w:themeShade="80"/>
                <w:sz w:val="18"/>
                <w:szCs w:val="18"/>
              </w:rPr>
              <w:t>M</w:t>
            </w:r>
          </w:p>
        </w:tc>
        <w:tc>
          <w:tcPr>
            <w:tcW w:w="1863" w:type="dxa"/>
          </w:tcPr>
          <w:p w14:paraId="6023B995" w14:textId="6449ADC7"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3.3</w:t>
            </w:r>
            <w:r w:rsidRPr="009E037C">
              <w:rPr>
                <w:rFonts w:ascii="Arial" w:hAnsi="Arial" w:cs="Arial"/>
                <w:color w:val="215868" w:themeColor="accent5" w:themeShade="80"/>
                <w:sz w:val="18"/>
                <w:szCs w:val="18"/>
              </w:rPr>
              <w:t>%</w:t>
            </w:r>
          </w:p>
        </w:tc>
        <w:tc>
          <w:tcPr>
            <w:tcW w:w="1862" w:type="dxa"/>
          </w:tcPr>
          <w:p w14:paraId="559377CC" w14:textId="6DD453C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345</w:t>
            </w:r>
            <w:r w:rsidRPr="00FC3E4A">
              <w:rPr>
                <w:rFonts w:ascii="Arial" w:hAnsi="Arial" w:cs="Arial"/>
                <w:color w:val="215868" w:themeColor="accent5" w:themeShade="80"/>
                <w:sz w:val="18"/>
                <w:szCs w:val="18"/>
              </w:rPr>
              <w:t>M</w:t>
            </w:r>
          </w:p>
        </w:tc>
        <w:tc>
          <w:tcPr>
            <w:tcW w:w="1863" w:type="dxa"/>
            <w:gridSpan w:val="2"/>
          </w:tcPr>
          <w:p w14:paraId="1567B1D1" w14:textId="6DEDD30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B175F0">
              <w:rPr>
                <w:rFonts w:ascii="Arial" w:hAnsi="Arial" w:cs="Arial"/>
                <w:color w:val="215868" w:themeColor="accent5" w:themeShade="80"/>
                <w:sz w:val="18"/>
                <w:szCs w:val="18"/>
              </w:rPr>
              <w:t>6.8</w:t>
            </w:r>
            <w:r>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27998812"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4C083BE9" w14:textId="764EF999" w:rsidR="00843888" w:rsidRDefault="00105554" w:rsidP="001024F6">
      <w:pPr>
        <w:pStyle w:val="NoSpacing"/>
        <w:rPr>
          <w:rFonts w:ascii="Arial" w:hAnsi="Arial" w:cs="Arial"/>
          <w:sz w:val="20"/>
          <w:szCs w:val="20"/>
        </w:rPr>
      </w:pPr>
      <w:r>
        <w:rPr>
          <w:rFonts w:ascii="Arial" w:hAnsi="Arial" w:cs="Arial"/>
          <w:sz w:val="20"/>
          <w:szCs w:val="20"/>
        </w:rPr>
        <w:t xml:space="preserve">The meat department continued to be the biggest area of sales around the perimeter, at $8.5 billion. Refrigerated, which includes dairy, is second, at $7.8 billion, followed closely by fresh produce. Refrigerated had the highest dollar gains, fueled by very high inflation across categories and eggs in particular. Seafood was the only department to lose ground in dollars and units. Fresh seafood units have also fallen behind 2019 levels. </w:t>
      </w:r>
    </w:p>
    <w:p w14:paraId="3E11D801" w14:textId="77777777" w:rsidR="00105554" w:rsidRDefault="00105554" w:rsidP="001024F6">
      <w:pPr>
        <w:pStyle w:val="NoSpacing"/>
        <w:rPr>
          <w:rFonts w:ascii="Arial" w:hAnsi="Arial" w:cs="Arial"/>
          <w:sz w:val="20"/>
          <w:szCs w:val="20"/>
        </w:rPr>
      </w:pPr>
    </w:p>
    <w:tbl>
      <w:tblPr>
        <w:tblStyle w:val="ListTable6Colorful-Accent5"/>
        <w:tblW w:w="10615" w:type="dxa"/>
        <w:tblLayout w:type="fixed"/>
        <w:tblLook w:val="04A0" w:firstRow="1" w:lastRow="0" w:firstColumn="1" w:lastColumn="0" w:noHBand="0" w:noVBand="1"/>
      </w:tblPr>
      <w:tblGrid>
        <w:gridCol w:w="1795"/>
        <w:gridCol w:w="1102"/>
        <w:gridCol w:w="1103"/>
        <w:gridCol w:w="1102"/>
        <w:gridCol w:w="1103"/>
        <w:gridCol w:w="1102"/>
        <w:gridCol w:w="1103"/>
        <w:gridCol w:w="1102"/>
        <w:gridCol w:w="1103"/>
      </w:tblGrid>
      <w:tr w:rsidR="000D3B17" w:rsidRPr="00843888" w14:paraId="48E8DBE1" w14:textId="77777777" w:rsidTr="00DA26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shd w:val="clear" w:color="auto" w:fill="17365D" w:themeFill="text2" w:themeFillShade="BF"/>
            <w:noWrap/>
            <w:hideMark/>
          </w:tcPr>
          <w:p w14:paraId="37718F62" w14:textId="29BC9BD7" w:rsidR="00843888" w:rsidRPr="00843888" w:rsidRDefault="00951B01" w:rsidP="00951B01">
            <w:pPr>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July</w:t>
            </w:r>
            <w:r w:rsidR="00DA261B">
              <w:rPr>
                <w:rFonts w:ascii="Arial" w:eastAsia="Times New Roman" w:hAnsi="Arial" w:cs="Arial"/>
                <w:color w:val="FFFFFF" w:themeColor="background1"/>
                <w:sz w:val="18"/>
                <w:szCs w:val="18"/>
              </w:rPr>
              <w:t xml:space="preserve"> 2022</w:t>
            </w:r>
          </w:p>
        </w:tc>
        <w:tc>
          <w:tcPr>
            <w:tcW w:w="1102" w:type="dxa"/>
            <w:shd w:val="clear" w:color="auto" w:fill="17365D" w:themeFill="text2" w:themeFillShade="BF"/>
            <w:noWrap/>
            <w:hideMark/>
          </w:tcPr>
          <w:p w14:paraId="1A966777" w14:textId="71667261"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70BF0F0"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4026DD36"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2E013909"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c>
          <w:tcPr>
            <w:tcW w:w="1102" w:type="dxa"/>
            <w:shd w:val="clear" w:color="auto" w:fill="17365D" w:themeFill="text2" w:themeFillShade="BF"/>
            <w:noWrap/>
            <w:hideMark/>
          </w:tcPr>
          <w:p w14:paraId="7FF5CEA1" w14:textId="023EE176"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Unit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404F7D1"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1DA3D42F"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310FDEF3"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r>
      <w:tr w:rsidR="00B26A33" w:rsidRPr="00843888" w14:paraId="2F8F8C7D" w14:textId="77777777" w:rsidTr="00B26A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8482B25" w14:textId="6C92F679" w:rsidR="00B26A33" w:rsidRPr="00843888" w:rsidRDefault="00B26A33" w:rsidP="00B26A33">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Perishables</w:t>
            </w:r>
          </w:p>
        </w:tc>
        <w:tc>
          <w:tcPr>
            <w:tcW w:w="1102" w:type="dxa"/>
            <w:noWrap/>
            <w:vAlign w:val="bottom"/>
            <w:hideMark/>
          </w:tcPr>
          <w:p w14:paraId="73ABED33" w14:textId="727C68FD"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32.8</w:t>
            </w:r>
            <w:r>
              <w:rPr>
                <w:rFonts w:ascii="Arial" w:hAnsi="Arial" w:cs="Arial"/>
                <w:color w:val="215868" w:themeColor="accent5" w:themeShade="80"/>
                <w:sz w:val="18"/>
                <w:szCs w:val="18"/>
              </w:rPr>
              <w:t>B</w:t>
            </w:r>
          </w:p>
        </w:tc>
        <w:tc>
          <w:tcPr>
            <w:tcW w:w="1103" w:type="dxa"/>
            <w:noWrap/>
            <w:vAlign w:val="bottom"/>
            <w:hideMark/>
          </w:tcPr>
          <w:p w14:paraId="25B7B7AA" w14:textId="3C9496CC"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8.1</w:t>
            </w:r>
            <w:r w:rsidRPr="00DA261B">
              <w:rPr>
                <w:rFonts w:ascii="Arial" w:hAnsi="Arial" w:cs="Arial"/>
                <w:color w:val="215868" w:themeColor="accent5" w:themeShade="80"/>
                <w:sz w:val="18"/>
                <w:szCs w:val="18"/>
              </w:rPr>
              <w:t>%</w:t>
            </w:r>
          </w:p>
        </w:tc>
        <w:tc>
          <w:tcPr>
            <w:tcW w:w="1102" w:type="dxa"/>
            <w:noWrap/>
            <w:vAlign w:val="bottom"/>
            <w:hideMark/>
          </w:tcPr>
          <w:p w14:paraId="140DAB3C" w14:textId="57CA2B34"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9.6</w:t>
            </w:r>
            <w:r w:rsidRPr="00DA261B">
              <w:rPr>
                <w:rFonts w:ascii="Arial" w:hAnsi="Arial" w:cs="Arial"/>
                <w:color w:val="215868" w:themeColor="accent5" w:themeShade="80"/>
                <w:sz w:val="18"/>
                <w:szCs w:val="18"/>
              </w:rPr>
              <w:t>%</w:t>
            </w:r>
          </w:p>
        </w:tc>
        <w:tc>
          <w:tcPr>
            <w:tcW w:w="1103" w:type="dxa"/>
            <w:noWrap/>
            <w:vAlign w:val="bottom"/>
            <w:hideMark/>
          </w:tcPr>
          <w:p w14:paraId="6B6ED24B" w14:textId="2FC94875"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24.2</w:t>
            </w:r>
            <w:r w:rsidRPr="00DA261B">
              <w:rPr>
                <w:rFonts w:ascii="Arial" w:hAnsi="Arial" w:cs="Arial"/>
                <w:color w:val="215868" w:themeColor="accent5" w:themeShade="80"/>
                <w:sz w:val="18"/>
                <w:szCs w:val="18"/>
              </w:rPr>
              <w:t>%</w:t>
            </w:r>
          </w:p>
        </w:tc>
        <w:tc>
          <w:tcPr>
            <w:tcW w:w="1102" w:type="dxa"/>
            <w:noWrap/>
            <w:vAlign w:val="bottom"/>
            <w:hideMark/>
          </w:tcPr>
          <w:p w14:paraId="15867B9D" w14:textId="5873FD3F" w:rsidR="00B26A33" w:rsidRPr="00DA261B" w:rsidRDefault="00DD28A9"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8.5</w:t>
            </w:r>
            <w:r w:rsidR="00B26A33">
              <w:rPr>
                <w:rFonts w:ascii="Arial" w:hAnsi="Arial" w:cs="Arial"/>
                <w:color w:val="215868" w:themeColor="accent5" w:themeShade="80"/>
                <w:sz w:val="18"/>
                <w:szCs w:val="18"/>
              </w:rPr>
              <w:t>B</w:t>
            </w:r>
          </w:p>
        </w:tc>
        <w:tc>
          <w:tcPr>
            <w:tcW w:w="1103" w:type="dxa"/>
            <w:noWrap/>
            <w:vAlign w:val="center"/>
            <w:hideMark/>
          </w:tcPr>
          <w:p w14:paraId="6340ECF5" w14:textId="4B045541"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4.0</w:t>
            </w:r>
            <w:r w:rsidRPr="00B26A33">
              <w:rPr>
                <w:rFonts w:ascii="Arial" w:hAnsi="Arial" w:cs="Arial"/>
                <w:color w:val="215868" w:themeColor="accent5" w:themeShade="80"/>
                <w:sz w:val="18"/>
                <w:szCs w:val="18"/>
              </w:rPr>
              <w:t>%</w:t>
            </w:r>
          </w:p>
        </w:tc>
        <w:tc>
          <w:tcPr>
            <w:tcW w:w="1102" w:type="dxa"/>
            <w:noWrap/>
            <w:vAlign w:val="center"/>
            <w:hideMark/>
          </w:tcPr>
          <w:p w14:paraId="4CCF5250" w14:textId="3CFB47EA"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5.7</w:t>
            </w:r>
            <w:r w:rsidRPr="00B26A33">
              <w:rPr>
                <w:rFonts w:ascii="Arial" w:hAnsi="Arial" w:cs="Arial"/>
                <w:color w:val="215868" w:themeColor="accent5" w:themeShade="80"/>
                <w:sz w:val="18"/>
                <w:szCs w:val="18"/>
              </w:rPr>
              <w:t>%</w:t>
            </w:r>
          </w:p>
        </w:tc>
        <w:tc>
          <w:tcPr>
            <w:tcW w:w="1103" w:type="dxa"/>
            <w:noWrap/>
            <w:vAlign w:val="center"/>
            <w:hideMark/>
          </w:tcPr>
          <w:p w14:paraId="4895A2B3" w14:textId="0D8F9F35" w:rsidR="00B26A33" w:rsidRPr="00B26A33" w:rsidRDefault="00384436"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0.6</w:t>
            </w:r>
            <w:r w:rsidR="00B26A33" w:rsidRPr="00B26A33">
              <w:rPr>
                <w:rFonts w:ascii="Arial" w:hAnsi="Arial" w:cs="Arial"/>
                <w:color w:val="215868" w:themeColor="accent5" w:themeShade="80"/>
                <w:sz w:val="18"/>
                <w:szCs w:val="18"/>
              </w:rPr>
              <w:t>%</w:t>
            </w:r>
          </w:p>
        </w:tc>
      </w:tr>
      <w:tr w:rsidR="00FC21EB" w:rsidRPr="00843888" w14:paraId="5C74590E"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10D5A9F" w14:textId="42C25D5B"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Bakery</w:t>
            </w:r>
          </w:p>
        </w:tc>
        <w:tc>
          <w:tcPr>
            <w:tcW w:w="1102" w:type="dxa"/>
            <w:noWrap/>
            <w:vAlign w:val="bottom"/>
            <w:hideMark/>
          </w:tcPr>
          <w:p w14:paraId="685A5CFA" w14:textId="6F539A56"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3.9</w:t>
            </w:r>
            <w:r>
              <w:rPr>
                <w:rFonts w:ascii="Arial" w:hAnsi="Arial" w:cs="Arial"/>
                <w:color w:val="215868" w:themeColor="accent5" w:themeShade="80"/>
                <w:sz w:val="18"/>
                <w:szCs w:val="18"/>
              </w:rPr>
              <w:t>B</w:t>
            </w:r>
          </w:p>
        </w:tc>
        <w:tc>
          <w:tcPr>
            <w:tcW w:w="1103" w:type="dxa"/>
            <w:noWrap/>
            <w:vAlign w:val="bottom"/>
            <w:hideMark/>
          </w:tcPr>
          <w:p w14:paraId="6DADCD24" w14:textId="44DD1EE5"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10.8</w:t>
            </w:r>
            <w:r w:rsidRPr="00DA261B">
              <w:rPr>
                <w:rFonts w:ascii="Arial" w:hAnsi="Arial" w:cs="Arial"/>
                <w:color w:val="215868" w:themeColor="accent5" w:themeShade="80"/>
                <w:sz w:val="18"/>
                <w:szCs w:val="18"/>
              </w:rPr>
              <w:t>%</w:t>
            </w:r>
          </w:p>
        </w:tc>
        <w:tc>
          <w:tcPr>
            <w:tcW w:w="1102" w:type="dxa"/>
            <w:noWrap/>
            <w:vAlign w:val="bottom"/>
            <w:hideMark/>
          </w:tcPr>
          <w:p w14:paraId="3FA3D49D" w14:textId="02D7EEAE"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16.6</w:t>
            </w:r>
            <w:r w:rsidRPr="00DA261B">
              <w:rPr>
                <w:rFonts w:ascii="Arial" w:hAnsi="Arial" w:cs="Arial"/>
                <w:color w:val="215868" w:themeColor="accent5" w:themeShade="80"/>
                <w:sz w:val="18"/>
                <w:szCs w:val="18"/>
              </w:rPr>
              <w:t>%</w:t>
            </w:r>
          </w:p>
        </w:tc>
        <w:tc>
          <w:tcPr>
            <w:tcW w:w="1103" w:type="dxa"/>
            <w:noWrap/>
            <w:vAlign w:val="bottom"/>
            <w:hideMark/>
          </w:tcPr>
          <w:p w14:paraId="0B2072AA" w14:textId="04E3B770"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24.6</w:t>
            </w:r>
            <w:r w:rsidRPr="00DA261B">
              <w:rPr>
                <w:rFonts w:ascii="Arial" w:hAnsi="Arial" w:cs="Arial"/>
                <w:color w:val="215868" w:themeColor="accent5" w:themeShade="80"/>
                <w:sz w:val="18"/>
                <w:szCs w:val="18"/>
              </w:rPr>
              <w:t>%</w:t>
            </w:r>
          </w:p>
        </w:tc>
        <w:tc>
          <w:tcPr>
            <w:tcW w:w="1102" w:type="dxa"/>
            <w:noWrap/>
            <w:vAlign w:val="bottom"/>
            <w:hideMark/>
          </w:tcPr>
          <w:p w14:paraId="76DB9F3F" w14:textId="54715D3E" w:rsidR="00FC21EB" w:rsidRPr="00DA261B" w:rsidRDefault="00DD28A9"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1.2B</w:t>
            </w:r>
          </w:p>
        </w:tc>
        <w:tc>
          <w:tcPr>
            <w:tcW w:w="1103" w:type="dxa"/>
            <w:noWrap/>
            <w:vAlign w:val="center"/>
            <w:hideMark/>
          </w:tcPr>
          <w:p w14:paraId="62793CA1" w14:textId="183C477F"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3.6</w:t>
            </w:r>
            <w:r w:rsidRPr="00FC21EB">
              <w:rPr>
                <w:rFonts w:ascii="Arial" w:hAnsi="Arial" w:cs="Arial"/>
                <w:color w:val="215868" w:themeColor="accent5" w:themeShade="80"/>
                <w:sz w:val="18"/>
                <w:szCs w:val="18"/>
              </w:rPr>
              <w:t>%</w:t>
            </w:r>
          </w:p>
        </w:tc>
        <w:tc>
          <w:tcPr>
            <w:tcW w:w="1102" w:type="dxa"/>
            <w:noWrap/>
            <w:vAlign w:val="center"/>
            <w:hideMark/>
          </w:tcPr>
          <w:p w14:paraId="6017D95C" w14:textId="206CAE73"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1.8</w:t>
            </w:r>
            <w:r w:rsidRPr="00FC21EB">
              <w:rPr>
                <w:rFonts w:ascii="Arial" w:hAnsi="Arial" w:cs="Arial"/>
                <w:color w:val="215868" w:themeColor="accent5" w:themeShade="80"/>
                <w:sz w:val="18"/>
                <w:szCs w:val="18"/>
              </w:rPr>
              <w:t>%</w:t>
            </w:r>
          </w:p>
        </w:tc>
        <w:tc>
          <w:tcPr>
            <w:tcW w:w="1103" w:type="dxa"/>
            <w:noWrap/>
            <w:vAlign w:val="center"/>
            <w:hideMark/>
          </w:tcPr>
          <w:p w14:paraId="0DFA7558" w14:textId="7FBA6BEE"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5.0</w:t>
            </w:r>
            <w:r w:rsidRPr="00FC21EB">
              <w:rPr>
                <w:rFonts w:ascii="Arial" w:hAnsi="Arial" w:cs="Arial"/>
                <w:color w:val="215868" w:themeColor="accent5" w:themeShade="80"/>
                <w:sz w:val="18"/>
                <w:szCs w:val="18"/>
              </w:rPr>
              <w:t>%</w:t>
            </w:r>
          </w:p>
        </w:tc>
      </w:tr>
      <w:tr w:rsidR="00FC21EB" w:rsidRPr="00843888" w14:paraId="709C5EF3"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6894EBE" w14:textId="1D22D040"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Deli</w:t>
            </w:r>
          </w:p>
        </w:tc>
        <w:tc>
          <w:tcPr>
            <w:tcW w:w="1102" w:type="dxa"/>
            <w:noWrap/>
            <w:vAlign w:val="bottom"/>
            <w:hideMark/>
          </w:tcPr>
          <w:p w14:paraId="0C9EB501" w14:textId="40EB9AC9"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4.3</w:t>
            </w:r>
            <w:r>
              <w:rPr>
                <w:rFonts w:ascii="Arial" w:hAnsi="Arial" w:cs="Arial"/>
                <w:color w:val="215868" w:themeColor="accent5" w:themeShade="80"/>
                <w:sz w:val="18"/>
                <w:szCs w:val="18"/>
              </w:rPr>
              <w:t>B</w:t>
            </w:r>
          </w:p>
        </w:tc>
        <w:tc>
          <w:tcPr>
            <w:tcW w:w="1103" w:type="dxa"/>
            <w:noWrap/>
            <w:vAlign w:val="bottom"/>
            <w:hideMark/>
          </w:tcPr>
          <w:p w14:paraId="3F92A315" w14:textId="3AB5E470"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7.3</w:t>
            </w:r>
            <w:r w:rsidRPr="00DA261B">
              <w:rPr>
                <w:rFonts w:ascii="Arial" w:hAnsi="Arial" w:cs="Arial"/>
                <w:color w:val="215868" w:themeColor="accent5" w:themeShade="80"/>
                <w:sz w:val="18"/>
                <w:szCs w:val="18"/>
              </w:rPr>
              <w:t>%</w:t>
            </w:r>
          </w:p>
        </w:tc>
        <w:tc>
          <w:tcPr>
            <w:tcW w:w="1102" w:type="dxa"/>
            <w:noWrap/>
            <w:vAlign w:val="bottom"/>
            <w:hideMark/>
          </w:tcPr>
          <w:p w14:paraId="77872D8C" w14:textId="37407D54"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18.9</w:t>
            </w:r>
            <w:r w:rsidRPr="00DA261B">
              <w:rPr>
                <w:rFonts w:ascii="Arial" w:hAnsi="Arial" w:cs="Arial"/>
                <w:color w:val="215868" w:themeColor="accent5" w:themeShade="80"/>
                <w:sz w:val="18"/>
                <w:szCs w:val="18"/>
              </w:rPr>
              <w:t>%</w:t>
            </w:r>
          </w:p>
        </w:tc>
        <w:tc>
          <w:tcPr>
            <w:tcW w:w="1103" w:type="dxa"/>
            <w:noWrap/>
            <w:vAlign w:val="bottom"/>
            <w:hideMark/>
          </w:tcPr>
          <w:p w14:paraId="17EB5AA8" w14:textId="629621E4"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21.7</w:t>
            </w:r>
            <w:r w:rsidRPr="00DA261B">
              <w:rPr>
                <w:rFonts w:ascii="Arial" w:hAnsi="Arial" w:cs="Arial"/>
                <w:color w:val="215868" w:themeColor="accent5" w:themeShade="80"/>
                <w:sz w:val="18"/>
                <w:szCs w:val="18"/>
              </w:rPr>
              <w:t>%</w:t>
            </w:r>
          </w:p>
        </w:tc>
        <w:tc>
          <w:tcPr>
            <w:tcW w:w="1102" w:type="dxa"/>
            <w:noWrap/>
            <w:vAlign w:val="bottom"/>
            <w:hideMark/>
          </w:tcPr>
          <w:p w14:paraId="3B01B02E" w14:textId="6AB71CF5" w:rsidR="00FC21EB" w:rsidRPr="00DA261B" w:rsidRDefault="00105554"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753</w:t>
            </w:r>
            <w:r w:rsidR="00FC21EB">
              <w:rPr>
                <w:rFonts w:ascii="Arial" w:hAnsi="Arial" w:cs="Arial"/>
                <w:color w:val="215868" w:themeColor="accent5" w:themeShade="80"/>
                <w:sz w:val="18"/>
                <w:szCs w:val="18"/>
              </w:rPr>
              <w:t>M</w:t>
            </w:r>
          </w:p>
        </w:tc>
        <w:tc>
          <w:tcPr>
            <w:tcW w:w="1103" w:type="dxa"/>
            <w:noWrap/>
            <w:vAlign w:val="center"/>
            <w:hideMark/>
          </w:tcPr>
          <w:p w14:paraId="4AD0A3AF" w14:textId="718A4FEA"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4.8</w:t>
            </w:r>
            <w:r w:rsidRPr="00FC21EB">
              <w:rPr>
                <w:rFonts w:ascii="Arial" w:hAnsi="Arial" w:cs="Arial"/>
                <w:color w:val="215868" w:themeColor="accent5" w:themeShade="80"/>
                <w:sz w:val="18"/>
                <w:szCs w:val="18"/>
              </w:rPr>
              <w:t>%</w:t>
            </w:r>
          </w:p>
        </w:tc>
        <w:tc>
          <w:tcPr>
            <w:tcW w:w="1102" w:type="dxa"/>
            <w:noWrap/>
            <w:vAlign w:val="center"/>
            <w:hideMark/>
          </w:tcPr>
          <w:p w14:paraId="41245BA6" w14:textId="05E308B4"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1.5</w:t>
            </w:r>
            <w:r w:rsidRPr="00FC21EB">
              <w:rPr>
                <w:rFonts w:ascii="Arial" w:hAnsi="Arial" w:cs="Arial"/>
                <w:color w:val="215868" w:themeColor="accent5" w:themeShade="80"/>
                <w:sz w:val="18"/>
                <w:szCs w:val="18"/>
              </w:rPr>
              <w:t>%</w:t>
            </w:r>
          </w:p>
        </w:tc>
        <w:tc>
          <w:tcPr>
            <w:tcW w:w="1103" w:type="dxa"/>
            <w:noWrap/>
            <w:vAlign w:val="center"/>
            <w:hideMark/>
          </w:tcPr>
          <w:p w14:paraId="2ADCB870" w14:textId="3E21BF5B"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2.0</w:t>
            </w:r>
            <w:r w:rsidRPr="00FC21EB">
              <w:rPr>
                <w:rFonts w:ascii="Arial" w:hAnsi="Arial" w:cs="Arial"/>
                <w:color w:val="215868" w:themeColor="accent5" w:themeShade="80"/>
                <w:sz w:val="18"/>
                <w:szCs w:val="18"/>
              </w:rPr>
              <w:t>%</w:t>
            </w:r>
          </w:p>
        </w:tc>
      </w:tr>
      <w:tr w:rsidR="00FC21EB" w:rsidRPr="00843888" w14:paraId="2D346A6A"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9F38E4F" w14:textId="0838BD41"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Meat</w:t>
            </w:r>
          </w:p>
        </w:tc>
        <w:tc>
          <w:tcPr>
            <w:tcW w:w="1102" w:type="dxa"/>
            <w:noWrap/>
            <w:vAlign w:val="bottom"/>
            <w:hideMark/>
          </w:tcPr>
          <w:p w14:paraId="4FA73441" w14:textId="4ED275BE"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8.5</w:t>
            </w:r>
            <w:r>
              <w:rPr>
                <w:rFonts w:ascii="Arial" w:hAnsi="Arial" w:cs="Arial"/>
                <w:color w:val="215868" w:themeColor="accent5" w:themeShade="80"/>
                <w:sz w:val="18"/>
                <w:szCs w:val="18"/>
              </w:rPr>
              <w:t>B</w:t>
            </w:r>
          </w:p>
        </w:tc>
        <w:tc>
          <w:tcPr>
            <w:tcW w:w="1103" w:type="dxa"/>
            <w:noWrap/>
            <w:vAlign w:val="bottom"/>
            <w:hideMark/>
          </w:tcPr>
          <w:p w14:paraId="5C8C8D5C" w14:textId="089D7C4F"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5.6</w:t>
            </w:r>
            <w:r w:rsidRPr="00DA261B">
              <w:rPr>
                <w:rFonts w:ascii="Arial" w:hAnsi="Arial" w:cs="Arial"/>
                <w:color w:val="215868" w:themeColor="accent5" w:themeShade="80"/>
                <w:sz w:val="18"/>
                <w:szCs w:val="18"/>
              </w:rPr>
              <w:t>%</w:t>
            </w:r>
          </w:p>
        </w:tc>
        <w:tc>
          <w:tcPr>
            <w:tcW w:w="1102" w:type="dxa"/>
            <w:noWrap/>
            <w:vAlign w:val="bottom"/>
            <w:hideMark/>
          </w:tcPr>
          <w:p w14:paraId="1717E3E8" w14:textId="044B11B0" w:rsidR="00FC21EB" w:rsidRPr="00DA261B" w:rsidRDefault="00384436"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4.9</w:t>
            </w:r>
            <w:r w:rsidR="00FC21EB" w:rsidRPr="00DA261B">
              <w:rPr>
                <w:rFonts w:ascii="Arial" w:hAnsi="Arial" w:cs="Arial"/>
                <w:color w:val="215868" w:themeColor="accent5" w:themeShade="80"/>
                <w:sz w:val="18"/>
                <w:szCs w:val="18"/>
              </w:rPr>
              <w:t>%</w:t>
            </w:r>
          </w:p>
        </w:tc>
        <w:tc>
          <w:tcPr>
            <w:tcW w:w="1103" w:type="dxa"/>
            <w:noWrap/>
            <w:vAlign w:val="bottom"/>
            <w:hideMark/>
          </w:tcPr>
          <w:p w14:paraId="0A8EFAD3" w14:textId="28B33EC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25.4</w:t>
            </w:r>
            <w:r w:rsidRPr="00DA261B">
              <w:rPr>
                <w:rFonts w:ascii="Arial" w:hAnsi="Arial" w:cs="Arial"/>
                <w:color w:val="215868" w:themeColor="accent5" w:themeShade="80"/>
                <w:sz w:val="18"/>
                <w:szCs w:val="18"/>
              </w:rPr>
              <w:t>%</w:t>
            </w:r>
          </w:p>
        </w:tc>
        <w:tc>
          <w:tcPr>
            <w:tcW w:w="1102" w:type="dxa"/>
            <w:noWrap/>
            <w:vAlign w:val="bottom"/>
            <w:hideMark/>
          </w:tcPr>
          <w:p w14:paraId="2A392554" w14:textId="6715E2CF" w:rsidR="00FC21EB" w:rsidRPr="00DA261B" w:rsidRDefault="00105554"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1.4</w:t>
            </w:r>
            <w:r w:rsidR="00FC21EB">
              <w:rPr>
                <w:rFonts w:ascii="Arial" w:hAnsi="Arial" w:cs="Arial"/>
                <w:color w:val="215868" w:themeColor="accent5" w:themeShade="80"/>
                <w:sz w:val="18"/>
                <w:szCs w:val="18"/>
              </w:rPr>
              <w:t>B</w:t>
            </w:r>
          </w:p>
        </w:tc>
        <w:tc>
          <w:tcPr>
            <w:tcW w:w="1103" w:type="dxa"/>
            <w:noWrap/>
            <w:vAlign w:val="center"/>
            <w:hideMark/>
          </w:tcPr>
          <w:p w14:paraId="6D59D597" w14:textId="636DC12E"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3.3</w:t>
            </w:r>
            <w:r w:rsidRPr="00FC21EB">
              <w:rPr>
                <w:rFonts w:ascii="Arial" w:hAnsi="Arial" w:cs="Arial"/>
                <w:color w:val="215868" w:themeColor="accent5" w:themeShade="80"/>
                <w:sz w:val="18"/>
                <w:szCs w:val="18"/>
              </w:rPr>
              <w:t>%</w:t>
            </w:r>
          </w:p>
        </w:tc>
        <w:tc>
          <w:tcPr>
            <w:tcW w:w="1102" w:type="dxa"/>
            <w:noWrap/>
            <w:vAlign w:val="center"/>
            <w:hideMark/>
          </w:tcPr>
          <w:p w14:paraId="2A63E609" w14:textId="3CB64C12"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6.7</w:t>
            </w:r>
            <w:r w:rsidRPr="00FC21EB">
              <w:rPr>
                <w:rFonts w:ascii="Arial" w:hAnsi="Arial" w:cs="Arial"/>
                <w:color w:val="215868" w:themeColor="accent5" w:themeShade="80"/>
                <w:sz w:val="18"/>
                <w:szCs w:val="18"/>
              </w:rPr>
              <w:t>%</w:t>
            </w:r>
          </w:p>
        </w:tc>
        <w:tc>
          <w:tcPr>
            <w:tcW w:w="1103" w:type="dxa"/>
            <w:noWrap/>
            <w:vAlign w:val="center"/>
            <w:hideMark/>
          </w:tcPr>
          <w:p w14:paraId="557CBB90" w14:textId="79149C0C" w:rsidR="00FC21EB" w:rsidRPr="00FC21EB" w:rsidRDefault="00105554"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0.0</w:t>
            </w:r>
            <w:r w:rsidR="00FC21EB" w:rsidRPr="00FC21EB">
              <w:rPr>
                <w:rFonts w:ascii="Arial" w:hAnsi="Arial" w:cs="Arial"/>
                <w:color w:val="215868" w:themeColor="accent5" w:themeShade="80"/>
                <w:sz w:val="18"/>
                <w:szCs w:val="18"/>
              </w:rPr>
              <w:t>%</w:t>
            </w:r>
          </w:p>
        </w:tc>
      </w:tr>
      <w:tr w:rsidR="00FC21EB" w:rsidRPr="00843888" w14:paraId="6498DF04"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EE33BF3" w14:textId="3DA97AE8" w:rsidR="00FC21EB" w:rsidRPr="00843888" w:rsidRDefault="00FC21EB" w:rsidP="00FC21EB">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P</w:t>
            </w:r>
            <w:r w:rsidRPr="00DD7A16">
              <w:rPr>
                <w:rFonts w:ascii="Arial" w:eastAsia="Times New Roman" w:hAnsi="Arial" w:cs="Arial"/>
                <w:b w:val="0"/>
                <w:bCs w:val="0"/>
                <w:color w:val="215868" w:themeColor="accent5" w:themeShade="80"/>
                <w:sz w:val="18"/>
                <w:szCs w:val="18"/>
              </w:rPr>
              <w:t>roduce</w:t>
            </w:r>
          </w:p>
        </w:tc>
        <w:tc>
          <w:tcPr>
            <w:tcW w:w="1102" w:type="dxa"/>
            <w:noWrap/>
            <w:vAlign w:val="bottom"/>
            <w:hideMark/>
          </w:tcPr>
          <w:p w14:paraId="7E7FB224" w14:textId="7638F00F"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7.7</w:t>
            </w:r>
            <w:r>
              <w:rPr>
                <w:rFonts w:ascii="Arial" w:hAnsi="Arial" w:cs="Arial"/>
                <w:color w:val="215868" w:themeColor="accent5" w:themeShade="80"/>
                <w:sz w:val="18"/>
                <w:szCs w:val="18"/>
              </w:rPr>
              <w:t>B</w:t>
            </w:r>
          </w:p>
        </w:tc>
        <w:tc>
          <w:tcPr>
            <w:tcW w:w="1103" w:type="dxa"/>
            <w:noWrap/>
            <w:vAlign w:val="bottom"/>
            <w:hideMark/>
          </w:tcPr>
          <w:p w14:paraId="03E1F941" w14:textId="34360FC9"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4.2</w:t>
            </w:r>
            <w:r w:rsidRPr="00DA261B">
              <w:rPr>
                <w:rFonts w:ascii="Arial" w:hAnsi="Arial" w:cs="Arial"/>
                <w:color w:val="215868" w:themeColor="accent5" w:themeShade="80"/>
                <w:sz w:val="18"/>
                <w:szCs w:val="18"/>
              </w:rPr>
              <w:t>%</w:t>
            </w:r>
          </w:p>
        </w:tc>
        <w:tc>
          <w:tcPr>
            <w:tcW w:w="1102" w:type="dxa"/>
            <w:noWrap/>
            <w:vAlign w:val="bottom"/>
            <w:hideMark/>
          </w:tcPr>
          <w:p w14:paraId="0F23F4EE" w14:textId="2EB0A7D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4.0</w:t>
            </w:r>
            <w:r w:rsidRPr="00DA261B">
              <w:rPr>
                <w:rFonts w:ascii="Arial" w:hAnsi="Arial" w:cs="Arial"/>
                <w:color w:val="215868" w:themeColor="accent5" w:themeShade="80"/>
                <w:sz w:val="18"/>
                <w:szCs w:val="18"/>
              </w:rPr>
              <w:t>%</w:t>
            </w:r>
          </w:p>
        </w:tc>
        <w:tc>
          <w:tcPr>
            <w:tcW w:w="1103" w:type="dxa"/>
            <w:noWrap/>
            <w:vAlign w:val="bottom"/>
            <w:hideMark/>
          </w:tcPr>
          <w:p w14:paraId="7177F86B" w14:textId="0FDA8A5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17.7</w:t>
            </w:r>
            <w:r w:rsidRPr="00DA261B">
              <w:rPr>
                <w:rFonts w:ascii="Arial" w:hAnsi="Arial" w:cs="Arial"/>
                <w:color w:val="215868" w:themeColor="accent5" w:themeShade="80"/>
                <w:sz w:val="18"/>
                <w:szCs w:val="18"/>
              </w:rPr>
              <w:t>%</w:t>
            </w:r>
          </w:p>
        </w:tc>
        <w:tc>
          <w:tcPr>
            <w:tcW w:w="1102" w:type="dxa"/>
            <w:noWrap/>
            <w:vAlign w:val="bottom"/>
            <w:hideMark/>
          </w:tcPr>
          <w:p w14:paraId="22821649" w14:textId="3A40FC54" w:rsidR="00FC21EB" w:rsidRPr="00DA261B" w:rsidRDefault="00105554"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2.9</w:t>
            </w:r>
            <w:r w:rsidR="00FC21EB">
              <w:rPr>
                <w:rFonts w:ascii="Arial" w:hAnsi="Arial" w:cs="Arial"/>
                <w:color w:val="215868" w:themeColor="accent5" w:themeShade="80"/>
                <w:sz w:val="18"/>
                <w:szCs w:val="18"/>
              </w:rPr>
              <w:t>B</w:t>
            </w:r>
          </w:p>
        </w:tc>
        <w:tc>
          <w:tcPr>
            <w:tcW w:w="1103" w:type="dxa"/>
            <w:noWrap/>
            <w:vAlign w:val="center"/>
            <w:hideMark/>
          </w:tcPr>
          <w:p w14:paraId="739DBA45" w14:textId="0000A371"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5.1</w:t>
            </w:r>
            <w:r w:rsidRPr="00FC21EB">
              <w:rPr>
                <w:rFonts w:ascii="Arial" w:hAnsi="Arial" w:cs="Arial"/>
                <w:color w:val="215868" w:themeColor="accent5" w:themeShade="80"/>
                <w:sz w:val="18"/>
                <w:szCs w:val="18"/>
              </w:rPr>
              <w:t>%</w:t>
            </w:r>
          </w:p>
        </w:tc>
        <w:tc>
          <w:tcPr>
            <w:tcW w:w="1102" w:type="dxa"/>
            <w:noWrap/>
            <w:vAlign w:val="center"/>
            <w:hideMark/>
          </w:tcPr>
          <w:p w14:paraId="04FFDB69" w14:textId="661C1264"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7.6</w:t>
            </w:r>
            <w:r w:rsidRPr="00FC21EB">
              <w:rPr>
                <w:rFonts w:ascii="Arial" w:hAnsi="Arial" w:cs="Arial"/>
                <w:color w:val="215868" w:themeColor="accent5" w:themeShade="80"/>
                <w:sz w:val="18"/>
                <w:szCs w:val="18"/>
              </w:rPr>
              <w:t>%</w:t>
            </w:r>
          </w:p>
        </w:tc>
        <w:tc>
          <w:tcPr>
            <w:tcW w:w="1103" w:type="dxa"/>
            <w:noWrap/>
            <w:vAlign w:val="center"/>
            <w:hideMark/>
          </w:tcPr>
          <w:p w14:paraId="669105D0" w14:textId="7A4C81BD"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3.1</w:t>
            </w:r>
            <w:r w:rsidRPr="00FC21EB">
              <w:rPr>
                <w:rFonts w:ascii="Arial" w:hAnsi="Arial" w:cs="Arial"/>
                <w:color w:val="215868" w:themeColor="accent5" w:themeShade="80"/>
                <w:sz w:val="18"/>
                <w:szCs w:val="18"/>
              </w:rPr>
              <w:t>%</w:t>
            </w:r>
          </w:p>
        </w:tc>
      </w:tr>
      <w:tr w:rsidR="00FC21EB" w:rsidRPr="00843888" w14:paraId="2B5665AE"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7B09037" w14:textId="342BE891" w:rsidR="00FC21EB" w:rsidRPr="00843888" w:rsidRDefault="00FC21EB" w:rsidP="00FC21EB">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R</w:t>
            </w:r>
            <w:r w:rsidRPr="00DD7A16">
              <w:rPr>
                <w:rFonts w:ascii="Arial" w:eastAsia="Times New Roman" w:hAnsi="Arial" w:cs="Arial"/>
                <w:b w:val="0"/>
                <w:bCs w:val="0"/>
                <w:color w:val="215868" w:themeColor="accent5" w:themeShade="80"/>
                <w:sz w:val="18"/>
                <w:szCs w:val="18"/>
              </w:rPr>
              <w:t>efrigerated</w:t>
            </w:r>
          </w:p>
        </w:tc>
        <w:tc>
          <w:tcPr>
            <w:tcW w:w="1102" w:type="dxa"/>
            <w:noWrap/>
            <w:vAlign w:val="bottom"/>
            <w:hideMark/>
          </w:tcPr>
          <w:p w14:paraId="2B99802C" w14:textId="12BF34F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7.8</w:t>
            </w:r>
            <w:r>
              <w:rPr>
                <w:rFonts w:ascii="Arial" w:hAnsi="Arial" w:cs="Arial"/>
                <w:color w:val="215868" w:themeColor="accent5" w:themeShade="80"/>
                <w:sz w:val="18"/>
                <w:szCs w:val="18"/>
              </w:rPr>
              <w:t>B</w:t>
            </w:r>
          </w:p>
        </w:tc>
        <w:tc>
          <w:tcPr>
            <w:tcW w:w="1103" w:type="dxa"/>
            <w:noWrap/>
            <w:vAlign w:val="bottom"/>
            <w:hideMark/>
          </w:tcPr>
          <w:p w14:paraId="3AD6EAEE" w14:textId="751B04B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16.2</w:t>
            </w:r>
            <w:r w:rsidRPr="00DA261B">
              <w:rPr>
                <w:rFonts w:ascii="Arial" w:hAnsi="Arial" w:cs="Arial"/>
                <w:color w:val="215868" w:themeColor="accent5" w:themeShade="80"/>
                <w:sz w:val="18"/>
                <w:szCs w:val="18"/>
              </w:rPr>
              <w:t>%</w:t>
            </w:r>
          </w:p>
        </w:tc>
        <w:tc>
          <w:tcPr>
            <w:tcW w:w="1102" w:type="dxa"/>
            <w:noWrap/>
            <w:vAlign w:val="bottom"/>
            <w:hideMark/>
          </w:tcPr>
          <w:p w14:paraId="61FF8938" w14:textId="085797D2"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15.7</w:t>
            </w:r>
            <w:r w:rsidRPr="00DA261B">
              <w:rPr>
                <w:rFonts w:ascii="Arial" w:hAnsi="Arial" w:cs="Arial"/>
                <w:color w:val="215868" w:themeColor="accent5" w:themeShade="80"/>
                <w:sz w:val="18"/>
                <w:szCs w:val="18"/>
              </w:rPr>
              <w:t>%</w:t>
            </w:r>
          </w:p>
        </w:tc>
        <w:tc>
          <w:tcPr>
            <w:tcW w:w="1103" w:type="dxa"/>
            <w:noWrap/>
            <w:vAlign w:val="bottom"/>
            <w:hideMark/>
          </w:tcPr>
          <w:p w14:paraId="2340249A" w14:textId="6D512BE6"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32.0</w:t>
            </w:r>
            <w:r w:rsidRPr="00DA261B">
              <w:rPr>
                <w:rFonts w:ascii="Arial" w:hAnsi="Arial" w:cs="Arial"/>
                <w:color w:val="215868" w:themeColor="accent5" w:themeShade="80"/>
                <w:sz w:val="18"/>
                <w:szCs w:val="18"/>
              </w:rPr>
              <w:t>%</w:t>
            </w:r>
          </w:p>
        </w:tc>
        <w:tc>
          <w:tcPr>
            <w:tcW w:w="1102" w:type="dxa"/>
            <w:noWrap/>
            <w:vAlign w:val="bottom"/>
            <w:hideMark/>
          </w:tcPr>
          <w:p w14:paraId="6EC8FA10" w14:textId="27CFC93E" w:rsidR="00FC21EB" w:rsidRPr="00DA261B" w:rsidRDefault="00105554"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2.3</w:t>
            </w:r>
            <w:r w:rsidR="00FC21EB">
              <w:rPr>
                <w:rFonts w:ascii="Arial" w:hAnsi="Arial" w:cs="Arial"/>
                <w:color w:val="215868" w:themeColor="accent5" w:themeShade="80"/>
                <w:sz w:val="18"/>
                <w:szCs w:val="18"/>
              </w:rPr>
              <w:t>B</w:t>
            </w:r>
          </w:p>
        </w:tc>
        <w:tc>
          <w:tcPr>
            <w:tcW w:w="1103" w:type="dxa"/>
            <w:noWrap/>
            <w:vAlign w:val="center"/>
            <w:hideMark/>
          </w:tcPr>
          <w:p w14:paraId="2F2E3B03" w14:textId="7AA810B5"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2.5</w:t>
            </w:r>
            <w:r w:rsidRPr="00FC21EB">
              <w:rPr>
                <w:rFonts w:ascii="Arial" w:hAnsi="Arial" w:cs="Arial"/>
                <w:color w:val="215868" w:themeColor="accent5" w:themeShade="80"/>
                <w:sz w:val="18"/>
                <w:szCs w:val="18"/>
              </w:rPr>
              <w:t>%</w:t>
            </w:r>
          </w:p>
        </w:tc>
        <w:tc>
          <w:tcPr>
            <w:tcW w:w="1102" w:type="dxa"/>
            <w:noWrap/>
            <w:vAlign w:val="center"/>
            <w:hideMark/>
          </w:tcPr>
          <w:p w14:paraId="1B9ABE08" w14:textId="26517E67"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6.0</w:t>
            </w:r>
            <w:r w:rsidRPr="00FC21EB">
              <w:rPr>
                <w:rFonts w:ascii="Arial" w:hAnsi="Arial" w:cs="Arial"/>
                <w:color w:val="215868" w:themeColor="accent5" w:themeShade="80"/>
                <w:sz w:val="18"/>
                <w:szCs w:val="18"/>
              </w:rPr>
              <w:t>%</w:t>
            </w:r>
          </w:p>
        </w:tc>
        <w:tc>
          <w:tcPr>
            <w:tcW w:w="1103" w:type="dxa"/>
            <w:noWrap/>
            <w:vAlign w:val="center"/>
            <w:hideMark/>
          </w:tcPr>
          <w:p w14:paraId="1A78E784" w14:textId="310A4058" w:rsidR="00FC21EB" w:rsidRPr="00FC21EB" w:rsidRDefault="00105554"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+0.6</w:t>
            </w:r>
            <w:r w:rsidR="00FC21EB" w:rsidRPr="00FC21EB">
              <w:rPr>
                <w:rFonts w:ascii="Arial" w:hAnsi="Arial" w:cs="Arial"/>
                <w:color w:val="215868" w:themeColor="accent5" w:themeShade="80"/>
                <w:sz w:val="18"/>
                <w:szCs w:val="18"/>
              </w:rPr>
              <w:t>%</w:t>
            </w:r>
          </w:p>
        </w:tc>
      </w:tr>
      <w:tr w:rsidR="00FC21EB" w:rsidRPr="00843888" w14:paraId="119F1DC4"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C879CED" w14:textId="26C5472A"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Seafood</w:t>
            </w:r>
          </w:p>
        </w:tc>
        <w:tc>
          <w:tcPr>
            <w:tcW w:w="1102" w:type="dxa"/>
            <w:noWrap/>
            <w:vAlign w:val="bottom"/>
            <w:hideMark/>
          </w:tcPr>
          <w:p w14:paraId="699C0C55" w14:textId="3A6E83D9"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637</w:t>
            </w:r>
            <w:r>
              <w:rPr>
                <w:rFonts w:ascii="Arial" w:hAnsi="Arial" w:cs="Arial"/>
                <w:color w:val="215868" w:themeColor="accent5" w:themeShade="80"/>
                <w:sz w:val="18"/>
                <w:szCs w:val="18"/>
              </w:rPr>
              <w:t>M</w:t>
            </w:r>
          </w:p>
        </w:tc>
        <w:tc>
          <w:tcPr>
            <w:tcW w:w="1103" w:type="dxa"/>
            <w:noWrap/>
            <w:vAlign w:val="bottom"/>
            <w:hideMark/>
          </w:tcPr>
          <w:p w14:paraId="229209B9" w14:textId="0C9AD2C7"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9.9</w:t>
            </w:r>
            <w:r w:rsidRPr="00DA261B">
              <w:rPr>
                <w:rFonts w:ascii="Arial" w:hAnsi="Arial" w:cs="Arial"/>
                <w:color w:val="215868" w:themeColor="accent5" w:themeShade="80"/>
                <w:sz w:val="18"/>
                <w:szCs w:val="18"/>
              </w:rPr>
              <w:t>%</w:t>
            </w:r>
          </w:p>
        </w:tc>
        <w:tc>
          <w:tcPr>
            <w:tcW w:w="1102" w:type="dxa"/>
            <w:noWrap/>
            <w:vAlign w:val="bottom"/>
            <w:hideMark/>
          </w:tcPr>
          <w:p w14:paraId="578BC6D0" w14:textId="06C5C4BB"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14.7</w:t>
            </w:r>
            <w:r w:rsidRPr="00DA261B">
              <w:rPr>
                <w:rFonts w:ascii="Arial" w:hAnsi="Arial" w:cs="Arial"/>
                <w:color w:val="215868" w:themeColor="accent5" w:themeShade="80"/>
                <w:sz w:val="18"/>
                <w:szCs w:val="18"/>
              </w:rPr>
              <w:t>%</w:t>
            </w:r>
          </w:p>
        </w:tc>
        <w:tc>
          <w:tcPr>
            <w:tcW w:w="1103" w:type="dxa"/>
            <w:noWrap/>
            <w:vAlign w:val="bottom"/>
            <w:hideMark/>
          </w:tcPr>
          <w:p w14:paraId="2856F3C7" w14:textId="3748B42F"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DD28A9">
              <w:rPr>
                <w:rFonts w:ascii="Arial" w:hAnsi="Arial" w:cs="Arial"/>
                <w:color w:val="215868" w:themeColor="accent5" w:themeShade="80"/>
                <w:sz w:val="18"/>
                <w:szCs w:val="18"/>
              </w:rPr>
              <w:t>16.0</w:t>
            </w:r>
            <w:r w:rsidRPr="00DA261B">
              <w:rPr>
                <w:rFonts w:ascii="Arial" w:hAnsi="Arial" w:cs="Arial"/>
                <w:color w:val="215868" w:themeColor="accent5" w:themeShade="80"/>
                <w:sz w:val="18"/>
                <w:szCs w:val="18"/>
              </w:rPr>
              <w:t>%</w:t>
            </w:r>
          </w:p>
        </w:tc>
        <w:tc>
          <w:tcPr>
            <w:tcW w:w="1102" w:type="dxa"/>
            <w:noWrap/>
            <w:vAlign w:val="bottom"/>
            <w:hideMark/>
          </w:tcPr>
          <w:p w14:paraId="2AD2E772" w14:textId="59EB3EC5" w:rsidR="00FC21EB" w:rsidRPr="00DA261B" w:rsidRDefault="00105554"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70</w:t>
            </w:r>
            <w:r w:rsidR="00FC21EB">
              <w:rPr>
                <w:rFonts w:ascii="Arial" w:hAnsi="Arial" w:cs="Arial"/>
                <w:color w:val="215868" w:themeColor="accent5" w:themeShade="80"/>
                <w:sz w:val="18"/>
                <w:szCs w:val="18"/>
              </w:rPr>
              <w:t>M</w:t>
            </w:r>
          </w:p>
        </w:tc>
        <w:tc>
          <w:tcPr>
            <w:tcW w:w="1103" w:type="dxa"/>
            <w:noWrap/>
            <w:vAlign w:val="center"/>
            <w:hideMark/>
          </w:tcPr>
          <w:p w14:paraId="7805C532" w14:textId="0B9B5A71"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18.2</w:t>
            </w:r>
            <w:r w:rsidRPr="00FC21EB">
              <w:rPr>
                <w:rFonts w:ascii="Arial" w:hAnsi="Arial" w:cs="Arial"/>
                <w:color w:val="215868" w:themeColor="accent5" w:themeShade="80"/>
                <w:sz w:val="18"/>
                <w:szCs w:val="18"/>
              </w:rPr>
              <w:t>%</w:t>
            </w:r>
          </w:p>
        </w:tc>
        <w:tc>
          <w:tcPr>
            <w:tcW w:w="1102" w:type="dxa"/>
            <w:noWrap/>
            <w:vAlign w:val="center"/>
            <w:hideMark/>
          </w:tcPr>
          <w:p w14:paraId="106B05A1" w14:textId="3810EF60"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26.0</w:t>
            </w:r>
            <w:r w:rsidRPr="00FC21EB">
              <w:rPr>
                <w:rFonts w:ascii="Arial" w:hAnsi="Arial" w:cs="Arial"/>
                <w:color w:val="215868" w:themeColor="accent5" w:themeShade="80"/>
                <w:sz w:val="18"/>
                <w:szCs w:val="18"/>
              </w:rPr>
              <w:t>%</w:t>
            </w:r>
          </w:p>
        </w:tc>
        <w:tc>
          <w:tcPr>
            <w:tcW w:w="1103" w:type="dxa"/>
            <w:noWrap/>
            <w:vAlign w:val="center"/>
            <w:hideMark/>
          </w:tcPr>
          <w:p w14:paraId="74C3ABB4" w14:textId="38E8764F"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w:t>
            </w:r>
            <w:r w:rsidR="00105554">
              <w:rPr>
                <w:rFonts w:ascii="Arial" w:hAnsi="Arial" w:cs="Arial"/>
                <w:color w:val="215868" w:themeColor="accent5" w:themeShade="80"/>
                <w:sz w:val="18"/>
                <w:szCs w:val="18"/>
              </w:rPr>
              <w:t>4.4</w:t>
            </w:r>
            <w:r w:rsidRPr="00FC21EB">
              <w:rPr>
                <w:rFonts w:ascii="Arial" w:hAnsi="Arial" w:cs="Arial"/>
                <w:color w:val="215868" w:themeColor="accent5" w:themeShade="80"/>
                <w:sz w:val="18"/>
                <w:szCs w:val="18"/>
              </w:rPr>
              <w:t>%</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1" w:name="_Hlk76989410"/>
    </w:p>
    <w:p w14:paraId="2D6DC3FE" w14:textId="77777777" w:rsidR="009D3AE5" w:rsidRPr="00706DE2" w:rsidRDefault="009D3AE5" w:rsidP="009D3AE5">
      <w:pPr>
        <w:pStyle w:val="NoSpacing"/>
        <w:rPr>
          <w:rFonts w:ascii="Arial" w:hAnsi="Arial" w:cs="Arial"/>
          <w:b/>
          <w:color w:val="595959" w:themeColor="text1" w:themeTint="A6"/>
          <w:sz w:val="24"/>
          <w:szCs w:val="24"/>
        </w:rPr>
      </w:pPr>
      <w:bookmarkStart w:id="2" w:name="_Hlk79236872"/>
      <w:bookmarkEnd w:id="1"/>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6704B45F" w14:textId="77777777" w:rsidR="009D3AE5" w:rsidRDefault="009D3AE5" w:rsidP="009D3AE5">
      <w:pPr>
        <w:pStyle w:val="NoSpacing"/>
        <w:rPr>
          <w:rFonts w:ascii="Arial" w:hAnsi="Arial" w:cs="Arial"/>
          <w:color w:val="000000" w:themeColor="text1"/>
          <w:sz w:val="20"/>
          <w:szCs w:val="20"/>
        </w:rPr>
      </w:pPr>
      <w:r w:rsidRPr="00BB3A5E">
        <w:rPr>
          <w:rFonts w:ascii="Arial" w:hAnsi="Arial" w:cs="Arial"/>
          <w:color w:val="000000" w:themeColor="text1"/>
          <w:sz w:val="20"/>
          <w:szCs w:val="20"/>
        </w:rPr>
        <w:t xml:space="preserve">The BLS Consumer Price Index came down some in July due to decreases in the cost of gasoline and airline tickets. This may provide consumers with some budgetary relief. However, grocery price increases continued to accelerate. As such, inflation will continue to have a profound impact on grocery and total food spending. </w:t>
      </w:r>
    </w:p>
    <w:p w14:paraId="3A889D31" w14:textId="77777777" w:rsidR="009D3AE5" w:rsidRDefault="009D3AE5" w:rsidP="009D3AE5">
      <w:pPr>
        <w:pStyle w:val="NoSpacing"/>
        <w:rPr>
          <w:rFonts w:ascii="Arial" w:hAnsi="Arial" w:cs="Arial"/>
          <w:color w:val="000000" w:themeColor="text1"/>
          <w:sz w:val="20"/>
          <w:szCs w:val="20"/>
        </w:rPr>
      </w:pPr>
    </w:p>
    <w:p w14:paraId="2603443C" w14:textId="77777777" w:rsidR="009D3AE5" w:rsidRDefault="009D3AE5" w:rsidP="009D3AE5">
      <w:pPr>
        <w:pStyle w:val="NoSpacing"/>
        <w:rPr>
          <w:rFonts w:ascii="Arial" w:hAnsi="Arial" w:cs="Arial"/>
          <w:color w:val="000000" w:themeColor="text1"/>
          <w:sz w:val="20"/>
          <w:szCs w:val="20"/>
        </w:rPr>
      </w:pPr>
      <w:r>
        <w:rPr>
          <w:rFonts w:ascii="Arial" w:hAnsi="Arial" w:cs="Arial"/>
          <w:color w:val="000000" w:themeColor="text1"/>
          <w:sz w:val="20"/>
          <w:szCs w:val="20"/>
        </w:rPr>
        <w:t>The July IRI survey found that:</w:t>
      </w:r>
    </w:p>
    <w:p w14:paraId="665D66B2" w14:textId="77777777" w:rsidR="009D3AE5" w:rsidRDefault="009D3AE5" w:rsidP="009D3AE5">
      <w:pPr>
        <w:pStyle w:val="NoSpacing"/>
        <w:numPr>
          <w:ilvl w:val="0"/>
          <w:numId w:val="26"/>
        </w:numPr>
        <w:rPr>
          <w:rFonts w:ascii="Arial" w:hAnsi="Arial" w:cs="Arial"/>
          <w:color w:val="000000" w:themeColor="text1"/>
          <w:sz w:val="20"/>
          <w:szCs w:val="20"/>
        </w:rPr>
      </w:pPr>
      <w:r>
        <w:rPr>
          <w:rFonts w:ascii="Arial" w:hAnsi="Arial" w:cs="Arial"/>
          <w:color w:val="000000" w:themeColor="text1"/>
          <w:sz w:val="20"/>
          <w:szCs w:val="20"/>
        </w:rPr>
        <w:t>45% of American households describe their financial situation as being worse than a year ago, unchanged from June.</w:t>
      </w:r>
    </w:p>
    <w:p w14:paraId="28399DA5" w14:textId="77777777" w:rsidR="009D3AE5" w:rsidRDefault="009D3AE5" w:rsidP="009D3AE5">
      <w:pPr>
        <w:pStyle w:val="NoSpacing"/>
        <w:numPr>
          <w:ilvl w:val="0"/>
          <w:numId w:val="26"/>
        </w:numPr>
        <w:rPr>
          <w:rFonts w:ascii="Arial" w:hAnsi="Arial" w:cs="Arial"/>
          <w:color w:val="000000" w:themeColor="text1"/>
          <w:sz w:val="20"/>
          <w:szCs w:val="20"/>
        </w:rPr>
      </w:pPr>
      <w:r>
        <w:rPr>
          <w:rFonts w:ascii="Arial" w:hAnsi="Arial" w:cs="Arial"/>
          <w:color w:val="000000" w:themeColor="text1"/>
          <w:sz w:val="20"/>
          <w:szCs w:val="20"/>
        </w:rPr>
        <w:t xml:space="preserve">43% are having some or a lot of difficultly affording needed groceries </w:t>
      </w:r>
    </w:p>
    <w:p w14:paraId="45619AC2" w14:textId="77777777" w:rsidR="009D3AE5" w:rsidRDefault="009D3AE5" w:rsidP="009D3AE5">
      <w:pPr>
        <w:pStyle w:val="NoSpacing"/>
        <w:numPr>
          <w:ilvl w:val="0"/>
          <w:numId w:val="26"/>
        </w:numPr>
        <w:rPr>
          <w:rFonts w:ascii="Arial" w:hAnsi="Arial" w:cs="Arial"/>
          <w:color w:val="000000" w:themeColor="text1"/>
          <w:sz w:val="20"/>
          <w:szCs w:val="20"/>
        </w:rPr>
      </w:pPr>
      <w:r>
        <w:rPr>
          <w:rFonts w:ascii="Arial" w:hAnsi="Arial" w:cs="Arial"/>
          <w:color w:val="000000" w:themeColor="text1"/>
          <w:sz w:val="20"/>
          <w:szCs w:val="20"/>
        </w:rPr>
        <w:t>34% feel their financial situation one year from now will look worse than it does today.</w:t>
      </w:r>
    </w:p>
    <w:p w14:paraId="4C7AD9D2" w14:textId="77777777" w:rsidR="009D3AE5" w:rsidRDefault="009D3AE5" w:rsidP="009D3AE5">
      <w:pPr>
        <w:pStyle w:val="NoSpacing"/>
        <w:rPr>
          <w:rFonts w:ascii="Arial" w:hAnsi="Arial" w:cs="Arial"/>
          <w:color w:val="000000" w:themeColor="text1"/>
          <w:sz w:val="20"/>
          <w:szCs w:val="20"/>
        </w:rPr>
      </w:pPr>
    </w:p>
    <w:p w14:paraId="1F16FBDB" w14:textId="34A3CF0F" w:rsidR="001E19ED" w:rsidRDefault="001E19ED" w:rsidP="00BB3A5E">
      <w:pPr>
        <w:spacing w:after="0" w:line="240" w:lineRule="auto"/>
        <w:rPr>
          <w:rFonts w:ascii="Arial" w:hAnsi="Arial" w:cs="Arial"/>
          <w:sz w:val="20"/>
          <w:szCs w:val="20"/>
        </w:rPr>
      </w:pPr>
      <w:r w:rsidRPr="00BB3A5E">
        <w:rPr>
          <w:rFonts w:ascii="Arial" w:hAnsi="Arial" w:cs="Arial"/>
          <w:sz w:val="20"/>
          <w:szCs w:val="20"/>
        </w:rPr>
        <w:t>The next report, covering</w:t>
      </w:r>
      <w:r w:rsidR="006620E0" w:rsidRPr="00BB3A5E">
        <w:rPr>
          <w:rFonts w:ascii="Arial" w:hAnsi="Arial" w:cs="Arial"/>
          <w:sz w:val="20"/>
          <w:szCs w:val="20"/>
        </w:rPr>
        <w:t xml:space="preserve"> </w:t>
      </w:r>
      <w:r w:rsidR="000C73F6" w:rsidRPr="00BB3A5E">
        <w:rPr>
          <w:rFonts w:ascii="Arial" w:hAnsi="Arial" w:cs="Arial"/>
          <w:sz w:val="20"/>
          <w:szCs w:val="20"/>
        </w:rPr>
        <w:t>August,</w:t>
      </w:r>
      <w:r w:rsidRPr="00BB3A5E">
        <w:rPr>
          <w:rFonts w:ascii="Arial" w:hAnsi="Arial" w:cs="Arial"/>
          <w:sz w:val="20"/>
          <w:szCs w:val="20"/>
        </w:rPr>
        <w:t xml:space="preserve"> will be released in mid-</w:t>
      </w:r>
      <w:r w:rsidR="000C73F6" w:rsidRPr="00BB3A5E">
        <w:rPr>
          <w:rFonts w:ascii="Arial" w:hAnsi="Arial" w:cs="Arial"/>
          <w:sz w:val="20"/>
          <w:szCs w:val="20"/>
        </w:rPr>
        <w:t>September</w:t>
      </w:r>
      <w:r w:rsidRPr="00BB3A5E">
        <w:rPr>
          <w:rFonts w:ascii="Arial" w:hAnsi="Arial" w:cs="Arial"/>
          <w:sz w:val="20"/>
          <w:szCs w:val="20"/>
        </w:rPr>
        <w:t xml:space="preserve">. </w:t>
      </w:r>
      <w:r w:rsidR="00834DC2" w:rsidRPr="00BB3A5E">
        <w:rPr>
          <w:rFonts w:ascii="Arial" w:hAnsi="Arial" w:cs="Arial"/>
          <w:sz w:val="20"/>
          <w:szCs w:val="20"/>
        </w:rPr>
        <w:t>In addition to the data provided here, the IFPA also now offers InSite – an online interactive data set covering both produce and floral performance as well as a look at the 2021 consumer sentiment surveys.</w:t>
      </w:r>
      <w:r w:rsidR="009E4189" w:rsidRPr="00BB3A5E">
        <w:rPr>
          <w:rFonts w:ascii="Arial" w:hAnsi="Arial" w:cs="Arial"/>
          <w:sz w:val="20"/>
          <w:szCs w:val="20"/>
        </w:rPr>
        <w:t xml:space="preserve"> Start your free trial today! See </w:t>
      </w:r>
      <w:hyperlink r:id="rId15" w:history="1">
        <w:r w:rsidR="009E4189" w:rsidRPr="00BB3A5E">
          <w:rPr>
            <w:rStyle w:val="Hyperlink"/>
            <w:rFonts w:ascii="Arial" w:hAnsi="Arial" w:cs="Arial"/>
            <w:sz w:val="20"/>
            <w:szCs w:val="20"/>
          </w:rPr>
          <w:t>www.freshproduce.com/insite</w:t>
        </w:r>
      </w:hyperlink>
      <w:r w:rsidR="009E4189" w:rsidRPr="00BB3A5E">
        <w:rPr>
          <w:rFonts w:ascii="Arial" w:hAnsi="Arial" w:cs="Arial"/>
          <w:sz w:val="20"/>
          <w:szCs w:val="20"/>
        </w:rPr>
        <w:t xml:space="preserve"> for more detail. </w:t>
      </w:r>
      <w:r w:rsidRPr="00BB3A5E">
        <w:rPr>
          <w:rFonts w:ascii="Arial" w:hAnsi="Arial" w:cs="Arial"/>
          <w:sz w:val="20"/>
          <w:szCs w:val="20"/>
        </w:rPr>
        <w:t xml:space="preserve">We </w:t>
      </w:r>
      <w:r w:rsidR="00834DC2" w:rsidRPr="00BB3A5E">
        <w:rPr>
          <w:rFonts w:ascii="Arial" w:hAnsi="Arial" w:cs="Arial"/>
          <w:sz w:val="20"/>
          <w:szCs w:val="20"/>
        </w:rPr>
        <w:t xml:space="preserve">also </w:t>
      </w:r>
      <w:r w:rsidRPr="00BB3A5E">
        <w:rPr>
          <w:rFonts w:ascii="Arial" w:hAnsi="Arial" w:cs="Arial"/>
          <w:sz w:val="20"/>
          <w:szCs w:val="20"/>
        </w:rPr>
        <w:t xml:space="preserve">encourage you to contact Joe Watson, </w:t>
      </w:r>
      <w:r w:rsidR="003D37B7" w:rsidRPr="00BB3A5E">
        <w:rPr>
          <w:rFonts w:ascii="Arial" w:hAnsi="Arial" w:cs="Arial"/>
          <w:sz w:val="20"/>
          <w:szCs w:val="20"/>
        </w:rPr>
        <w:t>IFPA</w:t>
      </w:r>
      <w:r w:rsidRPr="00BB3A5E">
        <w:rPr>
          <w:rFonts w:ascii="Arial" w:hAnsi="Arial" w:cs="Arial"/>
          <w:sz w:val="20"/>
          <w:szCs w:val="20"/>
        </w:rPr>
        <w:t xml:space="preserve">’s </w:t>
      </w:r>
      <w:r w:rsidR="0045675D" w:rsidRPr="00BB3A5E">
        <w:rPr>
          <w:rFonts w:ascii="Arial" w:hAnsi="Arial" w:cs="Arial"/>
          <w:sz w:val="20"/>
          <w:szCs w:val="20"/>
        </w:rPr>
        <w:t>V</w:t>
      </w:r>
      <w:r w:rsidR="00086061" w:rsidRPr="00BB3A5E">
        <w:rPr>
          <w:rFonts w:ascii="Arial" w:hAnsi="Arial" w:cs="Arial"/>
          <w:sz w:val="20"/>
          <w:szCs w:val="20"/>
        </w:rPr>
        <w:t>P,</w:t>
      </w:r>
      <w:r w:rsidR="0045675D" w:rsidRPr="00BB3A5E">
        <w:rPr>
          <w:rFonts w:ascii="Arial" w:hAnsi="Arial" w:cs="Arial"/>
          <w:sz w:val="20"/>
          <w:szCs w:val="20"/>
        </w:rPr>
        <w:t xml:space="preserve"> Retail, Foodservice and Wholesale</w:t>
      </w:r>
      <w:r w:rsidRPr="00BB3A5E">
        <w:rPr>
          <w:rFonts w:ascii="Arial" w:hAnsi="Arial" w:cs="Arial"/>
          <w:sz w:val="20"/>
          <w:szCs w:val="20"/>
        </w:rPr>
        <w:t xml:space="preserve">, at </w:t>
      </w:r>
      <w:hyperlink r:id="rId16" w:history="1">
        <w:r w:rsidR="0045675D" w:rsidRPr="00BB3A5E">
          <w:rPr>
            <w:rStyle w:val="Hyperlink"/>
            <w:rFonts w:ascii="Arial" w:hAnsi="Arial" w:cs="Arial"/>
            <w:sz w:val="20"/>
            <w:szCs w:val="20"/>
          </w:rPr>
          <w:t>jwatson@freshproduce.com</w:t>
        </w:r>
      </w:hyperlink>
      <w:r w:rsidRPr="00BB3A5E">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p>
    <w:p w14:paraId="0B4B458C" w14:textId="6E33A5E6" w:rsidR="002E42E2" w:rsidRDefault="002E42E2" w:rsidP="00BB3A5E">
      <w:pPr>
        <w:spacing w:after="0" w:line="240" w:lineRule="auto"/>
        <w:rPr>
          <w:rFonts w:ascii="Arial" w:hAnsi="Arial" w:cs="Arial"/>
          <w:sz w:val="20"/>
          <w:szCs w:val="20"/>
        </w:rPr>
      </w:pPr>
    </w:p>
    <w:p w14:paraId="4E7067EF" w14:textId="77777777" w:rsidR="002E42E2" w:rsidRPr="00BB3A5E" w:rsidRDefault="002E42E2" w:rsidP="00BB3A5E">
      <w:pPr>
        <w:spacing w:after="0" w:line="240" w:lineRule="auto"/>
        <w:rPr>
          <w:rFonts w:ascii="Arial" w:hAnsi="Arial" w:cs="Arial"/>
          <w:sz w:val="20"/>
          <w:szCs w:val="20"/>
        </w:rPr>
      </w:pPr>
    </w:p>
    <w:bookmarkEnd w:id="2"/>
    <w:p w14:paraId="72F121CA" w14:textId="77777777" w:rsidR="00703BB8" w:rsidRDefault="00703BB8" w:rsidP="00703BB8">
      <w:pPr>
        <w:pStyle w:val="NoSpacing"/>
        <w:rPr>
          <w:rFonts w:ascii="Arial" w:hAnsi="Arial" w:cs="Arial"/>
          <w:b/>
          <w:sz w:val="20"/>
          <w:szCs w:val="20"/>
        </w:rPr>
      </w:pPr>
      <w:r>
        <w:rPr>
          <w:rFonts w:ascii="Arial" w:hAnsi="Arial" w:cs="Arial"/>
          <w:b/>
          <w:sz w:val="20"/>
          <w:szCs w:val="20"/>
        </w:rPr>
        <w:t xml:space="preserve">Date ranges: </w:t>
      </w:r>
    </w:p>
    <w:p w14:paraId="27AA4416" w14:textId="77777777" w:rsidR="00703BB8" w:rsidRDefault="00703BB8" w:rsidP="00703BB8">
      <w:pPr>
        <w:pStyle w:val="NoSpacing"/>
        <w:rPr>
          <w:rFonts w:ascii="Arial" w:hAnsi="Arial" w:cs="Arial"/>
          <w:sz w:val="20"/>
          <w:szCs w:val="20"/>
        </w:rPr>
      </w:pPr>
      <w:r>
        <w:rPr>
          <w:rFonts w:ascii="Arial" w:hAnsi="Arial" w:cs="Arial"/>
          <w:sz w:val="20"/>
          <w:szCs w:val="20"/>
        </w:rPr>
        <w:t>2019: 52 weeks ending 12/28/2019</w:t>
      </w:r>
    </w:p>
    <w:p w14:paraId="4A02C3A7" w14:textId="77777777" w:rsidR="00703BB8" w:rsidRDefault="00703BB8" w:rsidP="00703BB8">
      <w:pPr>
        <w:pStyle w:val="NoSpacing"/>
        <w:rPr>
          <w:rFonts w:ascii="Arial" w:hAnsi="Arial" w:cs="Arial"/>
          <w:sz w:val="20"/>
          <w:szCs w:val="20"/>
        </w:rPr>
      </w:pPr>
      <w:r>
        <w:rPr>
          <w:rFonts w:ascii="Arial" w:hAnsi="Arial" w:cs="Arial"/>
          <w:sz w:val="20"/>
          <w:szCs w:val="20"/>
        </w:rPr>
        <w:t>2020: 52 weeks ending 12/27/2020</w:t>
      </w:r>
    </w:p>
    <w:p w14:paraId="6718B854" w14:textId="77777777" w:rsidR="00703BB8" w:rsidRDefault="00703BB8" w:rsidP="00703BB8">
      <w:pPr>
        <w:pStyle w:val="NoSpacing"/>
        <w:rPr>
          <w:rFonts w:ascii="Arial" w:hAnsi="Arial" w:cs="Arial"/>
          <w:sz w:val="20"/>
          <w:szCs w:val="20"/>
        </w:rPr>
      </w:pPr>
      <w:r>
        <w:rPr>
          <w:rFonts w:ascii="Arial" w:hAnsi="Arial" w:cs="Arial"/>
          <w:sz w:val="20"/>
          <w:szCs w:val="20"/>
        </w:rPr>
        <w:t>Q1 2021: 13 weeks ending 3/28/2021</w:t>
      </w:r>
    </w:p>
    <w:p w14:paraId="3A64667A" w14:textId="77777777" w:rsidR="00703BB8" w:rsidRDefault="00703BB8" w:rsidP="00703BB8">
      <w:pPr>
        <w:pStyle w:val="NoSpacing"/>
        <w:rPr>
          <w:rFonts w:ascii="Arial" w:hAnsi="Arial" w:cs="Arial"/>
          <w:sz w:val="20"/>
          <w:szCs w:val="20"/>
        </w:rPr>
      </w:pPr>
      <w:r>
        <w:rPr>
          <w:rFonts w:ascii="Arial" w:hAnsi="Arial" w:cs="Arial"/>
          <w:sz w:val="20"/>
          <w:szCs w:val="20"/>
        </w:rPr>
        <w:t>Q2 2021: 13 weeks ending 6/27/2021</w:t>
      </w:r>
    </w:p>
    <w:p w14:paraId="38BC28BE" w14:textId="77777777" w:rsidR="00703BB8" w:rsidRDefault="00703BB8" w:rsidP="00703BB8">
      <w:pPr>
        <w:pStyle w:val="NoSpacing"/>
        <w:rPr>
          <w:rFonts w:ascii="Arial" w:hAnsi="Arial" w:cs="Arial"/>
          <w:sz w:val="20"/>
          <w:szCs w:val="20"/>
        </w:rPr>
      </w:pPr>
      <w:r>
        <w:rPr>
          <w:rFonts w:ascii="Arial" w:hAnsi="Arial" w:cs="Arial"/>
          <w:sz w:val="20"/>
          <w:szCs w:val="20"/>
        </w:rPr>
        <w:t>Q3 2021: 13 weeks ending 9/26/2021</w:t>
      </w:r>
    </w:p>
    <w:p w14:paraId="2573D35F" w14:textId="77777777" w:rsidR="00703BB8" w:rsidRDefault="00703BB8" w:rsidP="00703BB8">
      <w:pPr>
        <w:pStyle w:val="NoSpacing"/>
        <w:rPr>
          <w:rFonts w:ascii="Arial" w:hAnsi="Arial" w:cs="Arial"/>
          <w:sz w:val="20"/>
          <w:szCs w:val="20"/>
        </w:rPr>
      </w:pPr>
      <w:r>
        <w:rPr>
          <w:rFonts w:ascii="Arial" w:hAnsi="Arial" w:cs="Arial"/>
          <w:sz w:val="20"/>
          <w:szCs w:val="20"/>
        </w:rPr>
        <w:t>Q4 2021: 13 weeks ending 12/26/2021</w:t>
      </w:r>
    </w:p>
    <w:p w14:paraId="6780AEE3" w14:textId="77777777" w:rsidR="00703BB8" w:rsidRDefault="00703BB8" w:rsidP="00703BB8">
      <w:pPr>
        <w:pStyle w:val="NoSpacing"/>
        <w:rPr>
          <w:rFonts w:ascii="Arial" w:hAnsi="Arial" w:cs="Arial"/>
          <w:sz w:val="20"/>
          <w:szCs w:val="20"/>
        </w:rPr>
      </w:pPr>
      <w:r>
        <w:rPr>
          <w:rFonts w:ascii="Arial" w:hAnsi="Arial" w:cs="Arial"/>
          <w:sz w:val="20"/>
          <w:szCs w:val="20"/>
        </w:rPr>
        <w:t>Q1 2022: 13 weeks ending 3/27/2022</w:t>
      </w:r>
    </w:p>
    <w:p w14:paraId="4EC23054" w14:textId="77777777" w:rsidR="00703BB8" w:rsidRDefault="00703BB8" w:rsidP="00703BB8">
      <w:pPr>
        <w:pStyle w:val="NoSpacing"/>
        <w:rPr>
          <w:rFonts w:ascii="Arial" w:hAnsi="Arial" w:cs="Arial"/>
          <w:sz w:val="20"/>
          <w:szCs w:val="20"/>
        </w:rPr>
      </w:pPr>
      <w:r>
        <w:rPr>
          <w:rFonts w:ascii="Arial" w:hAnsi="Arial" w:cs="Arial"/>
          <w:sz w:val="20"/>
          <w:szCs w:val="20"/>
        </w:rPr>
        <w:t>Q2 2022:  13 weeks ending 6/26/2022</w:t>
      </w:r>
    </w:p>
    <w:p w14:paraId="0AC4D5A5" w14:textId="76846591" w:rsidR="00703BB8" w:rsidRDefault="00951B01" w:rsidP="00703BB8">
      <w:pPr>
        <w:pStyle w:val="NoSpacing"/>
        <w:rPr>
          <w:rFonts w:ascii="Arial" w:hAnsi="Arial" w:cs="Arial"/>
          <w:sz w:val="20"/>
          <w:szCs w:val="20"/>
        </w:rPr>
      </w:pPr>
      <w:r>
        <w:rPr>
          <w:rFonts w:ascii="Arial" w:hAnsi="Arial" w:cs="Arial"/>
          <w:sz w:val="20"/>
          <w:szCs w:val="20"/>
        </w:rPr>
        <w:t>July 2022: 5 weeks ending 7/31</w:t>
      </w:r>
      <w:r w:rsidR="00703BB8">
        <w:rPr>
          <w:rFonts w:ascii="Arial" w:hAnsi="Arial" w:cs="Arial"/>
          <w:sz w:val="20"/>
          <w:szCs w:val="20"/>
        </w:rPr>
        <w:t>/2022</w:t>
      </w:r>
    </w:p>
    <w:p w14:paraId="7343FCEB" w14:textId="39EAA5C2" w:rsidR="00C826C2" w:rsidRPr="008A6A7C" w:rsidRDefault="00C826C2" w:rsidP="0003032A">
      <w:pPr>
        <w:pStyle w:val="NoSpacing"/>
        <w:rPr>
          <w:rFonts w:ascii="Arial" w:hAnsi="Arial" w:cs="Arial"/>
          <w:sz w:val="20"/>
          <w:szCs w:val="20"/>
        </w:rPr>
      </w:pPr>
    </w:p>
    <w:sectPr w:rsidR="00C826C2"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DD01" w14:textId="77777777" w:rsidR="00AB46D5" w:rsidRDefault="00AB46D5" w:rsidP="007E1D2E">
      <w:pPr>
        <w:spacing w:after="0" w:line="240" w:lineRule="auto"/>
      </w:pPr>
      <w:r>
        <w:separator/>
      </w:r>
    </w:p>
  </w:endnote>
  <w:endnote w:type="continuationSeparator" w:id="0">
    <w:p w14:paraId="6255DA1E" w14:textId="77777777" w:rsidR="00AB46D5" w:rsidRDefault="00AB46D5"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951B01" w:rsidRPr="001C4C48" w:rsidRDefault="00951B01"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lang w:val="nl-NL" w:eastAsia="nl-NL"/>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52F4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" strokecolor="#4f81bd [3204]">
              <o:lock v:ext="edit" shapetype="f"/>
              <w10:wrap anchorx="page"/>
            </v:line>
          </w:pict>
        </mc:Fallback>
      </mc:AlternateContent>
    </w:r>
  </w:p>
  <w:p w14:paraId="280BF8AE" w14:textId="110F4C1E" w:rsidR="00951B01" w:rsidRPr="00030F05" w:rsidRDefault="00951B01" w:rsidP="009172A3">
    <w:pPr>
      <w:pStyle w:val="NoSpacing"/>
      <w:rPr>
        <w:sz w:val="16"/>
      </w:rPr>
    </w:pPr>
    <w:r>
      <w:rPr>
        <w:noProof/>
        <w:sz w:val="16"/>
        <w:lang w:val="nl-NL" w:eastAsia="nl-NL"/>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951B01" w:rsidRPr="002E71F7" w:rsidRDefault="00951B01"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951B01" w:rsidRPr="002E71F7" w:rsidRDefault="00951B01"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Pr="00030F05">
      <w:rPr>
        <w:sz w:val="16"/>
      </w:rPr>
      <w:t>Need more information?</w:t>
    </w:r>
    <w:r w:rsidRPr="00030F05">
      <w:rPr>
        <w:sz w:val="16"/>
      </w:rPr>
      <w:br/>
    </w:r>
    <w:r>
      <w:rPr>
        <w:sz w:val="16"/>
      </w:rPr>
      <w:t>freshfoods@iriworldwide.com</w:t>
    </w:r>
    <w:r>
      <w:rPr>
        <w:sz w:val="16"/>
      </w:rPr>
      <w:tab/>
    </w:r>
    <w:r>
      <w:rPr>
        <w:sz w:val="16"/>
      </w:rPr>
      <w:tab/>
    </w:r>
    <w:r>
      <w:rPr>
        <w:sz w:val="16"/>
      </w:rPr>
      <w:tab/>
      <w:t>210 Analytics</w:t>
    </w:r>
  </w:p>
  <w:p w14:paraId="6E4FF3AA" w14:textId="61144657" w:rsidR="00951B01" w:rsidRPr="00030F05" w:rsidRDefault="00951B01" w:rsidP="009172A3">
    <w:pPr>
      <w:pStyle w:val="NoSpacing"/>
      <w:rPr>
        <w:sz w:val="16"/>
      </w:rPr>
    </w:pPr>
    <w:r>
      <w:rPr>
        <w:sz w:val="16"/>
      </w:rPr>
      <w:t>FreshProduce@iriworldwide.com</w:t>
    </w:r>
    <w:r>
      <w:rPr>
        <w:sz w:val="16"/>
      </w:rPr>
      <w:tab/>
    </w:r>
    <w:r>
      <w:rPr>
        <w:sz w:val="16"/>
      </w:rPr>
      <w:tab/>
      <w:t>aroerink@210analytics.com</w:t>
    </w:r>
  </w:p>
  <w:p w14:paraId="0C43B367" w14:textId="77777777" w:rsidR="00951B01" w:rsidRDefault="0095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17A3" w14:textId="77777777" w:rsidR="00AB46D5" w:rsidRDefault="00AB46D5" w:rsidP="007E1D2E">
      <w:pPr>
        <w:spacing w:after="0" w:line="240" w:lineRule="auto"/>
      </w:pPr>
      <w:r>
        <w:separator/>
      </w:r>
    </w:p>
  </w:footnote>
  <w:footnote w:type="continuationSeparator" w:id="0">
    <w:p w14:paraId="53417C0D" w14:textId="77777777" w:rsidR="00AB46D5" w:rsidRDefault="00AB46D5"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951B01" w:rsidRDefault="00951B01">
    <w:pPr>
      <w:pStyle w:val="Header"/>
    </w:pPr>
    <w:r w:rsidRPr="00030F05">
      <w:rPr>
        <w:noProof/>
        <w:lang w:val="nl-NL" w:eastAsia="nl-NL"/>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lang w:val="nl-NL" w:eastAsia="nl-NL"/>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A776B4"/>
    <w:multiLevelType w:val="hybridMultilevel"/>
    <w:tmpl w:val="36E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67E98"/>
    <w:multiLevelType w:val="hybridMultilevel"/>
    <w:tmpl w:val="A46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39032F"/>
    <w:multiLevelType w:val="hybridMultilevel"/>
    <w:tmpl w:val="8668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1065314">
    <w:abstractNumId w:val="25"/>
  </w:num>
  <w:num w:numId="2" w16cid:durableId="1141966274">
    <w:abstractNumId w:val="6"/>
  </w:num>
  <w:num w:numId="3" w16cid:durableId="1445924263">
    <w:abstractNumId w:val="23"/>
  </w:num>
  <w:num w:numId="4" w16cid:durableId="989790790">
    <w:abstractNumId w:val="24"/>
  </w:num>
  <w:num w:numId="5" w16cid:durableId="1857033308">
    <w:abstractNumId w:val="26"/>
  </w:num>
  <w:num w:numId="6" w16cid:durableId="1493639824">
    <w:abstractNumId w:val="2"/>
  </w:num>
  <w:num w:numId="7" w16cid:durableId="357320562">
    <w:abstractNumId w:val="10"/>
  </w:num>
  <w:num w:numId="8" w16cid:durableId="2108887163">
    <w:abstractNumId w:val="12"/>
  </w:num>
  <w:num w:numId="9" w16cid:durableId="908534815">
    <w:abstractNumId w:val="22"/>
  </w:num>
  <w:num w:numId="10" w16cid:durableId="924218236">
    <w:abstractNumId w:val="19"/>
  </w:num>
  <w:num w:numId="11" w16cid:durableId="1408378609">
    <w:abstractNumId w:val="13"/>
  </w:num>
  <w:num w:numId="12" w16cid:durableId="1363432002">
    <w:abstractNumId w:val="4"/>
  </w:num>
  <w:num w:numId="13" w16cid:durableId="1211040770">
    <w:abstractNumId w:val="1"/>
  </w:num>
  <w:num w:numId="14" w16cid:durableId="1409620867">
    <w:abstractNumId w:val="0"/>
  </w:num>
  <w:num w:numId="15" w16cid:durableId="442307512">
    <w:abstractNumId w:val="15"/>
  </w:num>
  <w:num w:numId="16" w16cid:durableId="1102145464">
    <w:abstractNumId w:val="21"/>
  </w:num>
  <w:num w:numId="17" w16cid:durableId="75444557">
    <w:abstractNumId w:val="7"/>
  </w:num>
  <w:num w:numId="18" w16cid:durableId="962078050">
    <w:abstractNumId w:val="27"/>
  </w:num>
  <w:num w:numId="19" w16cid:durableId="32270121">
    <w:abstractNumId w:val="5"/>
  </w:num>
  <w:num w:numId="20" w16cid:durableId="1968854951">
    <w:abstractNumId w:val="16"/>
  </w:num>
  <w:num w:numId="21" w16cid:durableId="1006830238">
    <w:abstractNumId w:val="3"/>
  </w:num>
  <w:num w:numId="22" w16cid:durableId="2055687478">
    <w:abstractNumId w:val="11"/>
  </w:num>
  <w:num w:numId="23" w16cid:durableId="683285464">
    <w:abstractNumId w:val="17"/>
  </w:num>
  <w:num w:numId="24" w16cid:durableId="732506060">
    <w:abstractNumId w:val="20"/>
  </w:num>
  <w:num w:numId="25" w16cid:durableId="848569791">
    <w:abstractNumId w:val="9"/>
  </w:num>
  <w:num w:numId="26" w16cid:durableId="1630937613">
    <w:abstractNumId w:val="8"/>
  </w:num>
  <w:num w:numId="27" w16cid:durableId="76830150">
    <w:abstractNumId w:val="18"/>
  </w:num>
  <w:num w:numId="28" w16cid:durableId="85738305">
    <w:abstractNumId w:val="20"/>
  </w:num>
  <w:num w:numId="29" w16cid:durableId="1416125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2D"/>
    <w:rsid w:val="00000581"/>
    <w:rsid w:val="0000075A"/>
    <w:rsid w:val="0000248F"/>
    <w:rsid w:val="00007A72"/>
    <w:rsid w:val="00010D51"/>
    <w:rsid w:val="0001120A"/>
    <w:rsid w:val="000117EF"/>
    <w:rsid w:val="00012355"/>
    <w:rsid w:val="000166DA"/>
    <w:rsid w:val="00017BCE"/>
    <w:rsid w:val="00017F7D"/>
    <w:rsid w:val="00020882"/>
    <w:rsid w:val="00022AE5"/>
    <w:rsid w:val="00022DA3"/>
    <w:rsid w:val="00023C8F"/>
    <w:rsid w:val="00024B5F"/>
    <w:rsid w:val="00025202"/>
    <w:rsid w:val="000263ED"/>
    <w:rsid w:val="00027658"/>
    <w:rsid w:val="0003032A"/>
    <w:rsid w:val="0003459A"/>
    <w:rsid w:val="00036105"/>
    <w:rsid w:val="000369B9"/>
    <w:rsid w:val="00036B2C"/>
    <w:rsid w:val="000375AF"/>
    <w:rsid w:val="000377D1"/>
    <w:rsid w:val="00042FD2"/>
    <w:rsid w:val="000439A5"/>
    <w:rsid w:val="00043B43"/>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11E7"/>
    <w:rsid w:val="00083DB0"/>
    <w:rsid w:val="00083EF7"/>
    <w:rsid w:val="00084469"/>
    <w:rsid w:val="00086061"/>
    <w:rsid w:val="00091E61"/>
    <w:rsid w:val="0009337A"/>
    <w:rsid w:val="000933A2"/>
    <w:rsid w:val="00093E23"/>
    <w:rsid w:val="000A17A4"/>
    <w:rsid w:val="000A1FB2"/>
    <w:rsid w:val="000A3E66"/>
    <w:rsid w:val="000A543A"/>
    <w:rsid w:val="000A7CDC"/>
    <w:rsid w:val="000B035F"/>
    <w:rsid w:val="000B0895"/>
    <w:rsid w:val="000B0AF5"/>
    <w:rsid w:val="000B0C6D"/>
    <w:rsid w:val="000B16D5"/>
    <w:rsid w:val="000B44E8"/>
    <w:rsid w:val="000B4FD7"/>
    <w:rsid w:val="000B5FE1"/>
    <w:rsid w:val="000B62E2"/>
    <w:rsid w:val="000B6A06"/>
    <w:rsid w:val="000B705A"/>
    <w:rsid w:val="000B73DB"/>
    <w:rsid w:val="000C0984"/>
    <w:rsid w:val="000C0F39"/>
    <w:rsid w:val="000C1222"/>
    <w:rsid w:val="000C2C93"/>
    <w:rsid w:val="000C4A54"/>
    <w:rsid w:val="000C73F6"/>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5554"/>
    <w:rsid w:val="0010695F"/>
    <w:rsid w:val="00106F0B"/>
    <w:rsid w:val="00110FF9"/>
    <w:rsid w:val="00112A5A"/>
    <w:rsid w:val="00112E9A"/>
    <w:rsid w:val="001141CA"/>
    <w:rsid w:val="0011420E"/>
    <w:rsid w:val="00114591"/>
    <w:rsid w:val="001162B9"/>
    <w:rsid w:val="0011663F"/>
    <w:rsid w:val="00116FC7"/>
    <w:rsid w:val="0011773C"/>
    <w:rsid w:val="001210D2"/>
    <w:rsid w:val="001213B4"/>
    <w:rsid w:val="00121989"/>
    <w:rsid w:val="00121E18"/>
    <w:rsid w:val="00125FAE"/>
    <w:rsid w:val="00130D41"/>
    <w:rsid w:val="00131954"/>
    <w:rsid w:val="00131B9A"/>
    <w:rsid w:val="0013220C"/>
    <w:rsid w:val="00133959"/>
    <w:rsid w:val="001344E1"/>
    <w:rsid w:val="00135BE7"/>
    <w:rsid w:val="00140A5F"/>
    <w:rsid w:val="00140B3C"/>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80487"/>
    <w:rsid w:val="001823F0"/>
    <w:rsid w:val="0018439F"/>
    <w:rsid w:val="001904BA"/>
    <w:rsid w:val="00190A58"/>
    <w:rsid w:val="00191B23"/>
    <w:rsid w:val="00192C41"/>
    <w:rsid w:val="00192E8C"/>
    <w:rsid w:val="001937D1"/>
    <w:rsid w:val="001946FE"/>
    <w:rsid w:val="00194FCF"/>
    <w:rsid w:val="0019681B"/>
    <w:rsid w:val="0019735A"/>
    <w:rsid w:val="0019737A"/>
    <w:rsid w:val="001A0E90"/>
    <w:rsid w:val="001A1830"/>
    <w:rsid w:val="001A2844"/>
    <w:rsid w:val="001A2FCB"/>
    <w:rsid w:val="001A4317"/>
    <w:rsid w:val="001A4F53"/>
    <w:rsid w:val="001B04C2"/>
    <w:rsid w:val="001B27BC"/>
    <w:rsid w:val="001B2A5E"/>
    <w:rsid w:val="001B361F"/>
    <w:rsid w:val="001B5D83"/>
    <w:rsid w:val="001B6F56"/>
    <w:rsid w:val="001C0658"/>
    <w:rsid w:val="001C0962"/>
    <w:rsid w:val="001C454A"/>
    <w:rsid w:val="001C5358"/>
    <w:rsid w:val="001C54D9"/>
    <w:rsid w:val="001C56E4"/>
    <w:rsid w:val="001C6281"/>
    <w:rsid w:val="001C641C"/>
    <w:rsid w:val="001C6B93"/>
    <w:rsid w:val="001D030C"/>
    <w:rsid w:val="001D0A38"/>
    <w:rsid w:val="001D0C47"/>
    <w:rsid w:val="001D0D13"/>
    <w:rsid w:val="001D13E3"/>
    <w:rsid w:val="001D1C94"/>
    <w:rsid w:val="001D1FD7"/>
    <w:rsid w:val="001D2163"/>
    <w:rsid w:val="001D4954"/>
    <w:rsid w:val="001D5464"/>
    <w:rsid w:val="001D5C1A"/>
    <w:rsid w:val="001D65B2"/>
    <w:rsid w:val="001E19ED"/>
    <w:rsid w:val="001E1AD8"/>
    <w:rsid w:val="001E2207"/>
    <w:rsid w:val="001E26EB"/>
    <w:rsid w:val="001E28F9"/>
    <w:rsid w:val="001E3E8E"/>
    <w:rsid w:val="001E4381"/>
    <w:rsid w:val="001E4CD3"/>
    <w:rsid w:val="001E4D03"/>
    <w:rsid w:val="001E5E9F"/>
    <w:rsid w:val="001E60A9"/>
    <w:rsid w:val="001E726D"/>
    <w:rsid w:val="001F04FA"/>
    <w:rsid w:val="001F074D"/>
    <w:rsid w:val="001F292B"/>
    <w:rsid w:val="001F29DC"/>
    <w:rsid w:val="001F4BAF"/>
    <w:rsid w:val="001F512A"/>
    <w:rsid w:val="001F53D3"/>
    <w:rsid w:val="001F7395"/>
    <w:rsid w:val="00200C0F"/>
    <w:rsid w:val="00200D19"/>
    <w:rsid w:val="00203B6C"/>
    <w:rsid w:val="0020634E"/>
    <w:rsid w:val="00206FA1"/>
    <w:rsid w:val="00207525"/>
    <w:rsid w:val="0021074E"/>
    <w:rsid w:val="00211933"/>
    <w:rsid w:val="002137F5"/>
    <w:rsid w:val="00213F99"/>
    <w:rsid w:val="0021462C"/>
    <w:rsid w:val="00214C85"/>
    <w:rsid w:val="00215410"/>
    <w:rsid w:val="0021673D"/>
    <w:rsid w:val="00216752"/>
    <w:rsid w:val="0021684E"/>
    <w:rsid w:val="00216FFD"/>
    <w:rsid w:val="00217CA1"/>
    <w:rsid w:val="00217E85"/>
    <w:rsid w:val="0022022C"/>
    <w:rsid w:val="00220B71"/>
    <w:rsid w:val="0022252A"/>
    <w:rsid w:val="00223410"/>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18B"/>
    <w:rsid w:val="0024650C"/>
    <w:rsid w:val="00247235"/>
    <w:rsid w:val="00247561"/>
    <w:rsid w:val="00250FB7"/>
    <w:rsid w:val="00251476"/>
    <w:rsid w:val="00252AC4"/>
    <w:rsid w:val="00253765"/>
    <w:rsid w:val="00254063"/>
    <w:rsid w:val="00254795"/>
    <w:rsid w:val="00254FD3"/>
    <w:rsid w:val="00255020"/>
    <w:rsid w:val="002559AC"/>
    <w:rsid w:val="002577CE"/>
    <w:rsid w:val="0026038C"/>
    <w:rsid w:val="00260E1C"/>
    <w:rsid w:val="00262B72"/>
    <w:rsid w:val="00262B7A"/>
    <w:rsid w:val="00263C9F"/>
    <w:rsid w:val="00265A50"/>
    <w:rsid w:val="00266196"/>
    <w:rsid w:val="00267E57"/>
    <w:rsid w:val="00271EF8"/>
    <w:rsid w:val="00272C41"/>
    <w:rsid w:val="00273813"/>
    <w:rsid w:val="002741C9"/>
    <w:rsid w:val="00274C89"/>
    <w:rsid w:val="0027508E"/>
    <w:rsid w:val="002769A5"/>
    <w:rsid w:val="00280853"/>
    <w:rsid w:val="00281DD0"/>
    <w:rsid w:val="0028208D"/>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1EEF"/>
    <w:rsid w:val="002A4D9A"/>
    <w:rsid w:val="002B1115"/>
    <w:rsid w:val="002B46DD"/>
    <w:rsid w:val="002B647B"/>
    <w:rsid w:val="002C0E44"/>
    <w:rsid w:val="002C11A9"/>
    <w:rsid w:val="002C22DF"/>
    <w:rsid w:val="002C2F4F"/>
    <w:rsid w:val="002C4F5A"/>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2E2"/>
    <w:rsid w:val="002E4BE8"/>
    <w:rsid w:val="002E5503"/>
    <w:rsid w:val="002E5A54"/>
    <w:rsid w:val="002E6833"/>
    <w:rsid w:val="002E71DE"/>
    <w:rsid w:val="002E76F7"/>
    <w:rsid w:val="002E78E1"/>
    <w:rsid w:val="002E7CDB"/>
    <w:rsid w:val="002F2661"/>
    <w:rsid w:val="002F3E80"/>
    <w:rsid w:val="002F74F6"/>
    <w:rsid w:val="002F7B5D"/>
    <w:rsid w:val="00300012"/>
    <w:rsid w:val="00300ECD"/>
    <w:rsid w:val="00301A27"/>
    <w:rsid w:val="00301A61"/>
    <w:rsid w:val="00302080"/>
    <w:rsid w:val="003025A7"/>
    <w:rsid w:val="00304308"/>
    <w:rsid w:val="00305692"/>
    <w:rsid w:val="003057CD"/>
    <w:rsid w:val="00307723"/>
    <w:rsid w:val="00310171"/>
    <w:rsid w:val="0031035E"/>
    <w:rsid w:val="00310885"/>
    <w:rsid w:val="00311B6D"/>
    <w:rsid w:val="00313611"/>
    <w:rsid w:val="00313FC0"/>
    <w:rsid w:val="00314F38"/>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507F8"/>
    <w:rsid w:val="003508FD"/>
    <w:rsid w:val="003538DC"/>
    <w:rsid w:val="00354739"/>
    <w:rsid w:val="003555F0"/>
    <w:rsid w:val="0035616A"/>
    <w:rsid w:val="00357E26"/>
    <w:rsid w:val="00361BCC"/>
    <w:rsid w:val="003627EF"/>
    <w:rsid w:val="00365D81"/>
    <w:rsid w:val="003671FD"/>
    <w:rsid w:val="00367C42"/>
    <w:rsid w:val="003702C2"/>
    <w:rsid w:val="00373662"/>
    <w:rsid w:val="00375DB1"/>
    <w:rsid w:val="00380CBC"/>
    <w:rsid w:val="0038311D"/>
    <w:rsid w:val="00384436"/>
    <w:rsid w:val="00384446"/>
    <w:rsid w:val="00384746"/>
    <w:rsid w:val="0038533A"/>
    <w:rsid w:val="003860D6"/>
    <w:rsid w:val="00386440"/>
    <w:rsid w:val="0038781D"/>
    <w:rsid w:val="00392773"/>
    <w:rsid w:val="00392F8D"/>
    <w:rsid w:val="00393115"/>
    <w:rsid w:val="00393357"/>
    <w:rsid w:val="003935EB"/>
    <w:rsid w:val="00393E83"/>
    <w:rsid w:val="00394F89"/>
    <w:rsid w:val="00395431"/>
    <w:rsid w:val="0039690E"/>
    <w:rsid w:val="003A00AA"/>
    <w:rsid w:val="003A0E9C"/>
    <w:rsid w:val="003A1E76"/>
    <w:rsid w:val="003A20BE"/>
    <w:rsid w:val="003A40A2"/>
    <w:rsid w:val="003A7E92"/>
    <w:rsid w:val="003B041E"/>
    <w:rsid w:val="003B0512"/>
    <w:rsid w:val="003B22D4"/>
    <w:rsid w:val="003B318C"/>
    <w:rsid w:val="003B4FA0"/>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339B"/>
    <w:rsid w:val="003D37B7"/>
    <w:rsid w:val="003D46CC"/>
    <w:rsid w:val="003E0B5A"/>
    <w:rsid w:val="003E0C1E"/>
    <w:rsid w:val="003E0E97"/>
    <w:rsid w:val="003E1146"/>
    <w:rsid w:val="003E1441"/>
    <w:rsid w:val="003E1B5F"/>
    <w:rsid w:val="003E2198"/>
    <w:rsid w:val="003E330D"/>
    <w:rsid w:val="003E4829"/>
    <w:rsid w:val="003E4D8A"/>
    <w:rsid w:val="003E55E0"/>
    <w:rsid w:val="003E5674"/>
    <w:rsid w:val="003F1982"/>
    <w:rsid w:val="003F22C7"/>
    <w:rsid w:val="003F230B"/>
    <w:rsid w:val="003F3DAA"/>
    <w:rsid w:val="003F513E"/>
    <w:rsid w:val="003F5D02"/>
    <w:rsid w:val="003F676E"/>
    <w:rsid w:val="00400319"/>
    <w:rsid w:val="00401D64"/>
    <w:rsid w:val="00402E47"/>
    <w:rsid w:val="00403382"/>
    <w:rsid w:val="00403929"/>
    <w:rsid w:val="00403A49"/>
    <w:rsid w:val="004045F4"/>
    <w:rsid w:val="00405174"/>
    <w:rsid w:val="00405372"/>
    <w:rsid w:val="00406AA9"/>
    <w:rsid w:val="00412BCF"/>
    <w:rsid w:val="00413E9F"/>
    <w:rsid w:val="004146EF"/>
    <w:rsid w:val="00414983"/>
    <w:rsid w:val="004164A0"/>
    <w:rsid w:val="00421894"/>
    <w:rsid w:val="00422C9B"/>
    <w:rsid w:val="00422CBC"/>
    <w:rsid w:val="00423839"/>
    <w:rsid w:val="00423AA6"/>
    <w:rsid w:val="0042476D"/>
    <w:rsid w:val="00424B0A"/>
    <w:rsid w:val="004262CE"/>
    <w:rsid w:val="00427A55"/>
    <w:rsid w:val="004304A7"/>
    <w:rsid w:val="004314BF"/>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FB7"/>
    <w:rsid w:val="00461C35"/>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95F"/>
    <w:rsid w:val="00480D74"/>
    <w:rsid w:val="004816C6"/>
    <w:rsid w:val="00482A2D"/>
    <w:rsid w:val="004850A1"/>
    <w:rsid w:val="00486117"/>
    <w:rsid w:val="00486A68"/>
    <w:rsid w:val="00487253"/>
    <w:rsid w:val="00490DEA"/>
    <w:rsid w:val="00491167"/>
    <w:rsid w:val="0049143C"/>
    <w:rsid w:val="00493F7F"/>
    <w:rsid w:val="004940C4"/>
    <w:rsid w:val="00495014"/>
    <w:rsid w:val="00495F2C"/>
    <w:rsid w:val="004A11C3"/>
    <w:rsid w:val="004A4DF1"/>
    <w:rsid w:val="004A4F04"/>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6B52"/>
    <w:rsid w:val="004F27DA"/>
    <w:rsid w:val="004F346A"/>
    <w:rsid w:val="004F61B9"/>
    <w:rsid w:val="004F66AC"/>
    <w:rsid w:val="004F69B5"/>
    <w:rsid w:val="004F7335"/>
    <w:rsid w:val="005017D2"/>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272F"/>
    <w:rsid w:val="00533970"/>
    <w:rsid w:val="00534F05"/>
    <w:rsid w:val="00540B8A"/>
    <w:rsid w:val="00541668"/>
    <w:rsid w:val="00542741"/>
    <w:rsid w:val="00542BDA"/>
    <w:rsid w:val="00543085"/>
    <w:rsid w:val="00546508"/>
    <w:rsid w:val="00547E8F"/>
    <w:rsid w:val="00550F90"/>
    <w:rsid w:val="005512D4"/>
    <w:rsid w:val="00551D01"/>
    <w:rsid w:val="0055305F"/>
    <w:rsid w:val="005561B1"/>
    <w:rsid w:val="005565BE"/>
    <w:rsid w:val="005567F4"/>
    <w:rsid w:val="005575E8"/>
    <w:rsid w:val="005575F0"/>
    <w:rsid w:val="005625F4"/>
    <w:rsid w:val="005627D0"/>
    <w:rsid w:val="00562AF2"/>
    <w:rsid w:val="00563A06"/>
    <w:rsid w:val="00565FD2"/>
    <w:rsid w:val="00566B14"/>
    <w:rsid w:val="00570B51"/>
    <w:rsid w:val="00570D2C"/>
    <w:rsid w:val="00571158"/>
    <w:rsid w:val="005729FD"/>
    <w:rsid w:val="00574B6E"/>
    <w:rsid w:val="00574C00"/>
    <w:rsid w:val="00575026"/>
    <w:rsid w:val="00576016"/>
    <w:rsid w:val="005761CC"/>
    <w:rsid w:val="00576207"/>
    <w:rsid w:val="00576505"/>
    <w:rsid w:val="005815C8"/>
    <w:rsid w:val="00581E1C"/>
    <w:rsid w:val="00581F51"/>
    <w:rsid w:val="00582663"/>
    <w:rsid w:val="00592B01"/>
    <w:rsid w:val="00592DB1"/>
    <w:rsid w:val="005935E4"/>
    <w:rsid w:val="00593BC6"/>
    <w:rsid w:val="00594573"/>
    <w:rsid w:val="00595F74"/>
    <w:rsid w:val="00596B93"/>
    <w:rsid w:val="005A0868"/>
    <w:rsid w:val="005A0A2F"/>
    <w:rsid w:val="005A1FB0"/>
    <w:rsid w:val="005A5440"/>
    <w:rsid w:val="005A5A01"/>
    <w:rsid w:val="005A5F29"/>
    <w:rsid w:val="005A7C11"/>
    <w:rsid w:val="005B198A"/>
    <w:rsid w:val="005B1FDC"/>
    <w:rsid w:val="005B75A0"/>
    <w:rsid w:val="005C201D"/>
    <w:rsid w:val="005C3E8E"/>
    <w:rsid w:val="005C4361"/>
    <w:rsid w:val="005C6FBA"/>
    <w:rsid w:val="005C7FDD"/>
    <w:rsid w:val="005D2937"/>
    <w:rsid w:val="005D2B99"/>
    <w:rsid w:val="005D30ED"/>
    <w:rsid w:val="005D3C9F"/>
    <w:rsid w:val="005D5770"/>
    <w:rsid w:val="005D5EFC"/>
    <w:rsid w:val="005E13EA"/>
    <w:rsid w:val="005E2F61"/>
    <w:rsid w:val="005E370A"/>
    <w:rsid w:val="005E5225"/>
    <w:rsid w:val="005F15CB"/>
    <w:rsid w:val="005F485C"/>
    <w:rsid w:val="005F4FE9"/>
    <w:rsid w:val="005F5578"/>
    <w:rsid w:val="006005FF"/>
    <w:rsid w:val="00601D6D"/>
    <w:rsid w:val="00601E38"/>
    <w:rsid w:val="006024AB"/>
    <w:rsid w:val="00603C85"/>
    <w:rsid w:val="006050A3"/>
    <w:rsid w:val="006054BA"/>
    <w:rsid w:val="006069A6"/>
    <w:rsid w:val="00606E2B"/>
    <w:rsid w:val="00611143"/>
    <w:rsid w:val="0061115A"/>
    <w:rsid w:val="00611545"/>
    <w:rsid w:val="00614D8A"/>
    <w:rsid w:val="00615446"/>
    <w:rsid w:val="00622C36"/>
    <w:rsid w:val="00622DC0"/>
    <w:rsid w:val="00623FE0"/>
    <w:rsid w:val="0062419E"/>
    <w:rsid w:val="00624AD9"/>
    <w:rsid w:val="00625436"/>
    <w:rsid w:val="006266CC"/>
    <w:rsid w:val="006273E4"/>
    <w:rsid w:val="006324AE"/>
    <w:rsid w:val="00632BEE"/>
    <w:rsid w:val="00632D4B"/>
    <w:rsid w:val="00633BA9"/>
    <w:rsid w:val="00633BC2"/>
    <w:rsid w:val="00634631"/>
    <w:rsid w:val="00634B86"/>
    <w:rsid w:val="0063505C"/>
    <w:rsid w:val="0063542C"/>
    <w:rsid w:val="006356F8"/>
    <w:rsid w:val="0063796D"/>
    <w:rsid w:val="0064024D"/>
    <w:rsid w:val="0064098A"/>
    <w:rsid w:val="0064120A"/>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2E6"/>
    <w:rsid w:val="00685838"/>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B581A"/>
    <w:rsid w:val="006C078E"/>
    <w:rsid w:val="006C11E5"/>
    <w:rsid w:val="006C230E"/>
    <w:rsid w:val="006C2468"/>
    <w:rsid w:val="006C2F8A"/>
    <w:rsid w:val="006C3FCE"/>
    <w:rsid w:val="006C5680"/>
    <w:rsid w:val="006C5F8E"/>
    <w:rsid w:val="006D13E5"/>
    <w:rsid w:val="006D3BA1"/>
    <w:rsid w:val="006D4E7C"/>
    <w:rsid w:val="006D6B85"/>
    <w:rsid w:val="006E07FB"/>
    <w:rsid w:val="006E1337"/>
    <w:rsid w:val="006E29DB"/>
    <w:rsid w:val="006E44AE"/>
    <w:rsid w:val="006E4AA4"/>
    <w:rsid w:val="006E5601"/>
    <w:rsid w:val="006E61B3"/>
    <w:rsid w:val="006E7826"/>
    <w:rsid w:val="006F463B"/>
    <w:rsid w:val="006F4845"/>
    <w:rsid w:val="006F4B6C"/>
    <w:rsid w:val="00701867"/>
    <w:rsid w:val="00702075"/>
    <w:rsid w:val="007020B3"/>
    <w:rsid w:val="0070210F"/>
    <w:rsid w:val="007038C4"/>
    <w:rsid w:val="00703BB8"/>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3EF"/>
    <w:rsid w:val="00737428"/>
    <w:rsid w:val="00737671"/>
    <w:rsid w:val="00737D50"/>
    <w:rsid w:val="0074069D"/>
    <w:rsid w:val="00740BDC"/>
    <w:rsid w:val="007437B7"/>
    <w:rsid w:val="00744F45"/>
    <w:rsid w:val="00745FC2"/>
    <w:rsid w:val="0074727A"/>
    <w:rsid w:val="00747EEE"/>
    <w:rsid w:val="00750132"/>
    <w:rsid w:val="0075209A"/>
    <w:rsid w:val="00752D23"/>
    <w:rsid w:val="00753E6A"/>
    <w:rsid w:val="00754B67"/>
    <w:rsid w:val="007566E4"/>
    <w:rsid w:val="00756B1E"/>
    <w:rsid w:val="00760CA8"/>
    <w:rsid w:val="00762631"/>
    <w:rsid w:val="00762929"/>
    <w:rsid w:val="007631ED"/>
    <w:rsid w:val="00763CAC"/>
    <w:rsid w:val="00764049"/>
    <w:rsid w:val="00764CBC"/>
    <w:rsid w:val="00764CD2"/>
    <w:rsid w:val="00764F1B"/>
    <w:rsid w:val="00765808"/>
    <w:rsid w:val="0076584E"/>
    <w:rsid w:val="00765C13"/>
    <w:rsid w:val="00765D68"/>
    <w:rsid w:val="00766709"/>
    <w:rsid w:val="00770809"/>
    <w:rsid w:val="00772557"/>
    <w:rsid w:val="00773CA3"/>
    <w:rsid w:val="00775BB4"/>
    <w:rsid w:val="00776E1B"/>
    <w:rsid w:val="00780FBE"/>
    <w:rsid w:val="0078177E"/>
    <w:rsid w:val="0078184A"/>
    <w:rsid w:val="00782E51"/>
    <w:rsid w:val="007831B3"/>
    <w:rsid w:val="007874C4"/>
    <w:rsid w:val="00792E7B"/>
    <w:rsid w:val="007942A7"/>
    <w:rsid w:val="007947E9"/>
    <w:rsid w:val="00794CAC"/>
    <w:rsid w:val="007A1C17"/>
    <w:rsid w:val="007A211F"/>
    <w:rsid w:val="007A36E0"/>
    <w:rsid w:val="007A379A"/>
    <w:rsid w:val="007A3C43"/>
    <w:rsid w:val="007A68CD"/>
    <w:rsid w:val="007A7087"/>
    <w:rsid w:val="007B0257"/>
    <w:rsid w:val="007B056D"/>
    <w:rsid w:val="007B2389"/>
    <w:rsid w:val="007B27CB"/>
    <w:rsid w:val="007B30EE"/>
    <w:rsid w:val="007B6172"/>
    <w:rsid w:val="007B70C7"/>
    <w:rsid w:val="007B7B59"/>
    <w:rsid w:val="007B7C7D"/>
    <w:rsid w:val="007C037B"/>
    <w:rsid w:val="007C0523"/>
    <w:rsid w:val="007C182F"/>
    <w:rsid w:val="007C430F"/>
    <w:rsid w:val="007C64D5"/>
    <w:rsid w:val="007C6F86"/>
    <w:rsid w:val="007D0BDF"/>
    <w:rsid w:val="007D1F9F"/>
    <w:rsid w:val="007D25D5"/>
    <w:rsid w:val="007D3DBE"/>
    <w:rsid w:val="007D3E81"/>
    <w:rsid w:val="007D41CC"/>
    <w:rsid w:val="007D4DC6"/>
    <w:rsid w:val="007D58E6"/>
    <w:rsid w:val="007D58FE"/>
    <w:rsid w:val="007D6561"/>
    <w:rsid w:val="007D6C58"/>
    <w:rsid w:val="007D6F08"/>
    <w:rsid w:val="007E05E4"/>
    <w:rsid w:val="007E1D2E"/>
    <w:rsid w:val="007E4B08"/>
    <w:rsid w:val="007E5948"/>
    <w:rsid w:val="007E6602"/>
    <w:rsid w:val="007E6C97"/>
    <w:rsid w:val="007E7F27"/>
    <w:rsid w:val="007F06A9"/>
    <w:rsid w:val="007F3002"/>
    <w:rsid w:val="007F5087"/>
    <w:rsid w:val="007F5D0A"/>
    <w:rsid w:val="008000D5"/>
    <w:rsid w:val="00800D6D"/>
    <w:rsid w:val="00802488"/>
    <w:rsid w:val="00802FF9"/>
    <w:rsid w:val="00805821"/>
    <w:rsid w:val="008064A5"/>
    <w:rsid w:val="00810A59"/>
    <w:rsid w:val="008111C0"/>
    <w:rsid w:val="00812AF9"/>
    <w:rsid w:val="00815B38"/>
    <w:rsid w:val="008166ED"/>
    <w:rsid w:val="00821F4E"/>
    <w:rsid w:val="00824EAC"/>
    <w:rsid w:val="0082522D"/>
    <w:rsid w:val="00825C5D"/>
    <w:rsid w:val="00825EEA"/>
    <w:rsid w:val="008269D0"/>
    <w:rsid w:val="008276A2"/>
    <w:rsid w:val="00832644"/>
    <w:rsid w:val="008340B5"/>
    <w:rsid w:val="008342E9"/>
    <w:rsid w:val="00834CC0"/>
    <w:rsid w:val="00834DC2"/>
    <w:rsid w:val="00835D0B"/>
    <w:rsid w:val="008361EF"/>
    <w:rsid w:val="008369BD"/>
    <w:rsid w:val="00836A3F"/>
    <w:rsid w:val="00836D73"/>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4F55"/>
    <w:rsid w:val="008550DF"/>
    <w:rsid w:val="0085632A"/>
    <w:rsid w:val="00856BFE"/>
    <w:rsid w:val="00857840"/>
    <w:rsid w:val="00860188"/>
    <w:rsid w:val="00861CC3"/>
    <w:rsid w:val="00861EB4"/>
    <w:rsid w:val="00862FC2"/>
    <w:rsid w:val="008631AD"/>
    <w:rsid w:val="00863383"/>
    <w:rsid w:val="008634AA"/>
    <w:rsid w:val="00865026"/>
    <w:rsid w:val="00865365"/>
    <w:rsid w:val="00866232"/>
    <w:rsid w:val="00866BC1"/>
    <w:rsid w:val="008674EE"/>
    <w:rsid w:val="00867AC1"/>
    <w:rsid w:val="00867D02"/>
    <w:rsid w:val="00871D48"/>
    <w:rsid w:val="00872B23"/>
    <w:rsid w:val="00874251"/>
    <w:rsid w:val="00874C4A"/>
    <w:rsid w:val="0087772C"/>
    <w:rsid w:val="0087790F"/>
    <w:rsid w:val="0088076E"/>
    <w:rsid w:val="00880C1C"/>
    <w:rsid w:val="00880EA2"/>
    <w:rsid w:val="00880F21"/>
    <w:rsid w:val="00881155"/>
    <w:rsid w:val="008827C6"/>
    <w:rsid w:val="00883B51"/>
    <w:rsid w:val="008851B3"/>
    <w:rsid w:val="00887E3D"/>
    <w:rsid w:val="00890324"/>
    <w:rsid w:val="008907EE"/>
    <w:rsid w:val="00891C7E"/>
    <w:rsid w:val="0089379E"/>
    <w:rsid w:val="008967D3"/>
    <w:rsid w:val="00897C9C"/>
    <w:rsid w:val="00897F1B"/>
    <w:rsid w:val="008A16B8"/>
    <w:rsid w:val="008A194F"/>
    <w:rsid w:val="008A20BE"/>
    <w:rsid w:val="008A2C58"/>
    <w:rsid w:val="008A349E"/>
    <w:rsid w:val="008A426C"/>
    <w:rsid w:val="008A538A"/>
    <w:rsid w:val="008A577D"/>
    <w:rsid w:val="008A6A7C"/>
    <w:rsid w:val="008B05F8"/>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B41"/>
    <w:rsid w:val="00922D1D"/>
    <w:rsid w:val="00922D43"/>
    <w:rsid w:val="00926C6E"/>
    <w:rsid w:val="00927255"/>
    <w:rsid w:val="009273DB"/>
    <w:rsid w:val="00927870"/>
    <w:rsid w:val="00931093"/>
    <w:rsid w:val="00931A07"/>
    <w:rsid w:val="00932805"/>
    <w:rsid w:val="00933A42"/>
    <w:rsid w:val="009340F2"/>
    <w:rsid w:val="009372B9"/>
    <w:rsid w:val="00940BF0"/>
    <w:rsid w:val="00941D8A"/>
    <w:rsid w:val="00942054"/>
    <w:rsid w:val="00944DAA"/>
    <w:rsid w:val="009462B6"/>
    <w:rsid w:val="00946FA4"/>
    <w:rsid w:val="00951B01"/>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3F3F"/>
    <w:rsid w:val="0098427E"/>
    <w:rsid w:val="00985228"/>
    <w:rsid w:val="009861E6"/>
    <w:rsid w:val="00986FB1"/>
    <w:rsid w:val="0098718A"/>
    <w:rsid w:val="0098771F"/>
    <w:rsid w:val="00991296"/>
    <w:rsid w:val="009926A4"/>
    <w:rsid w:val="00993AE0"/>
    <w:rsid w:val="00993F23"/>
    <w:rsid w:val="0099425B"/>
    <w:rsid w:val="009960D3"/>
    <w:rsid w:val="009A07EF"/>
    <w:rsid w:val="009A0F69"/>
    <w:rsid w:val="009A1090"/>
    <w:rsid w:val="009A10DA"/>
    <w:rsid w:val="009A393E"/>
    <w:rsid w:val="009B0D12"/>
    <w:rsid w:val="009B1032"/>
    <w:rsid w:val="009B1D0D"/>
    <w:rsid w:val="009B1F30"/>
    <w:rsid w:val="009B440A"/>
    <w:rsid w:val="009B4884"/>
    <w:rsid w:val="009B4A81"/>
    <w:rsid w:val="009B653F"/>
    <w:rsid w:val="009C02A0"/>
    <w:rsid w:val="009C0A78"/>
    <w:rsid w:val="009C0B40"/>
    <w:rsid w:val="009C140E"/>
    <w:rsid w:val="009C1BD1"/>
    <w:rsid w:val="009C1E9B"/>
    <w:rsid w:val="009C22F4"/>
    <w:rsid w:val="009C2AD4"/>
    <w:rsid w:val="009C48A3"/>
    <w:rsid w:val="009C4990"/>
    <w:rsid w:val="009C5544"/>
    <w:rsid w:val="009C5CE6"/>
    <w:rsid w:val="009C5D61"/>
    <w:rsid w:val="009C6825"/>
    <w:rsid w:val="009C72C8"/>
    <w:rsid w:val="009D0F34"/>
    <w:rsid w:val="009D1A60"/>
    <w:rsid w:val="009D3AE5"/>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2B4"/>
    <w:rsid w:val="00A07F7A"/>
    <w:rsid w:val="00A128EA"/>
    <w:rsid w:val="00A12A7F"/>
    <w:rsid w:val="00A13BC2"/>
    <w:rsid w:val="00A15500"/>
    <w:rsid w:val="00A1610F"/>
    <w:rsid w:val="00A20B81"/>
    <w:rsid w:val="00A225AD"/>
    <w:rsid w:val="00A225C7"/>
    <w:rsid w:val="00A256D4"/>
    <w:rsid w:val="00A26555"/>
    <w:rsid w:val="00A269BE"/>
    <w:rsid w:val="00A27E53"/>
    <w:rsid w:val="00A30A8B"/>
    <w:rsid w:val="00A310F7"/>
    <w:rsid w:val="00A33B3B"/>
    <w:rsid w:val="00A34F9D"/>
    <w:rsid w:val="00A3594A"/>
    <w:rsid w:val="00A36161"/>
    <w:rsid w:val="00A3789A"/>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1DD5"/>
    <w:rsid w:val="00A823C9"/>
    <w:rsid w:val="00A8352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46D5"/>
    <w:rsid w:val="00AB47E8"/>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1D19"/>
    <w:rsid w:val="00AD2C35"/>
    <w:rsid w:val="00AD5C59"/>
    <w:rsid w:val="00AD5F43"/>
    <w:rsid w:val="00AD6170"/>
    <w:rsid w:val="00AE2AA0"/>
    <w:rsid w:val="00AE2CEA"/>
    <w:rsid w:val="00AE3045"/>
    <w:rsid w:val="00AE3C13"/>
    <w:rsid w:val="00AE509A"/>
    <w:rsid w:val="00AE6A20"/>
    <w:rsid w:val="00AF0999"/>
    <w:rsid w:val="00AF0D02"/>
    <w:rsid w:val="00AF12C4"/>
    <w:rsid w:val="00AF21A4"/>
    <w:rsid w:val="00AF3E13"/>
    <w:rsid w:val="00AF4493"/>
    <w:rsid w:val="00AF4FDD"/>
    <w:rsid w:val="00AF7EDF"/>
    <w:rsid w:val="00B01670"/>
    <w:rsid w:val="00B02D10"/>
    <w:rsid w:val="00B02ED1"/>
    <w:rsid w:val="00B05254"/>
    <w:rsid w:val="00B05A20"/>
    <w:rsid w:val="00B05EC1"/>
    <w:rsid w:val="00B06717"/>
    <w:rsid w:val="00B0769C"/>
    <w:rsid w:val="00B1061E"/>
    <w:rsid w:val="00B10C22"/>
    <w:rsid w:val="00B10EED"/>
    <w:rsid w:val="00B1417F"/>
    <w:rsid w:val="00B145D0"/>
    <w:rsid w:val="00B154A1"/>
    <w:rsid w:val="00B163DB"/>
    <w:rsid w:val="00B175F0"/>
    <w:rsid w:val="00B17BA1"/>
    <w:rsid w:val="00B20655"/>
    <w:rsid w:val="00B21410"/>
    <w:rsid w:val="00B227ED"/>
    <w:rsid w:val="00B23C22"/>
    <w:rsid w:val="00B2552B"/>
    <w:rsid w:val="00B25D8D"/>
    <w:rsid w:val="00B265F0"/>
    <w:rsid w:val="00B26A33"/>
    <w:rsid w:val="00B27CF9"/>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0EDD"/>
    <w:rsid w:val="00B63160"/>
    <w:rsid w:val="00B63F92"/>
    <w:rsid w:val="00B64173"/>
    <w:rsid w:val="00B645AC"/>
    <w:rsid w:val="00B64A01"/>
    <w:rsid w:val="00B64CF8"/>
    <w:rsid w:val="00B65D8F"/>
    <w:rsid w:val="00B65E56"/>
    <w:rsid w:val="00B66C37"/>
    <w:rsid w:val="00B679A9"/>
    <w:rsid w:val="00B67D94"/>
    <w:rsid w:val="00B71FC0"/>
    <w:rsid w:val="00B72013"/>
    <w:rsid w:val="00B736D5"/>
    <w:rsid w:val="00B7428E"/>
    <w:rsid w:val="00B74871"/>
    <w:rsid w:val="00B75CF4"/>
    <w:rsid w:val="00B75D3A"/>
    <w:rsid w:val="00B803CA"/>
    <w:rsid w:val="00B80CC5"/>
    <w:rsid w:val="00B82411"/>
    <w:rsid w:val="00B83E0E"/>
    <w:rsid w:val="00B845A9"/>
    <w:rsid w:val="00B8716D"/>
    <w:rsid w:val="00B87A29"/>
    <w:rsid w:val="00B87F76"/>
    <w:rsid w:val="00B906F3"/>
    <w:rsid w:val="00B920A9"/>
    <w:rsid w:val="00B92479"/>
    <w:rsid w:val="00B93932"/>
    <w:rsid w:val="00B94825"/>
    <w:rsid w:val="00B94B5C"/>
    <w:rsid w:val="00B96776"/>
    <w:rsid w:val="00B97B93"/>
    <w:rsid w:val="00BA02A6"/>
    <w:rsid w:val="00BA12AB"/>
    <w:rsid w:val="00BA2335"/>
    <w:rsid w:val="00BA2B19"/>
    <w:rsid w:val="00BA516E"/>
    <w:rsid w:val="00BA5935"/>
    <w:rsid w:val="00BA664A"/>
    <w:rsid w:val="00BA715A"/>
    <w:rsid w:val="00BA7456"/>
    <w:rsid w:val="00BB001C"/>
    <w:rsid w:val="00BB0B24"/>
    <w:rsid w:val="00BB141F"/>
    <w:rsid w:val="00BB2B8E"/>
    <w:rsid w:val="00BB3051"/>
    <w:rsid w:val="00BB3A5E"/>
    <w:rsid w:val="00BB45F4"/>
    <w:rsid w:val="00BB5C92"/>
    <w:rsid w:val="00BB7EE1"/>
    <w:rsid w:val="00BC0F48"/>
    <w:rsid w:val="00BC17F9"/>
    <w:rsid w:val="00BC21CA"/>
    <w:rsid w:val="00BC5030"/>
    <w:rsid w:val="00BC59A0"/>
    <w:rsid w:val="00BC79B3"/>
    <w:rsid w:val="00BC7B47"/>
    <w:rsid w:val="00BD01F7"/>
    <w:rsid w:val="00BD26B6"/>
    <w:rsid w:val="00BD270B"/>
    <w:rsid w:val="00BD4960"/>
    <w:rsid w:val="00BD4CDA"/>
    <w:rsid w:val="00BD60AA"/>
    <w:rsid w:val="00BD7CB1"/>
    <w:rsid w:val="00BE121B"/>
    <w:rsid w:val="00BE2D01"/>
    <w:rsid w:val="00BE2F63"/>
    <w:rsid w:val="00BE4117"/>
    <w:rsid w:val="00BE4D0C"/>
    <w:rsid w:val="00BE4D67"/>
    <w:rsid w:val="00BE7DBD"/>
    <w:rsid w:val="00BF1BA2"/>
    <w:rsid w:val="00BF3299"/>
    <w:rsid w:val="00BF3DE4"/>
    <w:rsid w:val="00BF447C"/>
    <w:rsid w:val="00BF5590"/>
    <w:rsid w:val="00BF5D2A"/>
    <w:rsid w:val="00BF64A8"/>
    <w:rsid w:val="00BF6E18"/>
    <w:rsid w:val="00BF7B2A"/>
    <w:rsid w:val="00C00E73"/>
    <w:rsid w:val="00C0573D"/>
    <w:rsid w:val="00C05AA1"/>
    <w:rsid w:val="00C06A0B"/>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4548"/>
    <w:rsid w:val="00C54BC5"/>
    <w:rsid w:val="00C56329"/>
    <w:rsid w:val="00C573F6"/>
    <w:rsid w:val="00C6009B"/>
    <w:rsid w:val="00C609A2"/>
    <w:rsid w:val="00C616F0"/>
    <w:rsid w:val="00C620F5"/>
    <w:rsid w:val="00C63BCE"/>
    <w:rsid w:val="00C65CED"/>
    <w:rsid w:val="00C66ED4"/>
    <w:rsid w:val="00C675C5"/>
    <w:rsid w:val="00C71CF7"/>
    <w:rsid w:val="00C7382E"/>
    <w:rsid w:val="00C752C1"/>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4E8"/>
    <w:rsid w:val="00CA25CA"/>
    <w:rsid w:val="00CA499C"/>
    <w:rsid w:val="00CA6213"/>
    <w:rsid w:val="00CB06C1"/>
    <w:rsid w:val="00CB11FF"/>
    <w:rsid w:val="00CB1955"/>
    <w:rsid w:val="00CB5465"/>
    <w:rsid w:val="00CB6454"/>
    <w:rsid w:val="00CB64D9"/>
    <w:rsid w:val="00CB76FB"/>
    <w:rsid w:val="00CB799E"/>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725A"/>
    <w:rsid w:val="00CD753C"/>
    <w:rsid w:val="00CE028A"/>
    <w:rsid w:val="00CE0741"/>
    <w:rsid w:val="00CE165E"/>
    <w:rsid w:val="00CE2B8C"/>
    <w:rsid w:val="00CE3182"/>
    <w:rsid w:val="00CE415D"/>
    <w:rsid w:val="00CE4E5B"/>
    <w:rsid w:val="00CE5BD4"/>
    <w:rsid w:val="00CE5C38"/>
    <w:rsid w:val="00CE5DAF"/>
    <w:rsid w:val="00CE678D"/>
    <w:rsid w:val="00CE6E5A"/>
    <w:rsid w:val="00CF01CC"/>
    <w:rsid w:val="00CF1139"/>
    <w:rsid w:val="00CF2FF0"/>
    <w:rsid w:val="00CF309B"/>
    <w:rsid w:val="00CF30D8"/>
    <w:rsid w:val="00CF3159"/>
    <w:rsid w:val="00CF3BFD"/>
    <w:rsid w:val="00CF43CE"/>
    <w:rsid w:val="00CF5A5C"/>
    <w:rsid w:val="00CF61E8"/>
    <w:rsid w:val="00CF651D"/>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A0A"/>
    <w:rsid w:val="00D23FC8"/>
    <w:rsid w:val="00D244FF"/>
    <w:rsid w:val="00D2524A"/>
    <w:rsid w:val="00D2690A"/>
    <w:rsid w:val="00D31C35"/>
    <w:rsid w:val="00D328FE"/>
    <w:rsid w:val="00D32D11"/>
    <w:rsid w:val="00D32DE5"/>
    <w:rsid w:val="00D35394"/>
    <w:rsid w:val="00D3750C"/>
    <w:rsid w:val="00D37E08"/>
    <w:rsid w:val="00D4006C"/>
    <w:rsid w:val="00D4285A"/>
    <w:rsid w:val="00D437BC"/>
    <w:rsid w:val="00D44187"/>
    <w:rsid w:val="00D44AC8"/>
    <w:rsid w:val="00D460F3"/>
    <w:rsid w:val="00D4705D"/>
    <w:rsid w:val="00D47F5B"/>
    <w:rsid w:val="00D52EC4"/>
    <w:rsid w:val="00D54C29"/>
    <w:rsid w:val="00D553EE"/>
    <w:rsid w:val="00D5634C"/>
    <w:rsid w:val="00D57662"/>
    <w:rsid w:val="00D577E8"/>
    <w:rsid w:val="00D60950"/>
    <w:rsid w:val="00D64EB4"/>
    <w:rsid w:val="00D65642"/>
    <w:rsid w:val="00D661F2"/>
    <w:rsid w:val="00D66F5A"/>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0BB5"/>
    <w:rsid w:val="00D913D9"/>
    <w:rsid w:val="00D943BB"/>
    <w:rsid w:val="00D94AC7"/>
    <w:rsid w:val="00D96437"/>
    <w:rsid w:val="00D97697"/>
    <w:rsid w:val="00D97905"/>
    <w:rsid w:val="00DA120C"/>
    <w:rsid w:val="00DA19D3"/>
    <w:rsid w:val="00DA261B"/>
    <w:rsid w:val="00DA4EEF"/>
    <w:rsid w:val="00DA5072"/>
    <w:rsid w:val="00DA7952"/>
    <w:rsid w:val="00DB005E"/>
    <w:rsid w:val="00DB1D9D"/>
    <w:rsid w:val="00DB3E36"/>
    <w:rsid w:val="00DB41E8"/>
    <w:rsid w:val="00DB444F"/>
    <w:rsid w:val="00DB62F4"/>
    <w:rsid w:val="00DB7061"/>
    <w:rsid w:val="00DB79D2"/>
    <w:rsid w:val="00DC0A82"/>
    <w:rsid w:val="00DC3686"/>
    <w:rsid w:val="00DC391A"/>
    <w:rsid w:val="00DC43E0"/>
    <w:rsid w:val="00DC4415"/>
    <w:rsid w:val="00DC5CE6"/>
    <w:rsid w:val="00DC5E32"/>
    <w:rsid w:val="00DC66BC"/>
    <w:rsid w:val="00DC7894"/>
    <w:rsid w:val="00DD1E3B"/>
    <w:rsid w:val="00DD28A9"/>
    <w:rsid w:val="00DD2F0B"/>
    <w:rsid w:val="00DD3DF6"/>
    <w:rsid w:val="00DD4400"/>
    <w:rsid w:val="00DD7A16"/>
    <w:rsid w:val="00DE2445"/>
    <w:rsid w:val="00DE3692"/>
    <w:rsid w:val="00DE4141"/>
    <w:rsid w:val="00DE6DF3"/>
    <w:rsid w:val="00DF12AE"/>
    <w:rsid w:val="00DF15D5"/>
    <w:rsid w:val="00DF3970"/>
    <w:rsid w:val="00DF4495"/>
    <w:rsid w:val="00DF671A"/>
    <w:rsid w:val="00DF6A62"/>
    <w:rsid w:val="00E00543"/>
    <w:rsid w:val="00E01B25"/>
    <w:rsid w:val="00E0228D"/>
    <w:rsid w:val="00E03ABC"/>
    <w:rsid w:val="00E04507"/>
    <w:rsid w:val="00E0613E"/>
    <w:rsid w:val="00E0645D"/>
    <w:rsid w:val="00E07A83"/>
    <w:rsid w:val="00E11EB4"/>
    <w:rsid w:val="00E15013"/>
    <w:rsid w:val="00E15889"/>
    <w:rsid w:val="00E17206"/>
    <w:rsid w:val="00E176AF"/>
    <w:rsid w:val="00E20669"/>
    <w:rsid w:val="00E2235D"/>
    <w:rsid w:val="00E22C87"/>
    <w:rsid w:val="00E23AF6"/>
    <w:rsid w:val="00E24425"/>
    <w:rsid w:val="00E267B1"/>
    <w:rsid w:val="00E3183D"/>
    <w:rsid w:val="00E32CAF"/>
    <w:rsid w:val="00E32CCB"/>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AEF"/>
    <w:rsid w:val="00E82FE3"/>
    <w:rsid w:val="00E843B4"/>
    <w:rsid w:val="00E86435"/>
    <w:rsid w:val="00E86580"/>
    <w:rsid w:val="00E86788"/>
    <w:rsid w:val="00E86C64"/>
    <w:rsid w:val="00E90227"/>
    <w:rsid w:val="00E92520"/>
    <w:rsid w:val="00E9324D"/>
    <w:rsid w:val="00E95517"/>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FAC"/>
    <w:rsid w:val="00ED011A"/>
    <w:rsid w:val="00ED0BA8"/>
    <w:rsid w:val="00ED2205"/>
    <w:rsid w:val="00ED477A"/>
    <w:rsid w:val="00ED5834"/>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0D81"/>
    <w:rsid w:val="00EF11C6"/>
    <w:rsid w:val="00EF1EF8"/>
    <w:rsid w:val="00EF394C"/>
    <w:rsid w:val="00EF524A"/>
    <w:rsid w:val="00EF6473"/>
    <w:rsid w:val="00F0002F"/>
    <w:rsid w:val="00F006F5"/>
    <w:rsid w:val="00F00F9A"/>
    <w:rsid w:val="00F01B8A"/>
    <w:rsid w:val="00F026CE"/>
    <w:rsid w:val="00F03833"/>
    <w:rsid w:val="00F103B9"/>
    <w:rsid w:val="00F10CCE"/>
    <w:rsid w:val="00F112B8"/>
    <w:rsid w:val="00F122CD"/>
    <w:rsid w:val="00F125A2"/>
    <w:rsid w:val="00F146EB"/>
    <w:rsid w:val="00F153CA"/>
    <w:rsid w:val="00F215A6"/>
    <w:rsid w:val="00F216C1"/>
    <w:rsid w:val="00F248CB"/>
    <w:rsid w:val="00F25253"/>
    <w:rsid w:val="00F25C7A"/>
    <w:rsid w:val="00F27029"/>
    <w:rsid w:val="00F2712D"/>
    <w:rsid w:val="00F279E5"/>
    <w:rsid w:val="00F30D44"/>
    <w:rsid w:val="00F32ADF"/>
    <w:rsid w:val="00F3328B"/>
    <w:rsid w:val="00F3330C"/>
    <w:rsid w:val="00F33BE2"/>
    <w:rsid w:val="00F34AEA"/>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00E5"/>
    <w:rsid w:val="00F72FA2"/>
    <w:rsid w:val="00F73AC7"/>
    <w:rsid w:val="00F74E79"/>
    <w:rsid w:val="00F754E9"/>
    <w:rsid w:val="00F75A8C"/>
    <w:rsid w:val="00F75CF8"/>
    <w:rsid w:val="00F76E3D"/>
    <w:rsid w:val="00F80CE4"/>
    <w:rsid w:val="00F80E97"/>
    <w:rsid w:val="00F81D0E"/>
    <w:rsid w:val="00F82F23"/>
    <w:rsid w:val="00F8382F"/>
    <w:rsid w:val="00F85733"/>
    <w:rsid w:val="00F85A8A"/>
    <w:rsid w:val="00F8649C"/>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A74C5"/>
    <w:rsid w:val="00FB130D"/>
    <w:rsid w:val="00FB38A9"/>
    <w:rsid w:val="00FB3F66"/>
    <w:rsid w:val="00FB4EC7"/>
    <w:rsid w:val="00FB5652"/>
    <w:rsid w:val="00FB648A"/>
    <w:rsid w:val="00FC00DE"/>
    <w:rsid w:val="00FC0E2F"/>
    <w:rsid w:val="00FC1239"/>
    <w:rsid w:val="00FC1871"/>
    <w:rsid w:val="00FC21EB"/>
    <w:rsid w:val="00FC3CB9"/>
    <w:rsid w:val="00FC5204"/>
    <w:rsid w:val="00FC5BA4"/>
    <w:rsid w:val="00FC5EC6"/>
    <w:rsid w:val="00FC6223"/>
    <w:rsid w:val="00FC685E"/>
    <w:rsid w:val="00FC7844"/>
    <w:rsid w:val="00FD1952"/>
    <w:rsid w:val="00FD2030"/>
    <w:rsid w:val="00FD27EA"/>
    <w:rsid w:val="00FD286B"/>
    <w:rsid w:val="00FD42B1"/>
    <w:rsid w:val="00FD5ACD"/>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47B43692-15BE-44AB-934D-6ECCDBB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customStyle="1" w:styleId="UnresolvedMention2">
    <w:name w:val="Unresolved Mention2"/>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27468634">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612516615">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July%202022\Line_graph_produce_July_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2\July%202022\Line_graph_produce_July_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2\July%202022\Line_graph_produce_July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a:pPr>
            <a:r>
              <a:rPr lang="en-US" sz="1000"/>
              <a:t>% Dollar growth versus YA</a:t>
            </a:r>
            <a:r>
              <a:rPr lang="en-US" sz="1000" baseline="0"/>
              <a:t> and 2019</a:t>
            </a:r>
            <a:endParaRPr lang="en-US" sz="1000"/>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6B-467A-9826-3FD7DF5BC4E9}"/>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6B-467A-9826-3FD7DF5BC4E9}"/>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6B-467A-9826-3FD7DF5BC4E9}"/>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6B-467A-9826-3FD7DF5BC4E9}"/>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6B-467A-9826-3FD7DF5BC4E9}"/>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6B-467A-9826-3FD7DF5BC4E9}"/>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6B-467A-9826-3FD7DF5BC4E9}"/>
                </c:ext>
              </c:extLst>
            </c:dLbl>
            <c:dLbl>
              <c:idx val="10"/>
              <c:layout>
                <c:manualLayout>
                  <c:x val="-6.1708652810387428E-3"/>
                  <c:y val="-7.5311483335407051E-3"/>
                </c:manualLayout>
              </c:layout>
              <c:spPr>
                <a:solidFill>
                  <a:schemeClr val="bg1"/>
                </a:solidFill>
                <a:ln>
                  <a:noFill/>
                </a:ln>
                <a:effectLst/>
              </c:spPr>
              <c:txPr>
                <a:bodyPr/>
                <a:lstStyle/>
                <a:p>
                  <a:pPr>
                    <a:defRPr sz="800">
                      <a:solidFill>
                        <a:schemeClr val="accent1"/>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6B-467A-9826-3FD7DF5BC4E9}"/>
                </c:ext>
              </c:extLst>
            </c:dLbl>
            <c:dLbl>
              <c:idx val="11"/>
              <c:layout>
                <c:manualLayout>
                  <c:x val="-1.716803554009718E-2"/>
                  <c:y val="2.8111815535951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6B-467A-9826-3FD7DF5BC4E9}"/>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6B-467A-9826-3FD7DF5BC4E9}"/>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6B-467A-9826-3FD7DF5BC4E9}"/>
                </c:ext>
              </c:extLst>
            </c:dLbl>
            <c:spPr>
              <a:noFill/>
              <a:ln>
                <a:noFill/>
              </a:ln>
              <a:effectLst/>
            </c:spPr>
            <c:txPr>
              <a:bodyPr/>
              <a:lstStyle/>
              <a:p>
                <a:pPr>
                  <a:defRPr sz="8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Sheet1!$B$30:$M$30</c:f>
              <c:numCache>
                <c:formatCode>0%</c:formatCode>
                <c:ptCount val="12"/>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c:v>3.5999999999999997E-2</c:v>
                </c:pt>
                <c:pt idx="11" formatCode="0.0%">
                  <c:v>4.2000000000000003E-2</c:v>
                </c:pt>
              </c:numCache>
            </c:numRef>
          </c:val>
          <c:smooth val="0"/>
          <c:extLst>
            <c:ext xmlns:c16="http://schemas.microsoft.com/office/drawing/2014/chart" uri="{C3380CC4-5D6E-409C-BE32-E72D297353CC}">
              <c16:uniqueId val="{0000000B-E26B-467A-9826-3FD7DF5BC4E9}"/>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6B-467A-9826-3FD7DF5BC4E9}"/>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6B-467A-9826-3FD7DF5BC4E9}"/>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6B-467A-9826-3FD7DF5BC4E9}"/>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6B-467A-9826-3FD7DF5BC4E9}"/>
                </c:ext>
              </c:extLst>
            </c:dLbl>
            <c:dLbl>
              <c:idx val="9"/>
              <c:layout>
                <c:manualLayout>
                  <c:x val="-2.1295823144015694E-2"/>
                  <c:y val="1.8815902938862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26B-467A-9826-3FD7DF5BC4E9}"/>
                </c:ext>
              </c:extLst>
            </c:dLbl>
            <c:dLbl>
              <c:idx val="10"/>
              <c:layout>
                <c:manualLayout>
                  <c:x val="-5.5308461289483952E-3"/>
                  <c:y val="-3.61698698837430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26B-467A-9826-3FD7DF5BC4E9}"/>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26B-467A-9826-3FD7DF5BC4E9}"/>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6B-467A-9826-3FD7DF5BC4E9}"/>
                </c:ext>
              </c:extLst>
            </c:dLbl>
            <c:spPr>
              <a:noFill/>
              <a:ln>
                <a:noFill/>
              </a:ln>
              <a:effectLst/>
            </c:spPr>
            <c:txPr>
              <a:bodyPr/>
              <a:lstStyle/>
              <a:p>
                <a:pPr>
                  <a:defRPr sz="8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Sheet1!$B$31:$M$31</c:f>
              <c:numCache>
                <c:formatCode>0%</c:formatCode>
                <c:ptCount val="12"/>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c:v>4.2000000000000003E-2</c:v>
                </c:pt>
                <c:pt idx="11" formatCode="0.0%">
                  <c:v>4.2000000000000003E-2</c:v>
                </c:pt>
              </c:numCache>
            </c:numRef>
          </c:val>
          <c:smooth val="0"/>
          <c:extLst>
            <c:ext xmlns:c16="http://schemas.microsoft.com/office/drawing/2014/chart" uri="{C3380CC4-5D6E-409C-BE32-E72D297353CC}">
              <c16:uniqueId val="{00000014-E26B-467A-9826-3FD7DF5BC4E9}"/>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6B-467A-9826-3FD7DF5BC4E9}"/>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6B-467A-9826-3FD7DF5BC4E9}"/>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26B-467A-9826-3FD7DF5BC4E9}"/>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26B-467A-9826-3FD7DF5BC4E9}"/>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26B-467A-9826-3FD7DF5BC4E9}"/>
                </c:ext>
              </c:extLst>
            </c:dLbl>
            <c:dLbl>
              <c:idx val="10"/>
              <c:layout>
                <c:manualLayout>
                  <c:x val="-1.9504687302103415E-3"/>
                  <c:y val="2.66411182842830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26B-467A-9826-3FD7DF5BC4E9}"/>
                </c:ext>
              </c:extLst>
            </c:dLbl>
            <c:dLbl>
              <c:idx val="11"/>
              <c:layout>
                <c:manualLayout>
                  <c:x val="-2.0283867489002967E-2"/>
                  <c:y val="5.6803465469395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26B-467A-9826-3FD7DF5BC4E9}"/>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26B-467A-9826-3FD7DF5BC4E9}"/>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26B-467A-9826-3FD7DF5BC4E9}"/>
                </c:ext>
              </c:extLst>
            </c:dLbl>
            <c:spPr>
              <a:noFill/>
              <a:ln>
                <a:noFill/>
              </a:ln>
              <a:effectLst/>
            </c:spPr>
            <c:txPr>
              <a:bodyPr/>
              <a:lstStyle/>
              <a:p>
                <a:pPr>
                  <a:defRPr sz="8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Sheet1!$B$32:$M$32</c:f>
              <c:numCache>
                <c:formatCode>0%</c:formatCode>
                <c:ptCount val="12"/>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c:v>2.9000000000000001E-2</c:v>
                </c:pt>
                <c:pt idx="11" formatCode="0.0%">
                  <c:v>4.3999999999999997E-2</c:v>
                </c:pt>
              </c:numCache>
            </c:numRef>
          </c:val>
          <c:smooth val="0"/>
          <c:extLst>
            <c:ext xmlns:c16="http://schemas.microsoft.com/office/drawing/2014/chart" uri="{C3380CC4-5D6E-409C-BE32-E72D297353CC}">
              <c16:uniqueId val="{0000001E-E26B-467A-9826-3FD7DF5BC4E9}"/>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26B-467A-9826-3FD7DF5BC4E9}"/>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26B-467A-9826-3FD7DF5BC4E9}"/>
                </c:ext>
              </c:extLst>
            </c:dLbl>
            <c:spPr>
              <a:noFill/>
              <a:ln>
                <a:noFill/>
              </a:ln>
              <a:effectLst/>
            </c:spPr>
            <c:txPr>
              <a:bodyPr/>
              <a:lstStyle/>
              <a:p>
                <a:pPr>
                  <a:defRPr sz="8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Sheet1!$B$33:$M$33</c:f>
              <c:numCache>
                <c:formatCode>General</c:formatCode>
                <c:ptCount val="12"/>
                <c:pt idx="5" formatCode="0%">
                  <c:v>0.12</c:v>
                </c:pt>
                <c:pt idx="6" formatCode="0%">
                  <c:v>0.13800000000000001</c:v>
                </c:pt>
                <c:pt idx="7" formatCode="0%">
                  <c:v>0.14399999999999999</c:v>
                </c:pt>
                <c:pt idx="8" formatCode="0%">
                  <c:v>0.17499999999999999</c:v>
                </c:pt>
                <c:pt idx="9" formatCode="0%">
                  <c:v>0.17199999999999999</c:v>
                </c:pt>
                <c:pt idx="10" formatCode="0%">
                  <c:v>0.18</c:v>
                </c:pt>
                <c:pt idx="11" formatCode="0.0%">
                  <c:v>0.17699999999999999</c:v>
                </c:pt>
              </c:numCache>
            </c:numRef>
          </c:val>
          <c:smooth val="0"/>
          <c:extLst>
            <c:ext xmlns:c16="http://schemas.microsoft.com/office/drawing/2014/chart" uri="{C3380CC4-5D6E-409C-BE32-E72D297353CC}">
              <c16:uniqueId val="{00000021-E26B-467A-9826-3FD7DF5BC4E9}"/>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26B-467A-9826-3FD7DF5BC4E9}"/>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26B-467A-9826-3FD7DF5BC4E9}"/>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26B-467A-9826-3FD7DF5BC4E9}"/>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26B-467A-9826-3FD7DF5BC4E9}"/>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26B-467A-9826-3FD7DF5BC4E9}"/>
                </c:ext>
              </c:extLst>
            </c:dLbl>
            <c:spPr>
              <a:noFill/>
              <a:ln>
                <a:noFill/>
              </a:ln>
              <a:effectLst/>
            </c:spPr>
            <c:txPr>
              <a:bodyPr/>
              <a:lstStyle/>
              <a:p>
                <a:pPr>
                  <a:defRPr sz="8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Sheet1!$B$34:$M$34</c:f>
              <c:numCache>
                <c:formatCode>General</c:formatCode>
                <c:ptCount val="12"/>
                <c:pt idx="5" formatCode="0%">
                  <c:v>0.106</c:v>
                </c:pt>
                <c:pt idx="6" formatCode="0%">
                  <c:v>0.156</c:v>
                </c:pt>
                <c:pt idx="7" formatCode="0%">
                  <c:v>0.16300000000000001</c:v>
                </c:pt>
                <c:pt idx="8" formatCode="0%">
                  <c:v>0.20599999999999999</c:v>
                </c:pt>
                <c:pt idx="9" formatCode="0%">
                  <c:v>0.22</c:v>
                </c:pt>
                <c:pt idx="10" formatCode="0%">
                  <c:v>0.20499999999999999</c:v>
                </c:pt>
                <c:pt idx="11" formatCode="0.0%">
                  <c:v>0.189</c:v>
                </c:pt>
              </c:numCache>
            </c:numRef>
          </c:val>
          <c:smooth val="0"/>
          <c:extLst>
            <c:ext xmlns:c16="http://schemas.microsoft.com/office/drawing/2014/chart" uri="{C3380CC4-5D6E-409C-BE32-E72D297353CC}">
              <c16:uniqueId val="{00000027-E26B-467A-9826-3FD7DF5BC4E9}"/>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26B-467A-9826-3FD7DF5BC4E9}"/>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E26B-467A-9826-3FD7DF5BC4E9}"/>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E26B-467A-9826-3FD7DF5BC4E9}"/>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E26B-467A-9826-3FD7DF5BC4E9}"/>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E26B-467A-9826-3FD7DF5BC4E9}"/>
                </c:ext>
              </c:extLst>
            </c:dLbl>
            <c:spPr>
              <a:noFill/>
              <a:ln>
                <a:noFill/>
              </a:ln>
              <a:effectLst/>
            </c:spPr>
            <c:txPr>
              <a:bodyPr/>
              <a:lstStyle/>
              <a:p>
                <a:pPr>
                  <a:defRPr sz="8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Sheet1!$B$35:$M$35</c:f>
              <c:numCache>
                <c:formatCode>General</c:formatCode>
                <c:ptCount val="12"/>
                <c:pt idx="5" formatCode="0%">
                  <c:v>0.13500000000000001</c:v>
                </c:pt>
                <c:pt idx="6" formatCode="0%">
                  <c:v>0.121</c:v>
                </c:pt>
                <c:pt idx="7" formatCode="0%">
                  <c:v>0.125</c:v>
                </c:pt>
                <c:pt idx="8" formatCode="0%">
                  <c:v>0.151</c:v>
                </c:pt>
                <c:pt idx="9" formatCode="0%">
                  <c:v>0.13</c:v>
                </c:pt>
                <c:pt idx="10" formatCode="0%">
                  <c:v>0.155</c:v>
                </c:pt>
                <c:pt idx="11" formatCode="0.0%">
                  <c:v>0.16300000000000001</c:v>
                </c:pt>
              </c:numCache>
            </c:numRef>
          </c:val>
          <c:smooth val="0"/>
          <c:extLst>
            <c:ext xmlns:c16="http://schemas.microsoft.com/office/drawing/2014/chart" uri="{C3380CC4-5D6E-409C-BE32-E72D297353CC}">
              <c16:uniqueId val="{0000002D-E26B-467A-9826-3FD7DF5BC4E9}"/>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txPr>
          <a:bodyPr/>
          <a:lstStyle/>
          <a:p>
            <a:pPr>
              <a:defRPr sz="800"/>
            </a:pPr>
            <a:endParaRPr lang="en-US"/>
          </a:p>
        </c:txPr>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0.12396549387210334"/>
          <c:y val="9.825050521979882E-2"/>
          <c:w val="0.78524120144844545"/>
          <c:h val="9.7437641211753981E-2"/>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Sheet1!$A$102</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Sheet1!$B$101:$G$101</c:f>
              <c:strCache>
                <c:ptCount val="6"/>
                <c:pt idx="0">
                  <c:v>2019</c:v>
                </c:pt>
                <c:pt idx="1">
                  <c:v>2020</c:v>
                </c:pt>
                <c:pt idx="2">
                  <c:v>2021</c:v>
                </c:pt>
                <c:pt idx="3">
                  <c:v>Q1 '22</c:v>
                </c:pt>
                <c:pt idx="4">
                  <c:v>Q2 '22</c:v>
                </c:pt>
                <c:pt idx="5">
                  <c:v>Jul '22</c:v>
                </c:pt>
              </c:strCache>
            </c:strRef>
          </c:cat>
          <c:val>
            <c:numRef>
              <c:f>Sheet1!$B$102:$G$102</c:f>
              <c:numCache>
                <c:formatCode>0.0%</c:formatCode>
                <c:ptCount val="6"/>
                <c:pt idx="0">
                  <c:v>0.80800000000000005</c:v>
                </c:pt>
                <c:pt idx="1">
                  <c:v>0.79400000000000004</c:v>
                </c:pt>
                <c:pt idx="2">
                  <c:v>0.81</c:v>
                </c:pt>
                <c:pt idx="3">
                  <c:v>0.79600000000000004</c:v>
                </c:pt>
                <c:pt idx="4">
                  <c:v>0.82</c:v>
                </c:pt>
                <c:pt idx="5">
                  <c:v>0.83</c:v>
                </c:pt>
              </c:numCache>
            </c:numRef>
          </c:val>
          <c:extLst>
            <c:ext xmlns:c16="http://schemas.microsoft.com/office/drawing/2014/chart" uri="{C3380CC4-5D6E-409C-BE32-E72D297353CC}">
              <c16:uniqueId val="{00000000-6FB8-4CCA-BA7A-0F2547E72008}"/>
            </c:ext>
          </c:extLst>
        </c:ser>
        <c:ser>
          <c:idx val="1"/>
          <c:order val="1"/>
          <c:tx>
            <c:strRef>
              <c:f>Sheet1!$A$103</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Sheet1!$B$101:$G$101</c:f>
              <c:strCache>
                <c:ptCount val="6"/>
                <c:pt idx="0">
                  <c:v>2019</c:v>
                </c:pt>
                <c:pt idx="1">
                  <c:v>2020</c:v>
                </c:pt>
                <c:pt idx="2">
                  <c:v>2021</c:v>
                </c:pt>
                <c:pt idx="3">
                  <c:v>Q1 '22</c:v>
                </c:pt>
                <c:pt idx="4">
                  <c:v>Q2 '22</c:v>
                </c:pt>
                <c:pt idx="5">
                  <c:v>Jul '22</c:v>
                </c:pt>
              </c:strCache>
            </c:strRef>
          </c:cat>
          <c:val>
            <c:numRef>
              <c:f>Sheet1!$B$103:$G$103</c:f>
              <c:numCache>
                <c:formatCode>0.0%</c:formatCode>
                <c:ptCount val="6"/>
                <c:pt idx="0">
                  <c:v>0.115</c:v>
                </c:pt>
                <c:pt idx="1">
                  <c:v>0.121</c:v>
                </c:pt>
                <c:pt idx="2">
                  <c:v>0.111</c:v>
                </c:pt>
                <c:pt idx="3">
                  <c:v>0.121</c:v>
                </c:pt>
                <c:pt idx="4">
                  <c:v>0.10299999999999999</c:v>
                </c:pt>
                <c:pt idx="5">
                  <c:v>9.5000000000000001E-2</c:v>
                </c:pt>
              </c:numCache>
            </c:numRef>
          </c:val>
          <c:extLst>
            <c:ext xmlns:c16="http://schemas.microsoft.com/office/drawing/2014/chart" uri="{C3380CC4-5D6E-409C-BE32-E72D297353CC}">
              <c16:uniqueId val="{00000001-6FB8-4CCA-BA7A-0F2547E72008}"/>
            </c:ext>
          </c:extLst>
        </c:ser>
        <c:ser>
          <c:idx val="2"/>
          <c:order val="2"/>
          <c:tx>
            <c:strRef>
              <c:f>Sheet1!$A$104</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Sheet1!$B$101:$G$101</c:f>
              <c:strCache>
                <c:ptCount val="6"/>
                <c:pt idx="0">
                  <c:v>2019</c:v>
                </c:pt>
                <c:pt idx="1">
                  <c:v>2020</c:v>
                </c:pt>
                <c:pt idx="2">
                  <c:v>2021</c:v>
                </c:pt>
                <c:pt idx="3">
                  <c:v>Q1 '22</c:v>
                </c:pt>
                <c:pt idx="4">
                  <c:v>Q2 '22</c:v>
                </c:pt>
                <c:pt idx="5">
                  <c:v>Jul '22</c:v>
                </c:pt>
              </c:strCache>
            </c:strRef>
          </c:cat>
          <c:val>
            <c:numRef>
              <c:f>Sheet1!$B$104:$G$104</c:f>
              <c:numCache>
                <c:formatCode>0.0%</c:formatCode>
                <c:ptCount val="6"/>
                <c:pt idx="0">
                  <c:v>7.6999999999999999E-2</c:v>
                </c:pt>
                <c:pt idx="1">
                  <c:v>8.4000000000000005E-2</c:v>
                </c:pt>
                <c:pt idx="2">
                  <c:v>7.9000000000000001E-2</c:v>
                </c:pt>
                <c:pt idx="3">
                  <c:v>8.3000000000000004E-2</c:v>
                </c:pt>
                <c:pt idx="4">
                  <c:v>7.6999999999999999E-2</c:v>
                </c:pt>
                <c:pt idx="5">
                  <c:v>7.3999999999999996E-2</c:v>
                </c:pt>
              </c:numCache>
            </c:numRef>
          </c:val>
          <c:extLst>
            <c:ext xmlns:c16="http://schemas.microsoft.com/office/drawing/2014/chart" uri="{C3380CC4-5D6E-409C-BE32-E72D297353CC}">
              <c16:uniqueId val="{00000002-6FB8-4CCA-BA7A-0F2547E72008}"/>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0.58433949929936946"/>
          <c:y val="2.6413754334577013E-2"/>
          <c:w val="0.39130999149234313"/>
          <c:h val="9.057863335698207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 and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5B-4F6B-8AAD-977AB5D44B2E}"/>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5B-4F6B-8AAD-977AB5D44B2E}"/>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5B-4F6B-8AAD-977AB5D44B2E}"/>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5B-4F6B-8AAD-977AB5D44B2E}"/>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5B-4F6B-8AAD-977AB5D44B2E}"/>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5B-4F6B-8AAD-977AB5D44B2E}"/>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5B-4F6B-8AAD-977AB5D44B2E}"/>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5B-4F6B-8AAD-977AB5D44B2E}"/>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5B-4F6B-8AAD-977AB5D44B2E}"/>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5B-4F6B-8AAD-977AB5D44B2E}"/>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5B-4F6B-8AAD-977AB5D44B2E}"/>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5B-4F6B-8AAD-977AB5D44B2E}"/>
                </c:ext>
              </c:extLst>
            </c:dLbl>
            <c:spPr>
              <a:noFill/>
              <a:ln>
                <a:noFill/>
              </a:ln>
              <a:effectLst/>
            </c:spPr>
            <c:txPr>
              <a:bodyPr/>
              <a:lstStyle/>
              <a:p>
                <a:pPr>
                  <a:defRPr sz="8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Sheet1!$B$65:$M$65</c:f>
              <c:numCache>
                <c:formatCode>0%</c:formatCode>
                <c:ptCount val="12"/>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formatCode="0.0%">
                  <c:v>3.5999999999999997E-2</c:v>
                </c:pt>
                <c:pt idx="11" formatCode="0.0%">
                  <c:v>4.2000000000000003E-2</c:v>
                </c:pt>
              </c:numCache>
            </c:numRef>
          </c:val>
          <c:smooth val="0"/>
          <c:extLst>
            <c:ext xmlns:c16="http://schemas.microsoft.com/office/drawing/2014/chart" uri="{C3380CC4-5D6E-409C-BE32-E72D297353CC}">
              <c16:uniqueId val="{0000000C-4B5B-4F6B-8AAD-977AB5D44B2E}"/>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5B-4F6B-8AAD-977AB5D44B2E}"/>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5B-4F6B-8AAD-977AB5D44B2E}"/>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5B-4F6B-8AAD-977AB5D44B2E}"/>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5B-4F6B-8AAD-977AB5D44B2E}"/>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5B-4F6B-8AAD-977AB5D44B2E}"/>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B5B-4F6B-8AAD-977AB5D44B2E}"/>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5B-4F6B-8AAD-977AB5D44B2E}"/>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B5B-4F6B-8AAD-977AB5D44B2E}"/>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B5B-4F6B-8AAD-977AB5D44B2E}"/>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B5B-4F6B-8AAD-977AB5D44B2E}"/>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B5B-4F6B-8AAD-977AB5D44B2E}"/>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B5B-4F6B-8AAD-977AB5D44B2E}"/>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B5B-4F6B-8AAD-977AB5D44B2E}"/>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B5B-4F6B-8AAD-977AB5D44B2E}"/>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B5B-4F6B-8AAD-977AB5D44B2E}"/>
                </c:ext>
              </c:extLst>
            </c:dLbl>
            <c:spPr>
              <a:noFill/>
              <a:ln>
                <a:noFill/>
              </a:ln>
              <a:effectLst/>
            </c:spPr>
            <c:txPr>
              <a:bodyPr/>
              <a:lstStyle/>
              <a:p>
                <a:pPr>
                  <a:defRPr sz="8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Sheet1!$B$66:$M$66</c:f>
              <c:numCache>
                <c:formatCode>0%</c:formatCode>
                <c:ptCount val="12"/>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formatCode="0.0%">
                  <c:v>-4.7E-2</c:v>
                </c:pt>
                <c:pt idx="11" formatCode="0.0%">
                  <c:v>-4.8000000000000001E-2</c:v>
                </c:pt>
              </c:numCache>
            </c:numRef>
          </c:val>
          <c:smooth val="0"/>
          <c:extLst>
            <c:ext xmlns:c16="http://schemas.microsoft.com/office/drawing/2014/chart" uri="{C3380CC4-5D6E-409C-BE32-E72D297353CC}">
              <c16:uniqueId val="{0000001C-4B5B-4F6B-8AAD-977AB5D44B2E}"/>
            </c:ext>
          </c:extLst>
        </c:ser>
        <c:ser>
          <c:idx val="2"/>
          <c:order val="2"/>
          <c:tx>
            <c:strRef>
              <c:f>Sheet1!$A$67</c:f>
              <c:strCache>
                <c:ptCount val="1"/>
                <c:pt idx="0">
                  <c:v>Dollars vs. 2019</c:v>
                </c:pt>
              </c:strCache>
            </c:strRef>
          </c:tx>
          <c:spPr>
            <a:ln>
              <a:noFill/>
            </a:ln>
          </c:spPr>
          <c:marker>
            <c:spPr>
              <a:ln>
                <a:noFill/>
              </a:ln>
            </c:spPr>
          </c:marker>
          <c:dLbls>
            <c:dLbl>
              <c:idx val="5"/>
              <c:layout>
                <c:manualLayout>
                  <c:x val="-3.386323017590067E-2"/>
                  <c:y val="-3.8986354775828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4B5B-4F6B-8AAD-977AB5D44B2E}"/>
                </c:ext>
              </c:extLst>
            </c:dLbl>
            <c:dLbl>
              <c:idx val="6"/>
              <c:layout>
                <c:manualLayout>
                  <c:x val="-3.0100649045245037E-2"/>
                  <c:y val="-3.46545375785142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4B5B-4F6B-8AAD-977AB5D44B2E}"/>
                </c:ext>
              </c:extLst>
            </c:dLbl>
            <c:dLbl>
              <c:idx val="7"/>
              <c:layout>
                <c:manualLayout>
                  <c:x val="-3.2395379135598971E-2"/>
                  <c:y val="-4.282052462740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B5B-4F6B-8AAD-977AB5D44B2E}"/>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B5B-4F6B-8AAD-977AB5D44B2E}"/>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B5B-4F6B-8AAD-977AB5D44B2E}"/>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B5B-4F6B-8AAD-977AB5D44B2E}"/>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B5B-4F6B-8AAD-977AB5D44B2E}"/>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B5B-4F6B-8AAD-977AB5D44B2E}"/>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4B5B-4F6B-8AAD-977AB5D44B2E}"/>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B5B-4F6B-8AAD-977AB5D44B2E}"/>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B5B-4F6B-8AAD-977AB5D44B2E}"/>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B5B-4F6B-8AAD-977AB5D44B2E}"/>
                </c:ext>
              </c:extLst>
            </c:dLbl>
            <c:spPr>
              <a:noFill/>
              <a:ln>
                <a:noFill/>
              </a:ln>
              <a:effectLst/>
            </c:spPr>
            <c:txPr>
              <a:bodyPr wrap="square" lIns="38100" tIns="19050" rIns="38100" bIns="19050" anchor="ctr">
                <a:spAutoFit/>
              </a:bodyPr>
              <a:lstStyle/>
              <a:p>
                <a:pPr>
                  <a:defRPr sz="8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Sheet1!$B$67:$M$67</c:f>
              <c:numCache>
                <c:formatCode>General</c:formatCode>
                <c:ptCount val="12"/>
                <c:pt idx="5" formatCode="0%">
                  <c:v>0.12</c:v>
                </c:pt>
                <c:pt idx="6" formatCode="0%">
                  <c:v>0.13900000000000001</c:v>
                </c:pt>
                <c:pt idx="7" formatCode="0%">
                  <c:v>0.14499999999999999</c:v>
                </c:pt>
                <c:pt idx="8" formatCode="0%">
                  <c:v>0.17499999999999999</c:v>
                </c:pt>
                <c:pt idx="9" formatCode="0%">
                  <c:v>0.17199999999999999</c:v>
                </c:pt>
                <c:pt idx="10" formatCode="0.0%">
                  <c:v>0.18</c:v>
                </c:pt>
                <c:pt idx="11" formatCode="0.0%">
                  <c:v>0.17699999999999999</c:v>
                </c:pt>
              </c:numCache>
            </c:numRef>
          </c:val>
          <c:smooth val="0"/>
          <c:extLst>
            <c:ext xmlns:c16="http://schemas.microsoft.com/office/drawing/2014/chart" uri="{C3380CC4-5D6E-409C-BE32-E72D297353CC}">
              <c16:uniqueId val="{00000027-4B5B-4F6B-8AAD-977AB5D44B2E}"/>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5"/>
              <c:layout>
                <c:manualLayout>
                  <c:x val="-2.8219358479917224E-2"/>
                  <c:y val="2.5990903183885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4B5B-4F6B-8AAD-977AB5D44B2E}"/>
                </c:ext>
              </c:extLst>
            </c:dLbl>
            <c:dLbl>
              <c:idx val="6"/>
              <c:layout>
                <c:manualLayout>
                  <c:x val="-3.0100649045245037E-2"/>
                  <c:y val="-2.5990903183885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4B5B-4F6B-8AAD-977AB5D44B2E}"/>
                </c:ext>
              </c:extLst>
            </c:dLbl>
            <c:dLbl>
              <c:idx val="7"/>
              <c:layout>
                <c:manualLayout>
                  <c:x val="-3.2511219231826101E-2"/>
                  <c:y val="-3.869813544262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B5B-4F6B-8AAD-977AB5D44B2E}"/>
                </c:ext>
              </c:extLst>
            </c:dLbl>
            <c:dLbl>
              <c:idx val="8"/>
              <c:layout>
                <c:manualLayout>
                  <c:x val="-2.4989908431514867E-2"/>
                  <c:y val="-3.0034501047992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B5B-4F6B-8AAD-977AB5D44B2E}"/>
                </c:ext>
              </c:extLst>
            </c:dLbl>
            <c:dLbl>
              <c:idx val="9"/>
              <c:layout>
                <c:manualLayout>
                  <c:x val="-2.6859940880073652E-2"/>
                  <c:y val="-3.52930542551577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B5B-4F6B-8AAD-977AB5D44B2E}"/>
                </c:ext>
              </c:extLst>
            </c:dLbl>
            <c:dLbl>
              <c:idx val="10"/>
              <c:layout>
                <c:manualLayout>
                  <c:x val="-3.0131608866359488E-2"/>
                  <c:y val="-3.7714096654097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B5B-4F6B-8AAD-977AB5D44B2E}"/>
                </c:ext>
              </c:extLst>
            </c:dLbl>
            <c:dLbl>
              <c:idx val="11"/>
              <c:layout>
                <c:manualLayout>
                  <c:x val="-2.3918461607970291E-2"/>
                  <c:y val="-2.2859033459024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B5B-4F6B-8AAD-977AB5D44B2E}"/>
                </c:ext>
              </c:extLst>
            </c:dLbl>
            <c:dLbl>
              <c:idx val="12"/>
              <c:layout>
                <c:manualLayout>
                  <c:x val="-2.0302572633897901E-2"/>
                  <c:y val="-2.36472130615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B5B-4F6B-8AAD-977AB5D44B2E}"/>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B5B-4F6B-8AAD-977AB5D44B2E}"/>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4B5B-4F6B-8AAD-977AB5D44B2E}"/>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B5B-4F6B-8AAD-977AB5D44B2E}"/>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4B5B-4F6B-8AAD-977AB5D44B2E}"/>
                </c:ext>
              </c:extLst>
            </c:dLbl>
            <c:spPr>
              <a:noFill/>
              <a:ln>
                <a:noFill/>
              </a:ln>
              <a:effectLst/>
            </c:spPr>
            <c:txPr>
              <a:bodyPr wrap="square" lIns="38100" tIns="19050" rIns="38100" bIns="19050" anchor="ctr">
                <a:spAutoFit/>
              </a:bodyPr>
              <a:lstStyle/>
              <a:p>
                <a:pPr>
                  <a:defRPr sz="9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Q2 '22</c:v>
                </c:pt>
                <c:pt idx="11">
                  <c:v>Jul '22</c:v>
                </c:pt>
              </c:strCache>
            </c:strRef>
          </c:cat>
          <c:val>
            <c:numRef>
              <c:f>Sheet1!$B$68:$M$68</c:f>
              <c:numCache>
                <c:formatCode>General</c:formatCode>
                <c:ptCount val="12"/>
                <c:pt idx="5" formatCode="0%">
                  <c:v>9.5000000000000001E-2</c:v>
                </c:pt>
                <c:pt idx="6" formatCode="0%">
                  <c:v>6.0999999999999999E-2</c:v>
                </c:pt>
                <c:pt idx="7" formatCode="0%">
                  <c:v>6.9000000000000006E-2</c:v>
                </c:pt>
                <c:pt idx="8" formatCode="0%">
                  <c:v>6.0999999999999999E-2</c:v>
                </c:pt>
                <c:pt idx="9" formatCode="0%">
                  <c:v>4.3999999999999997E-2</c:v>
                </c:pt>
                <c:pt idx="10" formatCode="0.0%">
                  <c:v>8.0000000000000002E-3</c:v>
                </c:pt>
                <c:pt idx="11" formatCode="0.0%">
                  <c:v>7.0000000000000001E-3</c:v>
                </c:pt>
              </c:numCache>
            </c:numRef>
          </c:val>
          <c:smooth val="0"/>
          <c:extLst>
            <c:ext xmlns:c16="http://schemas.microsoft.com/office/drawing/2014/chart" uri="{C3380CC4-5D6E-409C-BE32-E72D297353CC}">
              <c16:uniqueId val="{00000032-4B5B-4F6B-8AAD-977AB5D44B2E}"/>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900"/>
            </a:pPr>
            <a:endParaRPr lang="en-US"/>
          </a:p>
        </c:txPr>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layout>
        <c:manualLayout>
          <c:xMode val="edge"/>
          <c:yMode val="edge"/>
          <c:x val="0.14241058499989262"/>
          <c:y val="0.12995451591942819"/>
          <c:w val="0.70765366773890348"/>
          <c:h val="6.4308384453892586E-2"/>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5EB31-9DCE-4F57-9E90-8F1D1942E139}">
  <ds:schemaRefs>
    <ds:schemaRef ds:uri="http://schemas.openxmlformats.org/officeDocument/2006/bibliography"/>
  </ds:schemaRefs>
</ds:datastoreItem>
</file>

<file path=customXml/itemProps2.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3.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2648</Words>
  <Characters>15097</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Anne-Marie Roerink</cp:lastModifiedBy>
  <cp:revision>13</cp:revision>
  <dcterms:created xsi:type="dcterms:W3CDTF">2022-07-10T22:06:00Z</dcterms:created>
  <dcterms:modified xsi:type="dcterms:W3CDTF">2022-08-13T18:19:00Z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