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E98" w14:textId="2F553C2F" w:rsidR="003935EB" w:rsidRPr="001D030C" w:rsidRDefault="00356566" w:rsidP="003935EB">
      <w:pPr>
        <w:pStyle w:val="Heading1"/>
        <w:spacing w:before="0"/>
        <w:ind w:right="-142"/>
        <w:rPr>
          <w:rFonts w:ascii="Arial" w:hAnsi="Arial" w:cs="Arial"/>
          <w:color w:val="595959" w:themeColor="text1" w:themeTint="A6"/>
          <w:szCs w:val="32"/>
        </w:rPr>
      </w:pPr>
      <w:r>
        <w:rPr>
          <w:rFonts w:ascii="Arial" w:hAnsi="Arial" w:cs="Arial"/>
          <w:color w:val="595959" w:themeColor="text1" w:themeTint="A6"/>
          <w:szCs w:val="32"/>
        </w:rPr>
        <w:t>Substantial Channel Shifts Affect Fresh in October 2022</w:t>
      </w:r>
    </w:p>
    <w:p w14:paraId="74F26225" w14:textId="77777777" w:rsidR="000B705A" w:rsidRPr="00B35CE9" w:rsidRDefault="000B705A" w:rsidP="000B705A">
      <w:pPr>
        <w:rPr>
          <w:rFonts w:ascii="Arial" w:hAnsi="Arial" w:cs="Arial"/>
          <w:sz w:val="20"/>
          <w:szCs w:val="20"/>
        </w:rPr>
      </w:pPr>
      <w:r w:rsidRPr="00B35CE9">
        <w:rPr>
          <w:rFonts w:ascii="Arial" w:hAnsi="Arial" w:cs="Arial"/>
          <w:sz w:val="20"/>
          <w:szCs w:val="20"/>
        </w:rPr>
        <w:t xml:space="preserve">By: Anne-Marie Roerink, President, 210 Analytics </w:t>
      </w:r>
      <w:r w:rsidRPr="007E1D2E">
        <w:rPr>
          <w:rFonts w:ascii="Arial" w:hAnsi="Arial" w:cs="Arial"/>
          <w:noProof/>
          <w:sz w:val="20"/>
          <w:szCs w:val="20"/>
          <w:lang w:val="nl-NL" w:eastAsia="nl-NL"/>
        </w:rPr>
        <w:drawing>
          <wp:anchor distT="0" distB="0" distL="114300" distR="114300" simplePos="0" relativeHeight="251659264" behindDoc="0" locked="1" layoutInCell="1" allowOverlap="1" wp14:anchorId="124ABB56" wp14:editId="64FF5AC3">
            <wp:simplePos x="0" y="0"/>
            <wp:positionH relativeFrom="page">
              <wp:posOffset>313055</wp:posOffset>
            </wp:positionH>
            <wp:positionV relativeFrom="page">
              <wp:posOffset>1129030</wp:posOffset>
            </wp:positionV>
            <wp:extent cx="7212330" cy="634365"/>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shadow PS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2330" cy="634365"/>
                    </a:xfrm>
                    <a:prstGeom prst="rect">
                      <a:avLst/>
                    </a:prstGeom>
                  </pic:spPr>
                </pic:pic>
              </a:graphicData>
            </a:graphic>
          </wp:anchor>
        </w:drawing>
      </w:r>
    </w:p>
    <w:p w14:paraId="11AC18FC" w14:textId="77777777" w:rsidR="000B705A" w:rsidRDefault="000B705A" w:rsidP="000B705A">
      <w:pPr>
        <w:pStyle w:val="NoSpacing"/>
        <w:rPr>
          <w:rFonts w:ascii="Arial" w:hAnsi="Arial" w:cs="Arial"/>
          <w:sz w:val="20"/>
          <w:szCs w:val="20"/>
        </w:rPr>
      </w:pPr>
    </w:p>
    <w:p w14:paraId="28E9081C" w14:textId="6F204BF5" w:rsidR="00737671" w:rsidRPr="00737671" w:rsidRDefault="00737671" w:rsidP="00737671">
      <w:pPr>
        <w:pStyle w:val="NoSpacing"/>
        <w:rPr>
          <w:sz w:val="20"/>
          <w:szCs w:val="20"/>
        </w:rPr>
      </w:pPr>
    </w:p>
    <w:p w14:paraId="4FAA54E9" w14:textId="77777777" w:rsidR="00356566" w:rsidRDefault="00356566" w:rsidP="00356566">
      <w:pPr>
        <w:pStyle w:val="NoSpacing"/>
        <w:rPr>
          <w:rFonts w:ascii="Calibri" w:hAnsi="Calibri" w:cs="Calibri"/>
          <w:sz w:val="24"/>
          <w:szCs w:val="24"/>
        </w:rPr>
      </w:pPr>
      <w:r>
        <w:rPr>
          <w:rFonts w:ascii="Arial" w:hAnsi="Arial" w:cs="Arial"/>
          <w:b/>
          <w:bCs/>
          <w:color w:val="595959"/>
          <w:sz w:val="24"/>
          <w:szCs w:val="24"/>
        </w:rPr>
        <w:t>The October Marketplace</w:t>
      </w:r>
    </w:p>
    <w:p w14:paraId="54885838" w14:textId="29AF05CD" w:rsidR="00356566" w:rsidRDefault="00356566" w:rsidP="00356566">
      <w:pPr>
        <w:pStyle w:val="NoSpacing"/>
        <w:rPr>
          <w:rFonts w:ascii="Arial" w:hAnsi="Arial" w:cs="Arial"/>
          <w:sz w:val="20"/>
          <w:szCs w:val="20"/>
        </w:rPr>
      </w:pPr>
      <w:r w:rsidRPr="00D3192F">
        <w:rPr>
          <w:rFonts w:ascii="Arial" w:hAnsi="Arial" w:cs="Arial"/>
          <w:sz w:val="20"/>
          <w:szCs w:val="20"/>
        </w:rPr>
        <w:t xml:space="preserve">The share of meals prepared at home remained elevated in October, at a consumer estimated 78.4% of all occasions, according to the IRI survey of primary grocery shoppers. </w:t>
      </w:r>
      <w:r>
        <w:rPr>
          <w:rFonts w:ascii="Arial" w:hAnsi="Arial" w:cs="Arial"/>
          <w:sz w:val="20"/>
          <w:szCs w:val="20"/>
        </w:rPr>
        <w:t xml:space="preserve">Jonna Parker, Team Lead, Fresh for IRI explained that a </w:t>
      </w:r>
      <w:r w:rsidRPr="00D3192F">
        <w:rPr>
          <w:rFonts w:ascii="Arial" w:hAnsi="Arial" w:cs="Arial"/>
          <w:sz w:val="20"/>
          <w:szCs w:val="20"/>
        </w:rPr>
        <w:t xml:space="preserve">big contributor to more meals being prepared in the home is the lunch occasion. </w:t>
      </w:r>
      <w:r>
        <w:rPr>
          <w:rFonts w:ascii="Arial" w:hAnsi="Arial" w:cs="Arial"/>
          <w:sz w:val="20"/>
          <w:szCs w:val="20"/>
        </w:rPr>
        <w:t>“</w:t>
      </w:r>
      <w:r w:rsidRPr="00E85216">
        <w:rPr>
          <w:rFonts w:ascii="Arial" w:hAnsi="Arial" w:cs="Arial"/>
          <w:sz w:val="20"/>
          <w:szCs w:val="20"/>
        </w:rPr>
        <w:t>While down from the 2020 peaks, 47% of the active workforce, or 26% of the total population, work from home one or more days a week</w:t>
      </w:r>
      <w:r>
        <w:rPr>
          <w:rFonts w:ascii="Arial" w:hAnsi="Arial" w:cs="Arial"/>
          <w:sz w:val="20"/>
          <w:szCs w:val="20"/>
        </w:rPr>
        <w:t>,” Parker noted</w:t>
      </w:r>
      <w:r w:rsidRPr="00E85216">
        <w:rPr>
          <w:rFonts w:ascii="Arial" w:hAnsi="Arial" w:cs="Arial"/>
          <w:sz w:val="20"/>
          <w:szCs w:val="20"/>
        </w:rPr>
        <w:t xml:space="preserve">. </w:t>
      </w:r>
    </w:p>
    <w:p w14:paraId="0DAD3390" w14:textId="5A884418" w:rsidR="00356566" w:rsidRDefault="00356566" w:rsidP="00356566">
      <w:pPr>
        <w:pStyle w:val="NoSpacing"/>
        <w:numPr>
          <w:ilvl w:val="0"/>
          <w:numId w:val="31"/>
        </w:numPr>
        <w:rPr>
          <w:rFonts w:ascii="Arial" w:hAnsi="Arial" w:cs="Arial"/>
          <w:sz w:val="20"/>
          <w:szCs w:val="20"/>
        </w:rPr>
      </w:pPr>
      <w:r w:rsidRPr="00E85216">
        <w:rPr>
          <w:rFonts w:ascii="Arial" w:hAnsi="Arial" w:cs="Arial"/>
          <w:sz w:val="20"/>
          <w:szCs w:val="20"/>
        </w:rPr>
        <w:t xml:space="preserve">When working from home, these consumers have a range of lunch go </w:t>
      </w:r>
      <w:proofErr w:type="spellStart"/>
      <w:r w:rsidRPr="00E85216">
        <w:rPr>
          <w:rFonts w:ascii="Arial" w:hAnsi="Arial" w:cs="Arial"/>
          <w:sz w:val="20"/>
          <w:szCs w:val="20"/>
        </w:rPr>
        <w:t>to’s</w:t>
      </w:r>
      <w:proofErr w:type="spellEnd"/>
      <w:r w:rsidRPr="00E85216">
        <w:rPr>
          <w:rFonts w:ascii="Arial" w:hAnsi="Arial" w:cs="Arial"/>
          <w:sz w:val="20"/>
          <w:szCs w:val="20"/>
        </w:rPr>
        <w:t xml:space="preserve">. However, restaurants rarely make it into the working-from-home lunch lineup. </w:t>
      </w:r>
    </w:p>
    <w:p w14:paraId="489FDF46" w14:textId="49F58628" w:rsidR="00356566" w:rsidRPr="00E85216" w:rsidRDefault="00356566" w:rsidP="00356566">
      <w:pPr>
        <w:pStyle w:val="NoSpacing"/>
        <w:numPr>
          <w:ilvl w:val="0"/>
          <w:numId w:val="31"/>
        </w:numPr>
        <w:rPr>
          <w:rFonts w:ascii="Arial" w:hAnsi="Arial" w:cs="Arial"/>
          <w:sz w:val="20"/>
          <w:szCs w:val="20"/>
        </w:rPr>
      </w:pPr>
      <w:r w:rsidRPr="00E85216">
        <w:rPr>
          <w:rFonts w:ascii="Arial" w:hAnsi="Arial" w:cs="Arial"/>
          <w:sz w:val="20"/>
          <w:szCs w:val="20"/>
        </w:rPr>
        <w:t>Describing their working-from-home lunches in the past two weeks, IRI survey respondents heavily relied on eating leftovers (59%), making sandwiches (41%) or grabbing a quick snack, such as yogurt or snack nuts (39%). One-third prepared a quick meal and 24% eat a pre-packaged meal, such as a frozen entrée or can of soup. An equal 24% of shoppers made salads at home. To the contrary, just 16% of consumers got restaurant takeout or delivery for lunch and an even lower 8% left the house to have lunch at a restaurant.</w:t>
      </w:r>
      <w:r w:rsidRPr="00356566">
        <w:rPr>
          <w:rFonts w:ascii="Arial" w:hAnsi="Arial" w:cs="Arial"/>
          <w:sz w:val="20"/>
          <w:szCs w:val="20"/>
        </w:rPr>
        <w:t xml:space="preserve"> </w:t>
      </w:r>
      <w:r>
        <w:rPr>
          <w:rFonts w:ascii="Arial" w:hAnsi="Arial" w:cs="Arial"/>
          <w:sz w:val="20"/>
          <w:szCs w:val="20"/>
        </w:rPr>
        <w:t>“This is an important finding for retail,” Parker added</w:t>
      </w:r>
      <w:r w:rsidR="00616008">
        <w:rPr>
          <w:rFonts w:ascii="Arial" w:hAnsi="Arial" w:cs="Arial"/>
          <w:sz w:val="20"/>
          <w:szCs w:val="20"/>
        </w:rPr>
        <w:t xml:space="preserve">. “Retailers can help </w:t>
      </w:r>
      <w:r w:rsidR="005D53FF">
        <w:rPr>
          <w:rFonts w:ascii="Arial" w:hAnsi="Arial" w:cs="Arial"/>
          <w:sz w:val="20"/>
          <w:szCs w:val="20"/>
        </w:rPr>
        <w:t xml:space="preserve">consumers rethink quantities </w:t>
      </w:r>
      <w:r w:rsidR="00616008">
        <w:rPr>
          <w:rFonts w:ascii="Arial" w:hAnsi="Arial" w:cs="Arial"/>
          <w:sz w:val="20"/>
          <w:szCs w:val="20"/>
        </w:rPr>
        <w:t xml:space="preserve">from being hesitant to </w:t>
      </w:r>
      <w:r>
        <w:rPr>
          <w:rFonts w:ascii="Arial" w:hAnsi="Arial" w:cs="Arial"/>
          <w:sz w:val="20"/>
          <w:szCs w:val="20"/>
        </w:rPr>
        <w:t xml:space="preserve">buy more than </w:t>
      </w:r>
      <w:r w:rsidR="00616008">
        <w:rPr>
          <w:rFonts w:ascii="Arial" w:hAnsi="Arial" w:cs="Arial"/>
          <w:sz w:val="20"/>
          <w:szCs w:val="20"/>
        </w:rPr>
        <w:t xml:space="preserve">they </w:t>
      </w:r>
      <w:r>
        <w:rPr>
          <w:rFonts w:ascii="Arial" w:hAnsi="Arial" w:cs="Arial"/>
          <w:sz w:val="20"/>
          <w:szCs w:val="20"/>
        </w:rPr>
        <w:t>need into buying enough for dinner and lunch the next day for a cost-effective</w:t>
      </w:r>
      <w:r w:rsidR="005D53FF">
        <w:rPr>
          <w:rFonts w:ascii="Arial" w:hAnsi="Arial" w:cs="Arial"/>
          <w:sz w:val="20"/>
          <w:szCs w:val="20"/>
        </w:rPr>
        <w:t xml:space="preserve"> and time-efficient</w:t>
      </w:r>
      <w:r>
        <w:rPr>
          <w:rFonts w:ascii="Arial" w:hAnsi="Arial" w:cs="Arial"/>
          <w:sz w:val="20"/>
          <w:szCs w:val="20"/>
        </w:rPr>
        <w:t xml:space="preserve"> two-for-one meal solution.”</w:t>
      </w:r>
      <w:r w:rsidRPr="00E85216">
        <w:rPr>
          <w:rFonts w:ascii="Arial" w:hAnsi="Arial" w:cs="Arial"/>
          <w:sz w:val="20"/>
          <w:szCs w:val="20"/>
        </w:rPr>
        <w:t xml:space="preserve">   </w:t>
      </w:r>
    </w:p>
    <w:p w14:paraId="3845509B" w14:textId="39700B5E" w:rsidR="00356566" w:rsidRPr="00D3192F" w:rsidRDefault="00616008" w:rsidP="00356566">
      <w:pPr>
        <w:pStyle w:val="NoSpacing"/>
        <w:numPr>
          <w:ilvl w:val="0"/>
          <w:numId w:val="31"/>
        </w:numPr>
        <w:rPr>
          <w:rFonts w:ascii="Arial" w:hAnsi="Arial" w:cs="Arial"/>
          <w:sz w:val="20"/>
          <w:szCs w:val="20"/>
        </w:rPr>
      </w:pPr>
      <w:r>
        <w:rPr>
          <w:rFonts w:ascii="Arial" w:hAnsi="Arial" w:cs="Arial"/>
          <w:sz w:val="20"/>
          <w:szCs w:val="20"/>
        </w:rPr>
        <w:t>P</w:t>
      </w:r>
      <w:r w:rsidR="00356566" w:rsidRPr="00D3192F">
        <w:rPr>
          <w:rFonts w:ascii="Arial" w:hAnsi="Arial" w:cs="Arial"/>
          <w:sz w:val="20"/>
          <w:szCs w:val="20"/>
        </w:rPr>
        <w:t>arents with children between the ages of 6 and 17 are also slightly more likely to pack school lunches for their children this year. One-quarter (23%) pack food to bring to school more often than they did last year, whereas 15% buy/receive school lunch more often — for a net gain of 8 percentage points</w:t>
      </w:r>
      <w:r w:rsidR="00356566">
        <w:rPr>
          <w:rFonts w:ascii="Arial" w:hAnsi="Arial" w:cs="Arial"/>
          <w:sz w:val="20"/>
          <w:szCs w:val="20"/>
        </w:rPr>
        <w:t xml:space="preserve"> versus year ago</w:t>
      </w:r>
      <w:r w:rsidR="00356566" w:rsidRPr="00D3192F">
        <w:rPr>
          <w:rFonts w:ascii="Arial" w:hAnsi="Arial" w:cs="Arial"/>
          <w:sz w:val="20"/>
          <w:szCs w:val="20"/>
        </w:rPr>
        <w:t xml:space="preserve">. </w:t>
      </w:r>
    </w:p>
    <w:p w14:paraId="56320B6C" w14:textId="77777777" w:rsidR="00356566" w:rsidRPr="00D3192F" w:rsidRDefault="00356566" w:rsidP="00356566">
      <w:pPr>
        <w:pStyle w:val="NoSpacing"/>
        <w:rPr>
          <w:rFonts w:ascii="Arial" w:hAnsi="Arial" w:cs="Arial"/>
          <w:sz w:val="20"/>
          <w:szCs w:val="20"/>
        </w:rPr>
      </w:pPr>
    </w:p>
    <w:p w14:paraId="58ED0227" w14:textId="77E6F276" w:rsidR="00356566" w:rsidRPr="00D3192F" w:rsidRDefault="00356566" w:rsidP="00356566">
      <w:pPr>
        <w:pStyle w:val="NoSpacing"/>
        <w:rPr>
          <w:rFonts w:ascii="Arial" w:eastAsia="Times New Roman" w:hAnsi="Arial" w:cs="Arial"/>
          <w:sz w:val="20"/>
          <w:szCs w:val="20"/>
        </w:rPr>
      </w:pPr>
      <w:r>
        <w:rPr>
          <w:rFonts w:ascii="Arial" w:hAnsi="Arial" w:cs="Arial"/>
          <w:sz w:val="20"/>
          <w:szCs w:val="20"/>
        </w:rPr>
        <w:t>In addition to a greater share of lunches having moved to the home</w:t>
      </w:r>
      <w:r w:rsidRPr="00D3192F">
        <w:rPr>
          <w:rFonts w:ascii="Arial" w:hAnsi="Arial" w:cs="Arial"/>
          <w:sz w:val="20"/>
          <w:szCs w:val="20"/>
        </w:rPr>
        <w:t>, overall restaurant engagement was also down from 82% in the fall IRI surveys. In October, 79% of consumers purchased restaurant food, whether eaten on premise or ordered for takeout or delivery. Restaurant takeout</w:t>
      </w:r>
      <w:r>
        <w:rPr>
          <w:rFonts w:ascii="Arial" w:hAnsi="Arial" w:cs="Arial"/>
          <w:sz w:val="20"/>
          <w:szCs w:val="20"/>
        </w:rPr>
        <w:t>,</w:t>
      </w:r>
      <w:r w:rsidRPr="00D3192F">
        <w:rPr>
          <w:rFonts w:ascii="Arial" w:hAnsi="Arial" w:cs="Arial"/>
          <w:sz w:val="20"/>
          <w:szCs w:val="20"/>
        </w:rPr>
        <w:t xml:space="preserve"> and </w:t>
      </w:r>
      <w:r>
        <w:rPr>
          <w:rFonts w:ascii="Arial" w:hAnsi="Arial" w:cs="Arial"/>
          <w:sz w:val="20"/>
          <w:szCs w:val="20"/>
        </w:rPr>
        <w:t xml:space="preserve">especially </w:t>
      </w:r>
      <w:r w:rsidRPr="00D3192F">
        <w:rPr>
          <w:rFonts w:ascii="Arial" w:hAnsi="Arial" w:cs="Arial"/>
          <w:sz w:val="20"/>
          <w:szCs w:val="20"/>
        </w:rPr>
        <w:t>delivery, continued to skew toward younger consumers. Thinking through their plans for the upcoming month, 24%</w:t>
      </w:r>
      <w:r>
        <w:rPr>
          <w:rFonts w:ascii="Arial" w:hAnsi="Arial" w:cs="Arial"/>
          <w:sz w:val="20"/>
          <w:szCs w:val="20"/>
        </w:rPr>
        <w:t xml:space="preserve"> of IRI survey respondents</w:t>
      </w:r>
      <w:r w:rsidRPr="00D3192F">
        <w:rPr>
          <w:rFonts w:ascii="Arial" w:hAnsi="Arial" w:cs="Arial"/>
          <w:sz w:val="20"/>
          <w:szCs w:val="20"/>
        </w:rPr>
        <w:t xml:space="preserve"> expect they will eat at restaurants less often versus only 4% who believe they will increase their restaurant trips. </w:t>
      </w:r>
    </w:p>
    <w:p w14:paraId="17787CCB" w14:textId="77777777" w:rsidR="00356566" w:rsidRPr="00D3192F" w:rsidRDefault="00356566" w:rsidP="00356566">
      <w:pPr>
        <w:pStyle w:val="NoSpacing"/>
        <w:rPr>
          <w:rFonts w:ascii="Arial" w:hAnsi="Arial" w:cs="Arial"/>
          <w:sz w:val="20"/>
          <w:szCs w:val="20"/>
        </w:rPr>
      </w:pPr>
    </w:p>
    <w:p w14:paraId="04583D6F" w14:textId="77777777" w:rsidR="00356566" w:rsidRPr="00D3192F" w:rsidRDefault="00356566" w:rsidP="00356566">
      <w:pPr>
        <w:pStyle w:val="NoSpacing"/>
        <w:rPr>
          <w:rFonts w:ascii="Arial" w:hAnsi="Arial" w:cs="Arial"/>
          <w:sz w:val="20"/>
          <w:szCs w:val="20"/>
        </w:rPr>
      </w:pPr>
      <w:r w:rsidRPr="00D3192F">
        <w:rPr>
          <w:rFonts w:ascii="Arial" w:hAnsi="Arial" w:cs="Arial"/>
          <w:sz w:val="20"/>
          <w:szCs w:val="20"/>
        </w:rPr>
        <w:t xml:space="preserve">Inflation is the major undercurrent </w:t>
      </w:r>
      <w:r>
        <w:rPr>
          <w:rFonts w:ascii="Arial" w:hAnsi="Arial" w:cs="Arial"/>
          <w:sz w:val="20"/>
          <w:szCs w:val="20"/>
        </w:rPr>
        <w:t xml:space="preserve">for many of the </w:t>
      </w:r>
      <w:r w:rsidRPr="00D3192F">
        <w:rPr>
          <w:rFonts w:ascii="Arial" w:hAnsi="Arial" w:cs="Arial"/>
          <w:sz w:val="20"/>
          <w:szCs w:val="20"/>
        </w:rPr>
        <w:t xml:space="preserve">changes in grocery shopping </w:t>
      </w:r>
      <w:r>
        <w:rPr>
          <w:rFonts w:ascii="Arial" w:hAnsi="Arial" w:cs="Arial"/>
          <w:sz w:val="20"/>
          <w:szCs w:val="20"/>
        </w:rPr>
        <w:t xml:space="preserve">and consumption </w:t>
      </w:r>
      <w:r w:rsidRPr="00D3192F">
        <w:rPr>
          <w:rFonts w:ascii="Arial" w:hAnsi="Arial" w:cs="Arial"/>
          <w:sz w:val="20"/>
          <w:szCs w:val="20"/>
        </w:rPr>
        <w:t>patterns.</w:t>
      </w:r>
    </w:p>
    <w:p w14:paraId="48397BF4" w14:textId="77777777" w:rsidR="00356566" w:rsidRPr="00D3192F" w:rsidRDefault="00356566" w:rsidP="00356566">
      <w:pPr>
        <w:pStyle w:val="NoSpacing"/>
        <w:numPr>
          <w:ilvl w:val="0"/>
          <w:numId w:val="30"/>
        </w:numPr>
        <w:rPr>
          <w:rFonts w:ascii="Arial" w:hAnsi="Arial" w:cs="Arial"/>
          <w:sz w:val="20"/>
          <w:szCs w:val="20"/>
        </w:rPr>
      </w:pPr>
      <w:r>
        <w:rPr>
          <w:rFonts w:ascii="Arial" w:hAnsi="Arial" w:cs="Arial"/>
          <w:sz w:val="20"/>
          <w:szCs w:val="20"/>
        </w:rPr>
        <w:t xml:space="preserve">The </w:t>
      </w:r>
      <w:r w:rsidRPr="00D3192F">
        <w:rPr>
          <w:rFonts w:ascii="Arial" w:hAnsi="Arial" w:cs="Arial"/>
          <w:sz w:val="20"/>
          <w:szCs w:val="20"/>
        </w:rPr>
        <w:t xml:space="preserve">IRI October </w:t>
      </w:r>
      <w:r>
        <w:rPr>
          <w:rFonts w:ascii="Arial" w:hAnsi="Arial" w:cs="Arial"/>
          <w:sz w:val="20"/>
          <w:szCs w:val="20"/>
        </w:rPr>
        <w:t xml:space="preserve">survey found that </w:t>
      </w:r>
      <w:r w:rsidRPr="00D3192F">
        <w:rPr>
          <w:rFonts w:ascii="Arial" w:hAnsi="Arial" w:cs="Arial"/>
          <w:sz w:val="20"/>
          <w:szCs w:val="20"/>
        </w:rPr>
        <w:t xml:space="preserve">95% of shoppers </w:t>
      </w:r>
      <w:r>
        <w:rPr>
          <w:rFonts w:ascii="Arial" w:hAnsi="Arial" w:cs="Arial"/>
          <w:sz w:val="20"/>
          <w:szCs w:val="20"/>
        </w:rPr>
        <w:t xml:space="preserve">feel that they </w:t>
      </w:r>
      <w:r w:rsidRPr="00D3192F">
        <w:rPr>
          <w:rFonts w:ascii="Arial" w:hAnsi="Arial" w:cs="Arial"/>
          <w:sz w:val="20"/>
          <w:szCs w:val="20"/>
        </w:rPr>
        <w:t xml:space="preserve">are paying more for groceries </w:t>
      </w:r>
      <w:r>
        <w:rPr>
          <w:rFonts w:ascii="Arial" w:hAnsi="Arial" w:cs="Arial"/>
          <w:sz w:val="20"/>
          <w:szCs w:val="20"/>
        </w:rPr>
        <w:t xml:space="preserve">than last </w:t>
      </w:r>
      <w:r w:rsidRPr="00D3192F">
        <w:rPr>
          <w:rFonts w:ascii="Arial" w:hAnsi="Arial" w:cs="Arial"/>
          <w:sz w:val="20"/>
          <w:szCs w:val="20"/>
        </w:rPr>
        <w:t>year</w:t>
      </w:r>
      <w:r>
        <w:rPr>
          <w:rFonts w:ascii="Arial" w:hAnsi="Arial" w:cs="Arial"/>
          <w:sz w:val="20"/>
          <w:szCs w:val="20"/>
        </w:rPr>
        <w:t>, with eggs topping the list of examples</w:t>
      </w:r>
      <w:r w:rsidRPr="00D3192F">
        <w:rPr>
          <w:rFonts w:ascii="Arial" w:hAnsi="Arial" w:cs="Arial"/>
          <w:sz w:val="20"/>
          <w:szCs w:val="20"/>
        </w:rPr>
        <w:t xml:space="preserve">. As a result of the higher prices, 80% of consumers shopped for groceries differently, including where and what they purchase. The most popular money-saving measures are looking for sales/deals more often (55%), cutting back on non-essentials (45%), looking for coupons (35%) and buying store-brand items (31%). </w:t>
      </w:r>
      <w:r>
        <w:rPr>
          <w:rFonts w:ascii="Arial" w:hAnsi="Arial" w:cs="Arial"/>
          <w:sz w:val="20"/>
          <w:szCs w:val="20"/>
        </w:rPr>
        <w:t xml:space="preserve">What constitutes a non-essential item highly depends on the household. </w:t>
      </w:r>
    </w:p>
    <w:p w14:paraId="6055150F" w14:textId="77777777" w:rsidR="00356566" w:rsidRPr="00D3192F" w:rsidRDefault="00356566" w:rsidP="00356566">
      <w:pPr>
        <w:pStyle w:val="NoSpacing"/>
        <w:numPr>
          <w:ilvl w:val="0"/>
          <w:numId w:val="30"/>
        </w:numPr>
        <w:rPr>
          <w:rFonts w:ascii="Arial" w:hAnsi="Arial" w:cs="Arial"/>
          <w:sz w:val="20"/>
          <w:szCs w:val="20"/>
        </w:rPr>
      </w:pPr>
      <w:r w:rsidRPr="00D3192F">
        <w:rPr>
          <w:rFonts w:ascii="Arial" w:hAnsi="Arial" w:cs="Arial"/>
          <w:sz w:val="20"/>
          <w:szCs w:val="20"/>
        </w:rPr>
        <w:t>15% included lower-cost retailers and 18% visit multiple stores to get the best deals</w:t>
      </w:r>
      <w:r>
        <w:rPr>
          <w:rFonts w:ascii="Arial" w:hAnsi="Arial" w:cs="Arial"/>
          <w:sz w:val="20"/>
          <w:szCs w:val="20"/>
        </w:rPr>
        <w:t>. This has prompted more trips across</w:t>
      </w:r>
      <w:r w:rsidRPr="00D3192F">
        <w:rPr>
          <w:rFonts w:ascii="Arial" w:hAnsi="Arial" w:cs="Arial"/>
          <w:sz w:val="20"/>
          <w:szCs w:val="20"/>
        </w:rPr>
        <w:t xml:space="preserve"> food and beverage categories, </w:t>
      </w:r>
      <w:r>
        <w:rPr>
          <w:rFonts w:ascii="Arial" w:hAnsi="Arial" w:cs="Arial"/>
          <w:sz w:val="20"/>
          <w:szCs w:val="20"/>
        </w:rPr>
        <w:t xml:space="preserve">despite the higher gasoline prices. </w:t>
      </w:r>
      <w:r w:rsidRPr="00D3192F">
        <w:rPr>
          <w:rFonts w:ascii="Arial" w:hAnsi="Arial" w:cs="Arial"/>
          <w:sz w:val="20"/>
          <w:szCs w:val="20"/>
        </w:rPr>
        <w:t xml:space="preserve">IRI’s Integrated Fresh Household Panel </w:t>
      </w:r>
      <w:r>
        <w:rPr>
          <w:rFonts w:ascii="Arial" w:hAnsi="Arial" w:cs="Arial"/>
          <w:sz w:val="20"/>
          <w:szCs w:val="20"/>
        </w:rPr>
        <w:t xml:space="preserve">found that </w:t>
      </w:r>
      <w:r w:rsidRPr="00D3192F">
        <w:rPr>
          <w:rFonts w:ascii="Arial" w:hAnsi="Arial" w:cs="Arial"/>
          <w:sz w:val="20"/>
          <w:szCs w:val="20"/>
        </w:rPr>
        <w:t xml:space="preserve">store trips were up 2.0% in October 2022 versus year ago. </w:t>
      </w:r>
    </w:p>
    <w:p w14:paraId="3B15BCFC" w14:textId="77777777" w:rsidR="00356566" w:rsidRPr="00D3192F" w:rsidRDefault="00356566" w:rsidP="00356566">
      <w:pPr>
        <w:pStyle w:val="NoSpacing"/>
        <w:rPr>
          <w:rFonts w:ascii="Calibri" w:eastAsia="Times New Roman" w:hAnsi="Calibri" w:cs="Calibri"/>
          <w:sz w:val="20"/>
          <w:szCs w:val="20"/>
        </w:rPr>
      </w:pPr>
    </w:p>
    <w:p w14:paraId="4BFFF5E6" w14:textId="0FA1ED82" w:rsidR="00356566" w:rsidRPr="00D3192F" w:rsidRDefault="00616008" w:rsidP="00356566">
      <w:pPr>
        <w:pStyle w:val="NoSpacing"/>
        <w:rPr>
          <w:rFonts w:ascii="Arial" w:hAnsi="Arial" w:cs="Arial"/>
          <w:sz w:val="18"/>
          <w:szCs w:val="18"/>
        </w:rPr>
      </w:pPr>
      <w:r>
        <w:rPr>
          <w:rFonts w:ascii="Arial" w:hAnsi="Arial" w:cs="Arial"/>
          <w:sz w:val="20"/>
          <w:szCs w:val="20"/>
        </w:rPr>
        <w:t>Citing IRI’s Integrated Fresh Household Panel, Parker explained that c</w:t>
      </w:r>
      <w:r w:rsidR="00356566" w:rsidRPr="00D3192F">
        <w:rPr>
          <w:rFonts w:ascii="Arial" w:hAnsi="Arial" w:cs="Arial"/>
          <w:sz w:val="20"/>
          <w:szCs w:val="20"/>
        </w:rPr>
        <w:t>hannel shifting has had a substantial impact on the dollar share distribution</w:t>
      </w:r>
      <w:r>
        <w:rPr>
          <w:rFonts w:ascii="Arial" w:hAnsi="Arial" w:cs="Arial"/>
          <w:sz w:val="20"/>
          <w:szCs w:val="20"/>
        </w:rPr>
        <w:t xml:space="preserve"> of </w:t>
      </w:r>
      <w:r w:rsidR="00356566" w:rsidRPr="00D3192F">
        <w:rPr>
          <w:rFonts w:ascii="Arial" w:hAnsi="Arial" w:cs="Arial"/>
          <w:sz w:val="20"/>
          <w:szCs w:val="20"/>
        </w:rPr>
        <w:t xml:space="preserve">fixed and random weight products across all the stores in which </w:t>
      </w:r>
      <w:r w:rsidR="00356566">
        <w:rPr>
          <w:rFonts w:ascii="Arial" w:hAnsi="Arial" w:cs="Arial"/>
          <w:sz w:val="20"/>
          <w:szCs w:val="20"/>
        </w:rPr>
        <w:t xml:space="preserve">consumers </w:t>
      </w:r>
      <w:r w:rsidR="00356566" w:rsidRPr="00D3192F">
        <w:rPr>
          <w:rFonts w:ascii="Arial" w:hAnsi="Arial" w:cs="Arial"/>
          <w:sz w:val="20"/>
          <w:szCs w:val="20"/>
        </w:rPr>
        <w:t>shop for retail food and beverages</w:t>
      </w:r>
      <w:r w:rsidR="00356566">
        <w:rPr>
          <w:rFonts w:ascii="Arial" w:hAnsi="Arial" w:cs="Arial"/>
          <w:sz w:val="20"/>
          <w:szCs w:val="20"/>
        </w:rPr>
        <w:t>.</w:t>
      </w:r>
    </w:p>
    <w:p w14:paraId="3589570A" w14:textId="243908F7" w:rsidR="00356566" w:rsidRPr="00D3192F" w:rsidRDefault="00356566" w:rsidP="00356566">
      <w:pPr>
        <w:pStyle w:val="NoSpacing"/>
        <w:numPr>
          <w:ilvl w:val="0"/>
          <w:numId w:val="32"/>
        </w:numPr>
        <w:rPr>
          <w:rFonts w:ascii="Arial" w:hAnsi="Arial" w:cs="Arial"/>
          <w:sz w:val="18"/>
          <w:szCs w:val="18"/>
        </w:rPr>
      </w:pPr>
      <w:r w:rsidRPr="00D3192F">
        <w:rPr>
          <w:rFonts w:ascii="Arial" w:hAnsi="Arial" w:cs="Arial"/>
          <w:sz w:val="20"/>
          <w:szCs w:val="20"/>
        </w:rPr>
        <w:t xml:space="preserve">In October, </w:t>
      </w:r>
      <w:r>
        <w:rPr>
          <w:rFonts w:ascii="Arial" w:hAnsi="Arial" w:cs="Arial"/>
          <w:sz w:val="20"/>
          <w:szCs w:val="20"/>
        </w:rPr>
        <w:t xml:space="preserve">the </w:t>
      </w:r>
      <w:r w:rsidRPr="00D3192F">
        <w:rPr>
          <w:rFonts w:ascii="Arial" w:hAnsi="Arial" w:cs="Arial"/>
          <w:sz w:val="20"/>
          <w:szCs w:val="20"/>
        </w:rPr>
        <w:t xml:space="preserve">traditional grocery share dropped to 36.0% of </w:t>
      </w:r>
      <w:r>
        <w:rPr>
          <w:rFonts w:ascii="Arial" w:hAnsi="Arial" w:cs="Arial"/>
          <w:sz w:val="20"/>
          <w:szCs w:val="20"/>
        </w:rPr>
        <w:t xml:space="preserve">all food and beverage </w:t>
      </w:r>
      <w:r w:rsidRPr="00D3192F">
        <w:rPr>
          <w:rFonts w:ascii="Arial" w:hAnsi="Arial" w:cs="Arial"/>
          <w:sz w:val="20"/>
          <w:szCs w:val="20"/>
        </w:rPr>
        <w:t xml:space="preserve">dollars — its lowest share of the pandemic period and well below the 38.6% share in 2019. </w:t>
      </w:r>
      <w:r w:rsidR="00616008">
        <w:rPr>
          <w:rFonts w:ascii="Arial" w:hAnsi="Arial" w:cs="Arial"/>
          <w:sz w:val="20"/>
          <w:szCs w:val="20"/>
        </w:rPr>
        <w:t>“This is headline news,” Parker said. “Traditional grocery stores have always been known for and differentiated on fresh, led by produce and meat. Are consumers looking for a shortcut to savings by shopping supercenters and clubs? Is the current environment redefining how consumers shop across purchase drivers of price, quality, assortment and service? These are important questions as the channel shifting has been ongoing since 2021 when inflation started to accelerate.”</w:t>
      </w:r>
    </w:p>
    <w:p w14:paraId="70DCF658" w14:textId="77777777" w:rsidR="00356566" w:rsidRPr="00D3192F" w:rsidRDefault="00356566" w:rsidP="00356566">
      <w:pPr>
        <w:pStyle w:val="NoSpacing"/>
        <w:numPr>
          <w:ilvl w:val="0"/>
          <w:numId w:val="32"/>
        </w:numPr>
        <w:rPr>
          <w:rFonts w:ascii="Arial" w:hAnsi="Arial" w:cs="Arial"/>
          <w:sz w:val="20"/>
          <w:szCs w:val="20"/>
        </w:rPr>
      </w:pPr>
      <w:r w:rsidRPr="00D3192F">
        <w:rPr>
          <w:rFonts w:ascii="Arial" w:hAnsi="Arial" w:cs="Arial"/>
          <w:sz w:val="20"/>
          <w:szCs w:val="20"/>
        </w:rPr>
        <w:t>Health/specialty grocery stores (</w:t>
      </w:r>
      <w:r>
        <w:rPr>
          <w:rFonts w:ascii="Arial" w:hAnsi="Arial" w:cs="Arial"/>
          <w:sz w:val="20"/>
          <w:szCs w:val="20"/>
        </w:rPr>
        <w:t>see below for definitions)</w:t>
      </w:r>
      <w:r w:rsidRPr="00D3192F">
        <w:rPr>
          <w:rFonts w:ascii="Arial" w:hAnsi="Arial" w:cs="Arial"/>
          <w:sz w:val="20"/>
          <w:szCs w:val="20"/>
        </w:rPr>
        <w:t xml:space="preserve"> also dropped to their lowest level, at 2.0%. </w:t>
      </w:r>
    </w:p>
    <w:p w14:paraId="67E37465" w14:textId="77777777" w:rsidR="00356566" w:rsidRPr="00D3192F" w:rsidRDefault="00356566" w:rsidP="00356566">
      <w:pPr>
        <w:pStyle w:val="NoSpacing"/>
        <w:numPr>
          <w:ilvl w:val="0"/>
          <w:numId w:val="32"/>
        </w:numPr>
        <w:rPr>
          <w:rFonts w:ascii="Arial" w:hAnsi="Arial" w:cs="Arial"/>
          <w:sz w:val="20"/>
          <w:szCs w:val="20"/>
        </w:rPr>
      </w:pPr>
      <w:r w:rsidRPr="00D3192F">
        <w:rPr>
          <w:rFonts w:ascii="Arial" w:hAnsi="Arial" w:cs="Arial"/>
          <w:sz w:val="20"/>
          <w:szCs w:val="20"/>
        </w:rPr>
        <w:t>The main beneficiaries of channel share shifting Mass/Supercenter</w:t>
      </w:r>
      <w:r>
        <w:rPr>
          <w:rFonts w:ascii="Arial" w:hAnsi="Arial" w:cs="Arial"/>
          <w:sz w:val="20"/>
          <w:szCs w:val="20"/>
        </w:rPr>
        <w:t xml:space="preserve"> that</w:t>
      </w:r>
      <w:r w:rsidRPr="00D3192F">
        <w:rPr>
          <w:rFonts w:ascii="Arial" w:hAnsi="Arial" w:cs="Arial"/>
          <w:sz w:val="20"/>
          <w:szCs w:val="20"/>
        </w:rPr>
        <w:t xml:space="preserve"> rose to 22.1% of total sales. </w:t>
      </w:r>
    </w:p>
    <w:p w14:paraId="1BF52C39" w14:textId="77777777" w:rsidR="00356566" w:rsidRPr="00D3192F" w:rsidRDefault="00356566" w:rsidP="00356566">
      <w:pPr>
        <w:pStyle w:val="NoSpacing"/>
        <w:numPr>
          <w:ilvl w:val="0"/>
          <w:numId w:val="32"/>
        </w:numPr>
        <w:rPr>
          <w:rFonts w:ascii="Arial" w:hAnsi="Arial" w:cs="Arial"/>
          <w:sz w:val="20"/>
          <w:szCs w:val="20"/>
        </w:rPr>
      </w:pPr>
      <w:r w:rsidRPr="00D3192F">
        <w:rPr>
          <w:rFonts w:ascii="Arial" w:hAnsi="Arial" w:cs="Arial"/>
          <w:sz w:val="20"/>
          <w:szCs w:val="20"/>
        </w:rPr>
        <w:t>The Club channel has also gained 1.3 points</w:t>
      </w:r>
      <w:r>
        <w:rPr>
          <w:rFonts w:ascii="Arial" w:hAnsi="Arial" w:cs="Arial"/>
          <w:sz w:val="20"/>
          <w:szCs w:val="20"/>
        </w:rPr>
        <w:t xml:space="preserve"> in food/beverage</w:t>
      </w:r>
      <w:r w:rsidRPr="00D3192F">
        <w:rPr>
          <w:rFonts w:ascii="Arial" w:hAnsi="Arial" w:cs="Arial"/>
          <w:sz w:val="20"/>
          <w:szCs w:val="20"/>
        </w:rPr>
        <w:t xml:space="preserve"> share since 2019, reaching a high of 12.1%. </w:t>
      </w:r>
    </w:p>
    <w:p w14:paraId="27AE3EE8" w14:textId="77777777" w:rsidR="00356566" w:rsidRPr="00E85216" w:rsidRDefault="00356566" w:rsidP="00356566">
      <w:pPr>
        <w:pStyle w:val="NoSpacing"/>
        <w:numPr>
          <w:ilvl w:val="0"/>
          <w:numId w:val="32"/>
        </w:numPr>
        <w:rPr>
          <w:rFonts w:ascii="Arial" w:hAnsi="Arial" w:cs="Arial"/>
        </w:rPr>
      </w:pPr>
      <w:r w:rsidRPr="00E85216">
        <w:rPr>
          <w:rFonts w:ascii="Arial" w:hAnsi="Arial" w:cs="Arial"/>
          <w:sz w:val="20"/>
          <w:szCs w:val="20"/>
        </w:rPr>
        <w:t xml:space="preserve">Further, online food/beverage sales have close to tripled, now holding 3.4% share of the omnichannel view. </w:t>
      </w:r>
    </w:p>
    <w:p w14:paraId="62B00699" w14:textId="77777777" w:rsidR="00356566" w:rsidRDefault="00356566" w:rsidP="00356566">
      <w:pPr>
        <w:pStyle w:val="NoSpacing"/>
        <w:rPr>
          <w:rFonts w:ascii="Arial" w:hAnsi="Arial" w:cs="Arial"/>
        </w:rPr>
      </w:pPr>
    </w:p>
    <w:tbl>
      <w:tblPr>
        <w:tblW w:w="10062" w:type="dxa"/>
        <w:tblCellMar>
          <w:left w:w="0" w:type="dxa"/>
          <w:right w:w="0" w:type="dxa"/>
        </w:tblCellMar>
        <w:tblLook w:val="04A0" w:firstRow="1" w:lastRow="0" w:firstColumn="1" w:lastColumn="0" w:noHBand="0" w:noVBand="1"/>
      </w:tblPr>
      <w:tblGrid>
        <w:gridCol w:w="3150"/>
        <w:gridCol w:w="1350"/>
        <w:gridCol w:w="1080"/>
        <w:gridCol w:w="1080"/>
        <w:gridCol w:w="1890"/>
        <w:gridCol w:w="1512"/>
      </w:tblGrid>
      <w:tr w:rsidR="00356566" w:rsidRPr="00D3192F" w14:paraId="4DE8913F" w14:textId="77777777" w:rsidTr="00B51610">
        <w:trPr>
          <w:trHeight w:val="144"/>
        </w:trPr>
        <w:tc>
          <w:tcPr>
            <w:tcW w:w="3150" w:type="dxa"/>
            <w:tcBorders>
              <w:top w:val="single" w:sz="8" w:space="0" w:color="5B9BD5"/>
              <w:left w:val="nil"/>
              <w:bottom w:val="single" w:sz="8" w:space="0" w:color="5B9BD5"/>
              <w:right w:val="nil"/>
            </w:tcBorders>
            <w:shd w:val="clear" w:color="auto" w:fill="323E4F"/>
            <w:tcMar>
              <w:top w:w="0" w:type="dxa"/>
              <w:left w:w="57" w:type="dxa"/>
              <w:bottom w:w="0" w:type="dxa"/>
              <w:right w:w="57" w:type="dxa"/>
            </w:tcMar>
            <w:vAlign w:val="center"/>
            <w:hideMark/>
          </w:tcPr>
          <w:p w14:paraId="15F9FDE4" w14:textId="77777777" w:rsidR="00356566" w:rsidRPr="00D3192F" w:rsidRDefault="00356566" w:rsidP="00B51610">
            <w:pPr>
              <w:pStyle w:val="NoSpacing"/>
              <w:rPr>
                <w:rFonts w:ascii="Arial" w:eastAsia="Times New Roman" w:hAnsi="Arial" w:cs="Arial"/>
                <w:b/>
                <w:bCs/>
                <w:color w:val="F2F2F2"/>
                <w:sz w:val="18"/>
                <w:szCs w:val="18"/>
              </w:rPr>
            </w:pPr>
            <w:r w:rsidRPr="00D3192F">
              <w:rPr>
                <w:rFonts w:ascii="Arial" w:hAnsi="Arial" w:cs="Arial"/>
                <w:b/>
                <w:bCs/>
                <w:color w:val="F2F2F2"/>
                <w:sz w:val="18"/>
                <w:szCs w:val="18"/>
              </w:rPr>
              <w:t>Channel share food and beverages</w:t>
            </w:r>
          </w:p>
        </w:tc>
        <w:tc>
          <w:tcPr>
            <w:tcW w:w="1350" w:type="dxa"/>
            <w:tcBorders>
              <w:top w:val="single" w:sz="8" w:space="0" w:color="5B9BD5"/>
              <w:left w:val="nil"/>
              <w:bottom w:val="single" w:sz="8" w:space="0" w:color="5B9BD5"/>
              <w:right w:val="nil"/>
            </w:tcBorders>
            <w:shd w:val="clear" w:color="auto" w:fill="323E4F"/>
            <w:tcMar>
              <w:top w:w="0" w:type="dxa"/>
              <w:left w:w="57" w:type="dxa"/>
              <w:bottom w:w="0" w:type="dxa"/>
              <w:right w:w="57" w:type="dxa"/>
            </w:tcMar>
            <w:vAlign w:val="center"/>
            <w:hideMark/>
          </w:tcPr>
          <w:p w14:paraId="328DD34B" w14:textId="77777777" w:rsidR="00356566" w:rsidRPr="00D3192F" w:rsidRDefault="00356566" w:rsidP="00B51610">
            <w:pPr>
              <w:spacing w:after="0" w:line="240" w:lineRule="auto"/>
              <w:jc w:val="right"/>
              <w:rPr>
                <w:rFonts w:ascii="Arial" w:hAnsi="Arial" w:cs="Arial"/>
                <w:b/>
                <w:bCs/>
                <w:color w:val="F2F2F2"/>
                <w:sz w:val="18"/>
                <w:szCs w:val="18"/>
              </w:rPr>
            </w:pPr>
            <w:r w:rsidRPr="00D3192F">
              <w:rPr>
                <w:rFonts w:ascii="Arial" w:hAnsi="Arial" w:cs="Arial"/>
                <w:b/>
                <w:bCs/>
                <w:color w:val="F2F2F2"/>
                <w:sz w:val="18"/>
                <w:szCs w:val="18"/>
              </w:rPr>
              <w:t>2019</w:t>
            </w:r>
          </w:p>
        </w:tc>
        <w:tc>
          <w:tcPr>
            <w:tcW w:w="1080" w:type="dxa"/>
            <w:tcBorders>
              <w:top w:val="single" w:sz="8" w:space="0" w:color="5B9BD5"/>
              <w:left w:val="nil"/>
              <w:bottom w:val="single" w:sz="8" w:space="0" w:color="5B9BD5"/>
              <w:right w:val="nil"/>
            </w:tcBorders>
            <w:shd w:val="clear" w:color="auto" w:fill="323E4F"/>
            <w:tcMar>
              <w:top w:w="0" w:type="dxa"/>
              <w:left w:w="57" w:type="dxa"/>
              <w:bottom w:w="0" w:type="dxa"/>
              <w:right w:w="57" w:type="dxa"/>
            </w:tcMar>
            <w:vAlign w:val="center"/>
            <w:hideMark/>
          </w:tcPr>
          <w:p w14:paraId="05EFB852" w14:textId="77777777" w:rsidR="00356566" w:rsidRPr="00D3192F" w:rsidRDefault="00356566" w:rsidP="00B51610">
            <w:pPr>
              <w:spacing w:after="0" w:line="240" w:lineRule="auto"/>
              <w:jc w:val="right"/>
              <w:rPr>
                <w:rFonts w:ascii="Arial" w:hAnsi="Arial" w:cs="Arial"/>
                <w:b/>
                <w:bCs/>
                <w:color w:val="F2F2F2"/>
                <w:sz w:val="18"/>
                <w:szCs w:val="18"/>
              </w:rPr>
            </w:pPr>
            <w:r w:rsidRPr="00D3192F">
              <w:rPr>
                <w:rFonts w:ascii="Arial" w:hAnsi="Arial" w:cs="Arial"/>
                <w:b/>
                <w:bCs/>
                <w:color w:val="F2F2F2"/>
                <w:sz w:val="18"/>
                <w:szCs w:val="18"/>
              </w:rPr>
              <w:t>2020</w:t>
            </w:r>
          </w:p>
        </w:tc>
        <w:tc>
          <w:tcPr>
            <w:tcW w:w="1080" w:type="dxa"/>
            <w:tcBorders>
              <w:top w:val="single" w:sz="8" w:space="0" w:color="5B9BD5"/>
              <w:left w:val="nil"/>
              <w:bottom w:val="single" w:sz="8" w:space="0" w:color="5B9BD5"/>
              <w:right w:val="nil"/>
            </w:tcBorders>
            <w:shd w:val="clear" w:color="auto" w:fill="323E4F"/>
            <w:tcMar>
              <w:top w:w="0" w:type="dxa"/>
              <w:left w:w="57" w:type="dxa"/>
              <w:bottom w:w="0" w:type="dxa"/>
              <w:right w:w="57" w:type="dxa"/>
            </w:tcMar>
            <w:vAlign w:val="center"/>
            <w:hideMark/>
          </w:tcPr>
          <w:p w14:paraId="587ECD9F" w14:textId="77777777" w:rsidR="00356566" w:rsidRPr="00D3192F" w:rsidRDefault="00356566" w:rsidP="00B51610">
            <w:pPr>
              <w:spacing w:after="0" w:line="240" w:lineRule="auto"/>
              <w:jc w:val="right"/>
              <w:rPr>
                <w:rFonts w:ascii="Arial" w:hAnsi="Arial" w:cs="Arial"/>
                <w:b/>
                <w:bCs/>
                <w:color w:val="F2F2F2"/>
                <w:sz w:val="18"/>
                <w:szCs w:val="18"/>
              </w:rPr>
            </w:pPr>
            <w:r w:rsidRPr="00D3192F">
              <w:rPr>
                <w:rFonts w:ascii="Arial" w:hAnsi="Arial" w:cs="Arial"/>
                <w:b/>
                <w:bCs/>
                <w:color w:val="F2F2F2"/>
                <w:sz w:val="18"/>
                <w:szCs w:val="18"/>
              </w:rPr>
              <w:t>2021</w:t>
            </w:r>
          </w:p>
        </w:tc>
        <w:tc>
          <w:tcPr>
            <w:tcW w:w="1890" w:type="dxa"/>
            <w:tcBorders>
              <w:top w:val="single" w:sz="8" w:space="0" w:color="5B9BD5"/>
              <w:left w:val="nil"/>
              <w:bottom w:val="single" w:sz="8" w:space="0" w:color="5B9BD5"/>
              <w:right w:val="nil"/>
            </w:tcBorders>
            <w:shd w:val="clear" w:color="auto" w:fill="323E4F"/>
            <w:tcMar>
              <w:top w:w="0" w:type="dxa"/>
              <w:left w:w="57" w:type="dxa"/>
              <w:bottom w:w="0" w:type="dxa"/>
              <w:right w:w="57" w:type="dxa"/>
            </w:tcMar>
            <w:vAlign w:val="center"/>
            <w:hideMark/>
          </w:tcPr>
          <w:p w14:paraId="13A33092" w14:textId="77777777" w:rsidR="00356566" w:rsidRPr="00D3192F" w:rsidRDefault="00356566" w:rsidP="00B51610">
            <w:pPr>
              <w:spacing w:after="0" w:line="240" w:lineRule="auto"/>
              <w:jc w:val="right"/>
              <w:rPr>
                <w:rFonts w:ascii="Arial" w:hAnsi="Arial" w:cs="Arial"/>
                <w:b/>
                <w:bCs/>
                <w:color w:val="F2F2F2"/>
                <w:sz w:val="18"/>
                <w:szCs w:val="18"/>
              </w:rPr>
            </w:pPr>
            <w:r w:rsidRPr="00D3192F">
              <w:rPr>
                <w:rFonts w:ascii="Arial" w:hAnsi="Arial" w:cs="Arial"/>
                <w:b/>
                <w:bCs/>
                <w:color w:val="F2F2F2"/>
                <w:sz w:val="18"/>
                <w:szCs w:val="18"/>
              </w:rPr>
              <w:t>Latest 52 weeks</w:t>
            </w:r>
          </w:p>
        </w:tc>
        <w:tc>
          <w:tcPr>
            <w:tcW w:w="1512" w:type="dxa"/>
            <w:tcBorders>
              <w:top w:val="single" w:sz="8" w:space="0" w:color="5B9BD5"/>
              <w:left w:val="nil"/>
              <w:bottom w:val="single" w:sz="8" w:space="0" w:color="5B9BD5"/>
              <w:right w:val="nil"/>
            </w:tcBorders>
            <w:shd w:val="clear" w:color="auto" w:fill="323E4F"/>
            <w:tcMar>
              <w:top w:w="0" w:type="dxa"/>
              <w:left w:w="57" w:type="dxa"/>
              <w:bottom w:w="0" w:type="dxa"/>
              <w:right w:w="57" w:type="dxa"/>
            </w:tcMar>
            <w:vAlign w:val="center"/>
            <w:hideMark/>
          </w:tcPr>
          <w:p w14:paraId="768B026A" w14:textId="77777777" w:rsidR="00356566" w:rsidRPr="00D3192F" w:rsidRDefault="00356566" w:rsidP="00B51610">
            <w:pPr>
              <w:spacing w:after="0" w:line="240" w:lineRule="auto"/>
              <w:jc w:val="right"/>
              <w:rPr>
                <w:rFonts w:ascii="Arial" w:hAnsi="Arial" w:cs="Arial"/>
                <w:b/>
                <w:bCs/>
                <w:color w:val="F2F2F2"/>
                <w:sz w:val="18"/>
                <w:szCs w:val="18"/>
              </w:rPr>
            </w:pPr>
            <w:r w:rsidRPr="00D3192F">
              <w:rPr>
                <w:rFonts w:ascii="Arial" w:hAnsi="Arial" w:cs="Arial"/>
                <w:b/>
                <w:bCs/>
                <w:color w:val="F2F2F2"/>
                <w:sz w:val="18"/>
                <w:szCs w:val="18"/>
              </w:rPr>
              <w:t>October 2022</w:t>
            </w:r>
          </w:p>
        </w:tc>
      </w:tr>
      <w:tr w:rsidR="00356566" w:rsidRPr="00D3192F" w14:paraId="2E6E0826" w14:textId="77777777" w:rsidTr="00B51610">
        <w:trPr>
          <w:trHeight w:val="78"/>
        </w:trPr>
        <w:tc>
          <w:tcPr>
            <w:tcW w:w="3150" w:type="dxa"/>
            <w:shd w:val="clear" w:color="auto" w:fill="D6E6F4"/>
            <w:tcMar>
              <w:top w:w="0" w:type="dxa"/>
              <w:left w:w="57" w:type="dxa"/>
              <w:bottom w:w="0" w:type="dxa"/>
              <w:right w:w="57" w:type="dxa"/>
            </w:tcMar>
            <w:vAlign w:val="center"/>
            <w:hideMark/>
          </w:tcPr>
          <w:p w14:paraId="6E18F7B9" w14:textId="77777777" w:rsidR="00356566" w:rsidRPr="00D3192F" w:rsidRDefault="00356566" w:rsidP="00B51610">
            <w:pPr>
              <w:pStyle w:val="NoSpacing"/>
              <w:rPr>
                <w:rFonts w:ascii="Arial" w:hAnsi="Arial" w:cs="Arial"/>
                <w:color w:val="1F4E79"/>
                <w:sz w:val="18"/>
                <w:szCs w:val="18"/>
              </w:rPr>
            </w:pPr>
            <w:r w:rsidRPr="00D3192F">
              <w:rPr>
                <w:rFonts w:ascii="Arial" w:hAnsi="Arial" w:cs="Arial"/>
                <w:color w:val="1F4E79"/>
                <w:sz w:val="18"/>
                <w:szCs w:val="18"/>
              </w:rPr>
              <w:t>Traditional grocery (food)</w:t>
            </w:r>
          </w:p>
        </w:tc>
        <w:tc>
          <w:tcPr>
            <w:tcW w:w="1350" w:type="dxa"/>
            <w:shd w:val="clear" w:color="auto" w:fill="D6E6F4"/>
            <w:tcMar>
              <w:top w:w="0" w:type="dxa"/>
              <w:left w:w="57" w:type="dxa"/>
              <w:bottom w:w="0" w:type="dxa"/>
              <w:right w:w="57" w:type="dxa"/>
            </w:tcMar>
            <w:vAlign w:val="center"/>
            <w:hideMark/>
          </w:tcPr>
          <w:p w14:paraId="4EE46C3E"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38.6%</w:t>
            </w:r>
          </w:p>
        </w:tc>
        <w:tc>
          <w:tcPr>
            <w:tcW w:w="1080" w:type="dxa"/>
            <w:shd w:val="clear" w:color="auto" w:fill="D6E6F4"/>
            <w:tcMar>
              <w:top w:w="0" w:type="dxa"/>
              <w:left w:w="57" w:type="dxa"/>
              <w:bottom w:w="0" w:type="dxa"/>
              <w:right w:w="57" w:type="dxa"/>
            </w:tcMar>
            <w:vAlign w:val="center"/>
            <w:hideMark/>
          </w:tcPr>
          <w:p w14:paraId="2C196010"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38.9%</w:t>
            </w:r>
          </w:p>
        </w:tc>
        <w:tc>
          <w:tcPr>
            <w:tcW w:w="1080" w:type="dxa"/>
            <w:shd w:val="clear" w:color="auto" w:fill="D6E6F4"/>
            <w:tcMar>
              <w:top w:w="0" w:type="dxa"/>
              <w:left w:w="57" w:type="dxa"/>
              <w:bottom w:w="0" w:type="dxa"/>
              <w:right w:w="57" w:type="dxa"/>
            </w:tcMar>
            <w:vAlign w:val="center"/>
            <w:hideMark/>
          </w:tcPr>
          <w:p w14:paraId="648721F9"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37.4%</w:t>
            </w:r>
          </w:p>
        </w:tc>
        <w:tc>
          <w:tcPr>
            <w:tcW w:w="1890" w:type="dxa"/>
            <w:shd w:val="clear" w:color="auto" w:fill="D6E6F4"/>
            <w:tcMar>
              <w:top w:w="0" w:type="dxa"/>
              <w:left w:w="57" w:type="dxa"/>
              <w:bottom w:w="0" w:type="dxa"/>
              <w:right w:w="57" w:type="dxa"/>
            </w:tcMar>
            <w:vAlign w:val="center"/>
            <w:hideMark/>
          </w:tcPr>
          <w:p w14:paraId="2F2F3755"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36.7%</w:t>
            </w:r>
          </w:p>
        </w:tc>
        <w:tc>
          <w:tcPr>
            <w:tcW w:w="1512" w:type="dxa"/>
            <w:shd w:val="clear" w:color="auto" w:fill="D6E6F4"/>
            <w:tcMar>
              <w:top w:w="0" w:type="dxa"/>
              <w:left w:w="57" w:type="dxa"/>
              <w:bottom w:w="0" w:type="dxa"/>
              <w:right w:w="57" w:type="dxa"/>
            </w:tcMar>
            <w:vAlign w:val="center"/>
            <w:hideMark/>
          </w:tcPr>
          <w:p w14:paraId="416A849B"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36.0%</w:t>
            </w:r>
          </w:p>
        </w:tc>
      </w:tr>
      <w:tr w:rsidR="00356566" w:rsidRPr="00D3192F" w14:paraId="46805244" w14:textId="77777777" w:rsidTr="00B51610">
        <w:trPr>
          <w:trHeight w:val="144"/>
        </w:trPr>
        <w:tc>
          <w:tcPr>
            <w:tcW w:w="3150" w:type="dxa"/>
            <w:tcMar>
              <w:top w:w="0" w:type="dxa"/>
              <w:left w:w="57" w:type="dxa"/>
              <w:bottom w:w="0" w:type="dxa"/>
              <w:right w:w="57" w:type="dxa"/>
            </w:tcMar>
            <w:vAlign w:val="center"/>
            <w:hideMark/>
          </w:tcPr>
          <w:p w14:paraId="4E3B6B7A" w14:textId="77777777" w:rsidR="00356566" w:rsidRPr="00D3192F" w:rsidRDefault="00356566" w:rsidP="00B51610">
            <w:pPr>
              <w:pStyle w:val="NoSpacing"/>
              <w:rPr>
                <w:rFonts w:ascii="Arial" w:hAnsi="Arial" w:cs="Arial"/>
                <w:color w:val="1F4E79"/>
                <w:sz w:val="18"/>
                <w:szCs w:val="18"/>
              </w:rPr>
            </w:pPr>
            <w:r w:rsidRPr="00D3192F">
              <w:rPr>
                <w:rFonts w:ascii="Arial" w:hAnsi="Arial" w:cs="Arial"/>
                <w:color w:val="1F4E79"/>
                <w:sz w:val="18"/>
                <w:szCs w:val="18"/>
              </w:rPr>
              <w:t>Mass &amp; Supercenter</w:t>
            </w:r>
          </w:p>
        </w:tc>
        <w:tc>
          <w:tcPr>
            <w:tcW w:w="1350" w:type="dxa"/>
            <w:tcMar>
              <w:top w:w="0" w:type="dxa"/>
              <w:left w:w="57" w:type="dxa"/>
              <w:bottom w:w="0" w:type="dxa"/>
              <w:right w:w="57" w:type="dxa"/>
            </w:tcMar>
            <w:vAlign w:val="center"/>
            <w:hideMark/>
          </w:tcPr>
          <w:p w14:paraId="589700B5"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21.5%</w:t>
            </w:r>
          </w:p>
        </w:tc>
        <w:tc>
          <w:tcPr>
            <w:tcW w:w="1080" w:type="dxa"/>
            <w:tcMar>
              <w:top w:w="0" w:type="dxa"/>
              <w:left w:w="57" w:type="dxa"/>
              <w:bottom w:w="0" w:type="dxa"/>
              <w:right w:w="57" w:type="dxa"/>
            </w:tcMar>
            <w:vAlign w:val="center"/>
            <w:hideMark/>
          </w:tcPr>
          <w:p w14:paraId="34031458"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20.2%</w:t>
            </w:r>
          </w:p>
        </w:tc>
        <w:tc>
          <w:tcPr>
            <w:tcW w:w="1080" w:type="dxa"/>
            <w:tcMar>
              <w:top w:w="0" w:type="dxa"/>
              <w:left w:w="57" w:type="dxa"/>
              <w:bottom w:w="0" w:type="dxa"/>
              <w:right w:w="57" w:type="dxa"/>
            </w:tcMar>
            <w:vAlign w:val="center"/>
            <w:hideMark/>
          </w:tcPr>
          <w:p w14:paraId="75303FB8"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20.7%</w:t>
            </w:r>
          </w:p>
        </w:tc>
        <w:tc>
          <w:tcPr>
            <w:tcW w:w="1890" w:type="dxa"/>
            <w:tcMar>
              <w:top w:w="0" w:type="dxa"/>
              <w:left w:w="57" w:type="dxa"/>
              <w:bottom w:w="0" w:type="dxa"/>
              <w:right w:w="57" w:type="dxa"/>
            </w:tcMar>
            <w:vAlign w:val="center"/>
            <w:hideMark/>
          </w:tcPr>
          <w:p w14:paraId="5709682F"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21.4%</w:t>
            </w:r>
          </w:p>
        </w:tc>
        <w:tc>
          <w:tcPr>
            <w:tcW w:w="1512" w:type="dxa"/>
            <w:tcMar>
              <w:top w:w="0" w:type="dxa"/>
              <w:left w:w="57" w:type="dxa"/>
              <w:bottom w:w="0" w:type="dxa"/>
              <w:right w:w="57" w:type="dxa"/>
            </w:tcMar>
            <w:vAlign w:val="center"/>
            <w:hideMark/>
          </w:tcPr>
          <w:p w14:paraId="1EEEB41C"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22.1%</w:t>
            </w:r>
          </w:p>
        </w:tc>
      </w:tr>
      <w:tr w:rsidR="00356566" w:rsidRPr="00D3192F" w14:paraId="5A3B202E" w14:textId="77777777" w:rsidTr="00B51610">
        <w:trPr>
          <w:trHeight w:val="144"/>
        </w:trPr>
        <w:tc>
          <w:tcPr>
            <w:tcW w:w="3150" w:type="dxa"/>
            <w:shd w:val="clear" w:color="auto" w:fill="D6E6F4"/>
            <w:tcMar>
              <w:top w:w="0" w:type="dxa"/>
              <w:left w:w="57" w:type="dxa"/>
              <w:bottom w:w="0" w:type="dxa"/>
              <w:right w:w="57" w:type="dxa"/>
            </w:tcMar>
            <w:vAlign w:val="center"/>
            <w:hideMark/>
          </w:tcPr>
          <w:p w14:paraId="43E0C81B" w14:textId="77777777" w:rsidR="00356566" w:rsidRPr="00D3192F" w:rsidRDefault="00356566" w:rsidP="00B51610">
            <w:pPr>
              <w:pStyle w:val="NoSpacing"/>
              <w:rPr>
                <w:rFonts w:ascii="Arial" w:hAnsi="Arial" w:cs="Arial"/>
                <w:color w:val="1F4E79"/>
                <w:sz w:val="18"/>
                <w:szCs w:val="18"/>
              </w:rPr>
            </w:pPr>
            <w:r w:rsidRPr="00D3192F">
              <w:rPr>
                <w:rFonts w:ascii="Arial" w:hAnsi="Arial" w:cs="Arial"/>
                <w:color w:val="1F4E79"/>
                <w:sz w:val="18"/>
                <w:szCs w:val="18"/>
              </w:rPr>
              <w:lastRenderedPageBreak/>
              <w:t>Club</w:t>
            </w:r>
          </w:p>
        </w:tc>
        <w:tc>
          <w:tcPr>
            <w:tcW w:w="1350" w:type="dxa"/>
            <w:shd w:val="clear" w:color="auto" w:fill="D6E6F4"/>
            <w:tcMar>
              <w:top w:w="0" w:type="dxa"/>
              <w:left w:w="57" w:type="dxa"/>
              <w:bottom w:w="0" w:type="dxa"/>
              <w:right w:w="57" w:type="dxa"/>
            </w:tcMar>
            <w:vAlign w:val="center"/>
            <w:hideMark/>
          </w:tcPr>
          <w:p w14:paraId="21697FA3"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10.8%</w:t>
            </w:r>
          </w:p>
        </w:tc>
        <w:tc>
          <w:tcPr>
            <w:tcW w:w="1080" w:type="dxa"/>
            <w:shd w:val="clear" w:color="auto" w:fill="D6E6F4"/>
            <w:tcMar>
              <w:top w:w="0" w:type="dxa"/>
              <w:left w:w="57" w:type="dxa"/>
              <w:bottom w:w="0" w:type="dxa"/>
              <w:right w:w="57" w:type="dxa"/>
            </w:tcMar>
            <w:vAlign w:val="center"/>
            <w:hideMark/>
          </w:tcPr>
          <w:p w14:paraId="67526329"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11.4%</w:t>
            </w:r>
          </w:p>
        </w:tc>
        <w:tc>
          <w:tcPr>
            <w:tcW w:w="1080" w:type="dxa"/>
            <w:shd w:val="clear" w:color="auto" w:fill="D6E6F4"/>
            <w:tcMar>
              <w:top w:w="0" w:type="dxa"/>
              <w:left w:w="57" w:type="dxa"/>
              <w:bottom w:w="0" w:type="dxa"/>
              <w:right w:w="57" w:type="dxa"/>
            </w:tcMar>
            <w:vAlign w:val="center"/>
            <w:hideMark/>
          </w:tcPr>
          <w:p w14:paraId="5EB2F8A7"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11.7%</w:t>
            </w:r>
          </w:p>
        </w:tc>
        <w:tc>
          <w:tcPr>
            <w:tcW w:w="1890" w:type="dxa"/>
            <w:shd w:val="clear" w:color="auto" w:fill="D6E6F4"/>
            <w:tcMar>
              <w:top w:w="0" w:type="dxa"/>
              <w:left w:w="57" w:type="dxa"/>
              <w:bottom w:w="0" w:type="dxa"/>
              <w:right w:w="57" w:type="dxa"/>
            </w:tcMar>
            <w:vAlign w:val="center"/>
            <w:hideMark/>
          </w:tcPr>
          <w:p w14:paraId="12FA19EE"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11.9%</w:t>
            </w:r>
          </w:p>
        </w:tc>
        <w:tc>
          <w:tcPr>
            <w:tcW w:w="1512" w:type="dxa"/>
            <w:shd w:val="clear" w:color="auto" w:fill="D6E6F4"/>
            <w:tcMar>
              <w:top w:w="0" w:type="dxa"/>
              <w:left w:w="57" w:type="dxa"/>
              <w:bottom w:w="0" w:type="dxa"/>
              <w:right w:w="57" w:type="dxa"/>
            </w:tcMar>
            <w:vAlign w:val="center"/>
            <w:hideMark/>
          </w:tcPr>
          <w:p w14:paraId="1FC16B39"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12.1%</w:t>
            </w:r>
          </w:p>
        </w:tc>
      </w:tr>
      <w:tr w:rsidR="00356566" w:rsidRPr="00D3192F" w14:paraId="57BE182F" w14:textId="77777777" w:rsidTr="00B51610">
        <w:trPr>
          <w:trHeight w:val="144"/>
        </w:trPr>
        <w:tc>
          <w:tcPr>
            <w:tcW w:w="3150" w:type="dxa"/>
            <w:tcMar>
              <w:top w:w="0" w:type="dxa"/>
              <w:left w:w="57" w:type="dxa"/>
              <w:bottom w:w="0" w:type="dxa"/>
              <w:right w:w="57" w:type="dxa"/>
            </w:tcMar>
            <w:vAlign w:val="center"/>
            <w:hideMark/>
          </w:tcPr>
          <w:p w14:paraId="294E6093" w14:textId="77777777" w:rsidR="00356566" w:rsidRPr="00D3192F" w:rsidRDefault="00356566" w:rsidP="00B51610">
            <w:pPr>
              <w:pStyle w:val="NoSpacing"/>
              <w:rPr>
                <w:rFonts w:ascii="Arial" w:hAnsi="Arial" w:cs="Arial"/>
                <w:color w:val="1F4E79"/>
                <w:sz w:val="18"/>
                <w:szCs w:val="18"/>
              </w:rPr>
            </w:pPr>
            <w:r w:rsidRPr="00D3192F">
              <w:rPr>
                <w:rFonts w:ascii="Arial" w:hAnsi="Arial" w:cs="Arial"/>
                <w:color w:val="1F4E79"/>
                <w:sz w:val="18"/>
                <w:szCs w:val="18"/>
              </w:rPr>
              <w:t>Discount grocery</w:t>
            </w:r>
          </w:p>
        </w:tc>
        <w:tc>
          <w:tcPr>
            <w:tcW w:w="1350" w:type="dxa"/>
            <w:tcMar>
              <w:top w:w="0" w:type="dxa"/>
              <w:left w:w="57" w:type="dxa"/>
              <w:bottom w:w="0" w:type="dxa"/>
              <w:right w:w="57" w:type="dxa"/>
            </w:tcMar>
            <w:vAlign w:val="center"/>
            <w:hideMark/>
          </w:tcPr>
          <w:p w14:paraId="3EDBB567"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6.7%</w:t>
            </w:r>
          </w:p>
        </w:tc>
        <w:tc>
          <w:tcPr>
            <w:tcW w:w="1080" w:type="dxa"/>
            <w:tcMar>
              <w:top w:w="0" w:type="dxa"/>
              <w:left w:w="57" w:type="dxa"/>
              <w:bottom w:w="0" w:type="dxa"/>
              <w:right w:w="57" w:type="dxa"/>
            </w:tcMar>
            <w:vAlign w:val="center"/>
            <w:hideMark/>
          </w:tcPr>
          <w:p w14:paraId="0DCB0DA2"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6.6%</w:t>
            </w:r>
          </w:p>
        </w:tc>
        <w:tc>
          <w:tcPr>
            <w:tcW w:w="1080" w:type="dxa"/>
            <w:tcMar>
              <w:top w:w="0" w:type="dxa"/>
              <w:left w:w="57" w:type="dxa"/>
              <w:bottom w:w="0" w:type="dxa"/>
              <w:right w:w="57" w:type="dxa"/>
            </w:tcMar>
            <w:vAlign w:val="center"/>
            <w:hideMark/>
          </w:tcPr>
          <w:p w14:paraId="41D6B1D4"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6.3%</w:t>
            </w:r>
          </w:p>
        </w:tc>
        <w:tc>
          <w:tcPr>
            <w:tcW w:w="1890" w:type="dxa"/>
            <w:tcMar>
              <w:top w:w="0" w:type="dxa"/>
              <w:left w:w="57" w:type="dxa"/>
              <w:bottom w:w="0" w:type="dxa"/>
              <w:right w:w="57" w:type="dxa"/>
            </w:tcMar>
            <w:vAlign w:val="center"/>
            <w:hideMark/>
          </w:tcPr>
          <w:p w14:paraId="6470F1C6"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6.3%</w:t>
            </w:r>
          </w:p>
        </w:tc>
        <w:tc>
          <w:tcPr>
            <w:tcW w:w="1512" w:type="dxa"/>
            <w:tcMar>
              <w:top w:w="0" w:type="dxa"/>
              <w:left w:w="57" w:type="dxa"/>
              <w:bottom w:w="0" w:type="dxa"/>
              <w:right w:w="57" w:type="dxa"/>
            </w:tcMar>
            <w:vAlign w:val="center"/>
            <w:hideMark/>
          </w:tcPr>
          <w:p w14:paraId="5BF81803"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6.0%</w:t>
            </w:r>
          </w:p>
        </w:tc>
      </w:tr>
      <w:tr w:rsidR="00356566" w:rsidRPr="00D3192F" w14:paraId="1FC8A02B" w14:textId="77777777" w:rsidTr="00B51610">
        <w:trPr>
          <w:trHeight w:val="144"/>
        </w:trPr>
        <w:tc>
          <w:tcPr>
            <w:tcW w:w="3150" w:type="dxa"/>
            <w:shd w:val="clear" w:color="auto" w:fill="D6E6F4"/>
            <w:tcMar>
              <w:top w:w="0" w:type="dxa"/>
              <w:left w:w="57" w:type="dxa"/>
              <w:bottom w:w="0" w:type="dxa"/>
              <w:right w:w="57" w:type="dxa"/>
            </w:tcMar>
            <w:vAlign w:val="center"/>
            <w:hideMark/>
          </w:tcPr>
          <w:p w14:paraId="32B2AEE6" w14:textId="77777777" w:rsidR="00356566" w:rsidRPr="00D3192F" w:rsidRDefault="00356566" w:rsidP="00B51610">
            <w:pPr>
              <w:pStyle w:val="NoSpacing"/>
              <w:rPr>
                <w:rFonts w:ascii="Arial" w:hAnsi="Arial" w:cs="Arial"/>
                <w:color w:val="1F4E79"/>
                <w:sz w:val="18"/>
                <w:szCs w:val="18"/>
              </w:rPr>
            </w:pPr>
            <w:r w:rsidRPr="00D3192F">
              <w:rPr>
                <w:rFonts w:ascii="Arial" w:hAnsi="Arial" w:cs="Arial"/>
                <w:color w:val="1F4E79"/>
                <w:sz w:val="18"/>
                <w:szCs w:val="18"/>
              </w:rPr>
              <w:t>Specialty stores</w:t>
            </w:r>
          </w:p>
        </w:tc>
        <w:tc>
          <w:tcPr>
            <w:tcW w:w="1350" w:type="dxa"/>
            <w:shd w:val="clear" w:color="auto" w:fill="D6E6F4"/>
            <w:tcMar>
              <w:top w:w="0" w:type="dxa"/>
              <w:left w:w="57" w:type="dxa"/>
              <w:bottom w:w="0" w:type="dxa"/>
              <w:right w:w="57" w:type="dxa"/>
            </w:tcMar>
            <w:vAlign w:val="center"/>
            <w:hideMark/>
          </w:tcPr>
          <w:p w14:paraId="0BEC6FA5"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3.7%</w:t>
            </w:r>
          </w:p>
        </w:tc>
        <w:tc>
          <w:tcPr>
            <w:tcW w:w="1080" w:type="dxa"/>
            <w:shd w:val="clear" w:color="auto" w:fill="D6E6F4"/>
            <w:tcMar>
              <w:top w:w="0" w:type="dxa"/>
              <w:left w:w="57" w:type="dxa"/>
              <w:bottom w:w="0" w:type="dxa"/>
              <w:right w:w="57" w:type="dxa"/>
            </w:tcMar>
            <w:vAlign w:val="center"/>
            <w:hideMark/>
          </w:tcPr>
          <w:p w14:paraId="0883C85D"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3.2%</w:t>
            </w:r>
          </w:p>
        </w:tc>
        <w:tc>
          <w:tcPr>
            <w:tcW w:w="1080" w:type="dxa"/>
            <w:shd w:val="clear" w:color="auto" w:fill="D6E6F4"/>
            <w:tcMar>
              <w:top w:w="0" w:type="dxa"/>
              <w:left w:w="57" w:type="dxa"/>
              <w:bottom w:w="0" w:type="dxa"/>
              <w:right w:w="57" w:type="dxa"/>
            </w:tcMar>
            <w:vAlign w:val="center"/>
            <w:hideMark/>
          </w:tcPr>
          <w:p w14:paraId="42AA4CD6"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3.6%</w:t>
            </w:r>
          </w:p>
        </w:tc>
        <w:tc>
          <w:tcPr>
            <w:tcW w:w="1890" w:type="dxa"/>
            <w:shd w:val="clear" w:color="auto" w:fill="D6E6F4"/>
            <w:tcMar>
              <w:top w:w="0" w:type="dxa"/>
              <w:left w:w="57" w:type="dxa"/>
              <w:bottom w:w="0" w:type="dxa"/>
              <w:right w:w="57" w:type="dxa"/>
            </w:tcMar>
            <w:vAlign w:val="center"/>
            <w:hideMark/>
          </w:tcPr>
          <w:p w14:paraId="1A52784C"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3.8%</w:t>
            </w:r>
          </w:p>
        </w:tc>
        <w:tc>
          <w:tcPr>
            <w:tcW w:w="1512" w:type="dxa"/>
            <w:shd w:val="clear" w:color="auto" w:fill="D6E6F4"/>
            <w:tcMar>
              <w:top w:w="0" w:type="dxa"/>
              <w:left w:w="57" w:type="dxa"/>
              <w:bottom w:w="0" w:type="dxa"/>
              <w:right w:w="57" w:type="dxa"/>
            </w:tcMar>
            <w:vAlign w:val="center"/>
            <w:hideMark/>
          </w:tcPr>
          <w:p w14:paraId="68DDCB2E"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3.8%</w:t>
            </w:r>
          </w:p>
        </w:tc>
      </w:tr>
      <w:tr w:rsidR="00356566" w:rsidRPr="00D3192F" w14:paraId="2C8BE6D1" w14:textId="77777777" w:rsidTr="00B51610">
        <w:trPr>
          <w:trHeight w:val="144"/>
        </w:trPr>
        <w:tc>
          <w:tcPr>
            <w:tcW w:w="3150" w:type="dxa"/>
            <w:tcMar>
              <w:top w:w="0" w:type="dxa"/>
              <w:left w:w="57" w:type="dxa"/>
              <w:bottom w:w="0" w:type="dxa"/>
              <w:right w:w="57" w:type="dxa"/>
            </w:tcMar>
            <w:vAlign w:val="center"/>
            <w:hideMark/>
          </w:tcPr>
          <w:p w14:paraId="6EB56025" w14:textId="77777777" w:rsidR="00356566" w:rsidRPr="00D3192F" w:rsidRDefault="00356566" w:rsidP="00B51610">
            <w:pPr>
              <w:pStyle w:val="NoSpacing"/>
              <w:rPr>
                <w:rFonts w:ascii="Arial" w:hAnsi="Arial" w:cs="Arial"/>
                <w:color w:val="1F4E79"/>
                <w:sz w:val="18"/>
                <w:szCs w:val="18"/>
              </w:rPr>
            </w:pPr>
            <w:r w:rsidRPr="00D3192F">
              <w:rPr>
                <w:rFonts w:ascii="Arial" w:hAnsi="Arial" w:cs="Arial"/>
                <w:color w:val="1F4E79"/>
                <w:sz w:val="18"/>
                <w:szCs w:val="18"/>
              </w:rPr>
              <w:t>Health and specialty</w:t>
            </w:r>
          </w:p>
        </w:tc>
        <w:tc>
          <w:tcPr>
            <w:tcW w:w="1350" w:type="dxa"/>
            <w:tcMar>
              <w:top w:w="0" w:type="dxa"/>
              <w:left w:w="57" w:type="dxa"/>
              <w:bottom w:w="0" w:type="dxa"/>
              <w:right w:w="57" w:type="dxa"/>
            </w:tcMar>
            <w:vAlign w:val="center"/>
            <w:hideMark/>
          </w:tcPr>
          <w:p w14:paraId="3F365311"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2.8%</w:t>
            </w:r>
          </w:p>
        </w:tc>
        <w:tc>
          <w:tcPr>
            <w:tcW w:w="1080" w:type="dxa"/>
            <w:tcMar>
              <w:top w:w="0" w:type="dxa"/>
              <w:left w:w="57" w:type="dxa"/>
              <w:bottom w:w="0" w:type="dxa"/>
              <w:right w:w="57" w:type="dxa"/>
            </w:tcMar>
            <w:vAlign w:val="center"/>
            <w:hideMark/>
          </w:tcPr>
          <w:p w14:paraId="221D951C"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2.4%</w:t>
            </w:r>
          </w:p>
        </w:tc>
        <w:tc>
          <w:tcPr>
            <w:tcW w:w="1080" w:type="dxa"/>
            <w:tcMar>
              <w:top w:w="0" w:type="dxa"/>
              <w:left w:w="57" w:type="dxa"/>
              <w:bottom w:w="0" w:type="dxa"/>
              <w:right w:w="57" w:type="dxa"/>
            </w:tcMar>
            <w:vAlign w:val="center"/>
            <w:hideMark/>
          </w:tcPr>
          <w:p w14:paraId="63EE1628"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2.4%</w:t>
            </w:r>
          </w:p>
        </w:tc>
        <w:tc>
          <w:tcPr>
            <w:tcW w:w="1890" w:type="dxa"/>
            <w:tcMar>
              <w:top w:w="0" w:type="dxa"/>
              <w:left w:w="57" w:type="dxa"/>
              <w:bottom w:w="0" w:type="dxa"/>
              <w:right w:w="57" w:type="dxa"/>
            </w:tcMar>
            <w:vAlign w:val="center"/>
            <w:hideMark/>
          </w:tcPr>
          <w:p w14:paraId="3FD4E535"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2.2%</w:t>
            </w:r>
          </w:p>
        </w:tc>
        <w:tc>
          <w:tcPr>
            <w:tcW w:w="1512" w:type="dxa"/>
            <w:tcMar>
              <w:top w:w="0" w:type="dxa"/>
              <w:left w:w="57" w:type="dxa"/>
              <w:bottom w:w="0" w:type="dxa"/>
              <w:right w:w="57" w:type="dxa"/>
            </w:tcMar>
            <w:vAlign w:val="center"/>
            <w:hideMark/>
          </w:tcPr>
          <w:p w14:paraId="6569F293"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2.0%</w:t>
            </w:r>
          </w:p>
        </w:tc>
      </w:tr>
      <w:tr w:rsidR="00356566" w:rsidRPr="00D3192F" w14:paraId="18A88F32" w14:textId="77777777" w:rsidTr="00B51610">
        <w:trPr>
          <w:trHeight w:val="144"/>
        </w:trPr>
        <w:tc>
          <w:tcPr>
            <w:tcW w:w="3150" w:type="dxa"/>
            <w:shd w:val="clear" w:color="auto" w:fill="D6E6F4"/>
            <w:tcMar>
              <w:top w:w="0" w:type="dxa"/>
              <w:left w:w="57" w:type="dxa"/>
              <w:bottom w:w="0" w:type="dxa"/>
              <w:right w:w="57" w:type="dxa"/>
            </w:tcMar>
            <w:vAlign w:val="center"/>
            <w:hideMark/>
          </w:tcPr>
          <w:p w14:paraId="0E22AB9B" w14:textId="77777777" w:rsidR="00356566" w:rsidRPr="00D3192F" w:rsidRDefault="00356566" w:rsidP="00B51610">
            <w:pPr>
              <w:pStyle w:val="NoSpacing"/>
              <w:rPr>
                <w:rFonts w:ascii="Arial" w:hAnsi="Arial" w:cs="Arial"/>
                <w:color w:val="1F4E79"/>
                <w:sz w:val="18"/>
                <w:szCs w:val="18"/>
              </w:rPr>
            </w:pPr>
            <w:r w:rsidRPr="00D3192F">
              <w:rPr>
                <w:rFonts w:ascii="Arial" w:hAnsi="Arial" w:cs="Arial"/>
                <w:color w:val="1F4E79"/>
                <w:sz w:val="18"/>
                <w:szCs w:val="18"/>
              </w:rPr>
              <w:t>Internet (pure e-commerce)</w:t>
            </w:r>
          </w:p>
        </w:tc>
        <w:tc>
          <w:tcPr>
            <w:tcW w:w="1350" w:type="dxa"/>
            <w:shd w:val="clear" w:color="auto" w:fill="D6E6F4"/>
            <w:tcMar>
              <w:top w:w="0" w:type="dxa"/>
              <w:left w:w="57" w:type="dxa"/>
              <w:bottom w:w="0" w:type="dxa"/>
              <w:right w:w="57" w:type="dxa"/>
            </w:tcMar>
            <w:vAlign w:val="center"/>
            <w:hideMark/>
          </w:tcPr>
          <w:p w14:paraId="631E1E51"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1.2%</w:t>
            </w:r>
          </w:p>
        </w:tc>
        <w:tc>
          <w:tcPr>
            <w:tcW w:w="1080" w:type="dxa"/>
            <w:shd w:val="clear" w:color="auto" w:fill="D6E6F4"/>
            <w:tcMar>
              <w:top w:w="0" w:type="dxa"/>
              <w:left w:w="57" w:type="dxa"/>
              <w:bottom w:w="0" w:type="dxa"/>
              <w:right w:w="57" w:type="dxa"/>
            </w:tcMar>
            <w:vAlign w:val="center"/>
            <w:hideMark/>
          </w:tcPr>
          <w:p w14:paraId="157DEE6F"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2.2%</w:t>
            </w:r>
          </w:p>
        </w:tc>
        <w:tc>
          <w:tcPr>
            <w:tcW w:w="1080" w:type="dxa"/>
            <w:shd w:val="clear" w:color="auto" w:fill="D6E6F4"/>
            <w:tcMar>
              <w:top w:w="0" w:type="dxa"/>
              <w:left w:w="57" w:type="dxa"/>
              <w:bottom w:w="0" w:type="dxa"/>
              <w:right w:w="57" w:type="dxa"/>
            </w:tcMar>
            <w:vAlign w:val="center"/>
            <w:hideMark/>
          </w:tcPr>
          <w:p w14:paraId="1B30C61C"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2.9%</w:t>
            </w:r>
          </w:p>
        </w:tc>
        <w:tc>
          <w:tcPr>
            <w:tcW w:w="1890" w:type="dxa"/>
            <w:shd w:val="clear" w:color="auto" w:fill="D6E6F4"/>
            <w:tcMar>
              <w:top w:w="0" w:type="dxa"/>
              <w:left w:w="57" w:type="dxa"/>
              <w:bottom w:w="0" w:type="dxa"/>
              <w:right w:w="57" w:type="dxa"/>
            </w:tcMar>
            <w:vAlign w:val="center"/>
            <w:hideMark/>
          </w:tcPr>
          <w:p w14:paraId="392CD2F9"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3.1%</w:t>
            </w:r>
          </w:p>
        </w:tc>
        <w:tc>
          <w:tcPr>
            <w:tcW w:w="1512" w:type="dxa"/>
            <w:shd w:val="clear" w:color="auto" w:fill="D6E6F4"/>
            <w:tcMar>
              <w:top w:w="0" w:type="dxa"/>
              <w:left w:w="57" w:type="dxa"/>
              <w:bottom w:w="0" w:type="dxa"/>
              <w:right w:w="57" w:type="dxa"/>
            </w:tcMar>
            <w:vAlign w:val="center"/>
            <w:hideMark/>
          </w:tcPr>
          <w:p w14:paraId="07A67A25" w14:textId="77777777" w:rsidR="00356566" w:rsidRPr="00D3192F" w:rsidRDefault="00356566" w:rsidP="00B51610">
            <w:pPr>
              <w:spacing w:after="0" w:line="240" w:lineRule="auto"/>
              <w:jc w:val="right"/>
              <w:rPr>
                <w:rFonts w:ascii="Arial" w:hAnsi="Arial" w:cs="Arial"/>
                <w:color w:val="1F4E79"/>
                <w:sz w:val="18"/>
                <w:szCs w:val="18"/>
              </w:rPr>
            </w:pPr>
            <w:r w:rsidRPr="00D3192F">
              <w:rPr>
                <w:rFonts w:ascii="Arial" w:hAnsi="Arial" w:cs="Arial"/>
                <w:color w:val="1F4E79"/>
                <w:sz w:val="18"/>
                <w:szCs w:val="18"/>
              </w:rPr>
              <w:t>3.4%</w:t>
            </w:r>
          </w:p>
        </w:tc>
      </w:tr>
    </w:tbl>
    <w:p w14:paraId="158A3C05" w14:textId="77777777" w:rsidR="00356566" w:rsidRDefault="00356566" w:rsidP="00356566">
      <w:pPr>
        <w:pStyle w:val="NoSpacing"/>
        <w:rPr>
          <w:rFonts w:ascii="Arial" w:hAnsi="Arial" w:cs="Arial"/>
          <w:sz w:val="14"/>
          <w:szCs w:val="14"/>
        </w:rPr>
      </w:pPr>
      <w:r>
        <w:rPr>
          <w:rFonts w:ascii="Arial" w:hAnsi="Arial" w:cs="Arial"/>
          <w:color w:val="000000"/>
          <w:sz w:val="14"/>
          <w:szCs w:val="14"/>
        </w:rPr>
        <w:t>                                                                                                                </w:t>
      </w:r>
      <w:r>
        <w:rPr>
          <w:rFonts w:ascii="Arial" w:hAnsi="Arial" w:cs="Arial"/>
          <w:sz w:val="14"/>
          <w:szCs w:val="14"/>
        </w:rPr>
        <w:t xml:space="preserve">                                                                                                                       </w:t>
      </w:r>
    </w:p>
    <w:p w14:paraId="732D50E6" w14:textId="77777777" w:rsidR="00356566" w:rsidRPr="00E85216" w:rsidRDefault="00356566" w:rsidP="00356566">
      <w:pPr>
        <w:pStyle w:val="NoSpacing"/>
        <w:rPr>
          <w:rFonts w:ascii="Arial" w:eastAsia="Times New Roman" w:hAnsi="Arial" w:cs="Arial"/>
          <w:color w:val="808080" w:themeColor="background1" w:themeShade="80"/>
          <w:sz w:val="16"/>
          <w:szCs w:val="16"/>
        </w:rPr>
      </w:pPr>
      <w:r w:rsidRPr="00E85216">
        <w:rPr>
          <w:rFonts w:ascii="Arial" w:hAnsi="Arial" w:cs="Arial"/>
          <w:color w:val="808080" w:themeColor="background1" w:themeShade="80"/>
          <w:sz w:val="16"/>
          <w:szCs w:val="16"/>
        </w:rPr>
        <w:t>Source: IRI Integrated Fresh All Outlets Household Panel. Not shown are dollar, drug, liquor and all other channels. The club channel includes retailers such as Costco, Sam’s and BJs. Mass/supercenters are big box retailers such as Walmart and Target. Discount grocery includes limited assortment stores such as ALDI and Lidl. Specialty stores are farmers markets, butchers, bodegas, delis or other small-format food markets, Health and specialty grocers reflects retailers who carry many aisles but focus on a specific specialty (like Trader Joe’s) or health (such as Sprouts or Whole Foods) messaging. Online includes a variety of channels including orders for pickup or delivery- excluding in-store/brick-and-mortar shopping.</w:t>
      </w:r>
    </w:p>
    <w:p w14:paraId="069F146B" w14:textId="77777777" w:rsidR="00737671" w:rsidRPr="00737671" w:rsidRDefault="00737671" w:rsidP="00737671">
      <w:pPr>
        <w:pStyle w:val="NoSpacing"/>
        <w:rPr>
          <w:rFonts w:ascii="Times New Roman" w:hAnsi="Times New Roman" w:cs="Times New Roman"/>
          <w:sz w:val="20"/>
          <w:szCs w:val="20"/>
        </w:rPr>
      </w:pPr>
      <w:r w:rsidRPr="00737671">
        <w:rPr>
          <w:rFonts w:ascii="Arial" w:hAnsi="Arial" w:cs="Arial"/>
          <w:sz w:val="20"/>
          <w:szCs w:val="20"/>
        </w:rPr>
        <w:t> </w:t>
      </w:r>
    </w:p>
    <w:p w14:paraId="1F2C8117" w14:textId="77777777" w:rsidR="00CE5E4F" w:rsidRPr="00B92FAD" w:rsidRDefault="00CE5E4F" w:rsidP="00CE5E4F">
      <w:pPr>
        <w:pStyle w:val="NoSpacing"/>
        <w:rPr>
          <w:rFonts w:ascii="Arial" w:hAnsi="Arial" w:cs="Arial"/>
          <w:sz w:val="20"/>
          <w:szCs w:val="20"/>
        </w:rPr>
      </w:pPr>
      <w:bookmarkStart w:id="0" w:name="_Hlk119045437"/>
      <w:r w:rsidRPr="00B92FAD">
        <w:rPr>
          <w:rFonts w:ascii="Arial" w:hAnsi="Arial" w:cs="Arial"/>
          <w:sz w:val="20"/>
          <w:szCs w:val="20"/>
        </w:rPr>
        <w:t xml:space="preserve">When regarding fresh departments only, the shifts follow the same patterns: a new low share for traditional grocery and elevated shares for mass/supercenter, club, dollar and online channels. </w:t>
      </w:r>
    </w:p>
    <w:p w14:paraId="09612501" w14:textId="77777777" w:rsidR="00CE5E4F" w:rsidRPr="00B92FAD" w:rsidRDefault="00CE5E4F" w:rsidP="00CE5E4F">
      <w:pPr>
        <w:pStyle w:val="NoSpacing"/>
        <w:rPr>
          <w:rFonts w:ascii="Arial" w:hAnsi="Arial" w:cs="Arial"/>
          <w:sz w:val="20"/>
          <w:szCs w:val="20"/>
        </w:rPr>
      </w:pPr>
    </w:p>
    <w:tbl>
      <w:tblPr>
        <w:tblW w:w="10062" w:type="dxa"/>
        <w:tblCellMar>
          <w:left w:w="0" w:type="dxa"/>
          <w:right w:w="0" w:type="dxa"/>
        </w:tblCellMar>
        <w:tblLook w:val="04A0" w:firstRow="1" w:lastRow="0" w:firstColumn="1" w:lastColumn="0" w:noHBand="0" w:noVBand="1"/>
      </w:tblPr>
      <w:tblGrid>
        <w:gridCol w:w="3150"/>
        <w:gridCol w:w="1350"/>
        <w:gridCol w:w="1080"/>
        <w:gridCol w:w="1080"/>
        <w:gridCol w:w="1890"/>
        <w:gridCol w:w="1512"/>
      </w:tblGrid>
      <w:tr w:rsidR="00CE5E4F" w:rsidRPr="00D3192F" w14:paraId="5289CC65" w14:textId="77777777" w:rsidTr="00302A15">
        <w:trPr>
          <w:trHeight w:val="144"/>
        </w:trPr>
        <w:tc>
          <w:tcPr>
            <w:tcW w:w="3150" w:type="dxa"/>
            <w:tcBorders>
              <w:top w:val="single" w:sz="8" w:space="0" w:color="5B9BD5"/>
              <w:left w:val="nil"/>
              <w:bottom w:val="single" w:sz="8" w:space="0" w:color="5B9BD5"/>
              <w:right w:val="nil"/>
            </w:tcBorders>
            <w:shd w:val="clear" w:color="auto" w:fill="323E4F"/>
            <w:tcMar>
              <w:top w:w="0" w:type="dxa"/>
              <w:left w:w="57" w:type="dxa"/>
              <w:bottom w:w="0" w:type="dxa"/>
              <w:right w:w="57" w:type="dxa"/>
            </w:tcMar>
            <w:vAlign w:val="center"/>
            <w:hideMark/>
          </w:tcPr>
          <w:p w14:paraId="6ED53C13" w14:textId="77777777" w:rsidR="00CE5E4F" w:rsidRPr="00D3192F" w:rsidRDefault="00CE5E4F" w:rsidP="00302A15">
            <w:pPr>
              <w:pStyle w:val="NoSpacing"/>
              <w:rPr>
                <w:rFonts w:ascii="Arial" w:eastAsia="Times New Roman" w:hAnsi="Arial" w:cs="Arial"/>
                <w:b/>
                <w:bCs/>
                <w:color w:val="F2F2F2"/>
                <w:sz w:val="18"/>
                <w:szCs w:val="18"/>
              </w:rPr>
            </w:pPr>
            <w:r w:rsidRPr="00D3192F">
              <w:rPr>
                <w:rFonts w:ascii="Arial" w:hAnsi="Arial" w:cs="Arial"/>
                <w:b/>
                <w:bCs/>
                <w:color w:val="F2F2F2"/>
                <w:sz w:val="18"/>
                <w:szCs w:val="18"/>
              </w:rPr>
              <w:t xml:space="preserve">Channel share </w:t>
            </w:r>
            <w:r>
              <w:rPr>
                <w:rFonts w:ascii="Arial" w:hAnsi="Arial" w:cs="Arial"/>
                <w:b/>
                <w:bCs/>
                <w:color w:val="F2F2F2"/>
                <w:sz w:val="18"/>
                <w:szCs w:val="18"/>
              </w:rPr>
              <w:t>fresh departments</w:t>
            </w:r>
          </w:p>
        </w:tc>
        <w:tc>
          <w:tcPr>
            <w:tcW w:w="1350" w:type="dxa"/>
            <w:tcBorders>
              <w:top w:val="single" w:sz="8" w:space="0" w:color="5B9BD5"/>
              <w:left w:val="nil"/>
              <w:bottom w:val="single" w:sz="8" w:space="0" w:color="5B9BD5"/>
              <w:right w:val="nil"/>
            </w:tcBorders>
            <w:shd w:val="clear" w:color="auto" w:fill="323E4F"/>
            <w:tcMar>
              <w:top w:w="0" w:type="dxa"/>
              <w:left w:w="57" w:type="dxa"/>
              <w:bottom w:w="0" w:type="dxa"/>
              <w:right w:w="57" w:type="dxa"/>
            </w:tcMar>
            <w:vAlign w:val="center"/>
            <w:hideMark/>
          </w:tcPr>
          <w:p w14:paraId="056EA542" w14:textId="77777777" w:rsidR="00CE5E4F" w:rsidRPr="00D3192F" w:rsidRDefault="00CE5E4F" w:rsidP="00302A15">
            <w:pPr>
              <w:spacing w:after="0" w:line="240" w:lineRule="auto"/>
              <w:jc w:val="right"/>
              <w:rPr>
                <w:rFonts w:ascii="Arial" w:hAnsi="Arial" w:cs="Arial"/>
                <w:b/>
                <w:bCs/>
                <w:color w:val="F2F2F2"/>
                <w:sz w:val="18"/>
                <w:szCs w:val="18"/>
              </w:rPr>
            </w:pPr>
            <w:r w:rsidRPr="00D3192F">
              <w:rPr>
                <w:rFonts w:ascii="Arial" w:hAnsi="Arial" w:cs="Arial"/>
                <w:b/>
                <w:bCs/>
                <w:color w:val="F2F2F2"/>
                <w:sz w:val="18"/>
                <w:szCs w:val="18"/>
              </w:rPr>
              <w:t>2019</w:t>
            </w:r>
          </w:p>
        </w:tc>
        <w:tc>
          <w:tcPr>
            <w:tcW w:w="1080" w:type="dxa"/>
            <w:tcBorders>
              <w:top w:val="single" w:sz="8" w:space="0" w:color="5B9BD5"/>
              <w:left w:val="nil"/>
              <w:bottom w:val="single" w:sz="8" w:space="0" w:color="5B9BD5"/>
              <w:right w:val="nil"/>
            </w:tcBorders>
            <w:shd w:val="clear" w:color="auto" w:fill="323E4F"/>
            <w:tcMar>
              <w:top w:w="0" w:type="dxa"/>
              <w:left w:w="57" w:type="dxa"/>
              <w:bottom w:w="0" w:type="dxa"/>
              <w:right w:w="57" w:type="dxa"/>
            </w:tcMar>
            <w:vAlign w:val="center"/>
            <w:hideMark/>
          </w:tcPr>
          <w:p w14:paraId="00C68E4D" w14:textId="77777777" w:rsidR="00CE5E4F" w:rsidRPr="00D3192F" w:rsidRDefault="00CE5E4F" w:rsidP="00302A15">
            <w:pPr>
              <w:spacing w:after="0" w:line="240" w:lineRule="auto"/>
              <w:jc w:val="right"/>
              <w:rPr>
                <w:rFonts w:ascii="Arial" w:hAnsi="Arial" w:cs="Arial"/>
                <w:b/>
                <w:bCs/>
                <w:color w:val="F2F2F2"/>
                <w:sz w:val="18"/>
                <w:szCs w:val="18"/>
              </w:rPr>
            </w:pPr>
            <w:r w:rsidRPr="00D3192F">
              <w:rPr>
                <w:rFonts w:ascii="Arial" w:hAnsi="Arial" w:cs="Arial"/>
                <w:b/>
                <w:bCs/>
                <w:color w:val="F2F2F2"/>
                <w:sz w:val="18"/>
                <w:szCs w:val="18"/>
              </w:rPr>
              <w:t>2020</w:t>
            </w:r>
          </w:p>
        </w:tc>
        <w:tc>
          <w:tcPr>
            <w:tcW w:w="1080" w:type="dxa"/>
            <w:tcBorders>
              <w:top w:val="single" w:sz="8" w:space="0" w:color="5B9BD5"/>
              <w:left w:val="nil"/>
              <w:bottom w:val="single" w:sz="8" w:space="0" w:color="5B9BD5"/>
              <w:right w:val="nil"/>
            </w:tcBorders>
            <w:shd w:val="clear" w:color="auto" w:fill="323E4F"/>
            <w:tcMar>
              <w:top w:w="0" w:type="dxa"/>
              <w:left w:w="57" w:type="dxa"/>
              <w:bottom w:w="0" w:type="dxa"/>
              <w:right w:w="57" w:type="dxa"/>
            </w:tcMar>
            <w:vAlign w:val="center"/>
            <w:hideMark/>
          </w:tcPr>
          <w:p w14:paraId="5C4DD1B9" w14:textId="77777777" w:rsidR="00CE5E4F" w:rsidRPr="00D3192F" w:rsidRDefault="00CE5E4F" w:rsidP="00302A15">
            <w:pPr>
              <w:spacing w:after="0" w:line="240" w:lineRule="auto"/>
              <w:jc w:val="right"/>
              <w:rPr>
                <w:rFonts w:ascii="Arial" w:hAnsi="Arial" w:cs="Arial"/>
                <w:b/>
                <w:bCs/>
                <w:color w:val="F2F2F2"/>
                <w:sz w:val="18"/>
                <w:szCs w:val="18"/>
              </w:rPr>
            </w:pPr>
            <w:r w:rsidRPr="00D3192F">
              <w:rPr>
                <w:rFonts w:ascii="Arial" w:hAnsi="Arial" w:cs="Arial"/>
                <w:b/>
                <w:bCs/>
                <w:color w:val="F2F2F2"/>
                <w:sz w:val="18"/>
                <w:szCs w:val="18"/>
              </w:rPr>
              <w:t>2021</w:t>
            </w:r>
          </w:p>
        </w:tc>
        <w:tc>
          <w:tcPr>
            <w:tcW w:w="1890" w:type="dxa"/>
            <w:tcBorders>
              <w:top w:val="single" w:sz="8" w:space="0" w:color="5B9BD5"/>
              <w:left w:val="nil"/>
              <w:bottom w:val="single" w:sz="8" w:space="0" w:color="5B9BD5"/>
              <w:right w:val="nil"/>
            </w:tcBorders>
            <w:shd w:val="clear" w:color="auto" w:fill="323E4F"/>
            <w:tcMar>
              <w:top w:w="0" w:type="dxa"/>
              <w:left w:w="57" w:type="dxa"/>
              <w:bottom w:w="0" w:type="dxa"/>
              <w:right w:w="57" w:type="dxa"/>
            </w:tcMar>
            <w:vAlign w:val="center"/>
            <w:hideMark/>
          </w:tcPr>
          <w:p w14:paraId="3073976D" w14:textId="77777777" w:rsidR="00CE5E4F" w:rsidRPr="00D3192F" w:rsidRDefault="00CE5E4F" w:rsidP="00302A15">
            <w:pPr>
              <w:spacing w:after="0" w:line="240" w:lineRule="auto"/>
              <w:jc w:val="right"/>
              <w:rPr>
                <w:rFonts w:ascii="Arial" w:hAnsi="Arial" w:cs="Arial"/>
                <w:b/>
                <w:bCs/>
                <w:color w:val="F2F2F2"/>
                <w:sz w:val="18"/>
                <w:szCs w:val="18"/>
              </w:rPr>
            </w:pPr>
            <w:r w:rsidRPr="00D3192F">
              <w:rPr>
                <w:rFonts w:ascii="Arial" w:hAnsi="Arial" w:cs="Arial"/>
                <w:b/>
                <w:bCs/>
                <w:color w:val="F2F2F2"/>
                <w:sz w:val="18"/>
                <w:szCs w:val="18"/>
              </w:rPr>
              <w:t>Latest 52 weeks</w:t>
            </w:r>
          </w:p>
        </w:tc>
        <w:tc>
          <w:tcPr>
            <w:tcW w:w="1512" w:type="dxa"/>
            <w:tcBorders>
              <w:top w:val="single" w:sz="8" w:space="0" w:color="5B9BD5"/>
              <w:left w:val="nil"/>
              <w:bottom w:val="single" w:sz="8" w:space="0" w:color="5B9BD5"/>
              <w:right w:val="nil"/>
            </w:tcBorders>
            <w:shd w:val="clear" w:color="auto" w:fill="323E4F"/>
            <w:tcMar>
              <w:top w:w="0" w:type="dxa"/>
              <w:left w:w="57" w:type="dxa"/>
              <w:bottom w:w="0" w:type="dxa"/>
              <w:right w:w="57" w:type="dxa"/>
            </w:tcMar>
            <w:vAlign w:val="center"/>
            <w:hideMark/>
          </w:tcPr>
          <w:p w14:paraId="5D850125" w14:textId="77777777" w:rsidR="00CE5E4F" w:rsidRPr="00D3192F" w:rsidRDefault="00CE5E4F" w:rsidP="00302A15">
            <w:pPr>
              <w:spacing w:after="0" w:line="240" w:lineRule="auto"/>
              <w:jc w:val="right"/>
              <w:rPr>
                <w:rFonts w:ascii="Arial" w:hAnsi="Arial" w:cs="Arial"/>
                <w:b/>
                <w:bCs/>
                <w:color w:val="F2F2F2"/>
                <w:sz w:val="18"/>
                <w:szCs w:val="18"/>
              </w:rPr>
            </w:pPr>
            <w:r w:rsidRPr="00D3192F">
              <w:rPr>
                <w:rFonts w:ascii="Arial" w:hAnsi="Arial" w:cs="Arial"/>
                <w:b/>
                <w:bCs/>
                <w:color w:val="F2F2F2"/>
                <w:sz w:val="18"/>
                <w:szCs w:val="18"/>
              </w:rPr>
              <w:t>October 2022</w:t>
            </w:r>
          </w:p>
        </w:tc>
      </w:tr>
      <w:tr w:rsidR="00CE5E4F" w:rsidRPr="00D3192F" w14:paraId="637585EE" w14:textId="77777777" w:rsidTr="00302A15">
        <w:trPr>
          <w:trHeight w:val="78"/>
        </w:trPr>
        <w:tc>
          <w:tcPr>
            <w:tcW w:w="3150" w:type="dxa"/>
            <w:shd w:val="clear" w:color="auto" w:fill="D6E6F4"/>
            <w:tcMar>
              <w:top w:w="0" w:type="dxa"/>
              <w:left w:w="57" w:type="dxa"/>
              <w:bottom w:w="0" w:type="dxa"/>
              <w:right w:w="57" w:type="dxa"/>
            </w:tcMar>
            <w:vAlign w:val="center"/>
            <w:hideMark/>
          </w:tcPr>
          <w:p w14:paraId="0B73245F" w14:textId="77777777" w:rsidR="00CE5E4F" w:rsidRPr="00D3192F" w:rsidRDefault="00CE5E4F" w:rsidP="00302A15">
            <w:pPr>
              <w:pStyle w:val="NoSpacing"/>
              <w:rPr>
                <w:rFonts w:ascii="Arial" w:hAnsi="Arial" w:cs="Arial"/>
                <w:color w:val="1F4E79"/>
                <w:sz w:val="18"/>
                <w:szCs w:val="18"/>
              </w:rPr>
            </w:pPr>
            <w:r w:rsidRPr="00D3192F">
              <w:rPr>
                <w:rFonts w:ascii="Arial" w:hAnsi="Arial" w:cs="Arial"/>
                <w:color w:val="1F4E79"/>
                <w:sz w:val="18"/>
                <w:szCs w:val="18"/>
              </w:rPr>
              <w:t>Traditional grocery (food)</w:t>
            </w:r>
          </w:p>
        </w:tc>
        <w:tc>
          <w:tcPr>
            <w:tcW w:w="1350" w:type="dxa"/>
            <w:shd w:val="clear" w:color="auto" w:fill="D6E6F4"/>
            <w:tcMar>
              <w:top w:w="0" w:type="dxa"/>
              <w:left w:w="57" w:type="dxa"/>
              <w:bottom w:w="0" w:type="dxa"/>
              <w:right w:w="57" w:type="dxa"/>
            </w:tcMar>
            <w:hideMark/>
          </w:tcPr>
          <w:p w14:paraId="5B4716A5"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35.9</w:t>
            </w:r>
            <w:r w:rsidRPr="007A7BCE">
              <w:rPr>
                <w:rFonts w:ascii="Arial" w:hAnsi="Arial" w:cs="Arial"/>
                <w:color w:val="1F4E79"/>
                <w:sz w:val="18"/>
                <w:szCs w:val="18"/>
              </w:rPr>
              <w:t>%</w:t>
            </w:r>
          </w:p>
        </w:tc>
        <w:tc>
          <w:tcPr>
            <w:tcW w:w="1080" w:type="dxa"/>
            <w:shd w:val="clear" w:color="auto" w:fill="D6E6F4"/>
            <w:tcMar>
              <w:top w:w="0" w:type="dxa"/>
              <w:left w:w="57" w:type="dxa"/>
              <w:bottom w:w="0" w:type="dxa"/>
              <w:right w:w="57" w:type="dxa"/>
            </w:tcMar>
            <w:hideMark/>
          </w:tcPr>
          <w:p w14:paraId="513C9261"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36.3</w:t>
            </w:r>
            <w:r w:rsidRPr="007A7BCE">
              <w:rPr>
                <w:rFonts w:ascii="Arial" w:hAnsi="Arial" w:cs="Arial"/>
                <w:color w:val="1F4E79"/>
                <w:sz w:val="18"/>
                <w:szCs w:val="18"/>
              </w:rPr>
              <w:t>%</w:t>
            </w:r>
          </w:p>
        </w:tc>
        <w:tc>
          <w:tcPr>
            <w:tcW w:w="1080" w:type="dxa"/>
            <w:shd w:val="clear" w:color="auto" w:fill="D6E6F4"/>
            <w:tcMar>
              <w:top w:w="0" w:type="dxa"/>
              <w:left w:w="57" w:type="dxa"/>
              <w:bottom w:w="0" w:type="dxa"/>
              <w:right w:w="57" w:type="dxa"/>
            </w:tcMar>
            <w:hideMark/>
          </w:tcPr>
          <w:p w14:paraId="1BC8764C"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34.5</w:t>
            </w:r>
            <w:r w:rsidRPr="007A7BCE">
              <w:rPr>
                <w:rFonts w:ascii="Arial" w:hAnsi="Arial" w:cs="Arial"/>
                <w:color w:val="1F4E79"/>
                <w:sz w:val="18"/>
                <w:szCs w:val="18"/>
              </w:rPr>
              <w:t>%</w:t>
            </w:r>
          </w:p>
        </w:tc>
        <w:tc>
          <w:tcPr>
            <w:tcW w:w="1890" w:type="dxa"/>
            <w:shd w:val="clear" w:color="auto" w:fill="D6E6F4"/>
            <w:tcMar>
              <w:top w:w="0" w:type="dxa"/>
              <w:left w:w="57" w:type="dxa"/>
              <w:bottom w:w="0" w:type="dxa"/>
              <w:right w:w="57" w:type="dxa"/>
            </w:tcMar>
            <w:hideMark/>
          </w:tcPr>
          <w:p w14:paraId="746EFA07"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33.9</w:t>
            </w:r>
            <w:r w:rsidRPr="007A7BCE">
              <w:rPr>
                <w:rFonts w:ascii="Arial" w:hAnsi="Arial" w:cs="Arial"/>
                <w:color w:val="1F4E79"/>
                <w:sz w:val="18"/>
                <w:szCs w:val="18"/>
              </w:rPr>
              <w:t>%</w:t>
            </w:r>
          </w:p>
        </w:tc>
        <w:tc>
          <w:tcPr>
            <w:tcW w:w="1512" w:type="dxa"/>
            <w:shd w:val="clear" w:color="auto" w:fill="D6E6F4"/>
            <w:tcMar>
              <w:top w:w="0" w:type="dxa"/>
              <w:left w:w="57" w:type="dxa"/>
              <w:bottom w:w="0" w:type="dxa"/>
              <w:right w:w="57" w:type="dxa"/>
            </w:tcMar>
            <w:hideMark/>
          </w:tcPr>
          <w:p w14:paraId="607AD620"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33.2</w:t>
            </w:r>
            <w:r w:rsidRPr="007A7BCE">
              <w:rPr>
                <w:rFonts w:ascii="Arial" w:hAnsi="Arial" w:cs="Arial"/>
                <w:color w:val="1F4E79"/>
                <w:sz w:val="18"/>
                <w:szCs w:val="18"/>
              </w:rPr>
              <w:t>%</w:t>
            </w:r>
          </w:p>
        </w:tc>
      </w:tr>
      <w:tr w:rsidR="00CE5E4F" w:rsidRPr="00D3192F" w14:paraId="553431AF" w14:textId="77777777" w:rsidTr="00302A15">
        <w:trPr>
          <w:trHeight w:val="144"/>
        </w:trPr>
        <w:tc>
          <w:tcPr>
            <w:tcW w:w="3150" w:type="dxa"/>
            <w:tcMar>
              <w:top w:w="0" w:type="dxa"/>
              <w:left w:w="57" w:type="dxa"/>
              <w:bottom w:w="0" w:type="dxa"/>
              <w:right w:w="57" w:type="dxa"/>
            </w:tcMar>
            <w:vAlign w:val="center"/>
            <w:hideMark/>
          </w:tcPr>
          <w:p w14:paraId="2E9FE26A" w14:textId="77777777" w:rsidR="00CE5E4F" w:rsidRPr="00D3192F" w:rsidRDefault="00CE5E4F" w:rsidP="00302A15">
            <w:pPr>
              <w:pStyle w:val="NoSpacing"/>
              <w:rPr>
                <w:rFonts w:ascii="Arial" w:hAnsi="Arial" w:cs="Arial"/>
                <w:color w:val="1F4E79"/>
                <w:sz w:val="18"/>
                <w:szCs w:val="18"/>
              </w:rPr>
            </w:pPr>
            <w:r w:rsidRPr="00D3192F">
              <w:rPr>
                <w:rFonts w:ascii="Arial" w:hAnsi="Arial" w:cs="Arial"/>
                <w:color w:val="1F4E79"/>
                <w:sz w:val="18"/>
                <w:szCs w:val="18"/>
              </w:rPr>
              <w:t>Mass &amp; Supercenter</w:t>
            </w:r>
          </w:p>
        </w:tc>
        <w:tc>
          <w:tcPr>
            <w:tcW w:w="1350" w:type="dxa"/>
            <w:tcMar>
              <w:top w:w="0" w:type="dxa"/>
              <w:left w:w="57" w:type="dxa"/>
              <w:bottom w:w="0" w:type="dxa"/>
              <w:right w:w="57" w:type="dxa"/>
            </w:tcMar>
            <w:hideMark/>
          </w:tcPr>
          <w:p w14:paraId="46BDC603"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25.6</w:t>
            </w:r>
            <w:r w:rsidRPr="007A7BCE">
              <w:rPr>
                <w:rFonts w:ascii="Arial" w:hAnsi="Arial" w:cs="Arial"/>
                <w:color w:val="1F4E79"/>
                <w:sz w:val="18"/>
                <w:szCs w:val="18"/>
              </w:rPr>
              <w:t>%</w:t>
            </w:r>
          </w:p>
        </w:tc>
        <w:tc>
          <w:tcPr>
            <w:tcW w:w="1080" w:type="dxa"/>
            <w:tcMar>
              <w:top w:w="0" w:type="dxa"/>
              <w:left w:w="57" w:type="dxa"/>
              <w:bottom w:w="0" w:type="dxa"/>
              <w:right w:w="57" w:type="dxa"/>
            </w:tcMar>
            <w:hideMark/>
          </w:tcPr>
          <w:p w14:paraId="79624232"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23.8</w:t>
            </w:r>
            <w:r w:rsidRPr="007A7BCE">
              <w:rPr>
                <w:rFonts w:ascii="Arial" w:hAnsi="Arial" w:cs="Arial"/>
                <w:color w:val="1F4E79"/>
                <w:sz w:val="18"/>
                <w:szCs w:val="18"/>
              </w:rPr>
              <w:t>%</w:t>
            </w:r>
          </w:p>
        </w:tc>
        <w:tc>
          <w:tcPr>
            <w:tcW w:w="1080" w:type="dxa"/>
            <w:tcMar>
              <w:top w:w="0" w:type="dxa"/>
              <w:left w:w="57" w:type="dxa"/>
              <w:bottom w:w="0" w:type="dxa"/>
              <w:right w:w="57" w:type="dxa"/>
            </w:tcMar>
            <w:hideMark/>
          </w:tcPr>
          <w:p w14:paraId="49926197"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24.6</w:t>
            </w:r>
            <w:r w:rsidRPr="007A7BCE">
              <w:rPr>
                <w:rFonts w:ascii="Arial" w:hAnsi="Arial" w:cs="Arial"/>
                <w:color w:val="1F4E79"/>
                <w:sz w:val="18"/>
                <w:szCs w:val="18"/>
              </w:rPr>
              <w:t>%</w:t>
            </w:r>
          </w:p>
        </w:tc>
        <w:tc>
          <w:tcPr>
            <w:tcW w:w="1890" w:type="dxa"/>
            <w:tcMar>
              <w:top w:w="0" w:type="dxa"/>
              <w:left w:w="57" w:type="dxa"/>
              <w:bottom w:w="0" w:type="dxa"/>
              <w:right w:w="57" w:type="dxa"/>
            </w:tcMar>
            <w:hideMark/>
          </w:tcPr>
          <w:p w14:paraId="0FB6A737"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25.1</w:t>
            </w:r>
            <w:r w:rsidRPr="007A7BCE">
              <w:rPr>
                <w:rFonts w:ascii="Arial" w:hAnsi="Arial" w:cs="Arial"/>
                <w:color w:val="1F4E79"/>
                <w:sz w:val="18"/>
                <w:szCs w:val="18"/>
              </w:rPr>
              <w:t>%</w:t>
            </w:r>
          </w:p>
        </w:tc>
        <w:tc>
          <w:tcPr>
            <w:tcW w:w="1512" w:type="dxa"/>
            <w:tcMar>
              <w:top w:w="0" w:type="dxa"/>
              <w:left w:w="57" w:type="dxa"/>
              <w:bottom w:w="0" w:type="dxa"/>
              <w:right w:w="57" w:type="dxa"/>
            </w:tcMar>
            <w:hideMark/>
          </w:tcPr>
          <w:p w14:paraId="6D3995C9"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25.7</w:t>
            </w:r>
            <w:r w:rsidRPr="007A7BCE">
              <w:rPr>
                <w:rFonts w:ascii="Arial" w:hAnsi="Arial" w:cs="Arial"/>
                <w:color w:val="1F4E79"/>
                <w:sz w:val="18"/>
                <w:szCs w:val="18"/>
              </w:rPr>
              <w:t>%</w:t>
            </w:r>
          </w:p>
        </w:tc>
      </w:tr>
      <w:tr w:rsidR="00CE5E4F" w:rsidRPr="00D3192F" w14:paraId="4DBEBE27" w14:textId="77777777" w:rsidTr="00302A15">
        <w:trPr>
          <w:trHeight w:val="144"/>
        </w:trPr>
        <w:tc>
          <w:tcPr>
            <w:tcW w:w="3150" w:type="dxa"/>
            <w:shd w:val="clear" w:color="auto" w:fill="D6E6F4"/>
            <w:tcMar>
              <w:top w:w="0" w:type="dxa"/>
              <w:left w:w="57" w:type="dxa"/>
              <w:bottom w:w="0" w:type="dxa"/>
              <w:right w:w="57" w:type="dxa"/>
            </w:tcMar>
            <w:vAlign w:val="center"/>
            <w:hideMark/>
          </w:tcPr>
          <w:p w14:paraId="4E62F58B" w14:textId="77777777" w:rsidR="00CE5E4F" w:rsidRPr="00D3192F" w:rsidRDefault="00CE5E4F" w:rsidP="00302A15">
            <w:pPr>
              <w:pStyle w:val="NoSpacing"/>
              <w:rPr>
                <w:rFonts w:ascii="Arial" w:hAnsi="Arial" w:cs="Arial"/>
                <w:color w:val="1F4E79"/>
                <w:sz w:val="18"/>
                <w:szCs w:val="18"/>
              </w:rPr>
            </w:pPr>
            <w:r w:rsidRPr="00D3192F">
              <w:rPr>
                <w:rFonts w:ascii="Arial" w:hAnsi="Arial" w:cs="Arial"/>
                <w:color w:val="1F4E79"/>
                <w:sz w:val="18"/>
                <w:szCs w:val="18"/>
              </w:rPr>
              <w:t>Club</w:t>
            </w:r>
          </w:p>
        </w:tc>
        <w:tc>
          <w:tcPr>
            <w:tcW w:w="1350" w:type="dxa"/>
            <w:shd w:val="clear" w:color="auto" w:fill="D6E6F4"/>
            <w:tcMar>
              <w:top w:w="0" w:type="dxa"/>
              <w:left w:w="57" w:type="dxa"/>
              <w:bottom w:w="0" w:type="dxa"/>
              <w:right w:w="57" w:type="dxa"/>
            </w:tcMar>
            <w:hideMark/>
          </w:tcPr>
          <w:p w14:paraId="4572AFB6"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11.8</w:t>
            </w:r>
            <w:r w:rsidRPr="007A7BCE">
              <w:rPr>
                <w:rFonts w:ascii="Arial" w:hAnsi="Arial" w:cs="Arial"/>
                <w:color w:val="1F4E79"/>
                <w:sz w:val="18"/>
                <w:szCs w:val="18"/>
              </w:rPr>
              <w:t>%</w:t>
            </w:r>
          </w:p>
        </w:tc>
        <w:tc>
          <w:tcPr>
            <w:tcW w:w="1080" w:type="dxa"/>
            <w:shd w:val="clear" w:color="auto" w:fill="D6E6F4"/>
            <w:tcMar>
              <w:top w:w="0" w:type="dxa"/>
              <w:left w:w="57" w:type="dxa"/>
              <w:bottom w:w="0" w:type="dxa"/>
              <w:right w:w="57" w:type="dxa"/>
            </w:tcMar>
            <w:hideMark/>
          </w:tcPr>
          <w:p w14:paraId="5BCBA744"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12.2</w:t>
            </w:r>
            <w:r w:rsidRPr="007A7BCE">
              <w:rPr>
                <w:rFonts w:ascii="Arial" w:hAnsi="Arial" w:cs="Arial"/>
                <w:color w:val="1F4E79"/>
                <w:sz w:val="18"/>
                <w:szCs w:val="18"/>
              </w:rPr>
              <w:t>%</w:t>
            </w:r>
          </w:p>
        </w:tc>
        <w:tc>
          <w:tcPr>
            <w:tcW w:w="1080" w:type="dxa"/>
            <w:shd w:val="clear" w:color="auto" w:fill="D6E6F4"/>
            <w:tcMar>
              <w:top w:w="0" w:type="dxa"/>
              <w:left w:w="57" w:type="dxa"/>
              <w:bottom w:w="0" w:type="dxa"/>
              <w:right w:w="57" w:type="dxa"/>
            </w:tcMar>
            <w:hideMark/>
          </w:tcPr>
          <w:p w14:paraId="2EDCC6DA"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12.7</w:t>
            </w:r>
            <w:r w:rsidRPr="007A7BCE">
              <w:rPr>
                <w:rFonts w:ascii="Arial" w:hAnsi="Arial" w:cs="Arial"/>
                <w:color w:val="1F4E79"/>
                <w:sz w:val="18"/>
                <w:szCs w:val="18"/>
              </w:rPr>
              <w:t>%</w:t>
            </w:r>
          </w:p>
        </w:tc>
        <w:tc>
          <w:tcPr>
            <w:tcW w:w="1890" w:type="dxa"/>
            <w:shd w:val="clear" w:color="auto" w:fill="D6E6F4"/>
            <w:tcMar>
              <w:top w:w="0" w:type="dxa"/>
              <w:left w:w="57" w:type="dxa"/>
              <w:bottom w:w="0" w:type="dxa"/>
              <w:right w:w="57" w:type="dxa"/>
            </w:tcMar>
            <w:hideMark/>
          </w:tcPr>
          <w:p w14:paraId="66C5694B"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12.9</w:t>
            </w:r>
            <w:r w:rsidRPr="007A7BCE">
              <w:rPr>
                <w:rFonts w:ascii="Arial" w:hAnsi="Arial" w:cs="Arial"/>
                <w:color w:val="1F4E79"/>
                <w:sz w:val="18"/>
                <w:szCs w:val="18"/>
              </w:rPr>
              <w:t>%</w:t>
            </w:r>
          </w:p>
        </w:tc>
        <w:tc>
          <w:tcPr>
            <w:tcW w:w="1512" w:type="dxa"/>
            <w:shd w:val="clear" w:color="auto" w:fill="D6E6F4"/>
            <w:tcMar>
              <w:top w:w="0" w:type="dxa"/>
              <w:left w:w="57" w:type="dxa"/>
              <w:bottom w:w="0" w:type="dxa"/>
              <w:right w:w="57" w:type="dxa"/>
            </w:tcMar>
            <w:hideMark/>
          </w:tcPr>
          <w:p w14:paraId="3E6542C1"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13.2</w:t>
            </w:r>
            <w:r w:rsidRPr="007A7BCE">
              <w:rPr>
                <w:rFonts w:ascii="Arial" w:hAnsi="Arial" w:cs="Arial"/>
                <w:color w:val="1F4E79"/>
                <w:sz w:val="18"/>
                <w:szCs w:val="18"/>
              </w:rPr>
              <w:t>%</w:t>
            </w:r>
          </w:p>
        </w:tc>
      </w:tr>
      <w:tr w:rsidR="00CE5E4F" w:rsidRPr="00D3192F" w14:paraId="1C5A0245" w14:textId="77777777" w:rsidTr="00302A15">
        <w:trPr>
          <w:trHeight w:val="144"/>
        </w:trPr>
        <w:tc>
          <w:tcPr>
            <w:tcW w:w="3150" w:type="dxa"/>
            <w:tcMar>
              <w:top w:w="0" w:type="dxa"/>
              <w:left w:w="57" w:type="dxa"/>
              <w:bottom w:w="0" w:type="dxa"/>
              <w:right w:w="57" w:type="dxa"/>
            </w:tcMar>
            <w:vAlign w:val="center"/>
            <w:hideMark/>
          </w:tcPr>
          <w:p w14:paraId="2991C86B" w14:textId="77777777" w:rsidR="00CE5E4F" w:rsidRPr="00D3192F" w:rsidRDefault="00CE5E4F" w:rsidP="00302A15">
            <w:pPr>
              <w:pStyle w:val="NoSpacing"/>
              <w:rPr>
                <w:rFonts w:ascii="Arial" w:hAnsi="Arial" w:cs="Arial"/>
                <w:color w:val="1F4E79"/>
                <w:sz w:val="18"/>
                <w:szCs w:val="18"/>
              </w:rPr>
            </w:pPr>
            <w:r w:rsidRPr="00D3192F">
              <w:rPr>
                <w:rFonts w:ascii="Arial" w:hAnsi="Arial" w:cs="Arial"/>
                <w:color w:val="1F4E79"/>
                <w:sz w:val="18"/>
                <w:szCs w:val="18"/>
              </w:rPr>
              <w:t>Discount grocery</w:t>
            </w:r>
          </w:p>
        </w:tc>
        <w:tc>
          <w:tcPr>
            <w:tcW w:w="1350" w:type="dxa"/>
            <w:tcMar>
              <w:top w:w="0" w:type="dxa"/>
              <w:left w:w="57" w:type="dxa"/>
              <w:bottom w:w="0" w:type="dxa"/>
              <w:right w:w="57" w:type="dxa"/>
            </w:tcMar>
            <w:hideMark/>
          </w:tcPr>
          <w:p w14:paraId="58C27A13"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5.8</w:t>
            </w:r>
            <w:r w:rsidRPr="007A7BCE">
              <w:rPr>
                <w:rFonts w:ascii="Arial" w:hAnsi="Arial" w:cs="Arial"/>
                <w:color w:val="1F4E79"/>
                <w:sz w:val="18"/>
                <w:szCs w:val="18"/>
              </w:rPr>
              <w:t>%</w:t>
            </w:r>
          </w:p>
        </w:tc>
        <w:tc>
          <w:tcPr>
            <w:tcW w:w="1080" w:type="dxa"/>
            <w:tcMar>
              <w:top w:w="0" w:type="dxa"/>
              <w:left w:w="57" w:type="dxa"/>
              <w:bottom w:w="0" w:type="dxa"/>
              <w:right w:w="57" w:type="dxa"/>
            </w:tcMar>
            <w:hideMark/>
          </w:tcPr>
          <w:p w14:paraId="37D21680"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5.8</w:t>
            </w:r>
            <w:r w:rsidRPr="007A7BCE">
              <w:rPr>
                <w:rFonts w:ascii="Arial" w:hAnsi="Arial" w:cs="Arial"/>
                <w:color w:val="1F4E79"/>
                <w:sz w:val="18"/>
                <w:szCs w:val="18"/>
              </w:rPr>
              <w:t>%</w:t>
            </w:r>
          </w:p>
        </w:tc>
        <w:tc>
          <w:tcPr>
            <w:tcW w:w="1080" w:type="dxa"/>
            <w:tcMar>
              <w:top w:w="0" w:type="dxa"/>
              <w:left w:w="57" w:type="dxa"/>
              <w:bottom w:w="0" w:type="dxa"/>
              <w:right w:w="57" w:type="dxa"/>
            </w:tcMar>
            <w:hideMark/>
          </w:tcPr>
          <w:p w14:paraId="11B6000C"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5.4</w:t>
            </w:r>
            <w:r w:rsidRPr="007A7BCE">
              <w:rPr>
                <w:rFonts w:ascii="Arial" w:hAnsi="Arial" w:cs="Arial"/>
                <w:color w:val="1F4E79"/>
                <w:sz w:val="18"/>
                <w:szCs w:val="18"/>
              </w:rPr>
              <w:t>%</w:t>
            </w:r>
          </w:p>
        </w:tc>
        <w:tc>
          <w:tcPr>
            <w:tcW w:w="1890" w:type="dxa"/>
            <w:tcMar>
              <w:top w:w="0" w:type="dxa"/>
              <w:left w:w="57" w:type="dxa"/>
              <w:bottom w:w="0" w:type="dxa"/>
              <w:right w:w="57" w:type="dxa"/>
            </w:tcMar>
            <w:hideMark/>
          </w:tcPr>
          <w:p w14:paraId="0E2C9425"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5.4</w:t>
            </w:r>
            <w:r w:rsidRPr="007A7BCE">
              <w:rPr>
                <w:rFonts w:ascii="Arial" w:hAnsi="Arial" w:cs="Arial"/>
                <w:color w:val="1F4E79"/>
                <w:sz w:val="18"/>
                <w:szCs w:val="18"/>
              </w:rPr>
              <w:t>%</w:t>
            </w:r>
          </w:p>
        </w:tc>
        <w:tc>
          <w:tcPr>
            <w:tcW w:w="1512" w:type="dxa"/>
            <w:tcMar>
              <w:top w:w="0" w:type="dxa"/>
              <w:left w:w="57" w:type="dxa"/>
              <w:bottom w:w="0" w:type="dxa"/>
              <w:right w:w="57" w:type="dxa"/>
            </w:tcMar>
            <w:hideMark/>
          </w:tcPr>
          <w:p w14:paraId="5F3C035D"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5.2</w:t>
            </w:r>
            <w:r w:rsidRPr="007A7BCE">
              <w:rPr>
                <w:rFonts w:ascii="Arial" w:hAnsi="Arial" w:cs="Arial"/>
                <w:color w:val="1F4E79"/>
                <w:sz w:val="18"/>
                <w:szCs w:val="18"/>
              </w:rPr>
              <w:t>%</w:t>
            </w:r>
          </w:p>
        </w:tc>
      </w:tr>
      <w:tr w:rsidR="00CE5E4F" w:rsidRPr="00D3192F" w14:paraId="002224E1" w14:textId="77777777" w:rsidTr="00302A15">
        <w:trPr>
          <w:trHeight w:val="144"/>
        </w:trPr>
        <w:tc>
          <w:tcPr>
            <w:tcW w:w="3150" w:type="dxa"/>
            <w:shd w:val="clear" w:color="auto" w:fill="D6E6F4"/>
            <w:tcMar>
              <w:top w:w="0" w:type="dxa"/>
              <w:left w:w="57" w:type="dxa"/>
              <w:bottom w:w="0" w:type="dxa"/>
              <w:right w:w="57" w:type="dxa"/>
            </w:tcMar>
            <w:vAlign w:val="center"/>
            <w:hideMark/>
          </w:tcPr>
          <w:p w14:paraId="4415D1BB" w14:textId="77777777" w:rsidR="00CE5E4F" w:rsidRPr="00D3192F" w:rsidRDefault="00CE5E4F" w:rsidP="00302A15">
            <w:pPr>
              <w:pStyle w:val="NoSpacing"/>
              <w:rPr>
                <w:rFonts w:ascii="Arial" w:hAnsi="Arial" w:cs="Arial"/>
                <w:color w:val="1F4E79"/>
                <w:sz w:val="18"/>
                <w:szCs w:val="18"/>
              </w:rPr>
            </w:pPr>
            <w:r>
              <w:rPr>
                <w:rFonts w:ascii="Arial" w:hAnsi="Arial" w:cs="Arial"/>
                <w:color w:val="1F4E79"/>
                <w:sz w:val="18"/>
                <w:szCs w:val="18"/>
              </w:rPr>
              <w:t>Dollar stores</w:t>
            </w:r>
          </w:p>
        </w:tc>
        <w:tc>
          <w:tcPr>
            <w:tcW w:w="1350" w:type="dxa"/>
            <w:shd w:val="clear" w:color="auto" w:fill="D6E6F4"/>
            <w:tcMar>
              <w:top w:w="0" w:type="dxa"/>
              <w:left w:w="57" w:type="dxa"/>
              <w:bottom w:w="0" w:type="dxa"/>
              <w:right w:w="57" w:type="dxa"/>
            </w:tcMar>
            <w:hideMark/>
          </w:tcPr>
          <w:p w14:paraId="141BC369"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2.4</w:t>
            </w:r>
            <w:r w:rsidRPr="007A7BCE">
              <w:rPr>
                <w:rFonts w:ascii="Arial" w:hAnsi="Arial" w:cs="Arial"/>
                <w:color w:val="1F4E79"/>
                <w:sz w:val="18"/>
                <w:szCs w:val="18"/>
              </w:rPr>
              <w:t>%</w:t>
            </w:r>
          </w:p>
        </w:tc>
        <w:tc>
          <w:tcPr>
            <w:tcW w:w="1080" w:type="dxa"/>
            <w:shd w:val="clear" w:color="auto" w:fill="D6E6F4"/>
            <w:tcMar>
              <w:top w:w="0" w:type="dxa"/>
              <w:left w:w="57" w:type="dxa"/>
              <w:bottom w:w="0" w:type="dxa"/>
              <w:right w:w="57" w:type="dxa"/>
            </w:tcMar>
            <w:hideMark/>
          </w:tcPr>
          <w:p w14:paraId="082449C5"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2.5</w:t>
            </w:r>
            <w:r w:rsidRPr="007A7BCE">
              <w:rPr>
                <w:rFonts w:ascii="Arial" w:hAnsi="Arial" w:cs="Arial"/>
                <w:color w:val="1F4E79"/>
                <w:sz w:val="18"/>
                <w:szCs w:val="18"/>
              </w:rPr>
              <w:t>%</w:t>
            </w:r>
          </w:p>
        </w:tc>
        <w:tc>
          <w:tcPr>
            <w:tcW w:w="1080" w:type="dxa"/>
            <w:shd w:val="clear" w:color="auto" w:fill="D6E6F4"/>
            <w:tcMar>
              <w:top w:w="0" w:type="dxa"/>
              <w:left w:w="57" w:type="dxa"/>
              <w:bottom w:w="0" w:type="dxa"/>
              <w:right w:w="57" w:type="dxa"/>
            </w:tcMar>
            <w:hideMark/>
          </w:tcPr>
          <w:p w14:paraId="732ECE00"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2.4</w:t>
            </w:r>
            <w:r w:rsidRPr="007A7BCE">
              <w:rPr>
                <w:rFonts w:ascii="Arial" w:hAnsi="Arial" w:cs="Arial"/>
                <w:color w:val="1F4E79"/>
                <w:sz w:val="18"/>
                <w:szCs w:val="18"/>
              </w:rPr>
              <w:t>%</w:t>
            </w:r>
          </w:p>
        </w:tc>
        <w:tc>
          <w:tcPr>
            <w:tcW w:w="1890" w:type="dxa"/>
            <w:shd w:val="clear" w:color="auto" w:fill="D6E6F4"/>
            <w:tcMar>
              <w:top w:w="0" w:type="dxa"/>
              <w:left w:w="57" w:type="dxa"/>
              <w:bottom w:w="0" w:type="dxa"/>
              <w:right w:w="57" w:type="dxa"/>
            </w:tcMar>
            <w:hideMark/>
          </w:tcPr>
          <w:p w14:paraId="65A1C21F"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2.4</w:t>
            </w:r>
            <w:r w:rsidRPr="007A7BCE">
              <w:rPr>
                <w:rFonts w:ascii="Arial" w:hAnsi="Arial" w:cs="Arial"/>
                <w:color w:val="1F4E79"/>
                <w:sz w:val="18"/>
                <w:szCs w:val="18"/>
              </w:rPr>
              <w:t>%</w:t>
            </w:r>
          </w:p>
        </w:tc>
        <w:tc>
          <w:tcPr>
            <w:tcW w:w="1512" w:type="dxa"/>
            <w:shd w:val="clear" w:color="auto" w:fill="D6E6F4"/>
            <w:tcMar>
              <w:top w:w="0" w:type="dxa"/>
              <w:left w:w="57" w:type="dxa"/>
              <w:bottom w:w="0" w:type="dxa"/>
              <w:right w:w="57" w:type="dxa"/>
            </w:tcMar>
            <w:hideMark/>
          </w:tcPr>
          <w:p w14:paraId="09A0FD4D"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2.6</w:t>
            </w:r>
            <w:r w:rsidRPr="007A7BCE">
              <w:rPr>
                <w:rFonts w:ascii="Arial" w:hAnsi="Arial" w:cs="Arial"/>
                <w:color w:val="1F4E79"/>
                <w:sz w:val="18"/>
                <w:szCs w:val="18"/>
              </w:rPr>
              <w:t>%</w:t>
            </w:r>
          </w:p>
        </w:tc>
      </w:tr>
      <w:tr w:rsidR="00CE5E4F" w:rsidRPr="00D3192F" w14:paraId="5B73294D" w14:textId="77777777" w:rsidTr="00302A15">
        <w:trPr>
          <w:trHeight w:val="144"/>
        </w:trPr>
        <w:tc>
          <w:tcPr>
            <w:tcW w:w="3150" w:type="dxa"/>
            <w:tcMar>
              <w:top w:w="0" w:type="dxa"/>
              <w:left w:w="57" w:type="dxa"/>
              <w:bottom w:w="0" w:type="dxa"/>
              <w:right w:w="57" w:type="dxa"/>
            </w:tcMar>
            <w:vAlign w:val="center"/>
            <w:hideMark/>
          </w:tcPr>
          <w:p w14:paraId="38ED7E2A" w14:textId="77777777" w:rsidR="00CE5E4F" w:rsidRPr="00D3192F" w:rsidRDefault="00CE5E4F" w:rsidP="00302A15">
            <w:pPr>
              <w:pStyle w:val="NoSpacing"/>
              <w:rPr>
                <w:rFonts w:ascii="Arial" w:hAnsi="Arial" w:cs="Arial"/>
                <w:color w:val="1F4E79"/>
                <w:sz w:val="18"/>
                <w:szCs w:val="18"/>
              </w:rPr>
            </w:pPr>
            <w:r w:rsidRPr="00D3192F">
              <w:rPr>
                <w:rFonts w:ascii="Arial" w:hAnsi="Arial" w:cs="Arial"/>
                <w:color w:val="1F4E79"/>
                <w:sz w:val="18"/>
                <w:szCs w:val="18"/>
              </w:rPr>
              <w:t>Health and specialty</w:t>
            </w:r>
          </w:p>
        </w:tc>
        <w:tc>
          <w:tcPr>
            <w:tcW w:w="1350" w:type="dxa"/>
            <w:tcMar>
              <w:top w:w="0" w:type="dxa"/>
              <w:left w:w="57" w:type="dxa"/>
              <w:bottom w:w="0" w:type="dxa"/>
              <w:right w:w="57" w:type="dxa"/>
            </w:tcMar>
            <w:hideMark/>
          </w:tcPr>
          <w:p w14:paraId="0A0DF478"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2.0</w:t>
            </w:r>
            <w:r w:rsidRPr="007A7BCE">
              <w:rPr>
                <w:rFonts w:ascii="Arial" w:hAnsi="Arial" w:cs="Arial"/>
                <w:color w:val="1F4E79"/>
                <w:sz w:val="18"/>
                <w:szCs w:val="18"/>
              </w:rPr>
              <w:t>%</w:t>
            </w:r>
          </w:p>
        </w:tc>
        <w:tc>
          <w:tcPr>
            <w:tcW w:w="1080" w:type="dxa"/>
            <w:tcMar>
              <w:top w:w="0" w:type="dxa"/>
              <w:left w:w="57" w:type="dxa"/>
              <w:bottom w:w="0" w:type="dxa"/>
              <w:right w:w="57" w:type="dxa"/>
            </w:tcMar>
            <w:hideMark/>
          </w:tcPr>
          <w:p w14:paraId="54684DF9"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1.8</w:t>
            </w:r>
            <w:r w:rsidRPr="007A7BCE">
              <w:rPr>
                <w:rFonts w:ascii="Arial" w:hAnsi="Arial" w:cs="Arial"/>
                <w:color w:val="1F4E79"/>
                <w:sz w:val="18"/>
                <w:szCs w:val="18"/>
              </w:rPr>
              <w:t>%</w:t>
            </w:r>
          </w:p>
        </w:tc>
        <w:tc>
          <w:tcPr>
            <w:tcW w:w="1080" w:type="dxa"/>
            <w:tcMar>
              <w:top w:w="0" w:type="dxa"/>
              <w:left w:w="57" w:type="dxa"/>
              <w:bottom w:w="0" w:type="dxa"/>
              <w:right w:w="57" w:type="dxa"/>
            </w:tcMar>
            <w:hideMark/>
          </w:tcPr>
          <w:p w14:paraId="40843401"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1.9</w:t>
            </w:r>
            <w:r w:rsidRPr="007A7BCE">
              <w:rPr>
                <w:rFonts w:ascii="Arial" w:hAnsi="Arial" w:cs="Arial"/>
                <w:color w:val="1F4E79"/>
                <w:sz w:val="18"/>
                <w:szCs w:val="18"/>
              </w:rPr>
              <w:t>%</w:t>
            </w:r>
          </w:p>
        </w:tc>
        <w:tc>
          <w:tcPr>
            <w:tcW w:w="1890" w:type="dxa"/>
            <w:tcMar>
              <w:top w:w="0" w:type="dxa"/>
              <w:left w:w="57" w:type="dxa"/>
              <w:bottom w:w="0" w:type="dxa"/>
              <w:right w:w="57" w:type="dxa"/>
            </w:tcMar>
            <w:hideMark/>
          </w:tcPr>
          <w:p w14:paraId="2ACBEF71"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1.8</w:t>
            </w:r>
            <w:r w:rsidRPr="007A7BCE">
              <w:rPr>
                <w:rFonts w:ascii="Arial" w:hAnsi="Arial" w:cs="Arial"/>
                <w:color w:val="1F4E79"/>
                <w:sz w:val="18"/>
                <w:szCs w:val="18"/>
              </w:rPr>
              <w:t>%</w:t>
            </w:r>
          </w:p>
        </w:tc>
        <w:tc>
          <w:tcPr>
            <w:tcW w:w="1512" w:type="dxa"/>
            <w:tcMar>
              <w:top w:w="0" w:type="dxa"/>
              <w:left w:w="57" w:type="dxa"/>
              <w:bottom w:w="0" w:type="dxa"/>
              <w:right w:w="57" w:type="dxa"/>
            </w:tcMar>
            <w:hideMark/>
          </w:tcPr>
          <w:p w14:paraId="6CAD9D29"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1.5</w:t>
            </w:r>
            <w:r w:rsidRPr="007A7BCE">
              <w:rPr>
                <w:rFonts w:ascii="Arial" w:hAnsi="Arial" w:cs="Arial"/>
                <w:color w:val="1F4E79"/>
                <w:sz w:val="18"/>
                <w:szCs w:val="18"/>
              </w:rPr>
              <w:t>%</w:t>
            </w:r>
          </w:p>
        </w:tc>
      </w:tr>
      <w:tr w:rsidR="00CE5E4F" w:rsidRPr="00D3192F" w14:paraId="3AD43079" w14:textId="77777777" w:rsidTr="00302A15">
        <w:trPr>
          <w:trHeight w:val="144"/>
        </w:trPr>
        <w:tc>
          <w:tcPr>
            <w:tcW w:w="3150" w:type="dxa"/>
            <w:shd w:val="clear" w:color="auto" w:fill="D6E6F4"/>
            <w:tcMar>
              <w:top w:w="0" w:type="dxa"/>
              <w:left w:w="57" w:type="dxa"/>
              <w:bottom w:w="0" w:type="dxa"/>
              <w:right w:w="57" w:type="dxa"/>
            </w:tcMar>
            <w:vAlign w:val="center"/>
            <w:hideMark/>
          </w:tcPr>
          <w:p w14:paraId="6C044F1A" w14:textId="77777777" w:rsidR="00CE5E4F" w:rsidRPr="00D3192F" w:rsidRDefault="00CE5E4F" w:rsidP="00302A15">
            <w:pPr>
              <w:pStyle w:val="NoSpacing"/>
              <w:rPr>
                <w:rFonts w:ascii="Arial" w:hAnsi="Arial" w:cs="Arial"/>
                <w:color w:val="1F4E79"/>
                <w:sz w:val="18"/>
                <w:szCs w:val="18"/>
              </w:rPr>
            </w:pPr>
            <w:r w:rsidRPr="00D3192F">
              <w:rPr>
                <w:rFonts w:ascii="Arial" w:hAnsi="Arial" w:cs="Arial"/>
                <w:color w:val="1F4E79"/>
                <w:sz w:val="18"/>
                <w:szCs w:val="18"/>
              </w:rPr>
              <w:t>Internet</w:t>
            </w:r>
          </w:p>
        </w:tc>
        <w:tc>
          <w:tcPr>
            <w:tcW w:w="1350" w:type="dxa"/>
            <w:shd w:val="clear" w:color="auto" w:fill="D6E6F4"/>
            <w:tcMar>
              <w:top w:w="0" w:type="dxa"/>
              <w:left w:w="57" w:type="dxa"/>
              <w:bottom w:w="0" w:type="dxa"/>
              <w:right w:w="57" w:type="dxa"/>
            </w:tcMar>
            <w:hideMark/>
          </w:tcPr>
          <w:p w14:paraId="7C5B9A5E"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1.6</w:t>
            </w:r>
            <w:r w:rsidRPr="007A7BCE">
              <w:rPr>
                <w:rFonts w:ascii="Arial" w:hAnsi="Arial" w:cs="Arial"/>
                <w:color w:val="1F4E79"/>
                <w:sz w:val="18"/>
                <w:szCs w:val="18"/>
              </w:rPr>
              <w:t>%</w:t>
            </w:r>
          </w:p>
        </w:tc>
        <w:tc>
          <w:tcPr>
            <w:tcW w:w="1080" w:type="dxa"/>
            <w:shd w:val="clear" w:color="auto" w:fill="D6E6F4"/>
            <w:tcMar>
              <w:top w:w="0" w:type="dxa"/>
              <w:left w:w="57" w:type="dxa"/>
              <w:bottom w:w="0" w:type="dxa"/>
              <w:right w:w="57" w:type="dxa"/>
            </w:tcMar>
            <w:hideMark/>
          </w:tcPr>
          <w:p w14:paraId="613E0726"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3.0</w:t>
            </w:r>
            <w:r w:rsidRPr="007A7BCE">
              <w:rPr>
                <w:rFonts w:ascii="Arial" w:hAnsi="Arial" w:cs="Arial"/>
                <w:color w:val="1F4E79"/>
                <w:sz w:val="18"/>
                <w:szCs w:val="18"/>
              </w:rPr>
              <w:t>%</w:t>
            </w:r>
          </w:p>
        </w:tc>
        <w:tc>
          <w:tcPr>
            <w:tcW w:w="1080" w:type="dxa"/>
            <w:shd w:val="clear" w:color="auto" w:fill="D6E6F4"/>
            <w:tcMar>
              <w:top w:w="0" w:type="dxa"/>
              <w:left w:w="57" w:type="dxa"/>
              <w:bottom w:w="0" w:type="dxa"/>
              <w:right w:w="57" w:type="dxa"/>
            </w:tcMar>
            <w:hideMark/>
          </w:tcPr>
          <w:p w14:paraId="23A53883"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3.6</w:t>
            </w:r>
            <w:r w:rsidRPr="007A7BCE">
              <w:rPr>
                <w:rFonts w:ascii="Arial" w:hAnsi="Arial" w:cs="Arial"/>
                <w:color w:val="1F4E79"/>
                <w:sz w:val="18"/>
                <w:szCs w:val="18"/>
              </w:rPr>
              <w:t>%</w:t>
            </w:r>
          </w:p>
        </w:tc>
        <w:tc>
          <w:tcPr>
            <w:tcW w:w="1890" w:type="dxa"/>
            <w:shd w:val="clear" w:color="auto" w:fill="D6E6F4"/>
            <w:tcMar>
              <w:top w:w="0" w:type="dxa"/>
              <w:left w:w="57" w:type="dxa"/>
              <w:bottom w:w="0" w:type="dxa"/>
              <w:right w:w="57" w:type="dxa"/>
            </w:tcMar>
            <w:hideMark/>
          </w:tcPr>
          <w:p w14:paraId="1475CF29"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3.8</w:t>
            </w:r>
            <w:r w:rsidRPr="007A7BCE">
              <w:rPr>
                <w:rFonts w:ascii="Arial" w:hAnsi="Arial" w:cs="Arial"/>
                <w:color w:val="1F4E79"/>
                <w:sz w:val="18"/>
                <w:szCs w:val="18"/>
              </w:rPr>
              <w:t>%</w:t>
            </w:r>
          </w:p>
        </w:tc>
        <w:tc>
          <w:tcPr>
            <w:tcW w:w="1512" w:type="dxa"/>
            <w:shd w:val="clear" w:color="auto" w:fill="D6E6F4"/>
            <w:tcMar>
              <w:top w:w="0" w:type="dxa"/>
              <w:left w:w="57" w:type="dxa"/>
              <w:bottom w:w="0" w:type="dxa"/>
              <w:right w:w="57" w:type="dxa"/>
            </w:tcMar>
            <w:hideMark/>
          </w:tcPr>
          <w:p w14:paraId="06991C02" w14:textId="77777777" w:rsidR="00CE5E4F" w:rsidRPr="00D3192F" w:rsidRDefault="00CE5E4F" w:rsidP="00302A15">
            <w:pPr>
              <w:spacing w:after="0" w:line="240" w:lineRule="auto"/>
              <w:jc w:val="right"/>
              <w:rPr>
                <w:rFonts w:ascii="Arial" w:hAnsi="Arial" w:cs="Arial"/>
                <w:color w:val="1F4E79"/>
                <w:sz w:val="18"/>
                <w:szCs w:val="18"/>
              </w:rPr>
            </w:pPr>
            <w:r>
              <w:rPr>
                <w:rFonts w:ascii="Arial" w:hAnsi="Arial" w:cs="Arial"/>
                <w:color w:val="1F4E79"/>
                <w:sz w:val="18"/>
                <w:szCs w:val="18"/>
              </w:rPr>
              <w:t>4.1</w:t>
            </w:r>
            <w:r w:rsidRPr="007A7BCE">
              <w:rPr>
                <w:rFonts w:ascii="Arial" w:hAnsi="Arial" w:cs="Arial"/>
                <w:color w:val="1F4E79"/>
                <w:sz w:val="18"/>
                <w:szCs w:val="18"/>
              </w:rPr>
              <w:t>%</w:t>
            </w:r>
          </w:p>
        </w:tc>
      </w:tr>
    </w:tbl>
    <w:p w14:paraId="79547130" w14:textId="77777777" w:rsidR="00CE5E4F" w:rsidRDefault="00CE5E4F" w:rsidP="00CE5E4F">
      <w:pPr>
        <w:pStyle w:val="NoSpacing"/>
        <w:rPr>
          <w:rFonts w:ascii="Arial" w:hAnsi="Arial" w:cs="Arial"/>
          <w:sz w:val="14"/>
          <w:szCs w:val="14"/>
        </w:rPr>
      </w:pPr>
      <w:r>
        <w:rPr>
          <w:rFonts w:ascii="Arial" w:hAnsi="Arial" w:cs="Arial"/>
          <w:color w:val="000000"/>
          <w:sz w:val="14"/>
          <w:szCs w:val="14"/>
        </w:rPr>
        <w:t>                                                                                                                </w:t>
      </w:r>
      <w:r>
        <w:rPr>
          <w:rFonts w:ascii="Arial" w:hAnsi="Arial" w:cs="Arial"/>
          <w:sz w:val="14"/>
          <w:szCs w:val="14"/>
        </w:rPr>
        <w:t xml:space="preserve">                                                                                                                       </w:t>
      </w:r>
    </w:p>
    <w:p w14:paraId="37873978" w14:textId="77777777" w:rsidR="00CE5E4F" w:rsidRDefault="00CE5E4F" w:rsidP="00CE5E4F">
      <w:pPr>
        <w:pStyle w:val="NoSpacing"/>
        <w:rPr>
          <w:rFonts w:ascii="Arial" w:hAnsi="Arial" w:cs="Arial"/>
          <w:sz w:val="20"/>
          <w:szCs w:val="20"/>
        </w:rPr>
      </w:pPr>
      <w:r w:rsidRPr="00E85216">
        <w:rPr>
          <w:rFonts w:ascii="Arial" w:hAnsi="Arial" w:cs="Arial"/>
          <w:color w:val="808080" w:themeColor="background1" w:themeShade="80"/>
          <w:sz w:val="16"/>
          <w:szCs w:val="16"/>
        </w:rPr>
        <w:t>Source: IRI Integrated Fresh All Outlets Household Panel</w:t>
      </w:r>
    </w:p>
    <w:bookmarkEnd w:id="0"/>
    <w:p w14:paraId="7194EA73" w14:textId="77777777" w:rsidR="00CE5E4F" w:rsidRDefault="00CE5E4F" w:rsidP="00737671">
      <w:pPr>
        <w:pStyle w:val="NoSpacing"/>
        <w:rPr>
          <w:rFonts w:ascii="Arial" w:hAnsi="Arial" w:cs="Arial"/>
          <w:sz w:val="20"/>
          <w:szCs w:val="20"/>
        </w:rPr>
      </w:pPr>
    </w:p>
    <w:p w14:paraId="69A0EB56" w14:textId="290F266C" w:rsidR="0015304E" w:rsidRDefault="002561CF" w:rsidP="00737671">
      <w:pPr>
        <w:pStyle w:val="NoSpacing"/>
        <w:rPr>
          <w:rFonts w:ascii="Arial" w:hAnsi="Arial" w:cs="Arial"/>
          <w:sz w:val="20"/>
          <w:szCs w:val="20"/>
        </w:rPr>
      </w:pPr>
      <w:r>
        <w:rPr>
          <w:rFonts w:ascii="Arial" w:hAnsi="Arial" w:cs="Arial"/>
          <w:sz w:val="20"/>
          <w:szCs w:val="20"/>
        </w:rPr>
        <w:t>“</w:t>
      </w:r>
      <w:r w:rsidR="00616008">
        <w:rPr>
          <w:rFonts w:ascii="Arial" w:hAnsi="Arial" w:cs="Arial"/>
          <w:sz w:val="20"/>
          <w:szCs w:val="20"/>
        </w:rPr>
        <w:t>I’m in complete agreement with Jonna on relevance of these longer-term channel shifts</w:t>
      </w:r>
      <w:r>
        <w:rPr>
          <w:rFonts w:ascii="Arial" w:hAnsi="Arial" w:cs="Arial"/>
          <w:sz w:val="20"/>
          <w:szCs w:val="20"/>
        </w:rPr>
        <w:t xml:space="preserve">,” </w:t>
      </w:r>
      <w:r w:rsidR="00616008">
        <w:rPr>
          <w:rFonts w:ascii="Arial" w:hAnsi="Arial" w:cs="Arial"/>
          <w:sz w:val="20"/>
          <w:szCs w:val="20"/>
        </w:rPr>
        <w:t xml:space="preserve">Joe </w:t>
      </w:r>
      <w:r w:rsidR="00616008" w:rsidRPr="00BB3A5E">
        <w:rPr>
          <w:rFonts w:ascii="Arial" w:hAnsi="Arial" w:cs="Arial"/>
          <w:sz w:val="20"/>
          <w:szCs w:val="20"/>
        </w:rPr>
        <w:t>Watson, IFPA’s VP, Retail, Foodservice and Wholesale</w:t>
      </w:r>
      <w:r>
        <w:rPr>
          <w:rFonts w:ascii="Arial" w:hAnsi="Arial" w:cs="Arial"/>
          <w:sz w:val="20"/>
          <w:szCs w:val="20"/>
        </w:rPr>
        <w:t xml:space="preserve"> noted. “</w:t>
      </w:r>
      <w:r w:rsidR="00FA000F">
        <w:rPr>
          <w:rFonts w:ascii="Arial" w:hAnsi="Arial" w:cs="Arial"/>
          <w:sz w:val="20"/>
          <w:szCs w:val="20"/>
        </w:rPr>
        <w:t>Traditional grocery’s share has eroded 2.7 percentage points since 2019. If proportional to produce, that means with annual sales of $74.5 billion, that shift alone reflects a $2 billion change in the channel dollar distribution</w:t>
      </w:r>
      <w:r w:rsidR="00CE5E4F">
        <w:rPr>
          <w:rFonts w:ascii="Arial" w:hAnsi="Arial" w:cs="Arial"/>
          <w:sz w:val="20"/>
          <w:szCs w:val="20"/>
        </w:rPr>
        <w:t xml:space="preserve">. </w:t>
      </w:r>
      <w:r w:rsidR="009758A5">
        <w:rPr>
          <w:rFonts w:ascii="Arial" w:hAnsi="Arial" w:cs="Arial"/>
          <w:sz w:val="20"/>
          <w:szCs w:val="20"/>
        </w:rPr>
        <w:t>W</w:t>
      </w:r>
      <w:r w:rsidR="00616008">
        <w:rPr>
          <w:rFonts w:ascii="Arial" w:hAnsi="Arial" w:cs="Arial"/>
          <w:sz w:val="20"/>
          <w:szCs w:val="20"/>
        </w:rPr>
        <w:t>ith</w:t>
      </w:r>
      <w:r w:rsidR="009758A5">
        <w:rPr>
          <w:rFonts w:ascii="Arial" w:hAnsi="Arial" w:cs="Arial"/>
          <w:sz w:val="20"/>
          <w:szCs w:val="20"/>
        </w:rPr>
        <w:t xml:space="preserve"> continued</w:t>
      </w:r>
      <w:r w:rsidR="00616008">
        <w:rPr>
          <w:rFonts w:ascii="Arial" w:hAnsi="Arial" w:cs="Arial"/>
          <w:sz w:val="20"/>
          <w:szCs w:val="20"/>
        </w:rPr>
        <w:t xml:space="preserve"> pressure on the supply chain</w:t>
      </w:r>
      <w:r w:rsidR="009758A5">
        <w:rPr>
          <w:rFonts w:ascii="Arial" w:hAnsi="Arial" w:cs="Arial"/>
          <w:sz w:val="20"/>
          <w:szCs w:val="20"/>
        </w:rPr>
        <w:t xml:space="preserve">, it is all about being distributed in the most effective way for grower/shippers, whereas retailers are ultra-focused on </w:t>
      </w:r>
      <w:r w:rsidR="007A4C1B">
        <w:rPr>
          <w:rFonts w:ascii="Arial" w:hAnsi="Arial" w:cs="Arial"/>
          <w:sz w:val="20"/>
          <w:szCs w:val="20"/>
        </w:rPr>
        <w:t xml:space="preserve">trips, spend per trip and household penetration while </w:t>
      </w:r>
      <w:r w:rsidR="009758A5">
        <w:rPr>
          <w:rFonts w:ascii="Arial" w:hAnsi="Arial" w:cs="Arial"/>
          <w:sz w:val="20"/>
          <w:szCs w:val="20"/>
        </w:rPr>
        <w:t xml:space="preserve">addressing the </w:t>
      </w:r>
      <w:r w:rsidR="00616008">
        <w:rPr>
          <w:rFonts w:ascii="Arial" w:hAnsi="Arial" w:cs="Arial"/>
          <w:sz w:val="20"/>
          <w:szCs w:val="20"/>
        </w:rPr>
        <w:t>significant reduction of purchasing power for most Americans</w:t>
      </w:r>
      <w:r w:rsidR="009758A5">
        <w:rPr>
          <w:rFonts w:ascii="Arial" w:hAnsi="Arial" w:cs="Arial"/>
          <w:sz w:val="20"/>
          <w:szCs w:val="20"/>
        </w:rPr>
        <w:t>.</w:t>
      </w:r>
      <w:r w:rsidR="00616008">
        <w:rPr>
          <w:rFonts w:ascii="Arial" w:hAnsi="Arial" w:cs="Arial"/>
          <w:sz w:val="20"/>
          <w:szCs w:val="20"/>
        </w:rPr>
        <w:t xml:space="preserve"> </w:t>
      </w:r>
      <w:r w:rsidR="009758A5">
        <w:rPr>
          <w:rFonts w:ascii="Arial" w:hAnsi="Arial" w:cs="Arial"/>
          <w:sz w:val="20"/>
          <w:szCs w:val="20"/>
        </w:rPr>
        <w:t xml:space="preserve">A greater tendency to cherry pick deals in addition to simply shifting the entire grocery basket can have substantial impact on </w:t>
      </w:r>
      <w:r w:rsidR="00223615">
        <w:rPr>
          <w:rFonts w:ascii="Arial" w:hAnsi="Arial" w:cs="Arial"/>
          <w:sz w:val="20"/>
          <w:szCs w:val="20"/>
        </w:rPr>
        <w:t>the produce department performance</w:t>
      </w:r>
      <w:r w:rsidR="009758A5">
        <w:rPr>
          <w:rFonts w:ascii="Arial" w:hAnsi="Arial" w:cs="Arial"/>
          <w:sz w:val="20"/>
          <w:szCs w:val="20"/>
        </w:rPr>
        <w:t xml:space="preserve">.” </w:t>
      </w:r>
      <w:r>
        <w:rPr>
          <w:rFonts w:ascii="Arial" w:hAnsi="Arial" w:cs="Arial"/>
          <w:sz w:val="20"/>
          <w:szCs w:val="20"/>
        </w:rPr>
        <w:t xml:space="preserve">Amid </w:t>
      </w:r>
      <w:r w:rsidR="00F8030A">
        <w:rPr>
          <w:rFonts w:ascii="Arial" w:hAnsi="Arial" w:cs="Arial"/>
          <w:sz w:val="20"/>
          <w:szCs w:val="20"/>
        </w:rPr>
        <w:t xml:space="preserve">the </w:t>
      </w:r>
      <w:r>
        <w:rPr>
          <w:rFonts w:ascii="Arial" w:hAnsi="Arial" w:cs="Arial"/>
          <w:sz w:val="20"/>
          <w:szCs w:val="20"/>
        </w:rPr>
        <w:t xml:space="preserve">continued disruption, </w:t>
      </w:r>
      <w:r w:rsidR="0015304E">
        <w:rPr>
          <w:rFonts w:ascii="Arial" w:hAnsi="Arial" w:cs="Arial"/>
          <w:sz w:val="20"/>
          <w:szCs w:val="20"/>
        </w:rPr>
        <w:t xml:space="preserve">IRI, 210 Analytics and IFPA remain committed to bringing the industry the latest trends and analysis in fresh produce. </w:t>
      </w:r>
    </w:p>
    <w:p w14:paraId="57B0DEE7" w14:textId="77777777" w:rsidR="0015304E" w:rsidRDefault="0015304E" w:rsidP="00737671">
      <w:pPr>
        <w:pStyle w:val="NoSpacing"/>
        <w:rPr>
          <w:rFonts w:ascii="Arial" w:hAnsi="Arial" w:cs="Arial"/>
          <w:sz w:val="20"/>
          <w:szCs w:val="20"/>
        </w:rPr>
      </w:pPr>
    </w:p>
    <w:p w14:paraId="672FBCB5" w14:textId="77777777" w:rsidR="00582C7E" w:rsidRPr="00355721" w:rsidRDefault="00582C7E" w:rsidP="00582C7E">
      <w:pPr>
        <w:pStyle w:val="NoSpacing"/>
        <w:rPr>
          <w:rFonts w:ascii="Arial" w:hAnsi="Arial" w:cs="Arial"/>
          <w:b/>
          <w:color w:val="595959" w:themeColor="text1" w:themeTint="A6"/>
          <w:sz w:val="24"/>
          <w:szCs w:val="20"/>
        </w:rPr>
      </w:pPr>
      <w:bookmarkStart w:id="1" w:name="_Hlk116282735"/>
      <w:r w:rsidRPr="00355721">
        <w:rPr>
          <w:rFonts w:ascii="Arial" w:hAnsi="Arial" w:cs="Arial"/>
          <w:b/>
          <w:color w:val="595959" w:themeColor="text1" w:themeTint="A6"/>
          <w:sz w:val="24"/>
          <w:szCs w:val="20"/>
        </w:rPr>
        <w:t>Inflation</w:t>
      </w:r>
      <w:r>
        <w:rPr>
          <w:rFonts w:ascii="Arial" w:hAnsi="Arial" w:cs="Arial"/>
          <w:b/>
          <w:color w:val="595959" w:themeColor="text1" w:themeTint="A6"/>
          <w:sz w:val="24"/>
          <w:szCs w:val="20"/>
        </w:rPr>
        <w:t xml:space="preserve"> Insights</w:t>
      </w:r>
    </w:p>
    <w:p w14:paraId="2D6765AA" w14:textId="4307F797" w:rsidR="00582C7E" w:rsidRDefault="00582C7E" w:rsidP="00582C7E">
      <w:pPr>
        <w:pStyle w:val="NoSpacing"/>
        <w:ind w:right="-285"/>
        <w:rPr>
          <w:rFonts w:ascii="Arial" w:hAnsi="Arial" w:cs="Arial"/>
          <w:color w:val="000000" w:themeColor="text1"/>
          <w:sz w:val="20"/>
          <w:szCs w:val="20"/>
        </w:rPr>
      </w:pPr>
      <w:bookmarkStart w:id="2" w:name="_Hlk118996792"/>
      <w:r>
        <w:rPr>
          <w:rFonts w:ascii="Arial" w:hAnsi="Arial" w:cs="Arial"/>
          <w:sz w:val="20"/>
          <w:szCs w:val="20"/>
        </w:rPr>
        <w:t xml:space="preserve">The price per unit across all foods and beverages in the IRI-measured multi-outlet stores, including supermarkets, club, mass, supercenter, drug and military, increased </w:t>
      </w:r>
      <w:r w:rsidR="00223615">
        <w:rPr>
          <w:rFonts w:ascii="Arial" w:hAnsi="Arial" w:cs="Arial"/>
          <w:sz w:val="20"/>
          <w:szCs w:val="20"/>
        </w:rPr>
        <w:t>13.7</w:t>
      </w:r>
      <w:r>
        <w:rPr>
          <w:rFonts w:ascii="Arial" w:hAnsi="Arial" w:cs="Arial"/>
          <w:sz w:val="20"/>
          <w:szCs w:val="20"/>
        </w:rPr>
        <w:t xml:space="preserve">% </w:t>
      </w:r>
      <w:r w:rsidR="00223615">
        <w:rPr>
          <w:rFonts w:ascii="Arial" w:hAnsi="Arial" w:cs="Arial"/>
          <w:sz w:val="20"/>
          <w:szCs w:val="20"/>
        </w:rPr>
        <w:t>in October 2022 (the five weeks ending 10/30/2022) versus the same</w:t>
      </w:r>
      <w:r>
        <w:rPr>
          <w:rFonts w:ascii="Arial" w:hAnsi="Arial" w:cs="Arial"/>
          <w:sz w:val="20"/>
          <w:szCs w:val="20"/>
        </w:rPr>
        <w:t xml:space="preserve"> month </w:t>
      </w:r>
      <w:r w:rsidR="00223615">
        <w:rPr>
          <w:rFonts w:ascii="Arial" w:hAnsi="Arial" w:cs="Arial"/>
          <w:sz w:val="20"/>
          <w:szCs w:val="20"/>
        </w:rPr>
        <w:t>in 2021</w:t>
      </w:r>
      <w:r>
        <w:rPr>
          <w:rFonts w:ascii="Arial" w:hAnsi="Arial" w:cs="Arial"/>
          <w:sz w:val="20"/>
          <w:szCs w:val="20"/>
        </w:rPr>
        <w:t xml:space="preserve">. </w:t>
      </w:r>
      <w:r w:rsidR="00223615">
        <w:rPr>
          <w:rFonts w:ascii="Arial" w:hAnsi="Arial" w:cs="Arial"/>
          <w:sz w:val="20"/>
          <w:szCs w:val="20"/>
        </w:rPr>
        <w:t xml:space="preserve">October </w:t>
      </w:r>
      <w:r>
        <w:rPr>
          <w:rFonts w:ascii="Arial" w:hAnsi="Arial" w:cs="Arial"/>
          <w:sz w:val="20"/>
          <w:szCs w:val="20"/>
        </w:rPr>
        <w:t>inflation was +</w:t>
      </w:r>
      <w:r w:rsidR="00223615">
        <w:rPr>
          <w:rFonts w:ascii="Arial" w:hAnsi="Arial" w:cs="Arial"/>
          <w:sz w:val="20"/>
          <w:szCs w:val="20"/>
        </w:rPr>
        <w:t>17.0</w:t>
      </w:r>
      <w:r>
        <w:rPr>
          <w:rFonts w:ascii="Arial" w:hAnsi="Arial" w:cs="Arial"/>
          <w:sz w:val="20"/>
          <w:szCs w:val="20"/>
        </w:rPr>
        <w:t>% in the center of the store (grocery) and +1</w:t>
      </w:r>
      <w:r w:rsidR="00223615">
        <w:rPr>
          <w:rFonts w:ascii="Arial" w:hAnsi="Arial" w:cs="Arial"/>
          <w:sz w:val="20"/>
          <w:szCs w:val="20"/>
        </w:rPr>
        <w:t>1.2</w:t>
      </w:r>
      <w:r>
        <w:rPr>
          <w:rFonts w:ascii="Arial" w:hAnsi="Arial" w:cs="Arial"/>
          <w:sz w:val="20"/>
          <w:szCs w:val="20"/>
        </w:rPr>
        <w:t xml:space="preserve">% for perishables. Compared with </w:t>
      </w:r>
      <w:r w:rsidR="00223615">
        <w:rPr>
          <w:rFonts w:ascii="Arial" w:hAnsi="Arial" w:cs="Arial"/>
          <w:sz w:val="20"/>
          <w:szCs w:val="20"/>
        </w:rPr>
        <w:t xml:space="preserve">October </w:t>
      </w:r>
      <w:r>
        <w:rPr>
          <w:rFonts w:ascii="Arial" w:hAnsi="Arial" w:cs="Arial"/>
          <w:sz w:val="20"/>
          <w:szCs w:val="20"/>
        </w:rPr>
        <w:t xml:space="preserve">2019, prices across all foods and beverages were up </w:t>
      </w:r>
      <w:r w:rsidR="00223615">
        <w:rPr>
          <w:rFonts w:ascii="Arial" w:hAnsi="Arial" w:cs="Arial"/>
          <w:sz w:val="20"/>
          <w:szCs w:val="20"/>
        </w:rPr>
        <w:t>28.8</w:t>
      </w:r>
      <w:r>
        <w:rPr>
          <w:rFonts w:ascii="Arial" w:hAnsi="Arial" w:cs="Arial"/>
          <w:sz w:val="20"/>
          <w:szCs w:val="20"/>
        </w:rPr>
        <w:t>%</w:t>
      </w:r>
      <w:r w:rsidR="00223615">
        <w:rPr>
          <w:rFonts w:ascii="Arial" w:hAnsi="Arial" w:cs="Arial"/>
          <w:sz w:val="20"/>
          <w:szCs w:val="20"/>
        </w:rPr>
        <w:t xml:space="preserve"> — prompting a significant reduction of purchasing power for most Americans</w:t>
      </w:r>
      <w:r>
        <w:rPr>
          <w:rFonts w:ascii="Arial" w:hAnsi="Arial" w:cs="Arial"/>
          <w:sz w:val="20"/>
          <w:szCs w:val="20"/>
        </w:rPr>
        <w:t xml:space="preserve">. </w:t>
      </w:r>
    </w:p>
    <w:p w14:paraId="72B3F289" w14:textId="77777777" w:rsidR="00582C7E" w:rsidRPr="00C632A8" w:rsidRDefault="00582C7E" w:rsidP="00582C7E">
      <w:pPr>
        <w:pStyle w:val="NoSpacing"/>
        <w:rPr>
          <w:rFonts w:ascii="Arial" w:hAnsi="Arial" w:cs="Arial"/>
          <w:b/>
          <w:color w:val="595959" w:themeColor="text1" w:themeTint="A6"/>
          <w:sz w:val="20"/>
          <w:szCs w:val="16"/>
        </w:rPr>
      </w:pPr>
    </w:p>
    <w:tbl>
      <w:tblPr>
        <w:tblStyle w:val="LightShading-Accent5"/>
        <w:tblW w:w="10631" w:type="dxa"/>
        <w:tblBorders>
          <w:top w:val="none" w:sz="0" w:space="0" w:color="auto"/>
          <w:bottom w:val="none" w:sz="0" w:space="0" w:color="auto"/>
        </w:tblBorders>
        <w:tblCellMar>
          <w:left w:w="57" w:type="dxa"/>
          <w:right w:w="57" w:type="dxa"/>
        </w:tblCellMar>
        <w:tblLook w:val="04A0" w:firstRow="1" w:lastRow="0" w:firstColumn="1" w:lastColumn="0" w:noHBand="0" w:noVBand="1"/>
      </w:tblPr>
      <w:tblGrid>
        <w:gridCol w:w="2413"/>
        <w:gridCol w:w="1085"/>
        <w:gridCol w:w="978"/>
        <w:gridCol w:w="1085"/>
        <w:gridCol w:w="1084"/>
        <w:gridCol w:w="1085"/>
        <w:gridCol w:w="1097"/>
        <w:gridCol w:w="866"/>
        <w:gridCol w:w="938"/>
      </w:tblGrid>
      <w:tr w:rsidR="00582C7E" w:rsidRPr="00770F6B" w14:paraId="5EC430D4" w14:textId="77777777" w:rsidTr="00E32F8F">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13"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7C6C726B" w14:textId="77777777" w:rsidR="00582C7E" w:rsidRPr="00C37EEB" w:rsidRDefault="00582C7E" w:rsidP="00D10C95">
            <w:pPr>
              <w:pStyle w:val="NoSpacing"/>
              <w:rPr>
                <w:rFonts w:ascii="Arial" w:hAnsi="Arial" w:cs="Arial"/>
                <w:bCs w:val="0"/>
                <w:color w:val="F2F2F2" w:themeColor="background1" w:themeShade="F2"/>
                <w:sz w:val="18"/>
                <w:szCs w:val="18"/>
              </w:rPr>
            </w:pPr>
            <w:bookmarkStart w:id="3" w:name="_Hlk118996777"/>
            <w:r w:rsidRPr="00C37EEB">
              <w:rPr>
                <w:rFonts w:ascii="Arial" w:hAnsi="Arial" w:cs="Arial"/>
                <w:bCs w:val="0"/>
                <w:color w:val="F2F2F2" w:themeColor="background1" w:themeShade="F2"/>
                <w:sz w:val="18"/>
                <w:szCs w:val="18"/>
              </w:rPr>
              <w:t>Average price/unit vs. YA</w:t>
            </w:r>
          </w:p>
        </w:tc>
        <w:tc>
          <w:tcPr>
            <w:tcW w:w="108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76E6E6D" w14:textId="77777777" w:rsidR="00582C7E" w:rsidRPr="006C208B" w:rsidRDefault="00582C7E" w:rsidP="00D10C9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Q1 21</w:t>
            </w:r>
          </w:p>
        </w:tc>
        <w:tc>
          <w:tcPr>
            <w:tcW w:w="978"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128F39AC" w14:textId="77777777" w:rsidR="00582C7E" w:rsidRPr="006C208B" w:rsidRDefault="00582C7E" w:rsidP="00D10C9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Q2 21</w:t>
            </w:r>
          </w:p>
        </w:tc>
        <w:tc>
          <w:tcPr>
            <w:tcW w:w="108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1BA42872" w14:textId="77777777" w:rsidR="00582C7E" w:rsidRPr="006C208B" w:rsidRDefault="00582C7E" w:rsidP="00D10C9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Q3 21</w:t>
            </w:r>
          </w:p>
        </w:tc>
        <w:tc>
          <w:tcPr>
            <w:tcW w:w="108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3B0504B" w14:textId="77777777" w:rsidR="00582C7E" w:rsidRPr="006C208B" w:rsidRDefault="00582C7E" w:rsidP="00D10C9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Q4 21</w:t>
            </w:r>
          </w:p>
        </w:tc>
        <w:tc>
          <w:tcPr>
            <w:tcW w:w="108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1E050D89" w14:textId="77777777" w:rsidR="00582C7E" w:rsidRDefault="00582C7E" w:rsidP="00D10C9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 xml:space="preserve">Q1 22 </w:t>
            </w:r>
          </w:p>
        </w:tc>
        <w:tc>
          <w:tcPr>
            <w:tcW w:w="1097"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2E514C4" w14:textId="77777777" w:rsidR="00582C7E" w:rsidRDefault="00582C7E" w:rsidP="00D10C9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Q2 22</w:t>
            </w:r>
          </w:p>
        </w:tc>
        <w:tc>
          <w:tcPr>
            <w:tcW w:w="866"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95A6E6E" w14:textId="77777777" w:rsidR="00582C7E" w:rsidRDefault="00582C7E" w:rsidP="00D10C9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Q3 22</w:t>
            </w:r>
          </w:p>
        </w:tc>
        <w:tc>
          <w:tcPr>
            <w:tcW w:w="938"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D4B59E3" w14:textId="4679DC7B" w:rsidR="00582C7E" w:rsidRPr="006C208B" w:rsidRDefault="003C0347" w:rsidP="00D10C95">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 xml:space="preserve">Oct </w:t>
            </w:r>
            <w:r w:rsidR="00582C7E">
              <w:rPr>
                <w:rFonts w:ascii="Arial" w:hAnsi="Arial" w:cs="Arial"/>
                <w:color w:val="F2F2F2" w:themeColor="background1" w:themeShade="F2"/>
                <w:sz w:val="18"/>
                <w:szCs w:val="18"/>
              </w:rPr>
              <w:t>22</w:t>
            </w:r>
          </w:p>
        </w:tc>
      </w:tr>
      <w:tr w:rsidR="00582C7E" w:rsidRPr="007F5087" w14:paraId="39EE5232" w14:textId="77777777" w:rsidTr="00D10C9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3" w:type="dxa"/>
            <w:tcBorders>
              <w:left w:val="none" w:sz="0" w:space="0" w:color="auto"/>
              <w:right w:val="none" w:sz="0" w:space="0" w:color="auto"/>
            </w:tcBorders>
            <w:vAlign w:val="center"/>
          </w:tcPr>
          <w:p w14:paraId="27922D47" w14:textId="77777777" w:rsidR="00582C7E" w:rsidRPr="007F5087" w:rsidRDefault="00582C7E" w:rsidP="00D10C95">
            <w:pPr>
              <w:pStyle w:val="NoSpacing"/>
              <w:jc w:val="right"/>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Total food and beverages</w:t>
            </w:r>
          </w:p>
        </w:tc>
        <w:tc>
          <w:tcPr>
            <w:tcW w:w="1085" w:type="dxa"/>
            <w:tcBorders>
              <w:left w:val="none" w:sz="0" w:space="0" w:color="auto"/>
              <w:right w:val="none" w:sz="0" w:space="0" w:color="auto"/>
            </w:tcBorders>
            <w:vAlign w:val="center"/>
          </w:tcPr>
          <w:p w14:paraId="2DDFC4BA" w14:textId="77777777" w:rsidR="00582C7E" w:rsidRPr="007F5087" w:rsidRDefault="00582C7E" w:rsidP="00D10C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+5.5%</w:t>
            </w:r>
          </w:p>
        </w:tc>
        <w:tc>
          <w:tcPr>
            <w:tcW w:w="978" w:type="dxa"/>
            <w:tcBorders>
              <w:left w:val="none" w:sz="0" w:space="0" w:color="auto"/>
              <w:right w:val="none" w:sz="0" w:space="0" w:color="auto"/>
            </w:tcBorders>
            <w:vAlign w:val="center"/>
          </w:tcPr>
          <w:p w14:paraId="7C8AD56E" w14:textId="77777777" w:rsidR="00582C7E" w:rsidRPr="007F5087" w:rsidRDefault="00582C7E" w:rsidP="00D10C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+2.7%</w:t>
            </w:r>
          </w:p>
        </w:tc>
        <w:tc>
          <w:tcPr>
            <w:tcW w:w="1085" w:type="dxa"/>
            <w:tcBorders>
              <w:left w:val="none" w:sz="0" w:space="0" w:color="auto"/>
              <w:right w:val="none" w:sz="0" w:space="0" w:color="auto"/>
            </w:tcBorders>
            <w:vAlign w:val="center"/>
          </w:tcPr>
          <w:p w14:paraId="752AD033" w14:textId="77777777" w:rsidR="00582C7E" w:rsidRPr="007F5087" w:rsidRDefault="00582C7E" w:rsidP="00D10C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+5.0%</w:t>
            </w:r>
          </w:p>
        </w:tc>
        <w:tc>
          <w:tcPr>
            <w:tcW w:w="1084" w:type="dxa"/>
            <w:tcBorders>
              <w:left w:val="none" w:sz="0" w:space="0" w:color="auto"/>
              <w:right w:val="none" w:sz="0" w:space="0" w:color="auto"/>
            </w:tcBorders>
            <w:vAlign w:val="center"/>
          </w:tcPr>
          <w:p w14:paraId="06821C75" w14:textId="77777777" w:rsidR="00582C7E" w:rsidRPr="007F5087" w:rsidRDefault="00582C7E" w:rsidP="00D10C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+8.0%</w:t>
            </w:r>
          </w:p>
        </w:tc>
        <w:tc>
          <w:tcPr>
            <w:tcW w:w="1085" w:type="dxa"/>
            <w:tcBorders>
              <w:left w:val="none" w:sz="0" w:space="0" w:color="auto"/>
              <w:right w:val="none" w:sz="0" w:space="0" w:color="auto"/>
            </w:tcBorders>
            <w:vAlign w:val="center"/>
          </w:tcPr>
          <w:p w14:paraId="488A6595" w14:textId="77777777" w:rsidR="00582C7E" w:rsidRPr="007F5087" w:rsidRDefault="00582C7E" w:rsidP="00D10C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+9.9%</w:t>
            </w:r>
          </w:p>
        </w:tc>
        <w:tc>
          <w:tcPr>
            <w:tcW w:w="1097" w:type="dxa"/>
            <w:tcBorders>
              <w:left w:val="none" w:sz="0" w:space="0" w:color="auto"/>
              <w:right w:val="none" w:sz="0" w:space="0" w:color="auto"/>
            </w:tcBorders>
            <w:vAlign w:val="center"/>
          </w:tcPr>
          <w:p w14:paraId="0067DE00" w14:textId="77777777" w:rsidR="00582C7E" w:rsidRPr="007F5087" w:rsidRDefault="00582C7E" w:rsidP="00D10C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w:t>
            </w:r>
            <w:r>
              <w:rPr>
                <w:rFonts w:ascii="Arial" w:hAnsi="Arial" w:cs="Arial"/>
                <w:color w:val="215868" w:themeColor="accent5" w:themeShade="80"/>
                <w:sz w:val="18"/>
                <w:szCs w:val="18"/>
              </w:rPr>
              <w:t>11.9</w:t>
            </w:r>
            <w:r w:rsidRPr="007F5087">
              <w:rPr>
                <w:rFonts w:ascii="Arial" w:hAnsi="Arial" w:cs="Arial"/>
                <w:color w:val="215868" w:themeColor="accent5" w:themeShade="80"/>
                <w:sz w:val="18"/>
                <w:szCs w:val="18"/>
              </w:rPr>
              <w:t>%</w:t>
            </w:r>
          </w:p>
        </w:tc>
        <w:tc>
          <w:tcPr>
            <w:tcW w:w="866" w:type="dxa"/>
            <w:tcBorders>
              <w:left w:val="none" w:sz="0" w:space="0" w:color="auto"/>
              <w:right w:val="none" w:sz="0" w:space="0" w:color="auto"/>
            </w:tcBorders>
          </w:tcPr>
          <w:p w14:paraId="2BBC4373" w14:textId="77777777" w:rsidR="00582C7E" w:rsidRPr="007F5087" w:rsidRDefault="00582C7E" w:rsidP="00D10C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+14.0%</w:t>
            </w:r>
          </w:p>
        </w:tc>
        <w:tc>
          <w:tcPr>
            <w:tcW w:w="938" w:type="dxa"/>
            <w:tcBorders>
              <w:left w:val="none" w:sz="0" w:space="0" w:color="auto"/>
              <w:right w:val="none" w:sz="0" w:space="0" w:color="auto"/>
            </w:tcBorders>
            <w:vAlign w:val="center"/>
          </w:tcPr>
          <w:p w14:paraId="70745503" w14:textId="4DD7897D" w:rsidR="00582C7E" w:rsidRPr="007F5087" w:rsidRDefault="00582C7E" w:rsidP="00D10C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w:t>
            </w:r>
            <w:r w:rsidR="00223615">
              <w:rPr>
                <w:rFonts w:ascii="Arial" w:hAnsi="Arial" w:cs="Arial"/>
                <w:color w:val="215868" w:themeColor="accent5" w:themeShade="80"/>
                <w:sz w:val="18"/>
                <w:szCs w:val="18"/>
              </w:rPr>
              <w:t>13.7</w:t>
            </w:r>
            <w:r w:rsidRPr="007F5087">
              <w:rPr>
                <w:rFonts w:ascii="Arial" w:hAnsi="Arial" w:cs="Arial"/>
                <w:color w:val="215868" w:themeColor="accent5" w:themeShade="80"/>
                <w:sz w:val="18"/>
                <w:szCs w:val="18"/>
              </w:rPr>
              <w:t>%</w:t>
            </w:r>
          </w:p>
        </w:tc>
      </w:tr>
    </w:tbl>
    <w:bookmarkEnd w:id="3"/>
    <w:p w14:paraId="06D4169E" w14:textId="77777777" w:rsidR="00582C7E" w:rsidRDefault="00582C7E" w:rsidP="00582C7E">
      <w:pPr>
        <w:pStyle w:val="NoSpacing"/>
        <w:tabs>
          <w:tab w:val="left" w:pos="8991"/>
        </w:tabs>
        <w:rPr>
          <w:rFonts w:ascii="Arial" w:hAnsi="Arial" w:cs="Arial"/>
          <w:sz w:val="16"/>
          <w:szCs w:val="16"/>
        </w:rPr>
      </w:pPr>
      <w:r>
        <w:rPr>
          <w:rFonts w:ascii="Arial" w:hAnsi="Arial" w:cs="Arial"/>
          <w:sz w:val="16"/>
          <w:szCs w:val="16"/>
        </w:rPr>
        <w:tab/>
      </w:r>
    </w:p>
    <w:p w14:paraId="117465B2" w14:textId="77777777" w:rsidR="00582C7E" w:rsidRPr="006879B2" w:rsidRDefault="00582C7E" w:rsidP="00582C7E">
      <w:pPr>
        <w:pStyle w:val="NoSpacing"/>
        <w:rPr>
          <w:rFonts w:ascii="Arial" w:hAnsi="Arial" w:cs="Arial"/>
          <w:sz w:val="16"/>
          <w:szCs w:val="16"/>
        </w:rPr>
      </w:pPr>
      <w:r>
        <w:rPr>
          <w:rFonts w:ascii="Arial" w:hAnsi="Arial" w:cs="Arial"/>
          <w:sz w:val="16"/>
          <w:szCs w:val="16"/>
        </w:rPr>
        <w:t xml:space="preserve">Source: IRI, Integrated Fresh, Total US, MULO, average price per unit and % gain versus YA </w:t>
      </w:r>
    </w:p>
    <w:bookmarkEnd w:id="1"/>
    <w:bookmarkEnd w:id="2"/>
    <w:p w14:paraId="1AF11EDB" w14:textId="6986F3AD" w:rsidR="009C02A0" w:rsidRDefault="009C02A0" w:rsidP="00D8582D">
      <w:pPr>
        <w:pStyle w:val="NoSpacing"/>
        <w:rPr>
          <w:rFonts w:ascii="Arial" w:hAnsi="Arial" w:cs="Arial"/>
          <w:sz w:val="20"/>
          <w:szCs w:val="20"/>
        </w:rPr>
      </w:pPr>
    </w:p>
    <w:p w14:paraId="793F164D" w14:textId="77777777" w:rsidR="002561CF" w:rsidRDefault="002561CF" w:rsidP="00D8582D">
      <w:pPr>
        <w:pStyle w:val="NoSpacing"/>
        <w:rPr>
          <w:rFonts w:ascii="Arial" w:hAnsi="Arial" w:cs="Arial"/>
          <w:sz w:val="20"/>
          <w:szCs w:val="20"/>
        </w:rPr>
      </w:pPr>
    </w:p>
    <w:p w14:paraId="33E52E4B" w14:textId="51F09EF6" w:rsidR="00354739" w:rsidRDefault="00DD3DF6" w:rsidP="00DD3DF6">
      <w:pPr>
        <w:pStyle w:val="NoSpacing"/>
        <w:rPr>
          <w:rFonts w:ascii="Arial" w:hAnsi="Arial" w:cs="Arial"/>
          <w:sz w:val="20"/>
          <w:szCs w:val="20"/>
        </w:rPr>
      </w:pPr>
      <w:r>
        <w:rPr>
          <w:rFonts w:ascii="Arial" w:hAnsi="Arial" w:cs="Arial"/>
          <w:sz w:val="20"/>
          <w:szCs w:val="20"/>
        </w:rPr>
        <w:t xml:space="preserve">Fresh produce prices </w:t>
      </w:r>
      <w:r w:rsidR="00BC7B47">
        <w:rPr>
          <w:rFonts w:ascii="Arial" w:hAnsi="Arial" w:cs="Arial"/>
          <w:sz w:val="20"/>
          <w:szCs w:val="20"/>
        </w:rPr>
        <w:t xml:space="preserve">were </w:t>
      </w:r>
      <w:r>
        <w:rPr>
          <w:rFonts w:ascii="Arial" w:hAnsi="Arial" w:cs="Arial"/>
          <w:sz w:val="20"/>
          <w:szCs w:val="20"/>
        </w:rPr>
        <w:t xml:space="preserve">also </w:t>
      </w:r>
      <w:r w:rsidR="00B1061E">
        <w:rPr>
          <w:rFonts w:ascii="Arial" w:hAnsi="Arial" w:cs="Arial"/>
          <w:sz w:val="20"/>
          <w:szCs w:val="20"/>
        </w:rPr>
        <w:t xml:space="preserve">up from </w:t>
      </w:r>
      <w:r>
        <w:rPr>
          <w:rFonts w:ascii="Arial" w:hAnsi="Arial" w:cs="Arial"/>
          <w:sz w:val="20"/>
          <w:szCs w:val="20"/>
        </w:rPr>
        <w:t>last year</w:t>
      </w:r>
      <w:r w:rsidR="005575F0">
        <w:rPr>
          <w:rFonts w:ascii="Arial" w:hAnsi="Arial" w:cs="Arial"/>
          <w:sz w:val="20"/>
          <w:szCs w:val="20"/>
        </w:rPr>
        <w:t xml:space="preserve">, at </w:t>
      </w:r>
      <w:r w:rsidR="00BC7B47">
        <w:rPr>
          <w:rFonts w:ascii="Arial" w:hAnsi="Arial" w:cs="Arial"/>
          <w:sz w:val="20"/>
          <w:szCs w:val="20"/>
        </w:rPr>
        <w:t>+</w:t>
      </w:r>
      <w:r w:rsidR="00223615">
        <w:rPr>
          <w:rFonts w:ascii="Arial" w:hAnsi="Arial" w:cs="Arial"/>
          <w:sz w:val="20"/>
          <w:szCs w:val="20"/>
        </w:rPr>
        <w:t>5.3</w:t>
      </w:r>
      <w:r w:rsidR="00BC7B47">
        <w:rPr>
          <w:rFonts w:ascii="Arial" w:hAnsi="Arial" w:cs="Arial"/>
          <w:sz w:val="20"/>
          <w:szCs w:val="20"/>
        </w:rPr>
        <w:t>% level on a per</w:t>
      </w:r>
      <w:r w:rsidR="008A426C">
        <w:rPr>
          <w:rFonts w:ascii="Arial" w:hAnsi="Arial" w:cs="Arial"/>
          <w:sz w:val="20"/>
          <w:szCs w:val="20"/>
        </w:rPr>
        <w:t>-</w:t>
      </w:r>
      <w:r w:rsidR="00BC7B47">
        <w:rPr>
          <w:rFonts w:ascii="Arial" w:hAnsi="Arial" w:cs="Arial"/>
          <w:sz w:val="20"/>
          <w:szCs w:val="20"/>
        </w:rPr>
        <w:t xml:space="preserve">unit basis and </w:t>
      </w:r>
      <w:r w:rsidR="005575F0">
        <w:rPr>
          <w:rFonts w:ascii="Arial" w:hAnsi="Arial" w:cs="Arial"/>
          <w:sz w:val="20"/>
          <w:szCs w:val="20"/>
        </w:rPr>
        <w:t>+</w:t>
      </w:r>
      <w:r w:rsidR="00223615">
        <w:rPr>
          <w:rFonts w:ascii="Arial" w:hAnsi="Arial" w:cs="Arial"/>
          <w:sz w:val="20"/>
          <w:szCs w:val="20"/>
        </w:rPr>
        <w:t>7.0</w:t>
      </w:r>
      <w:r w:rsidR="005575F0">
        <w:rPr>
          <w:rFonts w:ascii="Arial" w:hAnsi="Arial" w:cs="Arial"/>
          <w:sz w:val="20"/>
          <w:szCs w:val="20"/>
        </w:rPr>
        <w:t>%</w:t>
      </w:r>
      <w:r w:rsidR="00BC7B47">
        <w:rPr>
          <w:rFonts w:ascii="Arial" w:hAnsi="Arial" w:cs="Arial"/>
          <w:sz w:val="20"/>
          <w:szCs w:val="20"/>
        </w:rPr>
        <w:t xml:space="preserve"> on a per</w:t>
      </w:r>
      <w:r w:rsidR="008A426C">
        <w:rPr>
          <w:rFonts w:ascii="Arial" w:hAnsi="Arial" w:cs="Arial"/>
          <w:sz w:val="20"/>
          <w:szCs w:val="20"/>
        </w:rPr>
        <w:t>-</w:t>
      </w:r>
      <w:r w:rsidR="00BC7B47">
        <w:rPr>
          <w:rFonts w:ascii="Arial" w:hAnsi="Arial" w:cs="Arial"/>
          <w:sz w:val="20"/>
          <w:szCs w:val="20"/>
        </w:rPr>
        <w:t>pound basis.</w:t>
      </w:r>
      <w:r w:rsidR="001D65B2">
        <w:rPr>
          <w:rFonts w:ascii="Arial" w:hAnsi="Arial" w:cs="Arial"/>
          <w:sz w:val="20"/>
          <w:szCs w:val="20"/>
        </w:rPr>
        <w:t xml:space="preserve"> This is far below the total store average</w:t>
      </w:r>
      <w:r w:rsidR="00223615">
        <w:rPr>
          <w:rFonts w:ascii="Arial" w:hAnsi="Arial" w:cs="Arial"/>
          <w:sz w:val="20"/>
          <w:szCs w:val="20"/>
        </w:rPr>
        <w:t xml:space="preserve"> and the lowest rate of increase seen in many months</w:t>
      </w:r>
      <w:r w:rsidR="001D65B2">
        <w:rPr>
          <w:rFonts w:ascii="Arial" w:hAnsi="Arial" w:cs="Arial"/>
          <w:sz w:val="20"/>
          <w:szCs w:val="20"/>
        </w:rPr>
        <w:t xml:space="preserve">. </w:t>
      </w:r>
      <w:r w:rsidR="00223615">
        <w:rPr>
          <w:rFonts w:ascii="Arial" w:hAnsi="Arial" w:cs="Arial"/>
          <w:sz w:val="20"/>
          <w:szCs w:val="20"/>
        </w:rPr>
        <w:t xml:space="preserve">The deceleration is driven by fruit, for which prices increased a low 3.8%. Vegetable inflation did remain in the double </w:t>
      </w:r>
      <w:proofErr w:type="gramStart"/>
      <w:r w:rsidR="00223615">
        <w:rPr>
          <w:rFonts w:ascii="Arial" w:hAnsi="Arial" w:cs="Arial"/>
          <w:sz w:val="20"/>
          <w:szCs w:val="20"/>
        </w:rPr>
        <w:t>digits</w:t>
      </w:r>
      <w:proofErr w:type="gramEnd"/>
      <w:r w:rsidR="00223615">
        <w:rPr>
          <w:rFonts w:ascii="Arial" w:hAnsi="Arial" w:cs="Arial"/>
          <w:sz w:val="20"/>
          <w:szCs w:val="20"/>
        </w:rPr>
        <w:t xml:space="preserve"> year-on-year. </w:t>
      </w:r>
      <w:r w:rsidR="00AD4CC2">
        <w:rPr>
          <w:rFonts w:ascii="Arial" w:hAnsi="Arial" w:cs="Arial"/>
          <w:sz w:val="20"/>
          <w:szCs w:val="20"/>
        </w:rPr>
        <w:t xml:space="preserve"> </w:t>
      </w:r>
    </w:p>
    <w:p w14:paraId="2EDF8097" w14:textId="77777777" w:rsidR="00DD3DF6" w:rsidRPr="000A543A" w:rsidRDefault="00DD3DF6" w:rsidP="00DD3DF6">
      <w:pPr>
        <w:pStyle w:val="NoSpacing"/>
        <w:rPr>
          <w:rFonts w:ascii="Arial" w:hAnsi="Arial" w:cs="Arial"/>
          <w:sz w:val="20"/>
          <w:szCs w:val="20"/>
        </w:rPr>
      </w:pPr>
    </w:p>
    <w:tbl>
      <w:tblPr>
        <w:tblStyle w:val="LightShading-Accent5"/>
        <w:tblW w:w="10008" w:type="dxa"/>
        <w:tblBorders>
          <w:top w:val="none" w:sz="0" w:space="0" w:color="auto"/>
          <w:bottom w:val="none" w:sz="0" w:space="0" w:color="auto"/>
        </w:tblBorders>
        <w:tblLook w:val="04A0" w:firstRow="1" w:lastRow="0" w:firstColumn="1" w:lastColumn="0" w:noHBand="0" w:noVBand="1"/>
      </w:tblPr>
      <w:tblGrid>
        <w:gridCol w:w="4260"/>
        <w:gridCol w:w="2130"/>
        <w:gridCol w:w="1702"/>
        <w:gridCol w:w="1916"/>
      </w:tblGrid>
      <w:tr w:rsidR="00DD3DF6" w:rsidRPr="002A71C0" w14:paraId="34E708B3" w14:textId="77777777" w:rsidTr="001F29D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60" w:type="dxa"/>
            <w:tcBorders>
              <w:top w:val="none" w:sz="0" w:space="0" w:color="auto"/>
              <w:bottom w:val="none" w:sz="0" w:space="0" w:color="auto"/>
            </w:tcBorders>
            <w:shd w:val="clear" w:color="auto" w:fill="17365D" w:themeFill="text2" w:themeFillShade="BF"/>
            <w:vAlign w:val="center"/>
          </w:tcPr>
          <w:p w14:paraId="4F54E5B7" w14:textId="23708404" w:rsidR="00DD3DF6" w:rsidRPr="004850A1" w:rsidRDefault="00DD3DF6" w:rsidP="001F29DC">
            <w:pPr>
              <w:pStyle w:val="NoSpacing"/>
              <w:rPr>
                <w:rFonts w:ascii="Arial" w:hAnsi="Arial" w:cs="Arial"/>
                <w:color w:val="FFFFFF" w:themeColor="background1"/>
                <w:sz w:val="18"/>
                <w:szCs w:val="18"/>
              </w:rPr>
            </w:pPr>
            <w:r w:rsidRPr="004850A1">
              <w:rPr>
                <w:rFonts w:ascii="Arial" w:hAnsi="Arial" w:cs="Arial"/>
                <w:color w:val="FFFFFF" w:themeColor="background1"/>
                <w:sz w:val="18"/>
                <w:szCs w:val="18"/>
              </w:rPr>
              <w:t>Price per volume</w:t>
            </w:r>
            <w:r w:rsidR="00551D01">
              <w:rPr>
                <w:rFonts w:ascii="Arial" w:hAnsi="Arial" w:cs="Arial"/>
                <w:color w:val="FFFFFF" w:themeColor="background1"/>
                <w:sz w:val="18"/>
                <w:szCs w:val="18"/>
              </w:rPr>
              <w:t xml:space="preserve"> (</w:t>
            </w:r>
            <w:proofErr w:type="spellStart"/>
            <w:r w:rsidR="00551D01">
              <w:rPr>
                <w:rFonts w:ascii="Arial" w:hAnsi="Arial" w:cs="Arial"/>
                <w:color w:val="FFFFFF" w:themeColor="background1"/>
                <w:sz w:val="18"/>
                <w:szCs w:val="18"/>
              </w:rPr>
              <w:t>lb</w:t>
            </w:r>
            <w:r w:rsidR="00AD4CC2">
              <w:rPr>
                <w:rFonts w:ascii="Arial" w:hAnsi="Arial" w:cs="Arial"/>
                <w:color w:val="FFFFFF" w:themeColor="background1"/>
                <w:sz w:val="18"/>
                <w:szCs w:val="18"/>
              </w:rPr>
              <w:t>s</w:t>
            </w:r>
            <w:proofErr w:type="spellEnd"/>
            <w:r w:rsidR="00551D01">
              <w:rPr>
                <w:rFonts w:ascii="Arial" w:hAnsi="Arial" w:cs="Arial"/>
                <w:color w:val="FFFFFF" w:themeColor="background1"/>
                <w:sz w:val="18"/>
                <w:szCs w:val="18"/>
              </w:rPr>
              <w:t>)</w:t>
            </w:r>
          </w:p>
        </w:tc>
        <w:tc>
          <w:tcPr>
            <w:tcW w:w="2130" w:type="dxa"/>
            <w:tcBorders>
              <w:top w:val="none" w:sz="0" w:space="0" w:color="auto"/>
              <w:bottom w:val="none" w:sz="0" w:space="0" w:color="auto"/>
            </w:tcBorders>
            <w:shd w:val="clear" w:color="auto" w:fill="17365D" w:themeFill="text2" w:themeFillShade="BF"/>
            <w:vAlign w:val="center"/>
          </w:tcPr>
          <w:p w14:paraId="06FD748D"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Price/volume</w:t>
            </w:r>
          </w:p>
        </w:tc>
        <w:tc>
          <w:tcPr>
            <w:tcW w:w="1702" w:type="dxa"/>
            <w:tcBorders>
              <w:top w:val="none" w:sz="0" w:space="0" w:color="auto"/>
              <w:bottom w:val="none" w:sz="0" w:space="0" w:color="auto"/>
            </w:tcBorders>
            <w:shd w:val="clear" w:color="auto" w:fill="17365D" w:themeFill="text2" w:themeFillShade="BF"/>
            <w:vAlign w:val="center"/>
          </w:tcPr>
          <w:p w14:paraId="446CFB3F"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202</w:t>
            </w:r>
            <w:r w:rsidR="0038781D">
              <w:rPr>
                <w:rFonts w:ascii="Arial" w:hAnsi="Arial" w:cs="Arial"/>
                <w:color w:val="FFFFFF" w:themeColor="background1"/>
                <w:sz w:val="18"/>
                <w:szCs w:val="18"/>
              </w:rPr>
              <w:t>1</w:t>
            </w:r>
          </w:p>
        </w:tc>
        <w:tc>
          <w:tcPr>
            <w:tcW w:w="1916" w:type="dxa"/>
            <w:tcBorders>
              <w:top w:val="none" w:sz="0" w:space="0" w:color="auto"/>
              <w:bottom w:val="none" w:sz="0" w:space="0" w:color="auto"/>
            </w:tcBorders>
            <w:shd w:val="clear" w:color="auto" w:fill="17365D" w:themeFill="text2" w:themeFillShade="BF"/>
            <w:vAlign w:val="center"/>
          </w:tcPr>
          <w:p w14:paraId="23EF784E" w14:textId="73C2BCB1"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w:t>
            </w:r>
            <w:r w:rsidR="00F8030A">
              <w:rPr>
                <w:rFonts w:ascii="Arial" w:hAnsi="Arial" w:cs="Arial"/>
                <w:color w:val="FFFFFF" w:themeColor="background1"/>
                <w:sz w:val="18"/>
                <w:szCs w:val="18"/>
              </w:rPr>
              <w:t>19</w:t>
            </w:r>
          </w:p>
        </w:tc>
      </w:tr>
      <w:tr w:rsidR="007F5087" w:rsidRPr="00B75D3A" w14:paraId="1434C87A"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1E4595FE" w14:textId="44DF2CF4" w:rsidR="00BF64A8" w:rsidRPr="00B75D3A" w:rsidRDefault="00BF64A8" w:rsidP="00E001A3">
            <w:pPr>
              <w:pStyle w:val="NoSpacing"/>
              <w:jc w:val="right"/>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Total fresh produce </w:t>
            </w:r>
            <w:r w:rsidR="00E001A3">
              <w:rPr>
                <w:rFonts w:ascii="Arial" w:hAnsi="Arial" w:cs="Arial"/>
                <w:color w:val="215868" w:themeColor="accent5" w:themeShade="80"/>
                <w:sz w:val="18"/>
                <w:szCs w:val="18"/>
              </w:rPr>
              <w:t>October</w:t>
            </w:r>
            <w:r w:rsidR="002769A5" w:rsidRPr="00B75D3A">
              <w:rPr>
                <w:rFonts w:ascii="Arial" w:hAnsi="Arial" w:cs="Arial"/>
                <w:color w:val="215868" w:themeColor="accent5" w:themeShade="80"/>
                <w:sz w:val="18"/>
                <w:szCs w:val="18"/>
              </w:rPr>
              <w:t xml:space="preserve"> </w:t>
            </w:r>
            <w:r w:rsidRPr="00B75D3A">
              <w:rPr>
                <w:rFonts w:ascii="Arial" w:hAnsi="Arial" w:cs="Arial"/>
                <w:color w:val="215868" w:themeColor="accent5" w:themeShade="80"/>
                <w:sz w:val="18"/>
                <w:szCs w:val="18"/>
              </w:rPr>
              <w:t>2022</w:t>
            </w:r>
          </w:p>
        </w:tc>
        <w:tc>
          <w:tcPr>
            <w:tcW w:w="2130" w:type="dxa"/>
            <w:vAlign w:val="center"/>
          </w:tcPr>
          <w:p w14:paraId="6E97F861" w14:textId="1B9B83D7" w:rsidR="00BF64A8" w:rsidRPr="00B75D3A" w:rsidRDefault="00BF64A8" w:rsidP="00D6564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sidRPr="00B75D3A">
              <w:rPr>
                <w:rFonts w:ascii="Arial" w:hAnsi="Arial" w:cs="Arial"/>
                <w:b/>
                <w:bCs/>
                <w:color w:val="215868" w:themeColor="accent5" w:themeShade="80"/>
                <w:sz w:val="18"/>
                <w:szCs w:val="18"/>
              </w:rPr>
              <w:t>$</w:t>
            </w:r>
            <w:r w:rsidR="00223615">
              <w:rPr>
                <w:rFonts w:ascii="Arial" w:hAnsi="Arial" w:cs="Arial"/>
                <w:b/>
                <w:bCs/>
                <w:color w:val="215868" w:themeColor="accent5" w:themeShade="80"/>
                <w:sz w:val="18"/>
                <w:szCs w:val="18"/>
              </w:rPr>
              <w:t>1.78</w:t>
            </w:r>
          </w:p>
        </w:tc>
        <w:tc>
          <w:tcPr>
            <w:tcW w:w="1702" w:type="dxa"/>
            <w:vAlign w:val="center"/>
          </w:tcPr>
          <w:p w14:paraId="5720898A" w14:textId="7095435E" w:rsidR="00BF64A8" w:rsidRPr="00B75D3A" w:rsidRDefault="00BF64A8" w:rsidP="00D6564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sidRPr="00B75D3A">
              <w:rPr>
                <w:rFonts w:ascii="Arial" w:hAnsi="Arial" w:cs="Arial"/>
                <w:b/>
                <w:bCs/>
                <w:color w:val="215868" w:themeColor="accent5" w:themeShade="80"/>
                <w:sz w:val="18"/>
                <w:szCs w:val="18"/>
              </w:rPr>
              <w:t>+</w:t>
            </w:r>
            <w:r w:rsidR="00223615">
              <w:rPr>
                <w:rFonts w:ascii="Arial" w:hAnsi="Arial" w:cs="Arial"/>
                <w:b/>
                <w:bCs/>
                <w:color w:val="215868" w:themeColor="accent5" w:themeShade="80"/>
                <w:sz w:val="18"/>
                <w:szCs w:val="18"/>
              </w:rPr>
              <w:t>7.0</w:t>
            </w:r>
            <w:r w:rsidRPr="00B75D3A">
              <w:rPr>
                <w:rFonts w:ascii="Arial" w:hAnsi="Arial" w:cs="Arial"/>
                <w:b/>
                <w:bCs/>
                <w:color w:val="215868" w:themeColor="accent5" w:themeShade="80"/>
                <w:sz w:val="18"/>
                <w:szCs w:val="18"/>
              </w:rPr>
              <w:t>%</w:t>
            </w:r>
          </w:p>
        </w:tc>
        <w:tc>
          <w:tcPr>
            <w:tcW w:w="1916" w:type="dxa"/>
            <w:vAlign w:val="center"/>
          </w:tcPr>
          <w:p w14:paraId="164946FB" w14:textId="212EF183" w:rsidR="00BF64A8" w:rsidRPr="00B75D3A" w:rsidRDefault="00BF64A8" w:rsidP="00D65642">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223615">
              <w:rPr>
                <w:rFonts w:ascii="Arial" w:hAnsi="Arial" w:cs="Arial"/>
                <w:b/>
                <w:bCs/>
                <w:color w:val="215868" w:themeColor="accent5" w:themeShade="80"/>
                <w:sz w:val="18"/>
                <w:szCs w:val="18"/>
              </w:rPr>
              <w:t>16.4</w:t>
            </w:r>
            <w:r w:rsidRPr="00B75D3A">
              <w:rPr>
                <w:rFonts w:ascii="Arial" w:hAnsi="Arial" w:cs="Arial"/>
                <w:b/>
                <w:bCs/>
                <w:color w:val="215868" w:themeColor="accent5" w:themeShade="80"/>
                <w:sz w:val="18"/>
                <w:szCs w:val="18"/>
              </w:rPr>
              <w:t>%</w:t>
            </w:r>
          </w:p>
        </w:tc>
      </w:tr>
      <w:tr w:rsidR="007F5087" w:rsidRPr="007F5087" w14:paraId="5A66D034"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47FBBA20" w14:textId="0A386F92" w:rsidR="002769A5" w:rsidRPr="007F5087" w:rsidRDefault="002769A5" w:rsidP="002769A5">
            <w:pPr>
              <w:pStyle w:val="NoSpacing"/>
              <w:jc w:val="right"/>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Total fresh produce latest 52 weeks</w:t>
            </w:r>
          </w:p>
        </w:tc>
        <w:tc>
          <w:tcPr>
            <w:tcW w:w="2130" w:type="dxa"/>
            <w:vAlign w:val="center"/>
          </w:tcPr>
          <w:p w14:paraId="1F20343F" w14:textId="13699D39"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223615">
              <w:rPr>
                <w:rFonts w:ascii="Arial" w:hAnsi="Arial" w:cs="Arial"/>
                <w:color w:val="215868" w:themeColor="accent5" w:themeShade="80"/>
                <w:sz w:val="18"/>
                <w:szCs w:val="18"/>
              </w:rPr>
              <w:t>1.81</w:t>
            </w:r>
          </w:p>
        </w:tc>
        <w:tc>
          <w:tcPr>
            <w:tcW w:w="1702" w:type="dxa"/>
            <w:vAlign w:val="center"/>
          </w:tcPr>
          <w:p w14:paraId="31810777" w14:textId="1C8C058E"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223615">
              <w:rPr>
                <w:rFonts w:ascii="Arial" w:hAnsi="Arial" w:cs="Arial"/>
                <w:color w:val="215868" w:themeColor="accent5" w:themeShade="80"/>
                <w:sz w:val="18"/>
                <w:szCs w:val="18"/>
              </w:rPr>
              <w:t>9.4</w:t>
            </w:r>
            <w:r w:rsidR="00093E23">
              <w:rPr>
                <w:rFonts w:ascii="Arial" w:hAnsi="Arial" w:cs="Arial"/>
                <w:color w:val="215868" w:themeColor="accent5" w:themeShade="80"/>
                <w:sz w:val="18"/>
                <w:szCs w:val="18"/>
              </w:rPr>
              <w:t>%</w:t>
            </w:r>
          </w:p>
        </w:tc>
        <w:tc>
          <w:tcPr>
            <w:tcW w:w="1916" w:type="dxa"/>
            <w:vAlign w:val="center"/>
          </w:tcPr>
          <w:p w14:paraId="3E082B02" w14:textId="7409E893"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223615">
              <w:rPr>
                <w:rFonts w:ascii="Arial" w:hAnsi="Arial" w:cs="Arial"/>
                <w:color w:val="215868" w:themeColor="accent5" w:themeShade="80"/>
                <w:sz w:val="18"/>
                <w:szCs w:val="18"/>
              </w:rPr>
              <w:t>15.2</w:t>
            </w:r>
            <w:r w:rsidRPr="007F5087">
              <w:rPr>
                <w:rFonts w:ascii="Arial" w:hAnsi="Arial" w:cs="Arial"/>
                <w:color w:val="215868" w:themeColor="accent5" w:themeShade="80"/>
                <w:sz w:val="18"/>
                <w:szCs w:val="18"/>
              </w:rPr>
              <w:t>%</w:t>
            </w:r>
          </w:p>
        </w:tc>
      </w:tr>
      <w:tr w:rsidR="007F5087" w:rsidRPr="00B75D3A" w14:paraId="5B57AE54"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71D907A4" w14:textId="0D31881D" w:rsidR="002769A5" w:rsidRPr="00B75D3A" w:rsidRDefault="002769A5" w:rsidP="00E001A3">
            <w:pPr>
              <w:pStyle w:val="NoSpacing"/>
              <w:jc w:val="right"/>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Fresh fruit </w:t>
            </w:r>
            <w:r w:rsidR="00E001A3">
              <w:rPr>
                <w:rFonts w:ascii="Arial" w:hAnsi="Arial" w:cs="Arial"/>
                <w:color w:val="215868" w:themeColor="accent5" w:themeShade="80"/>
                <w:sz w:val="18"/>
                <w:szCs w:val="18"/>
              </w:rPr>
              <w:t>October</w:t>
            </w:r>
            <w:r w:rsidRPr="00B75D3A">
              <w:rPr>
                <w:rFonts w:ascii="Arial" w:hAnsi="Arial" w:cs="Arial"/>
                <w:color w:val="215868" w:themeColor="accent5" w:themeShade="80"/>
                <w:sz w:val="18"/>
                <w:szCs w:val="18"/>
              </w:rPr>
              <w:t xml:space="preserve"> 2022</w:t>
            </w:r>
          </w:p>
        </w:tc>
        <w:tc>
          <w:tcPr>
            <w:tcW w:w="2130" w:type="dxa"/>
            <w:vAlign w:val="center"/>
          </w:tcPr>
          <w:p w14:paraId="2E070CA6" w14:textId="2924B0C2"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223615">
              <w:rPr>
                <w:rFonts w:ascii="Arial" w:hAnsi="Arial" w:cs="Arial"/>
                <w:b/>
                <w:bCs/>
                <w:color w:val="215868" w:themeColor="accent5" w:themeShade="80"/>
                <w:sz w:val="18"/>
                <w:szCs w:val="18"/>
              </w:rPr>
              <w:t>1.73</w:t>
            </w:r>
          </w:p>
        </w:tc>
        <w:tc>
          <w:tcPr>
            <w:tcW w:w="1702" w:type="dxa"/>
            <w:vAlign w:val="center"/>
          </w:tcPr>
          <w:p w14:paraId="5F7D0FB3" w14:textId="4AE15C83"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223615">
              <w:rPr>
                <w:rFonts w:ascii="Arial" w:hAnsi="Arial" w:cs="Arial"/>
                <w:b/>
                <w:bCs/>
                <w:color w:val="215868" w:themeColor="accent5" w:themeShade="80"/>
                <w:sz w:val="18"/>
                <w:szCs w:val="18"/>
              </w:rPr>
              <w:t>3.8</w:t>
            </w:r>
            <w:r w:rsidRPr="00B75D3A">
              <w:rPr>
                <w:rFonts w:ascii="Arial" w:hAnsi="Arial" w:cs="Arial"/>
                <w:b/>
                <w:bCs/>
                <w:color w:val="215868" w:themeColor="accent5" w:themeShade="80"/>
                <w:sz w:val="18"/>
                <w:szCs w:val="18"/>
              </w:rPr>
              <w:t>%</w:t>
            </w:r>
          </w:p>
        </w:tc>
        <w:tc>
          <w:tcPr>
            <w:tcW w:w="1916" w:type="dxa"/>
            <w:vAlign w:val="center"/>
          </w:tcPr>
          <w:p w14:paraId="5BD0263C" w14:textId="0E0BCFBD"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223615">
              <w:rPr>
                <w:rFonts w:ascii="Arial" w:hAnsi="Arial" w:cs="Arial"/>
                <w:b/>
                <w:bCs/>
                <w:color w:val="215868" w:themeColor="accent5" w:themeShade="80"/>
                <w:sz w:val="18"/>
                <w:szCs w:val="18"/>
              </w:rPr>
              <w:t>13.7</w:t>
            </w:r>
            <w:r w:rsidRPr="00B75D3A">
              <w:rPr>
                <w:rFonts w:ascii="Arial" w:hAnsi="Arial" w:cs="Arial"/>
                <w:b/>
                <w:bCs/>
                <w:color w:val="215868" w:themeColor="accent5" w:themeShade="80"/>
                <w:sz w:val="18"/>
                <w:szCs w:val="18"/>
              </w:rPr>
              <w:t>%</w:t>
            </w:r>
          </w:p>
        </w:tc>
      </w:tr>
      <w:tr w:rsidR="007F5087" w:rsidRPr="007F5087" w14:paraId="1144520F"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4DC7A0E2" w14:textId="77777777" w:rsidR="002769A5" w:rsidRPr="007F5087" w:rsidRDefault="002769A5" w:rsidP="002769A5">
            <w:pPr>
              <w:pStyle w:val="NoSpacing"/>
              <w:jc w:val="right"/>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 xml:space="preserve"> Fresh fruit latest 52 weeks</w:t>
            </w:r>
          </w:p>
        </w:tc>
        <w:tc>
          <w:tcPr>
            <w:tcW w:w="2130" w:type="dxa"/>
            <w:vAlign w:val="center"/>
          </w:tcPr>
          <w:p w14:paraId="7E73EC2B" w14:textId="4A736227"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223615">
              <w:rPr>
                <w:rFonts w:ascii="Arial" w:hAnsi="Arial" w:cs="Arial"/>
                <w:color w:val="215868" w:themeColor="accent5" w:themeShade="80"/>
                <w:sz w:val="18"/>
                <w:szCs w:val="18"/>
              </w:rPr>
              <w:t>1.69</w:t>
            </w:r>
          </w:p>
        </w:tc>
        <w:tc>
          <w:tcPr>
            <w:tcW w:w="1702" w:type="dxa"/>
            <w:vAlign w:val="center"/>
          </w:tcPr>
          <w:p w14:paraId="4038274E" w14:textId="2C3A7E1D"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223615">
              <w:rPr>
                <w:rFonts w:ascii="Arial" w:hAnsi="Arial" w:cs="Arial"/>
                <w:color w:val="215868" w:themeColor="accent5" w:themeShade="80"/>
                <w:sz w:val="18"/>
                <w:szCs w:val="18"/>
              </w:rPr>
              <w:t>10.9</w:t>
            </w:r>
            <w:r w:rsidRPr="007F5087">
              <w:rPr>
                <w:rFonts w:ascii="Arial" w:hAnsi="Arial" w:cs="Arial"/>
                <w:color w:val="215868" w:themeColor="accent5" w:themeShade="80"/>
                <w:sz w:val="18"/>
                <w:szCs w:val="18"/>
              </w:rPr>
              <w:t>%</w:t>
            </w:r>
          </w:p>
        </w:tc>
        <w:tc>
          <w:tcPr>
            <w:tcW w:w="1916" w:type="dxa"/>
            <w:vAlign w:val="center"/>
          </w:tcPr>
          <w:p w14:paraId="4548B493" w14:textId="617C60C6"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223615">
              <w:rPr>
                <w:rFonts w:ascii="Arial" w:hAnsi="Arial" w:cs="Arial"/>
                <w:color w:val="215868" w:themeColor="accent5" w:themeShade="80"/>
                <w:sz w:val="18"/>
                <w:szCs w:val="18"/>
              </w:rPr>
              <w:t>18.2</w:t>
            </w:r>
            <w:r w:rsidRPr="007F5087">
              <w:rPr>
                <w:rFonts w:ascii="Arial" w:hAnsi="Arial" w:cs="Arial"/>
                <w:color w:val="215868" w:themeColor="accent5" w:themeShade="80"/>
                <w:sz w:val="18"/>
                <w:szCs w:val="18"/>
              </w:rPr>
              <w:t>%</w:t>
            </w:r>
          </w:p>
        </w:tc>
      </w:tr>
      <w:tr w:rsidR="007F5087" w:rsidRPr="00B75D3A" w14:paraId="49DE74F5"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354E4AFC" w14:textId="3BC943D4" w:rsidR="002769A5" w:rsidRPr="00B75D3A" w:rsidRDefault="002769A5" w:rsidP="00E001A3">
            <w:pPr>
              <w:pStyle w:val="NoSpacing"/>
              <w:jc w:val="right"/>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Fresh vegetables </w:t>
            </w:r>
            <w:r w:rsidR="00E001A3">
              <w:rPr>
                <w:rFonts w:ascii="Arial" w:hAnsi="Arial" w:cs="Arial"/>
                <w:color w:val="215868" w:themeColor="accent5" w:themeShade="80"/>
                <w:sz w:val="18"/>
                <w:szCs w:val="18"/>
              </w:rPr>
              <w:t>October</w:t>
            </w:r>
            <w:r w:rsidRPr="00B75D3A">
              <w:rPr>
                <w:rFonts w:ascii="Arial" w:hAnsi="Arial" w:cs="Arial"/>
                <w:color w:val="215868" w:themeColor="accent5" w:themeShade="80"/>
                <w:sz w:val="18"/>
                <w:szCs w:val="18"/>
              </w:rPr>
              <w:t xml:space="preserve"> 2022</w:t>
            </w:r>
          </w:p>
        </w:tc>
        <w:tc>
          <w:tcPr>
            <w:tcW w:w="2130" w:type="dxa"/>
            <w:vAlign w:val="center"/>
          </w:tcPr>
          <w:p w14:paraId="179F7533" w14:textId="42D9C47F"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223615">
              <w:rPr>
                <w:rFonts w:ascii="Arial" w:hAnsi="Arial" w:cs="Arial"/>
                <w:b/>
                <w:bCs/>
                <w:color w:val="215868" w:themeColor="accent5" w:themeShade="80"/>
                <w:sz w:val="18"/>
                <w:szCs w:val="18"/>
              </w:rPr>
              <w:t>1.79</w:t>
            </w:r>
          </w:p>
        </w:tc>
        <w:tc>
          <w:tcPr>
            <w:tcW w:w="1702" w:type="dxa"/>
            <w:vAlign w:val="center"/>
          </w:tcPr>
          <w:p w14:paraId="5B5FDC39" w14:textId="2E5ABAD3"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223615">
              <w:rPr>
                <w:rFonts w:ascii="Arial" w:hAnsi="Arial" w:cs="Arial"/>
                <w:b/>
                <w:bCs/>
                <w:color w:val="215868" w:themeColor="accent5" w:themeShade="80"/>
                <w:sz w:val="18"/>
                <w:szCs w:val="18"/>
              </w:rPr>
              <w:t>10.0</w:t>
            </w:r>
            <w:r w:rsidRPr="00B75D3A">
              <w:rPr>
                <w:rFonts w:ascii="Arial" w:hAnsi="Arial" w:cs="Arial"/>
                <w:b/>
                <w:bCs/>
                <w:color w:val="215868" w:themeColor="accent5" w:themeShade="80"/>
                <w:sz w:val="18"/>
                <w:szCs w:val="18"/>
              </w:rPr>
              <w:t>%</w:t>
            </w:r>
          </w:p>
        </w:tc>
        <w:tc>
          <w:tcPr>
            <w:tcW w:w="1916" w:type="dxa"/>
            <w:vAlign w:val="center"/>
          </w:tcPr>
          <w:p w14:paraId="0790677A" w14:textId="3718FE50"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223615">
              <w:rPr>
                <w:rFonts w:ascii="Arial" w:hAnsi="Arial" w:cs="Arial"/>
                <w:b/>
                <w:bCs/>
                <w:color w:val="215868" w:themeColor="accent5" w:themeShade="80"/>
                <w:sz w:val="18"/>
                <w:szCs w:val="18"/>
              </w:rPr>
              <w:t>18.8</w:t>
            </w:r>
            <w:r w:rsidRPr="00B75D3A">
              <w:rPr>
                <w:rFonts w:ascii="Arial" w:hAnsi="Arial" w:cs="Arial"/>
                <w:b/>
                <w:bCs/>
                <w:color w:val="215868" w:themeColor="accent5" w:themeShade="80"/>
                <w:sz w:val="18"/>
                <w:szCs w:val="18"/>
              </w:rPr>
              <w:t>%</w:t>
            </w:r>
          </w:p>
        </w:tc>
      </w:tr>
      <w:tr w:rsidR="007F5087" w:rsidRPr="007F5087" w14:paraId="0E7328F7"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7639B956" w14:textId="1EF08D42" w:rsidR="002769A5" w:rsidRPr="007F5087" w:rsidRDefault="002769A5" w:rsidP="002769A5">
            <w:pPr>
              <w:pStyle w:val="NoSpacing"/>
              <w:jc w:val="right"/>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lastRenderedPageBreak/>
              <w:t>Fresh vegetables latest 52 weeks</w:t>
            </w:r>
          </w:p>
        </w:tc>
        <w:tc>
          <w:tcPr>
            <w:tcW w:w="2130" w:type="dxa"/>
            <w:vAlign w:val="center"/>
          </w:tcPr>
          <w:p w14:paraId="1F880C62" w14:textId="57EBCA12"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223615">
              <w:rPr>
                <w:rFonts w:ascii="Arial" w:hAnsi="Arial" w:cs="Arial"/>
                <w:color w:val="215868" w:themeColor="accent5" w:themeShade="80"/>
                <w:sz w:val="18"/>
                <w:szCs w:val="18"/>
              </w:rPr>
              <w:t>1.92</w:t>
            </w:r>
          </w:p>
        </w:tc>
        <w:tc>
          <w:tcPr>
            <w:tcW w:w="1702" w:type="dxa"/>
            <w:vAlign w:val="center"/>
          </w:tcPr>
          <w:p w14:paraId="414FD40F" w14:textId="51C33378"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223615">
              <w:rPr>
                <w:rFonts w:ascii="Arial" w:hAnsi="Arial" w:cs="Arial"/>
                <w:color w:val="215868" w:themeColor="accent5" w:themeShade="80"/>
                <w:sz w:val="18"/>
                <w:szCs w:val="18"/>
              </w:rPr>
              <w:t>7.9</w:t>
            </w:r>
            <w:r w:rsidR="00093E23">
              <w:rPr>
                <w:rFonts w:ascii="Arial" w:hAnsi="Arial" w:cs="Arial"/>
                <w:color w:val="215868" w:themeColor="accent5" w:themeShade="80"/>
                <w:sz w:val="18"/>
                <w:szCs w:val="18"/>
              </w:rPr>
              <w:t>%</w:t>
            </w:r>
          </w:p>
        </w:tc>
        <w:tc>
          <w:tcPr>
            <w:tcW w:w="1916" w:type="dxa"/>
            <w:vAlign w:val="center"/>
          </w:tcPr>
          <w:p w14:paraId="2E870FBA" w14:textId="74F61536"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223615">
              <w:rPr>
                <w:rFonts w:ascii="Arial" w:hAnsi="Arial" w:cs="Arial"/>
                <w:color w:val="215868" w:themeColor="accent5" w:themeShade="80"/>
                <w:sz w:val="18"/>
                <w:szCs w:val="18"/>
              </w:rPr>
              <w:t>12.4</w:t>
            </w:r>
            <w:r w:rsidRPr="007F5087">
              <w:rPr>
                <w:rFonts w:ascii="Arial" w:hAnsi="Arial" w:cs="Arial"/>
                <w:color w:val="215868" w:themeColor="accent5" w:themeShade="80"/>
                <w:sz w:val="18"/>
                <w:szCs w:val="18"/>
              </w:rPr>
              <w:t>%</w:t>
            </w:r>
          </w:p>
        </w:tc>
      </w:tr>
    </w:tbl>
    <w:p w14:paraId="0F3442BC" w14:textId="77777777" w:rsidR="00DD3DF6" w:rsidRPr="008A1AD9" w:rsidRDefault="00DD3DF6" w:rsidP="00DD3DF6">
      <w:pPr>
        <w:pStyle w:val="NoSpacing"/>
        <w:rPr>
          <w:rFonts w:ascii="Arial" w:hAnsi="Arial" w:cs="Arial"/>
          <w:sz w:val="6"/>
          <w:szCs w:val="6"/>
        </w:rPr>
      </w:pPr>
    </w:p>
    <w:p w14:paraId="62F0D49A" w14:textId="77777777" w:rsidR="00DD3DF6" w:rsidRPr="006879B2" w:rsidRDefault="00DD3DF6" w:rsidP="00DD3DF6">
      <w:pPr>
        <w:pStyle w:val="NoSpacing"/>
        <w:rPr>
          <w:rFonts w:ascii="Arial" w:hAnsi="Arial" w:cs="Arial"/>
          <w:sz w:val="16"/>
          <w:szCs w:val="16"/>
        </w:rPr>
      </w:pPr>
      <w:r>
        <w:rPr>
          <w:rFonts w:ascii="Arial" w:hAnsi="Arial" w:cs="Arial"/>
          <w:sz w:val="16"/>
          <w:szCs w:val="16"/>
        </w:rPr>
        <w:t>Source: IRI, Integrated Fresh, Total US, MULO, average price per volume and % gain versus YA and 2YA</w:t>
      </w:r>
    </w:p>
    <w:p w14:paraId="46EBDEE1" w14:textId="5BCC297E" w:rsidR="00F40AEA" w:rsidRPr="00CF43CE" w:rsidRDefault="00E001A3" w:rsidP="00F40AEA">
      <w:pPr>
        <w:pStyle w:val="NoSpacing"/>
        <w:rPr>
          <w:rFonts w:ascii="Arial" w:hAnsi="Arial" w:cs="Arial"/>
          <w:b/>
          <w:bCs/>
          <w:color w:val="595959" w:themeColor="text1" w:themeTint="A6"/>
          <w:sz w:val="24"/>
          <w:szCs w:val="24"/>
        </w:rPr>
      </w:pPr>
      <w:bookmarkStart w:id="4" w:name="_Hlk118997987"/>
      <w:r>
        <w:rPr>
          <w:rFonts w:ascii="Arial" w:hAnsi="Arial" w:cs="Arial"/>
          <w:b/>
          <w:bCs/>
          <w:color w:val="595959" w:themeColor="text1" w:themeTint="A6"/>
          <w:sz w:val="24"/>
          <w:szCs w:val="24"/>
        </w:rPr>
        <w:t>October</w:t>
      </w:r>
      <w:r w:rsidR="00F40AEA">
        <w:rPr>
          <w:rFonts w:ascii="Arial" w:hAnsi="Arial" w:cs="Arial"/>
          <w:b/>
          <w:bCs/>
          <w:color w:val="595959" w:themeColor="text1" w:themeTint="A6"/>
          <w:sz w:val="24"/>
          <w:szCs w:val="24"/>
        </w:rPr>
        <w:t xml:space="preserve"> 2022 Sales</w:t>
      </w:r>
    </w:p>
    <w:p w14:paraId="61D24B95" w14:textId="4CB3C5AC" w:rsidR="00F40AEA" w:rsidRDefault="00F40AEA" w:rsidP="00F40AEA">
      <w:pPr>
        <w:pStyle w:val="NoSpacing"/>
        <w:rPr>
          <w:rFonts w:ascii="Arial" w:hAnsi="Arial" w:cs="Arial"/>
          <w:sz w:val="20"/>
          <w:szCs w:val="20"/>
        </w:rPr>
      </w:pPr>
      <w:r>
        <w:rPr>
          <w:rFonts w:ascii="Arial" w:hAnsi="Arial" w:cs="Arial"/>
          <w:sz w:val="20"/>
          <w:szCs w:val="20"/>
        </w:rPr>
        <w:t>The f</w:t>
      </w:r>
      <w:r w:rsidR="00CF005A">
        <w:rPr>
          <w:rFonts w:ascii="Arial" w:hAnsi="Arial" w:cs="Arial"/>
          <w:sz w:val="20"/>
          <w:szCs w:val="20"/>
        </w:rPr>
        <w:t>ive</w:t>
      </w:r>
      <w:r>
        <w:rPr>
          <w:rFonts w:ascii="Arial" w:hAnsi="Arial" w:cs="Arial"/>
          <w:sz w:val="20"/>
          <w:szCs w:val="20"/>
        </w:rPr>
        <w:t xml:space="preserve"> </w:t>
      </w:r>
      <w:r w:rsidR="00CF005A">
        <w:rPr>
          <w:rFonts w:ascii="Arial" w:hAnsi="Arial" w:cs="Arial"/>
          <w:sz w:val="20"/>
          <w:szCs w:val="20"/>
        </w:rPr>
        <w:t xml:space="preserve">October </w:t>
      </w:r>
      <w:r w:rsidRPr="006A0AAA">
        <w:rPr>
          <w:rFonts w:ascii="Arial" w:hAnsi="Arial" w:cs="Arial"/>
          <w:sz w:val="20"/>
          <w:szCs w:val="20"/>
        </w:rPr>
        <w:t>2022</w:t>
      </w:r>
      <w:r>
        <w:rPr>
          <w:rFonts w:ascii="Arial" w:hAnsi="Arial" w:cs="Arial"/>
          <w:sz w:val="20"/>
          <w:szCs w:val="20"/>
        </w:rPr>
        <w:t xml:space="preserve"> weeks</w:t>
      </w:r>
      <w:r w:rsidRPr="006A0AAA">
        <w:rPr>
          <w:rFonts w:ascii="Arial" w:hAnsi="Arial" w:cs="Arial"/>
          <w:sz w:val="20"/>
          <w:szCs w:val="20"/>
        </w:rPr>
        <w:t xml:space="preserve"> brought $</w:t>
      </w:r>
      <w:r w:rsidR="00CF005A">
        <w:rPr>
          <w:rFonts w:ascii="Arial" w:hAnsi="Arial" w:cs="Arial"/>
          <w:sz w:val="20"/>
          <w:szCs w:val="20"/>
        </w:rPr>
        <w:t>73.1</w:t>
      </w:r>
      <w:r>
        <w:rPr>
          <w:rFonts w:ascii="Arial" w:hAnsi="Arial" w:cs="Arial"/>
          <w:sz w:val="20"/>
          <w:szCs w:val="20"/>
        </w:rPr>
        <w:t xml:space="preserve"> billion in total food and beverage sales, which was up +9.</w:t>
      </w:r>
      <w:r w:rsidR="00CF005A">
        <w:rPr>
          <w:rFonts w:ascii="Arial" w:hAnsi="Arial" w:cs="Arial"/>
          <w:sz w:val="20"/>
          <w:szCs w:val="20"/>
        </w:rPr>
        <w:t>3</w:t>
      </w:r>
      <w:r>
        <w:rPr>
          <w:rFonts w:ascii="Arial" w:hAnsi="Arial" w:cs="Arial"/>
          <w:sz w:val="20"/>
          <w:szCs w:val="20"/>
        </w:rPr>
        <w:t>% versus year ago.</w:t>
      </w:r>
      <w:r w:rsidR="00CF005A">
        <w:rPr>
          <w:rFonts w:ascii="Arial" w:hAnsi="Arial" w:cs="Arial"/>
          <w:sz w:val="20"/>
          <w:szCs w:val="20"/>
        </w:rPr>
        <w:t xml:space="preserve"> October</w:t>
      </w:r>
      <w:r>
        <w:rPr>
          <w:rFonts w:ascii="Arial" w:hAnsi="Arial" w:cs="Arial"/>
          <w:sz w:val="20"/>
          <w:szCs w:val="20"/>
        </w:rPr>
        <w:t xml:space="preserve"> 2022 dollar sales were up +</w:t>
      </w:r>
      <w:r w:rsidR="00CF005A">
        <w:rPr>
          <w:rFonts w:ascii="Arial" w:hAnsi="Arial" w:cs="Arial"/>
          <w:sz w:val="20"/>
          <w:szCs w:val="20"/>
        </w:rPr>
        <w:t>28.6</w:t>
      </w:r>
      <w:r>
        <w:rPr>
          <w:rFonts w:ascii="Arial" w:hAnsi="Arial" w:cs="Arial"/>
          <w:sz w:val="20"/>
          <w:szCs w:val="20"/>
        </w:rPr>
        <w:t xml:space="preserve">% versus </w:t>
      </w:r>
      <w:r w:rsidR="00CF005A">
        <w:rPr>
          <w:rFonts w:ascii="Arial" w:hAnsi="Arial" w:cs="Arial"/>
          <w:sz w:val="20"/>
          <w:szCs w:val="20"/>
        </w:rPr>
        <w:t xml:space="preserve">October </w:t>
      </w:r>
      <w:r>
        <w:rPr>
          <w:rFonts w:ascii="Arial" w:hAnsi="Arial" w:cs="Arial"/>
          <w:sz w:val="20"/>
          <w:szCs w:val="20"/>
        </w:rPr>
        <w:t xml:space="preserve">2019, the pre-pandemic normal. Perishables, including produce, seafood, meat, bakery and deli, had a slightly below-average dollar performance, but center-store item sales increased </w:t>
      </w:r>
      <w:r w:rsidR="00CF005A">
        <w:rPr>
          <w:rFonts w:ascii="Arial" w:hAnsi="Arial" w:cs="Arial"/>
          <w:sz w:val="20"/>
          <w:szCs w:val="20"/>
        </w:rPr>
        <w:t xml:space="preserve">nearly </w:t>
      </w:r>
      <w:r>
        <w:rPr>
          <w:rFonts w:ascii="Arial" w:hAnsi="Arial" w:cs="Arial"/>
          <w:sz w:val="20"/>
          <w:szCs w:val="20"/>
        </w:rPr>
        <w:t xml:space="preserve">12%. A lot of the dollar growth performance was closely related to the levels of inflation, which were higher in grocery. </w:t>
      </w:r>
    </w:p>
    <w:p w14:paraId="5BAA77E8" w14:textId="77777777" w:rsidR="00F40AEA" w:rsidRDefault="00F40AEA" w:rsidP="00F40AEA">
      <w:pPr>
        <w:pStyle w:val="NoSpacing"/>
        <w:rPr>
          <w:rFonts w:ascii="Arial" w:hAnsi="Arial" w:cs="Arial"/>
          <w:sz w:val="20"/>
          <w:szCs w:val="20"/>
        </w:rPr>
      </w:pPr>
    </w:p>
    <w:p w14:paraId="35C6E4E3" w14:textId="67DBE4A0" w:rsidR="00F40AEA" w:rsidRDefault="00F40AEA" w:rsidP="00F40AEA">
      <w:pPr>
        <w:pStyle w:val="NoSpacing"/>
        <w:rPr>
          <w:rFonts w:ascii="Arial" w:hAnsi="Arial" w:cs="Arial"/>
          <w:sz w:val="20"/>
          <w:szCs w:val="20"/>
        </w:rPr>
      </w:pPr>
      <w:r>
        <w:rPr>
          <w:rFonts w:ascii="Arial" w:hAnsi="Arial" w:cs="Arial"/>
          <w:sz w:val="20"/>
          <w:szCs w:val="20"/>
        </w:rPr>
        <w:t xml:space="preserve">Year-on-year </w:t>
      </w:r>
      <w:r w:rsidR="00CF005A">
        <w:rPr>
          <w:rFonts w:ascii="Arial" w:hAnsi="Arial" w:cs="Arial"/>
          <w:sz w:val="20"/>
          <w:szCs w:val="20"/>
        </w:rPr>
        <w:t xml:space="preserve">October 2022 </w:t>
      </w:r>
      <w:r>
        <w:rPr>
          <w:rFonts w:ascii="Arial" w:hAnsi="Arial" w:cs="Arial"/>
          <w:sz w:val="20"/>
          <w:szCs w:val="20"/>
        </w:rPr>
        <w:t>gains were inflation-boosted, with unit sales down -</w:t>
      </w:r>
      <w:r w:rsidR="00CF005A">
        <w:rPr>
          <w:rFonts w:ascii="Arial" w:hAnsi="Arial" w:cs="Arial"/>
          <w:sz w:val="20"/>
          <w:szCs w:val="20"/>
        </w:rPr>
        <w:t>3.8% versus -</w:t>
      </w:r>
      <w:r>
        <w:rPr>
          <w:rFonts w:ascii="Arial" w:hAnsi="Arial" w:cs="Arial"/>
          <w:sz w:val="20"/>
          <w:szCs w:val="20"/>
        </w:rPr>
        <w:t>4.1%</w:t>
      </w:r>
      <w:r w:rsidR="00CF005A">
        <w:rPr>
          <w:rFonts w:ascii="Arial" w:hAnsi="Arial" w:cs="Arial"/>
          <w:sz w:val="20"/>
          <w:szCs w:val="20"/>
        </w:rPr>
        <w:t xml:space="preserve"> in September</w:t>
      </w:r>
      <w:r>
        <w:rPr>
          <w:rFonts w:ascii="Arial" w:hAnsi="Arial" w:cs="Arial"/>
          <w:sz w:val="20"/>
          <w:szCs w:val="20"/>
        </w:rPr>
        <w:t xml:space="preserve">. Unit declines have averaged between 4% and 5% for several months now. Units </w:t>
      </w:r>
      <w:r w:rsidR="00CF005A">
        <w:rPr>
          <w:rFonts w:ascii="Arial" w:hAnsi="Arial" w:cs="Arial"/>
          <w:sz w:val="20"/>
          <w:szCs w:val="20"/>
        </w:rPr>
        <w:t>continue to trend right around 2019 levels</w:t>
      </w:r>
      <w:r>
        <w:rPr>
          <w:rFonts w:ascii="Arial" w:hAnsi="Arial" w:cs="Arial"/>
          <w:sz w:val="20"/>
          <w:szCs w:val="20"/>
        </w:rPr>
        <w:t xml:space="preserve">. </w:t>
      </w:r>
    </w:p>
    <w:p w14:paraId="2A4797A2" w14:textId="77777777" w:rsidR="00F40AEA" w:rsidRDefault="00F40AEA" w:rsidP="00F40AEA">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2448"/>
        <w:gridCol w:w="504"/>
        <w:gridCol w:w="502"/>
        <w:gridCol w:w="1269"/>
        <w:gridCol w:w="1269"/>
        <w:gridCol w:w="1269"/>
        <w:gridCol w:w="1269"/>
        <w:gridCol w:w="1100"/>
        <w:gridCol w:w="1098"/>
      </w:tblGrid>
      <w:tr w:rsidR="00F40AEA" w:rsidRPr="00706DE2" w14:paraId="06AEC305" w14:textId="77777777" w:rsidTr="00D10C9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48" w:type="dxa"/>
            <w:vMerge w:val="restart"/>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1790DA0D" w14:textId="3B66C367" w:rsidR="00F40AEA" w:rsidRPr="00706DE2" w:rsidRDefault="00E001A3" w:rsidP="00D10C95">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October 2022</w:t>
            </w:r>
          </w:p>
        </w:tc>
        <w:tc>
          <w:tcPr>
            <w:tcW w:w="50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B09E10B" w14:textId="77777777" w:rsidR="00F40AEA" w:rsidRPr="00706DE2" w:rsidRDefault="00F40AEA" w:rsidP="00D10C9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p>
        </w:tc>
        <w:tc>
          <w:tcPr>
            <w:tcW w:w="7776" w:type="dxa"/>
            <w:gridSpan w:val="7"/>
            <w:tcBorders>
              <w:top w:val="none" w:sz="0" w:space="0" w:color="auto"/>
              <w:left w:val="none" w:sz="0" w:space="0" w:color="auto"/>
              <w:bottom w:val="none" w:sz="0" w:space="0" w:color="auto"/>
              <w:right w:val="none" w:sz="0" w:space="0" w:color="auto"/>
            </w:tcBorders>
            <w:shd w:val="clear" w:color="auto" w:fill="17365D" w:themeFill="text2" w:themeFillShade="BF"/>
          </w:tcPr>
          <w:p w14:paraId="350B1EF1" w14:textId="77777777" w:rsidR="00F40AEA" w:rsidRPr="00706DE2" w:rsidRDefault="00F40AEA" w:rsidP="00D10C9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706DE2">
              <w:rPr>
                <w:rFonts w:ascii="Arial" w:eastAsia="Times New Roman" w:hAnsi="Arial" w:cs="Arial"/>
                <w:color w:val="FFFFFF" w:themeColor="background1"/>
                <w:sz w:val="18"/>
                <w:szCs w:val="20"/>
              </w:rPr>
              <w:t>% sales change</w:t>
            </w:r>
            <w:r>
              <w:rPr>
                <w:rFonts w:ascii="Arial" w:eastAsia="Times New Roman" w:hAnsi="Arial" w:cs="Arial"/>
                <w:color w:val="FFFFFF" w:themeColor="background1"/>
                <w:sz w:val="18"/>
                <w:szCs w:val="20"/>
              </w:rPr>
              <w:t xml:space="preserve"> </w:t>
            </w:r>
            <w:r w:rsidRPr="00706DE2">
              <w:rPr>
                <w:rFonts w:ascii="Arial" w:eastAsia="Times New Roman" w:hAnsi="Arial" w:cs="Arial"/>
                <w:color w:val="FFFFFF" w:themeColor="background1"/>
                <w:sz w:val="18"/>
                <w:szCs w:val="20"/>
              </w:rPr>
              <w:t>versus year ago</w:t>
            </w:r>
          </w:p>
        </w:tc>
      </w:tr>
      <w:tr w:rsidR="00F40AEA" w:rsidRPr="00706DE2" w14:paraId="329614ED" w14:textId="77777777" w:rsidTr="00D10C95">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448" w:type="dxa"/>
            <w:vMerge/>
            <w:tcBorders>
              <w:left w:val="none" w:sz="0" w:space="0" w:color="auto"/>
              <w:right w:val="none" w:sz="0" w:space="0" w:color="auto"/>
            </w:tcBorders>
            <w:hideMark/>
          </w:tcPr>
          <w:p w14:paraId="797C4485" w14:textId="77777777" w:rsidR="00F40AEA" w:rsidRPr="00706DE2" w:rsidRDefault="00F40AEA" w:rsidP="00D10C95">
            <w:pPr>
              <w:rPr>
                <w:rFonts w:ascii="Arial" w:eastAsia="Times New Roman" w:hAnsi="Arial" w:cs="Arial"/>
                <w:color w:val="FFFFFF" w:themeColor="background1"/>
                <w:sz w:val="18"/>
                <w:szCs w:val="20"/>
              </w:rPr>
            </w:pPr>
          </w:p>
        </w:tc>
        <w:tc>
          <w:tcPr>
            <w:tcW w:w="1006" w:type="dxa"/>
            <w:gridSpan w:val="2"/>
            <w:tcBorders>
              <w:left w:val="none" w:sz="0" w:space="0" w:color="auto"/>
              <w:right w:val="none" w:sz="0" w:space="0" w:color="auto"/>
            </w:tcBorders>
            <w:shd w:val="clear" w:color="auto" w:fill="17365D" w:themeFill="text2" w:themeFillShade="BF"/>
          </w:tcPr>
          <w:p w14:paraId="2F5D9AE1" w14:textId="77777777" w:rsidR="00F40AEA" w:rsidRDefault="00F40AEA" w:rsidP="00D10C9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 </w:t>
            </w:r>
          </w:p>
          <w:p w14:paraId="350B6741" w14:textId="77777777" w:rsidR="00F40AEA" w:rsidRPr="00706DE2" w:rsidRDefault="00F40AEA" w:rsidP="00D10C9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size</w:t>
            </w:r>
          </w:p>
        </w:tc>
        <w:tc>
          <w:tcPr>
            <w:tcW w:w="1269" w:type="dxa"/>
            <w:tcBorders>
              <w:left w:val="none" w:sz="0" w:space="0" w:color="auto"/>
              <w:right w:val="none" w:sz="0" w:space="0" w:color="auto"/>
            </w:tcBorders>
            <w:shd w:val="clear" w:color="auto" w:fill="17365D" w:themeFill="text2" w:themeFillShade="BF"/>
          </w:tcPr>
          <w:p w14:paraId="11850753" w14:textId="77777777" w:rsidR="00F40AEA" w:rsidRDefault="00F40AEA" w:rsidP="00D10C9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sidRPr="00706DE2">
              <w:rPr>
                <w:rFonts w:ascii="Arial" w:eastAsia="Times New Roman" w:hAnsi="Arial" w:cs="Arial"/>
                <w:b/>
                <w:color w:val="FFFFFF" w:themeColor="background1"/>
                <w:sz w:val="18"/>
                <w:szCs w:val="20"/>
              </w:rPr>
              <w:t>Dollar</w:t>
            </w:r>
            <w:r>
              <w:rPr>
                <w:rFonts w:ascii="Arial" w:eastAsia="Times New Roman" w:hAnsi="Arial" w:cs="Arial"/>
                <w:b/>
                <w:color w:val="FFFFFF" w:themeColor="background1"/>
                <w:sz w:val="18"/>
                <w:szCs w:val="20"/>
              </w:rPr>
              <w:t>s</w:t>
            </w:r>
          </w:p>
          <w:p w14:paraId="3776C568" w14:textId="77777777" w:rsidR="00F40AEA" w:rsidRPr="00706DE2" w:rsidRDefault="00F40AEA" w:rsidP="00D10C9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vs. 2021</w:t>
            </w:r>
          </w:p>
        </w:tc>
        <w:tc>
          <w:tcPr>
            <w:tcW w:w="1269" w:type="dxa"/>
            <w:tcBorders>
              <w:left w:val="none" w:sz="0" w:space="0" w:color="auto"/>
              <w:right w:val="none" w:sz="0" w:space="0" w:color="auto"/>
            </w:tcBorders>
            <w:shd w:val="clear" w:color="auto" w:fill="17365D" w:themeFill="text2" w:themeFillShade="BF"/>
          </w:tcPr>
          <w:p w14:paraId="628000D8" w14:textId="77777777" w:rsidR="00F40AEA" w:rsidRDefault="00F40AEA" w:rsidP="00D10C9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Dollars </w:t>
            </w:r>
            <w:r>
              <w:rPr>
                <w:rFonts w:ascii="Arial" w:eastAsia="Times New Roman" w:hAnsi="Arial" w:cs="Arial"/>
                <w:b/>
                <w:color w:val="FFFFFF" w:themeColor="background1"/>
                <w:sz w:val="18"/>
                <w:szCs w:val="20"/>
              </w:rPr>
              <w:br/>
              <w:t xml:space="preserve"> vs. 2020</w:t>
            </w:r>
          </w:p>
        </w:tc>
        <w:tc>
          <w:tcPr>
            <w:tcW w:w="1269" w:type="dxa"/>
            <w:tcBorders>
              <w:left w:val="none" w:sz="0" w:space="0" w:color="auto"/>
              <w:right w:val="none" w:sz="0" w:space="0" w:color="auto"/>
            </w:tcBorders>
            <w:shd w:val="clear" w:color="auto" w:fill="17365D" w:themeFill="text2" w:themeFillShade="BF"/>
          </w:tcPr>
          <w:p w14:paraId="63AD450B" w14:textId="77777777" w:rsidR="00F40AEA" w:rsidRDefault="00F40AEA" w:rsidP="00D10C9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Dollars </w:t>
            </w:r>
            <w:r>
              <w:rPr>
                <w:rFonts w:ascii="Arial" w:eastAsia="Times New Roman" w:hAnsi="Arial" w:cs="Arial"/>
                <w:b/>
                <w:color w:val="FFFFFF" w:themeColor="background1"/>
                <w:sz w:val="18"/>
                <w:szCs w:val="20"/>
              </w:rPr>
              <w:br/>
              <w:t>vs. 2019</w:t>
            </w:r>
          </w:p>
        </w:tc>
        <w:tc>
          <w:tcPr>
            <w:tcW w:w="1269" w:type="dxa"/>
            <w:tcBorders>
              <w:left w:val="none" w:sz="0" w:space="0" w:color="auto"/>
              <w:right w:val="none" w:sz="0" w:space="0" w:color="auto"/>
            </w:tcBorders>
            <w:shd w:val="clear" w:color="auto" w:fill="17365D" w:themeFill="text2" w:themeFillShade="BF"/>
          </w:tcPr>
          <w:p w14:paraId="093EAA64" w14:textId="77777777" w:rsidR="00F40AEA" w:rsidRPr="00706DE2" w:rsidRDefault="00F40AEA" w:rsidP="00D10C9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Units</w:t>
            </w:r>
            <w:r>
              <w:rPr>
                <w:rFonts w:ascii="Arial" w:eastAsia="Times New Roman" w:hAnsi="Arial" w:cs="Arial"/>
                <w:b/>
                <w:color w:val="FFFFFF" w:themeColor="background1"/>
                <w:sz w:val="18"/>
                <w:szCs w:val="20"/>
              </w:rPr>
              <w:br/>
              <w:t xml:space="preserve"> vs. 2021</w:t>
            </w:r>
          </w:p>
        </w:tc>
        <w:tc>
          <w:tcPr>
            <w:tcW w:w="1100" w:type="dxa"/>
            <w:tcBorders>
              <w:left w:val="none" w:sz="0" w:space="0" w:color="auto"/>
              <w:right w:val="none" w:sz="0" w:space="0" w:color="auto"/>
            </w:tcBorders>
            <w:shd w:val="clear" w:color="auto" w:fill="17365D" w:themeFill="text2" w:themeFillShade="BF"/>
          </w:tcPr>
          <w:p w14:paraId="441B6750" w14:textId="77777777" w:rsidR="00F40AEA" w:rsidRDefault="00F40AEA" w:rsidP="00D10C9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Units </w:t>
            </w:r>
            <w:r>
              <w:rPr>
                <w:rFonts w:ascii="Arial" w:eastAsia="Times New Roman" w:hAnsi="Arial" w:cs="Arial"/>
                <w:b/>
                <w:color w:val="FFFFFF" w:themeColor="background1"/>
                <w:sz w:val="18"/>
                <w:szCs w:val="20"/>
              </w:rPr>
              <w:br/>
              <w:t xml:space="preserve">vs. 2020 </w:t>
            </w:r>
          </w:p>
        </w:tc>
        <w:tc>
          <w:tcPr>
            <w:tcW w:w="1098" w:type="dxa"/>
            <w:tcBorders>
              <w:left w:val="none" w:sz="0" w:space="0" w:color="auto"/>
              <w:right w:val="none" w:sz="0" w:space="0" w:color="auto"/>
            </w:tcBorders>
            <w:shd w:val="clear" w:color="auto" w:fill="17365D" w:themeFill="text2" w:themeFillShade="BF"/>
          </w:tcPr>
          <w:p w14:paraId="6A574F9C" w14:textId="77777777" w:rsidR="00F40AEA" w:rsidRDefault="00F40AEA" w:rsidP="00D10C9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Units vs. 2019</w:t>
            </w:r>
          </w:p>
        </w:tc>
      </w:tr>
      <w:tr w:rsidR="00F40AEA" w:rsidRPr="00067996" w14:paraId="15D837B6" w14:textId="77777777" w:rsidTr="00D10C95">
        <w:trPr>
          <w:trHeight w:val="113"/>
        </w:trPr>
        <w:tc>
          <w:tcPr>
            <w:cnfStyle w:val="001000000000" w:firstRow="0" w:lastRow="0" w:firstColumn="1" w:lastColumn="0" w:oddVBand="0" w:evenVBand="0" w:oddHBand="0" w:evenHBand="0" w:firstRowFirstColumn="0" w:firstRowLastColumn="0" w:lastRowFirstColumn="0" w:lastRowLastColumn="0"/>
            <w:tcW w:w="2448" w:type="dxa"/>
            <w:noWrap/>
            <w:hideMark/>
          </w:tcPr>
          <w:p w14:paraId="42AD883D" w14:textId="77777777" w:rsidR="00F40AEA" w:rsidRPr="00067996" w:rsidRDefault="00F40AEA" w:rsidP="00D10C95">
            <w:pPr>
              <w:rPr>
                <w:rFonts w:ascii="Arial" w:eastAsia="Times New Roman" w:hAnsi="Arial" w:cs="Arial"/>
                <w:b w:val="0"/>
                <w:color w:val="215868" w:themeColor="accent5" w:themeShade="80"/>
                <w:sz w:val="18"/>
                <w:szCs w:val="18"/>
              </w:rPr>
            </w:pPr>
            <w:r w:rsidRPr="00067996">
              <w:rPr>
                <w:rFonts w:ascii="Arial" w:eastAsia="Times New Roman" w:hAnsi="Arial" w:cs="Arial"/>
                <w:b w:val="0"/>
                <w:color w:val="215868" w:themeColor="accent5" w:themeShade="80"/>
                <w:sz w:val="18"/>
                <w:szCs w:val="18"/>
              </w:rPr>
              <w:t>Total food and beverages</w:t>
            </w:r>
          </w:p>
        </w:tc>
        <w:tc>
          <w:tcPr>
            <w:tcW w:w="1006" w:type="dxa"/>
            <w:gridSpan w:val="2"/>
          </w:tcPr>
          <w:p w14:paraId="16505239" w14:textId="65167BD1" w:rsidR="00F40AEA" w:rsidRPr="00067996" w:rsidRDefault="00F40AEA" w:rsidP="00D10C9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sidR="00CF005A">
              <w:rPr>
                <w:rFonts w:ascii="Arial" w:eastAsia="Times New Roman" w:hAnsi="Arial" w:cs="Arial"/>
                <w:color w:val="215868" w:themeColor="accent5" w:themeShade="80"/>
                <w:sz w:val="18"/>
                <w:szCs w:val="18"/>
              </w:rPr>
              <w:t>73.1</w:t>
            </w:r>
            <w:r w:rsidRPr="00067996">
              <w:rPr>
                <w:rFonts w:ascii="Arial" w:eastAsia="Times New Roman" w:hAnsi="Arial" w:cs="Arial"/>
                <w:color w:val="215868" w:themeColor="accent5" w:themeShade="80"/>
                <w:sz w:val="18"/>
                <w:szCs w:val="18"/>
              </w:rPr>
              <w:t>B</w:t>
            </w:r>
          </w:p>
        </w:tc>
        <w:tc>
          <w:tcPr>
            <w:tcW w:w="1269" w:type="dxa"/>
            <w:vAlign w:val="bottom"/>
          </w:tcPr>
          <w:p w14:paraId="226F01D1" w14:textId="7E4F6CBF" w:rsidR="00F40AEA" w:rsidRPr="00067996" w:rsidRDefault="00FD43CB" w:rsidP="00D10C9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CF005A">
              <w:rPr>
                <w:rFonts w:ascii="Arial" w:hAnsi="Arial" w:cs="Arial"/>
                <w:color w:val="215868" w:themeColor="accent5" w:themeShade="80"/>
                <w:sz w:val="18"/>
                <w:szCs w:val="18"/>
              </w:rPr>
              <w:t>9.3</w:t>
            </w:r>
            <w:r w:rsidR="00F40AEA" w:rsidRPr="00067996">
              <w:rPr>
                <w:rFonts w:ascii="Arial" w:hAnsi="Arial" w:cs="Arial"/>
                <w:color w:val="215868" w:themeColor="accent5" w:themeShade="80"/>
                <w:sz w:val="18"/>
                <w:szCs w:val="18"/>
              </w:rPr>
              <w:t>%</w:t>
            </w:r>
          </w:p>
        </w:tc>
        <w:tc>
          <w:tcPr>
            <w:tcW w:w="1269" w:type="dxa"/>
            <w:vAlign w:val="bottom"/>
          </w:tcPr>
          <w:p w14:paraId="17A56FBE" w14:textId="52342A4D" w:rsidR="00F40AEA" w:rsidRPr="00067996" w:rsidRDefault="00FD43CB" w:rsidP="00D10C9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CF005A">
              <w:rPr>
                <w:rFonts w:ascii="Arial" w:hAnsi="Arial" w:cs="Arial"/>
                <w:color w:val="215868" w:themeColor="accent5" w:themeShade="80"/>
                <w:sz w:val="18"/>
                <w:szCs w:val="18"/>
              </w:rPr>
              <w:t>15.8</w:t>
            </w:r>
            <w:r w:rsidR="00F40AEA" w:rsidRPr="00067996">
              <w:rPr>
                <w:rFonts w:ascii="Arial" w:hAnsi="Arial" w:cs="Arial"/>
                <w:color w:val="215868" w:themeColor="accent5" w:themeShade="80"/>
                <w:sz w:val="18"/>
                <w:szCs w:val="18"/>
              </w:rPr>
              <w:t>%</w:t>
            </w:r>
          </w:p>
        </w:tc>
        <w:tc>
          <w:tcPr>
            <w:tcW w:w="1269" w:type="dxa"/>
            <w:vAlign w:val="bottom"/>
          </w:tcPr>
          <w:p w14:paraId="40BC8412" w14:textId="6A891AC3" w:rsidR="00F40AEA" w:rsidRPr="00067996" w:rsidRDefault="00FD43CB" w:rsidP="00D10C9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CF005A">
              <w:rPr>
                <w:rFonts w:ascii="Arial" w:hAnsi="Arial" w:cs="Arial"/>
                <w:color w:val="215868" w:themeColor="accent5" w:themeShade="80"/>
                <w:sz w:val="18"/>
                <w:szCs w:val="18"/>
              </w:rPr>
              <w:t>28.6</w:t>
            </w:r>
            <w:r w:rsidR="00F40AEA" w:rsidRPr="00067996">
              <w:rPr>
                <w:rFonts w:ascii="Arial" w:hAnsi="Arial" w:cs="Arial"/>
                <w:color w:val="215868" w:themeColor="accent5" w:themeShade="80"/>
                <w:sz w:val="18"/>
                <w:szCs w:val="18"/>
              </w:rPr>
              <w:t>%</w:t>
            </w:r>
          </w:p>
        </w:tc>
        <w:tc>
          <w:tcPr>
            <w:tcW w:w="1269" w:type="dxa"/>
            <w:vAlign w:val="bottom"/>
          </w:tcPr>
          <w:p w14:paraId="1B237B49" w14:textId="54FD7532" w:rsidR="00F40AEA" w:rsidRPr="00FB29BD" w:rsidRDefault="00FD43CB" w:rsidP="00D10C9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F005A">
              <w:rPr>
                <w:rFonts w:ascii="Arial" w:hAnsi="Arial" w:cs="Arial"/>
                <w:color w:val="215868" w:themeColor="accent5" w:themeShade="80"/>
                <w:sz w:val="18"/>
                <w:szCs w:val="18"/>
              </w:rPr>
              <w:t>3.8</w:t>
            </w:r>
            <w:r w:rsidR="00F40AEA" w:rsidRPr="00FB29BD">
              <w:rPr>
                <w:rFonts w:ascii="Arial" w:hAnsi="Arial" w:cs="Arial"/>
                <w:color w:val="215868" w:themeColor="accent5" w:themeShade="80"/>
                <w:sz w:val="18"/>
                <w:szCs w:val="18"/>
              </w:rPr>
              <w:t>%</w:t>
            </w:r>
          </w:p>
        </w:tc>
        <w:tc>
          <w:tcPr>
            <w:tcW w:w="1100" w:type="dxa"/>
            <w:vAlign w:val="bottom"/>
          </w:tcPr>
          <w:p w14:paraId="3B3D63B4" w14:textId="31469745" w:rsidR="00F40AEA" w:rsidRPr="00FB29BD" w:rsidRDefault="00FD43CB" w:rsidP="00D10C9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CF005A">
              <w:rPr>
                <w:rFonts w:ascii="Arial" w:hAnsi="Arial" w:cs="Arial"/>
                <w:color w:val="215868" w:themeColor="accent5" w:themeShade="80"/>
                <w:sz w:val="18"/>
                <w:szCs w:val="18"/>
              </w:rPr>
              <w:t>5.5</w:t>
            </w:r>
            <w:r w:rsidR="00F40AEA" w:rsidRPr="00FB29BD">
              <w:rPr>
                <w:rFonts w:ascii="Arial" w:hAnsi="Arial" w:cs="Arial"/>
                <w:color w:val="215868" w:themeColor="accent5" w:themeShade="80"/>
                <w:sz w:val="18"/>
                <w:szCs w:val="18"/>
              </w:rPr>
              <w:t>%</w:t>
            </w:r>
          </w:p>
        </w:tc>
        <w:tc>
          <w:tcPr>
            <w:tcW w:w="1098" w:type="dxa"/>
            <w:vAlign w:val="bottom"/>
          </w:tcPr>
          <w:p w14:paraId="3D26D578" w14:textId="6D00108D" w:rsidR="00F40AEA" w:rsidRPr="00FB29BD" w:rsidRDefault="00CF005A" w:rsidP="00D10C9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-0.1</w:t>
            </w:r>
            <w:r w:rsidR="00F40AEA" w:rsidRPr="00FB29BD">
              <w:rPr>
                <w:rFonts w:ascii="Arial" w:hAnsi="Arial" w:cs="Arial"/>
                <w:color w:val="215868" w:themeColor="accent5" w:themeShade="80"/>
                <w:sz w:val="18"/>
                <w:szCs w:val="18"/>
              </w:rPr>
              <w:t>%</w:t>
            </w:r>
          </w:p>
        </w:tc>
      </w:tr>
      <w:tr w:rsidR="00F40AEA" w:rsidRPr="00067996" w14:paraId="7BA064F4" w14:textId="77777777" w:rsidTr="00D10C9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noWrap/>
          </w:tcPr>
          <w:p w14:paraId="22DDEFCD" w14:textId="77777777" w:rsidR="00F40AEA" w:rsidRPr="00067996" w:rsidRDefault="00F40AEA" w:rsidP="00D10C95">
            <w:pPr>
              <w:rPr>
                <w:rFonts w:ascii="Arial" w:eastAsia="Times New Roman" w:hAnsi="Arial" w:cs="Arial"/>
                <w:b w:val="0"/>
                <w:bCs w:val="0"/>
                <w:color w:val="215868" w:themeColor="accent5" w:themeShade="80"/>
                <w:sz w:val="18"/>
                <w:szCs w:val="18"/>
              </w:rPr>
            </w:pPr>
            <w:r w:rsidRPr="00067996">
              <w:rPr>
                <w:rFonts w:ascii="Arial" w:eastAsia="Times New Roman" w:hAnsi="Arial" w:cs="Arial"/>
                <w:b w:val="0"/>
                <w:bCs w:val="0"/>
                <w:color w:val="215868" w:themeColor="accent5" w:themeShade="80"/>
                <w:sz w:val="18"/>
                <w:szCs w:val="18"/>
              </w:rPr>
              <w:t>Total grocery (center store)</w:t>
            </w:r>
          </w:p>
        </w:tc>
        <w:tc>
          <w:tcPr>
            <w:tcW w:w="1006" w:type="dxa"/>
            <w:gridSpan w:val="2"/>
            <w:tcBorders>
              <w:left w:val="none" w:sz="0" w:space="0" w:color="auto"/>
              <w:right w:val="none" w:sz="0" w:space="0" w:color="auto"/>
            </w:tcBorders>
          </w:tcPr>
          <w:p w14:paraId="3745452B" w14:textId="205C5EDB" w:rsidR="00F40AEA" w:rsidRPr="00067996" w:rsidRDefault="00F40AEA" w:rsidP="00D10C9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sidR="00CF005A">
              <w:rPr>
                <w:rFonts w:ascii="Arial" w:eastAsia="Times New Roman" w:hAnsi="Arial" w:cs="Arial"/>
                <w:color w:val="215868" w:themeColor="accent5" w:themeShade="80"/>
                <w:sz w:val="18"/>
                <w:szCs w:val="18"/>
              </w:rPr>
              <w:t>36.7</w:t>
            </w:r>
            <w:r w:rsidRPr="00067996">
              <w:rPr>
                <w:rFonts w:ascii="Arial" w:eastAsia="Times New Roman" w:hAnsi="Arial" w:cs="Arial"/>
                <w:color w:val="215868" w:themeColor="accent5" w:themeShade="80"/>
                <w:sz w:val="18"/>
                <w:szCs w:val="18"/>
              </w:rPr>
              <w:t>B</w:t>
            </w:r>
          </w:p>
        </w:tc>
        <w:tc>
          <w:tcPr>
            <w:tcW w:w="1269" w:type="dxa"/>
            <w:tcBorders>
              <w:left w:val="none" w:sz="0" w:space="0" w:color="auto"/>
              <w:right w:val="none" w:sz="0" w:space="0" w:color="auto"/>
            </w:tcBorders>
            <w:vAlign w:val="bottom"/>
          </w:tcPr>
          <w:p w14:paraId="777B5736" w14:textId="00E9FE9F" w:rsidR="00F40AEA" w:rsidRPr="00067996" w:rsidRDefault="00FD43CB" w:rsidP="00D10C9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CF005A">
              <w:rPr>
                <w:rFonts w:ascii="Arial" w:hAnsi="Arial" w:cs="Arial"/>
                <w:color w:val="215868" w:themeColor="accent5" w:themeShade="80"/>
                <w:sz w:val="18"/>
                <w:szCs w:val="18"/>
              </w:rPr>
              <w:t>11.6</w:t>
            </w:r>
            <w:r w:rsidR="00F40AEA" w:rsidRPr="00067996">
              <w:rPr>
                <w:rFonts w:ascii="Arial" w:hAnsi="Arial" w:cs="Arial"/>
                <w:color w:val="215868" w:themeColor="accent5" w:themeShade="80"/>
                <w:sz w:val="18"/>
                <w:szCs w:val="18"/>
              </w:rPr>
              <w:t>%</w:t>
            </w:r>
          </w:p>
        </w:tc>
        <w:tc>
          <w:tcPr>
            <w:tcW w:w="1269" w:type="dxa"/>
            <w:tcBorders>
              <w:left w:val="none" w:sz="0" w:space="0" w:color="auto"/>
              <w:right w:val="none" w:sz="0" w:space="0" w:color="auto"/>
            </w:tcBorders>
            <w:vAlign w:val="bottom"/>
          </w:tcPr>
          <w:p w14:paraId="51CDB597" w14:textId="03B673B4" w:rsidR="00F40AEA" w:rsidRPr="00067996" w:rsidRDefault="00FD43CB" w:rsidP="00D10C9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CF005A">
              <w:rPr>
                <w:rFonts w:ascii="Arial" w:hAnsi="Arial" w:cs="Arial"/>
                <w:color w:val="215868" w:themeColor="accent5" w:themeShade="80"/>
                <w:sz w:val="18"/>
                <w:szCs w:val="18"/>
              </w:rPr>
              <w:t>19.4</w:t>
            </w:r>
            <w:r w:rsidR="00F40AEA" w:rsidRPr="00067996">
              <w:rPr>
                <w:rFonts w:ascii="Arial" w:hAnsi="Arial" w:cs="Arial"/>
                <w:color w:val="215868" w:themeColor="accent5" w:themeShade="80"/>
                <w:sz w:val="18"/>
                <w:szCs w:val="18"/>
              </w:rPr>
              <w:t>%</w:t>
            </w:r>
          </w:p>
        </w:tc>
        <w:tc>
          <w:tcPr>
            <w:tcW w:w="1269" w:type="dxa"/>
            <w:tcBorders>
              <w:left w:val="none" w:sz="0" w:space="0" w:color="auto"/>
              <w:right w:val="none" w:sz="0" w:space="0" w:color="auto"/>
            </w:tcBorders>
            <w:vAlign w:val="bottom"/>
          </w:tcPr>
          <w:p w14:paraId="5BBC4F2D" w14:textId="2760B7C0" w:rsidR="00F40AEA" w:rsidRPr="00067996" w:rsidRDefault="00FD43CB" w:rsidP="00D10C9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CF005A">
              <w:rPr>
                <w:rFonts w:ascii="Arial" w:hAnsi="Arial" w:cs="Arial"/>
                <w:color w:val="215868" w:themeColor="accent5" w:themeShade="80"/>
                <w:sz w:val="18"/>
                <w:szCs w:val="18"/>
              </w:rPr>
              <w:t>32.6</w:t>
            </w:r>
            <w:r w:rsidR="00F40AEA" w:rsidRPr="00067996">
              <w:rPr>
                <w:rFonts w:ascii="Arial" w:hAnsi="Arial" w:cs="Arial"/>
                <w:color w:val="215868" w:themeColor="accent5" w:themeShade="80"/>
                <w:sz w:val="18"/>
                <w:szCs w:val="18"/>
              </w:rPr>
              <w:t>%</w:t>
            </w:r>
          </w:p>
        </w:tc>
        <w:tc>
          <w:tcPr>
            <w:tcW w:w="1269" w:type="dxa"/>
            <w:tcBorders>
              <w:left w:val="none" w:sz="0" w:space="0" w:color="auto"/>
              <w:right w:val="none" w:sz="0" w:space="0" w:color="auto"/>
            </w:tcBorders>
            <w:vAlign w:val="bottom"/>
          </w:tcPr>
          <w:p w14:paraId="62364BB6" w14:textId="27F0FEF4" w:rsidR="00F40AEA" w:rsidRPr="00FB29BD" w:rsidRDefault="00FD43CB" w:rsidP="00D10C9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CF005A">
              <w:rPr>
                <w:rFonts w:ascii="Arial" w:hAnsi="Arial" w:cs="Arial"/>
                <w:color w:val="215868" w:themeColor="accent5" w:themeShade="80"/>
                <w:sz w:val="18"/>
                <w:szCs w:val="18"/>
              </w:rPr>
              <w:t>4.6</w:t>
            </w:r>
            <w:r w:rsidR="00F40AEA" w:rsidRPr="00FB29BD">
              <w:rPr>
                <w:rFonts w:ascii="Arial" w:hAnsi="Arial" w:cs="Arial"/>
                <w:color w:val="215868" w:themeColor="accent5" w:themeShade="80"/>
                <w:sz w:val="18"/>
                <w:szCs w:val="18"/>
              </w:rPr>
              <w:t>%</w:t>
            </w:r>
          </w:p>
        </w:tc>
        <w:tc>
          <w:tcPr>
            <w:tcW w:w="1100" w:type="dxa"/>
            <w:tcBorders>
              <w:left w:val="none" w:sz="0" w:space="0" w:color="auto"/>
              <w:right w:val="none" w:sz="0" w:space="0" w:color="auto"/>
            </w:tcBorders>
            <w:vAlign w:val="bottom"/>
          </w:tcPr>
          <w:p w14:paraId="58036134" w14:textId="19DFE3A1" w:rsidR="00F40AEA" w:rsidRPr="00FB29BD" w:rsidRDefault="00FD43CB" w:rsidP="00D10C9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CF005A">
              <w:rPr>
                <w:rFonts w:ascii="Arial" w:hAnsi="Arial" w:cs="Arial"/>
                <w:color w:val="215868" w:themeColor="accent5" w:themeShade="80"/>
                <w:sz w:val="18"/>
                <w:szCs w:val="18"/>
              </w:rPr>
              <w:t>5.9</w:t>
            </w:r>
            <w:r w:rsidR="00F40AEA" w:rsidRPr="00FB29BD">
              <w:rPr>
                <w:rFonts w:ascii="Arial" w:hAnsi="Arial" w:cs="Arial"/>
                <w:color w:val="215868" w:themeColor="accent5" w:themeShade="80"/>
                <w:sz w:val="18"/>
                <w:szCs w:val="18"/>
              </w:rPr>
              <w:t>%</w:t>
            </w:r>
          </w:p>
        </w:tc>
        <w:tc>
          <w:tcPr>
            <w:tcW w:w="1098" w:type="dxa"/>
            <w:tcBorders>
              <w:left w:val="none" w:sz="0" w:space="0" w:color="auto"/>
              <w:right w:val="none" w:sz="0" w:space="0" w:color="auto"/>
            </w:tcBorders>
            <w:vAlign w:val="bottom"/>
          </w:tcPr>
          <w:p w14:paraId="14B4EACD" w14:textId="330585E6" w:rsidR="00F40AEA" w:rsidRPr="00FB29BD" w:rsidRDefault="00CF005A" w:rsidP="00D10C9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-0.6</w:t>
            </w:r>
            <w:r w:rsidR="00F40AEA" w:rsidRPr="00FB29BD">
              <w:rPr>
                <w:rFonts w:ascii="Arial" w:hAnsi="Arial" w:cs="Arial"/>
                <w:color w:val="215868" w:themeColor="accent5" w:themeShade="80"/>
                <w:sz w:val="18"/>
                <w:szCs w:val="18"/>
              </w:rPr>
              <w:t>%</w:t>
            </w:r>
          </w:p>
        </w:tc>
      </w:tr>
      <w:tr w:rsidR="00CF005A" w:rsidRPr="00067996" w14:paraId="6F5152EF" w14:textId="77777777" w:rsidTr="00D10C95">
        <w:trPr>
          <w:trHeight w:val="113"/>
        </w:trPr>
        <w:tc>
          <w:tcPr>
            <w:cnfStyle w:val="001000000000" w:firstRow="0" w:lastRow="0" w:firstColumn="1" w:lastColumn="0" w:oddVBand="0" w:evenVBand="0" w:oddHBand="0" w:evenHBand="0" w:firstRowFirstColumn="0" w:firstRowLastColumn="0" w:lastRowFirstColumn="0" w:lastRowLastColumn="0"/>
            <w:tcW w:w="2448" w:type="dxa"/>
            <w:noWrap/>
          </w:tcPr>
          <w:p w14:paraId="534DE478" w14:textId="77777777" w:rsidR="00CF005A" w:rsidRPr="00067996" w:rsidRDefault="00CF005A" w:rsidP="00CF005A">
            <w:pPr>
              <w:rPr>
                <w:rFonts w:ascii="Arial" w:eastAsia="Times New Roman" w:hAnsi="Arial" w:cs="Arial"/>
                <w:b w:val="0"/>
                <w:color w:val="215868" w:themeColor="accent5" w:themeShade="80"/>
                <w:sz w:val="18"/>
                <w:szCs w:val="18"/>
              </w:rPr>
            </w:pPr>
            <w:r w:rsidRPr="00067996">
              <w:rPr>
                <w:rFonts w:ascii="Arial" w:eastAsia="Times New Roman" w:hAnsi="Arial" w:cs="Arial"/>
                <w:b w:val="0"/>
                <w:color w:val="215868" w:themeColor="accent5" w:themeShade="80"/>
                <w:sz w:val="18"/>
                <w:szCs w:val="18"/>
              </w:rPr>
              <w:t xml:space="preserve">Total </w:t>
            </w:r>
            <w:r>
              <w:rPr>
                <w:rFonts w:ascii="Arial" w:eastAsia="Times New Roman" w:hAnsi="Arial" w:cs="Arial"/>
                <w:b w:val="0"/>
                <w:color w:val="215868" w:themeColor="accent5" w:themeShade="80"/>
                <w:sz w:val="18"/>
                <w:szCs w:val="18"/>
              </w:rPr>
              <w:t>perishables</w:t>
            </w:r>
          </w:p>
        </w:tc>
        <w:tc>
          <w:tcPr>
            <w:tcW w:w="1006" w:type="dxa"/>
            <w:gridSpan w:val="2"/>
          </w:tcPr>
          <w:p w14:paraId="6E42A4EF" w14:textId="5EF5BC45" w:rsidR="00CF005A" w:rsidRPr="00853A40" w:rsidRDefault="00CF005A" w:rsidP="00CF00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32.0</w:t>
            </w:r>
            <w:r w:rsidRPr="00067996">
              <w:rPr>
                <w:rFonts w:ascii="Arial" w:eastAsia="Times New Roman" w:hAnsi="Arial" w:cs="Arial"/>
                <w:color w:val="215868" w:themeColor="accent5" w:themeShade="80"/>
                <w:sz w:val="18"/>
                <w:szCs w:val="18"/>
              </w:rPr>
              <w:t>B</w:t>
            </w:r>
          </w:p>
        </w:tc>
        <w:tc>
          <w:tcPr>
            <w:tcW w:w="1269" w:type="dxa"/>
            <w:vAlign w:val="bottom"/>
          </w:tcPr>
          <w:p w14:paraId="0DBE60C2" w14:textId="09EBDB81" w:rsidR="00CF005A" w:rsidRPr="00067996" w:rsidRDefault="00CF005A" w:rsidP="00CF00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+8.1</w:t>
            </w:r>
            <w:r w:rsidRPr="00067996">
              <w:rPr>
                <w:rFonts w:ascii="Arial" w:hAnsi="Arial" w:cs="Arial"/>
                <w:color w:val="215868" w:themeColor="accent5" w:themeShade="80"/>
                <w:sz w:val="18"/>
                <w:szCs w:val="18"/>
              </w:rPr>
              <w:t>%</w:t>
            </w:r>
          </w:p>
        </w:tc>
        <w:tc>
          <w:tcPr>
            <w:tcW w:w="1269" w:type="dxa"/>
            <w:vAlign w:val="bottom"/>
          </w:tcPr>
          <w:p w14:paraId="5B92B6BC" w14:textId="0A3CA6B0" w:rsidR="00CF005A" w:rsidRPr="00067996" w:rsidRDefault="00CF005A" w:rsidP="00CF00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+14.4</w:t>
            </w:r>
            <w:r w:rsidRPr="00067996">
              <w:rPr>
                <w:rFonts w:ascii="Arial" w:hAnsi="Arial" w:cs="Arial"/>
                <w:color w:val="215868" w:themeColor="accent5" w:themeShade="80"/>
                <w:sz w:val="18"/>
                <w:szCs w:val="18"/>
              </w:rPr>
              <w:t>%</w:t>
            </w:r>
          </w:p>
        </w:tc>
        <w:tc>
          <w:tcPr>
            <w:tcW w:w="1269" w:type="dxa"/>
            <w:vAlign w:val="bottom"/>
          </w:tcPr>
          <w:p w14:paraId="26793658" w14:textId="6E7DFA7D" w:rsidR="00CF005A" w:rsidRPr="00067996" w:rsidRDefault="00CF005A" w:rsidP="00CF00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+26.5</w:t>
            </w:r>
            <w:r w:rsidRPr="00067996">
              <w:rPr>
                <w:rFonts w:ascii="Arial" w:hAnsi="Arial" w:cs="Arial"/>
                <w:color w:val="215868" w:themeColor="accent5" w:themeShade="80"/>
                <w:sz w:val="18"/>
                <w:szCs w:val="18"/>
              </w:rPr>
              <w:t>%</w:t>
            </w:r>
          </w:p>
        </w:tc>
        <w:tc>
          <w:tcPr>
            <w:tcW w:w="1269" w:type="dxa"/>
            <w:vAlign w:val="bottom"/>
          </w:tcPr>
          <w:p w14:paraId="1326A4F7" w14:textId="72506425" w:rsidR="00CF005A" w:rsidRPr="00FB29BD" w:rsidRDefault="00CF005A" w:rsidP="00CF005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-2.8</w:t>
            </w:r>
            <w:r w:rsidRPr="00FB29BD">
              <w:rPr>
                <w:rFonts w:ascii="Arial" w:hAnsi="Arial" w:cs="Arial"/>
                <w:color w:val="215868" w:themeColor="accent5" w:themeShade="80"/>
                <w:sz w:val="18"/>
                <w:szCs w:val="18"/>
              </w:rPr>
              <w:t>%</w:t>
            </w:r>
          </w:p>
        </w:tc>
        <w:tc>
          <w:tcPr>
            <w:tcW w:w="1100" w:type="dxa"/>
            <w:vAlign w:val="bottom"/>
          </w:tcPr>
          <w:p w14:paraId="4C9346C9" w14:textId="652974B5" w:rsidR="00CF005A" w:rsidRPr="00FB29BD" w:rsidRDefault="00CF005A" w:rsidP="00CF00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-4.9</w:t>
            </w:r>
            <w:r w:rsidRPr="00FB29BD">
              <w:rPr>
                <w:rFonts w:ascii="Arial" w:hAnsi="Arial" w:cs="Arial"/>
                <w:color w:val="215868" w:themeColor="accent5" w:themeShade="80"/>
                <w:sz w:val="18"/>
                <w:szCs w:val="18"/>
              </w:rPr>
              <w:t>%</w:t>
            </w:r>
          </w:p>
        </w:tc>
        <w:tc>
          <w:tcPr>
            <w:tcW w:w="1098" w:type="dxa"/>
            <w:vAlign w:val="bottom"/>
          </w:tcPr>
          <w:p w14:paraId="490F698E" w14:textId="0021D01B" w:rsidR="00CF005A" w:rsidRPr="00FB29BD" w:rsidRDefault="00CF005A" w:rsidP="00CF00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+0.5</w:t>
            </w:r>
            <w:r w:rsidRPr="00FB29BD">
              <w:rPr>
                <w:rFonts w:ascii="Arial" w:hAnsi="Arial" w:cs="Arial"/>
                <w:color w:val="215868" w:themeColor="accent5" w:themeShade="80"/>
                <w:sz w:val="18"/>
                <w:szCs w:val="18"/>
              </w:rPr>
              <w:t>%</w:t>
            </w:r>
          </w:p>
        </w:tc>
      </w:tr>
    </w:tbl>
    <w:p w14:paraId="11697A3E" w14:textId="77777777" w:rsidR="00F40AEA" w:rsidRPr="00B64ECF" w:rsidRDefault="00F40AEA" w:rsidP="00F40AEA">
      <w:pPr>
        <w:pStyle w:val="NoSpacing"/>
        <w:rPr>
          <w:rFonts w:ascii="Arial" w:hAnsi="Arial" w:cs="Arial"/>
          <w:sz w:val="12"/>
          <w:szCs w:val="16"/>
        </w:rPr>
      </w:pPr>
    </w:p>
    <w:p w14:paraId="16834A75" w14:textId="77777777" w:rsidR="00F40AEA" w:rsidRDefault="00F40AEA" w:rsidP="00F40AEA">
      <w:pPr>
        <w:pStyle w:val="NoSpacing"/>
        <w:rPr>
          <w:rFonts w:ascii="Arial" w:hAnsi="Arial" w:cs="Arial"/>
          <w:color w:val="7F7F7F" w:themeColor="text1" w:themeTint="80"/>
          <w:sz w:val="16"/>
          <w:szCs w:val="16"/>
        </w:rPr>
      </w:pPr>
      <w:r w:rsidRPr="00A04CFB">
        <w:rPr>
          <w:rFonts w:ascii="Arial" w:hAnsi="Arial" w:cs="Arial"/>
          <w:color w:val="7F7F7F" w:themeColor="text1" w:themeTint="80"/>
          <w:sz w:val="16"/>
          <w:szCs w:val="16"/>
        </w:rPr>
        <w:t>Source: IRI, Integrated Fresh, Total US, MULO</w:t>
      </w:r>
    </w:p>
    <w:bookmarkEnd w:id="4"/>
    <w:p w14:paraId="2359F070" w14:textId="77777777" w:rsidR="00BD7CB1" w:rsidRDefault="00BD7CB1" w:rsidP="001210D2">
      <w:pPr>
        <w:pStyle w:val="NoSpacing"/>
        <w:rPr>
          <w:rFonts w:ascii="Arial" w:hAnsi="Arial" w:cs="Arial"/>
          <w:sz w:val="20"/>
          <w:szCs w:val="20"/>
        </w:rPr>
      </w:pPr>
    </w:p>
    <w:p w14:paraId="5C40F56A" w14:textId="3430B575" w:rsidR="001C641C" w:rsidRDefault="00CF005A" w:rsidP="00CF43CE">
      <w:pPr>
        <w:pStyle w:val="NoSpacing"/>
        <w:rPr>
          <w:rFonts w:ascii="Arial" w:hAnsi="Arial" w:cs="Arial"/>
          <w:sz w:val="20"/>
          <w:szCs w:val="20"/>
        </w:rPr>
      </w:pPr>
      <w:r>
        <w:rPr>
          <w:rFonts w:ascii="Arial" w:hAnsi="Arial" w:cs="Arial"/>
          <w:sz w:val="20"/>
          <w:szCs w:val="20"/>
        </w:rPr>
        <w:t xml:space="preserve">October </w:t>
      </w:r>
      <w:r w:rsidR="00647DD6" w:rsidRPr="00854F55">
        <w:rPr>
          <w:rFonts w:ascii="Arial" w:hAnsi="Arial" w:cs="Arial"/>
          <w:sz w:val="20"/>
          <w:szCs w:val="20"/>
        </w:rPr>
        <w:t xml:space="preserve">2022 </w:t>
      </w:r>
      <w:r w:rsidR="00A96063" w:rsidRPr="00854F55">
        <w:rPr>
          <w:rFonts w:ascii="Arial" w:hAnsi="Arial" w:cs="Arial"/>
          <w:sz w:val="20"/>
          <w:szCs w:val="20"/>
        </w:rPr>
        <w:t xml:space="preserve">fresh </w:t>
      </w:r>
      <w:r w:rsidR="00891C7E" w:rsidRPr="00854F55">
        <w:rPr>
          <w:rFonts w:ascii="Arial" w:hAnsi="Arial" w:cs="Arial"/>
          <w:sz w:val="20"/>
          <w:szCs w:val="20"/>
        </w:rPr>
        <w:t xml:space="preserve">produce sales </w:t>
      </w:r>
      <w:r w:rsidR="00D046CF" w:rsidRPr="00854F55">
        <w:rPr>
          <w:rFonts w:ascii="Arial" w:hAnsi="Arial" w:cs="Arial"/>
          <w:sz w:val="20"/>
          <w:szCs w:val="20"/>
        </w:rPr>
        <w:t>reached $</w:t>
      </w:r>
      <w:r>
        <w:rPr>
          <w:rFonts w:ascii="Arial" w:hAnsi="Arial" w:cs="Arial"/>
          <w:sz w:val="20"/>
          <w:szCs w:val="20"/>
        </w:rPr>
        <w:t>6.8</w:t>
      </w:r>
      <w:r w:rsidR="00D046CF" w:rsidRPr="00854F55">
        <w:rPr>
          <w:rFonts w:ascii="Arial" w:hAnsi="Arial" w:cs="Arial"/>
          <w:sz w:val="20"/>
          <w:szCs w:val="20"/>
        </w:rPr>
        <w:t xml:space="preserve"> billion</w:t>
      </w:r>
      <w:r w:rsidR="001C641C" w:rsidRPr="00854F55">
        <w:rPr>
          <w:rFonts w:ascii="Arial" w:hAnsi="Arial" w:cs="Arial"/>
          <w:sz w:val="20"/>
          <w:szCs w:val="20"/>
        </w:rPr>
        <w:t xml:space="preserve">, surpassing the record set </w:t>
      </w:r>
      <w:r w:rsidR="008A426C" w:rsidRPr="00854F55">
        <w:rPr>
          <w:rFonts w:ascii="Arial" w:hAnsi="Arial" w:cs="Arial"/>
          <w:sz w:val="20"/>
          <w:szCs w:val="20"/>
        </w:rPr>
        <w:t xml:space="preserve">the prior year </w:t>
      </w:r>
      <w:r w:rsidR="00576505" w:rsidRPr="00854F55">
        <w:rPr>
          <w:rFonts w:ascii="Arial" w:hAnsi="Arial" w:cs="Arial"/>
          <w:sz w:val="20"/>
          <w:szCs w:val="20"/>
        </w:rPr>
        <w:t xml:space="preserve">by </w:t>
      </w:r>
      <w:r w:rsidR="00676B67" w:rsidRPr="00854F55">
        <w:rPr>
          <w:rFonts w:ascii="Arial" w:hAnsi="Arial" w:cs="Arial"/>
          <w:sz w:val="20"/>
          <w:szCs w:val="20"/>
        </w:rPr>
        <w:t>+</w:t>
      </w:r>
      <w:r>
        <w:rPr>
          <w:rFonts w:ascii="Arial" w:hAnsi="Arial" w:cs="Arial"/>
          <w:sz w:val="20"/>
          <w:szCs w:val="20"/>
        </w:rPr>
        <w:t>2.5</w:t>
      </w:r>
      <w:r w:rsidR="00576505" w:rsidRPr="00854F55">
        <w:rPr>
          <w:rFonts w:ascii="Arial" w:hAnsi="Arial" w:cs="Arial"/>
          <w:sz w:val="20"/>
          <w:szCs w:val="20"/>
        </w:rPr>
        <w:t>%</w:t>
      </w:r>
      <w:r w:rsidR="001C641C" w:rsidRPr="00854F55">
        <w:rPr>
          <w:rFonts w:ascii="Arial" w:hAnsi="Arial" w:cs="Arial"/>
          <w:sz w:val="20"/>
          <w:szCs w:val="20"/>
        </w:rPr>
        <w:t xml:space="preserve">. </w:t>
      </w:r>
      <w:r w:rsidR="00A96063" w:rsidRPr="00854F55">
        <w:rPr>
          <w:rFonts w:ascii="Arial" w:hAnsi="Arial" w:cs="Arial"/>
          <w:sz w:val="20"/>
          <w:szCs w:val="20"/>
        </w:rPr>
        <w:t>However, looking beyond dollars that were highly affected by inflation</w:t>
      </w:r>
      <w:r w:rsidR="006005FF" w:rsidRPr="00854F55">
        <w:rPr>
          <w:rFonts w:ascii="Arial" w:hAnsi="Arial" w:cs="Arial"/>
          <w:sz w:val="20"/>
          <w:szCs w:val="20"/>
        </w:rPr>
        <w:t>,</w:t>
      </w:r>
      <w:r w:rsidR="00A96063" w:rsidRPr="00854F55">
        <w:rPr>
          <w:rFonts w:ascii="Arial" w:hAnsi="Arial" w:cs="Arial"/>
          <w:sz w:val="20"/>
          <w:szCs w:val="20"/>
        </w:rPr>
        <w:t xml:space="preserve"> </w:t>
      </w:r>
      <w:r w:rsidR="001C641C" w:rsidRPr="00854F55">
        <w:rPr>
          <w:rFonts w:ascii="Arial" w:hAnsi="Arial" w:cs="Arial"/>
          <w:sz w:val="20"/>
          <w:szCs w:val="20"/>
        </w:rPr>
        <w:t>unit and volume decline</w:t>
      </w:r>
      <w:r w:rsidR="00676B67" w:rsidRPr="00854F55">
        <w:rPr>
          <w:rFonts w:ascii="Arial" w:hAnsi="Arial" w:cs="Arial"/>
          <w:sz w:val="20"/>
          <w:szCs w:val="20"/>
        </w:rPr>
        <w:t>d</w:t>
      </w:r>
      <w:r w:rsidR="008A426C" w:rsidRPr="00854F55">
        <w:rPr>
          <w:rFonts w:ascii="Arial" w:hAnsi="Arial" w:cs="Arial"/>
          <w:sz w:val="20"/>
          <w:szCs w:val="20"/>
        </w:rPr>
        <w:t xml:space="preserve"> </w:t>
      </w:r>
      <w:r w:rsidR="00AD4CC2">
        <w:rPr>
          <w:rFonts w:ascii="Arial" w:hAnsi="Arial" w:cs="Arial"/>
          <w:sz w:val="20"/>
          <w:szCs w:val="20"/>
        </w:rPr>
        <w:t xml:space="preserve">versus </w:t>
      </w:r>
      <w:r>
        <w:rPr>
          <w:rFonts w:ascii="Arial" w:hAnsi="Arial" w:cs="Arial"/>
          <w:sz w:val="20"/>
          <w:szCs w:val="20"/>
        </w:rPr>
        <w:t xml:space="preserve">October </w:t>
      </w:r>
      <w:r w:rsidR="00AD4CC2">
        <w:rPr>
          <w:rFonts w:ascii="Arial" w:hAnsi="Arial" w:cs="Arial"/>
          <w:sz w:val="20"/>
          <w:szCs w:val="20"/>
        </w:rPr>
        <w:t xml:space="preserve">2021 by </w:t>
      </w:r>
      <w:r w:rsidR="00782AAD">
        <w:rPr>
          <w:rFonts w:ascii="Arial" w:hAnsi="Arial" w:cs="Arial"/>
          <w:sz w:val="20"/>
          <w:szCs w:val="20"/>
        </w:rPr>
        <w:t xml:space="preserve">around </w:t>
      </w:r>
      <w:r>
        <w:rPr>
          <w:rFonts w:ascii="Arial" w:hAnsi="Arial" w:cs="Arial"/>
          <w:sz w:val="20"/>
          <w:szCs w:val="20"/>
        </w:rPr>
        <w:t>2</w:t>
      </w:r>
      <w:r w:rsidR="00AD4CC2">
        <w:rPr>
          <w:rFonts w:ascii="Arial" w:hAnsi="Arial" w:cs="Arial"/>
          <w:sz w:val="20"/>
          <w:szCs w:val="20"/>
        </w:rPr>
        <w:t>%</w:t>
      </w:r>
      <w:r>
        <w:rPr>
          <w:rFonts w:ascii="Arial" w:hAnsi="Arial" w:cs="Arial"/>
          <w:sz w:val="20"/>
          <w:szCs w:val="20"/>
        </w:rPr>
        <w:t>-3%</w:t>
      </w:r>
      <w:r w:rsidR="001C641C" w:rsidRPr="00854F55">
        <w:rPr>
          <w:rFonts w:ascii="Arial" w:hAnsi="Arial" w:cs="Arial"/>
          <w:sz w:val="20"/>
          <w:szCs w:val="20"/>
        </w:rPr>
        <w:t xml:space="preserve">. </w:t>
      </w:r>
      <w:r w:rsidR="00782AAD">
        <w:rPr>
          <w:rFonts w:ascii="Arial" w:hAnsi="Arial" w:cs="Arial"/>
          <w:sz w:val="20"/>
          <w:szCs w:val="20"/>
        </w:rPr>
        <w:t>“</w:t>
      </w:r>
      <w:r w:rsidR="00C50137">
        <w:rPr>
          <w:rFonts w:ascii="Arial" w:hAnsi="Arial" w:cs="Arial"/>
          <w:sz w:val="20"/>
          <w:szCs w:val="20"/>
        </w:rPr>
        <w:t xml:space="preserve">Volume declines </w:t>
      </w:r>
      <w:r>
        <w:rPr>
          <w:rFonts w:ascii="Arial" w:hAnsi="Arial" w:cs="Arial"/>
          <w:sz w:val="20"/>
          <w:szCs w:val="20"/>
        </w:rPr>
        <w:t xml:space="preserve">were much </w:t>
      </w:r>
      <w:r w:rsidR="00C50137">
        <w:rPr>
          <w:rFonts w:ascii="Arial" w:hAnsi="Arial" w:cs="Arial"/>
          <w:sz w:val="20"/>
          <w:szCs w:val="20"/>
        </w:rPr>
        <w:t>steeper than unit declines,</w:t>
      </w:r>
      <w:r w:rsidR="00782AAD">
        <w:rPr>
          <w:rFonts w:ascii="Arial" w:hAnsi="Arial" w:cs="Arial"/>
          <w:sz w:val="20"/>
          <w:szCs w:val="20"/>
        </w:rPr>
        <w:t>” noted Parker,</w:t>
      </w:r>
      <w:r w:rsidR="00C50137">
        <w:rPr>
          <w:rFonts w:ascii="Arial" w:hAnsi="Arial" w:cs="Arial"/>
          <w:sz w:val="20"/>
          <w:szCs w:val="20"/>
        </w:rPr>
        <w:t xml:space="preserve"> </w:t>
      </w:r>
      <w:r w:rsidR="00782AAD">
        <w:rPr>
          <w:rFonts w:ascii="Arial" w:hAnsi="Arial" w:cs="Arial"/>
          <w:sz w:val="20"/>
          <w:szCs w:val="20"/>
        </w:rPr>
        <w:t>“</w:t>
      </w:r>
      <w:r w:rsidR="00C50137">
        <w:rPr>
          <w:rFonts w:ascii="Arial" w:hAnsi="Arial" w:cs="Arial"/>
          <w:sz w:val="20"/>
          <w:szCs w:val="20"/>
        </w:rPr>
        <w:t>which may point to consumers moving to smaller pack sizes.</w:t>
      </w:r>
      <w:r w:rsidR="00782AAD">
        <w:rPr>
          <w:rFonts w:ascii="Arial" w:hAnsi="Arial" w:cs="Arial"/>
          <w:sz w:val="20"/>
          <w:szCs w:val="20"/>
        </w:rPr>
        <w:t xml:space="preserve"> We are seeing this in the meat department as well.”</w:t>
      </w:r>
      <w:r>
        <w:rPr>
          <w:rFonts w:ascii="Arial" w:hAnsi="Arial" w:cs="Arial"/>
          <w:sz w:val="20"/>
          <w:szCs w:val="20"/>
        </w:rPr>
        <w:t xml:space="preserve"> Fresh fruit, which has below-average inflation, </w:t>
      </w:r>
      <w:r w:rsidR="00F041A6">
        <w:rPr>
          <w:rFonts w:ascii="Arial" w:hAnsi="Arial" w:cs="Arial"/>
          <w:sz w:val="20"/>
          <w:szCs w:val="20"/>
        </w:rPr>
        <w:t>experienced significantly less unit and volume pressure than vegetables</w:t>
      </w:r>
      <w:r w:rsidR="00C75ABE">
        <w:rPr>
          <w:rFonts w:ascii="Arial" w:hAnsi="Arial" w:cs="Arial"/>
          <w:sz w:val="20"/>
          <w:szCs w:val="20"/>
        </w:rPr>
        <w:t xml:space="preserve">. </w:t>
      </w:r>
    </w:p>
    <w:p w14:paraId="4313C97D" w14:textId="77777777" w:rsidR="00E97D52" w:rsidRDefault="00E97D52" w:rsidP="00CF43CE">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1872"/>
        <w:gridCol w:w="1265"/>
        <w:gridCol w:w="1265"/>
        <w:gridCol w:w="1265"/>
        <w:gridCol w:w="1265"/>
        <w:gridCol w:w="1265"/>
        <w:gridCol w:w="1265"/>
        <w:gridCol w:w="1266"/>
      </w:tblGrid>
      <w:tr w:rsidR="001729EA" w:rsidRPr="001729EA" w14:paraId="5E5E5D5E" w14:textId="77777777" w:rsidTr="00782AAD">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72" w:type="dxa"/>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69258784" w14:textId="0B968DC2" w:rsidR="001729EA" w:rsidRPr="001729EA" w:rsidRDefault="00E001A3" w:rsidP="00951B01">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October</w:t>
            </w:r>
            <w:r w:rsidR="00B75D3A">
              <w:rPr>
                <w:rFonts w:ascii="Arial" w:eastAsia="Times New Roman" w:hAnsi="Arial" w:cs="Arial"/>
                <w:color w:val="FFFFFF" w:themeColor="background1"/>
                <w:sz w:val="18"/>
                <w:szCs w:val="20"/>
              </w:rPr>
              <w:t xml:space="preserve"> </w:t>
            </w:r>
            <w:r w:rsidR="001729EA" w:rsidRPr="001729EA">
              <w:rPr>
                <w:rFonts w:ascii="Arial" w:eastAsia="Times New Roman" w:hAnsi="Arial" w:cs="Arial"/>
                <w:color w:val="FFFFFF" w:themeColor="background1"/>
                <w:sz w:val="18"/>
                <w:szCs w:val="20"/>
              </w:rPr>
              <w:t>202</w:t>
            </w:r>
            <w:r w:rsidR="0038781D">
              <w:rPr>
                <w:rFonts w:ascii="Arial" w:eastAsia="Times New Roman" w:hAnsi="Arial" w:cs="Arial"/>
                <w:color w:val="FFFFFF" w:themeColor="background1"/>
                <w:sz w:val="18"/>
                <w:szCs w:val="20"/>
              </w:rPr>
              <w:t>2</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5FCCBB40"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size</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C388075"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‘2</w:t>
            </w:r>
            <w:r w:rsidR="0038781D">
              <w:rPr>
                <w:rFonts w:ascii="Arial" w:eastAsia="Times New Roman" w:hAnsi="Arial" w:cs="Arial"/>
                <w:color w:val="FFFFFF" w:themeColor="background1"/>
                <w:sz w:val="18"/>
                <w:szCs w:val="20"/>
              </w:rPr>
              <w:t>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EA4EC29" w14:textId="094989DA"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w:t>
            </w:r>
            <w:r w:rsidR="00782AAD">
              <w:rPr>
                <w:rFonts w:ascii="Arial" w:eastAsia="Times New Roman" w:hAnsi="Arial" w:cs="Arial"/>
                <w:color w:val="FFFFFF" w:themeColor="background1"/>
                <w:sz w:val="18"/>
                <w:szCs w:val="20"/>
              </w:rPr>
              <w:t>19</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804AAB4"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‘2</w:t>
            </w:r>
            <w:r w:rsidR="0038781D">
              <w:rPr>
                <w:rFonts w:ascii="Arial" w:eastAsia="Times New Roman" w:hAnsi="Arial" w:cs="Arial"/>
                <w:color w:val="FFFFFF" w:themeColor="background1"/>
                <w:sz w:val="18"/>
                <w:szCs w:val="20"/>
              </w:rPr>
              <w:t>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6156BA5" w14:textId="69DBC3E2"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w:t>
            </w:r>
            <w:r w:rsidR="00782AAD">
              <w:rPr>
                <w:rFonts w:ascii="Arial" w:eastAsia="Times New Roman" w:hAnsi="Arial" w:cs="Arial"/>
                <w:color w:val="FFFFFF" w:themeColor="background1"/>
                <w:sz w:val="18"/>
                <w:szCs w:val="20"/>
              </w:rPr>
              <w:t>19</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ECF71E1"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‘2</w:t>
            </w:r>
            <w:r w:rsidR="0038781D">
              <w:rPr>
                <w:rFonts w:ascii="Arial" w:eastAsia="Times New Roman" w:hAnsi="Arial" w:cs="Arial"/>
                <w:color w:val="FFFFFF" w:themeColor="background1"/>
                <w:sz w:val="18"/>
                <w:szCs w:val="20"/>
              </w:rPr>
              <w:t>1</w:t>
            </w:r>
          </w:p>
        </w:tc>
        <w:tc>
          <w:tcPr>
            <w:tcW w:w="1266"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750B5E2" w14:textId="3170DAA1"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w:t>
            </w:r>
            <w:r w:rsidR="00782AAD">
              <w:rPr>
                <w:rFonts w:ascii="Arial" w:eastAsia="Times New Roman" w:hAnsi="Arial" w:cs="Arial"/>
                <w:color w:val="FFFFFF" w:themeColor="background1"/>
                <w:sz w:val="18"/>
                <w:szCs w:val="20"/>
              </w:rPr>
              <w:t>19</w:t>
            </w:r>
          </w:p>
        </w:tc>
      </w:tr>
      <w:tr w:rsidR="001729EA" w:rsidRPr="000A733E" w14:paraId="4C79F54A" w14:textId="77777777" w:rsidTr="00782AA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tcBorders>
              <w:left w:val="none" w:sz="0" w:space="0" w:color="auto"/>
              <w:right w:val="none" w:sz="0" w:space="0" w:color="auto"/>
            </w:tcBorders>
            <w:noWrap/>
          </w:tcPr>
          <w:p w14:paraId="6530B6D0" w14:textId="77777777" w:rsidR="001729EA" w:rsidRPr="000A733E" w:rsidRDefault="001729EA" w:rsidP="00E97D52">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Total fresh produce</w:t>
            </w:r>
          </w:p>
        </w:tc>
        <w:tc>
          <w:tcPr>
            <w:tcW w:w="1265" w:type="dxa"/>
            <w:tcBorders>
              <w:left w:val="none" w:sz="0" w:space="0" w:color="auto"/>
              <w:right w:val="none" w:sz="0" w:space="0" w:color="auto"/>
            </w:tcBorders>
            <w:vAlign w:val="center"/>
          </w:tcPr>
          <w:p w14:paraId="18E23756" w14:textId="0B820884"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97D52">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6.8</w:t>
            </w:r>
            <w:r w:rsidRPr="00E97D52">
              <w:rPr>
                <w:rFonts w:ascii="Arial" w:eastAsia="Times New Roman" w:hAnsi="Arial" w:cs="Arial"/>
                <w:color w:val="17365D" w:themeColor="text2" w:themeShade="BF"/>
                <w:sz w:val="18"/>
                <w:szCs w:val="18"/>
              </w:rPr>
              <w:t>B</w:t>
            </w:r>
          </w:p>
        </w:tc>
        <w:tc>
          <w:tcPr>
            <w:tcW w:w="1265" w:type="dxa"/>
            <w:tcBorders>
              <w:left w:val="none" w:sz="0" w:space="0" w:color="auto"/>
              <w:right w:val="none" w:sz="0" w:space="0" w:color="auto"/>
            </w:tcBorders>
          </w:tcPr>
          <w:p w14:paraId="397195B1" w14:textId="230D0553"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2.5</w:t>
            </w:r>
            <w:r w:rsidRPr="005913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55886AA9" w14:textId="0B508B93" w:rsidR="001729EA" w:rsidRPr="00E97D52" w:rsidRDefault="00FD43CB" w:rsidP="00E97D5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19.6</w:t>
            </w:r>
            <w:r w:rsidR="001729EA" w:rsidRPr="005913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6D70BA8C" w14:textId="31AF2341"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2.7</w:t>
            </w:r>
            <w:r w:rsidRPr="000A05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18B16EF1" w14:textId="1696D23E" w:rsidR="001729EA" w:rsidRPr="00E97D52" w:rsidRDefault="00CF005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+4.2</w:t>
            </w:r>
            <w:r w:rsidR="001729EA" w:rsidRPr="007650CC">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69F9E48C" w14:textId="5EADF4D2"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7.0</w:t>
            </w:r>
            <w:r w:rsidRPr="00E87888">
              <w:rPr>
                <w:rFonts w:ascii="Arial" w:eastAsia="Times New Roman" w:hAnsi="Arial" w:cs="Arial"/>
                <w:color w:val="17365D" w:themeColor="text2" w:themeShade="BF"/>
                <w:sz w:val="18"/>
                <w:szCs w:val="18"/>
              </w:rPr>
              <w:t>%</w:t>
            </w:r>
          </w:p>
        </w:tc>
        <w:tc>
          <w:tcPr>
            <w:tcW w:w="1266" w:type="dxa"/>
            <w:tcBorders>
              <w:left w:val="none" w:sz="0" w:space="0" w:color="auto"/>
              <w:right w:val="none" w:sz="0" w:space="0" w:color="auto"/>
            </w:tcBorders>
          </w:tcPr>
          <w:p w14:paraId="32C1B643" w14:textId="70480D31" w:rsidR="001729EA" w:rsidRPr="00E97D52" w:rsidRDefault="00FD43CB"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2.8</w:t>
            </w:r>
            <w:r w:rsidR="001729EA" w:rsidRPr="00560673">
              <w:rPr>
                <w:rFonts w:ascii="Arial" w:eastAsia="Times New Roman" w:hAnsi="Arial" w:cs="Arial"/>
                <w:color w:val="17365D" w:themeColor="text2" w:themeShade="BF"/>
                <w:sz w:val="18"/>
                <w:szCs w:val="18"/>
              </w:rPr>
              <w:t>%</w:t>
            </w:r>
          </w:p>
        </w:tc>
      </w:tr>
      <w:tr w:rsidR="00B75D3A" w:rsidRPr="000A733E" w14:paraId="00EC79C9" w14:textId="77777777" w:rsidTr="00782AAD">
        <w:trPr>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21B21BAF" w14:textId="77777777" w:rsidR="00B75D3A" w:rsidRPr="000A733E" w:rsidRDefault="00B75D3A" w:rsidP="00B75D3A">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Fresh fruit</w:t>
            </w:r>
          </w:p>
        </w:tc>
        <w:tc>
          <w:tcPr>
            <w:tcW w:w="1265" w:type="dxa"/>
            <w:vAlign w:val="center"/>
          </w:tcPr>
          <w:p w14:paraId="48DCBDB3" w14:textId="51A811DC"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3.1</w:t>
            </w:r>
            <w:r w:rsidRPr="00E97D52">
              <w:rPr>
                <w:rFonts w:ascii="Arial" w:eastAsia="Times New Roman" w:hAnsi="Arial" w:cs="Arial"/>
                <w:color w:val="17365D" w:themeColor="text2" w:themeShade="BF"/>
                <w:sz w:val="18"/>
                <w:szCs w:val="18"/>
              </w:rPr>
              <w:t>B</w:t>
            </w:r>
          </w:p>
        </w:tc>
        <w:tc>
          <w:tcPr>
            <w:tcW w:w="1265" w:type="dxa"/>
          </w:tcPr>
          <w:p w14:paraId="57664D8C" w14:textId="48D395C9" w:rsidR="00B75D3A" w:rsidRPr="00E97D52" w:rsidRDefault="00CF005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-0.3</w:t>
            </w:r>
            <w:r w:rsidR="00B75D3A" w:rsidRPr="00591300">
              <w:rPr>
                <w:rFonts w:ascii="Arial" w:eastAsia="Times New Roman" w:hAnsi="Arial" w:cs="Arial"/>
                <w:color w:val="17365D" w:themeColor="text2" w:themeShade="BF"/>
                <w:sz w:val="18"/>
                <w:szCs w:val="18"/>
              </w:rPr>
              <w:t>%</w:t>
            </w:r>
          </w:p>
        </w:tc>
        <w:tc>
          <w:tcPr>
            <w:tcW w:w="1265" w:type="dxa"/>
          </w:tcPr>
          <w:p w14:paraId="0AB9E5AE" w14:textId="25791C6C"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19.0%</w:t>
            </w:r>
          </w:p>
        </w:tc>
        <w:tc>
          <w:tcPr>
            <w:tcW w:w="1265" w:type="dxa"/>
          </w:tcPr>
          <w:p w14:paraId="18ACF451" w14:textId="216F5A83"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2.2</w:t>
            </w:r>
            <w:r w:rsidRPr="000A0500">
              <w:rPr>
                <w:rFonts w:ascii="Arial" w:eastAsia="Times New Roman" w:hAnsi="Arial" w:cs="Arial"/>
                <w:color w:val="17365D" w:themeColor="text2" w:themeShade="BF"/>
                <w:sz w:val="18"/>
                <w:szCs w:val="18"/>
              </w:rPr>
              <w:t>%</w:t>
            </w:r>
          </w:p>
        </w:tc>
        <w:tc>
          <w:tcPr>
            <w:tcW w:w="1265" w:type="dxa"/>
          </w:tcPr>
          <w:p w14:paraId="3E25926E" w14:textId="72EBE61E" w:rsidR="00B75D3A" w:rsidRPr="00E97D52" w:rsidRDefault="00FD43CB"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6.1</w:t>
            </w:r>
            <w:r w:rsidR="00B75D3A" w:rsidRPr="007650CC">
              <w:rPr>
                <w:rFonts w:ascii="Arial" w:eastAsia="Times New Roman" w:hAnsi="Arial" w:cs="Arial"/>
                <w:color w:val="17365D" w:themeColor="text2" w:themeShade="BF"/>
                <w:sz w:val="18"/>
                <w:szCs w:val="18"/>
              </w:rPr>
              <w:t>%</w:t>
            </w:r>
          </w:p>
        </w:tc>
        <w:tc>
          <w:tcPr>
            <w:tcW w:w="1265" w:type="dxa"/>
          </w:tcPr>
          <w:p w14:paraId="426F58FB" w14:textId="74772C12"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4.3</w:t>
            </w:r>
            <w:r w:rsidRPr="00E87888">
              <w:rPr>
                <w:rFonts w:ascii="Arial" w:eastAsia="Times New Roman" w:hAnsi="Arial" w:cs="Arial"/>
                <w:color w:val="17365D" w:themeColor="text2" w:themeShade="BF"/>
                <w:sz w:val="18"/>
                <w:szCs w:val="18"/>
              </w:rPr>
              <w:t>%</w:t>
            </w:r>
          </w:p>
        </w:tc>
        <w:tc>
          <w:tcPr>
            <w:tcW w:w="1266" w:type="dxa"/>
          </w:tcPr>
          <w:p w14:paraId="44B578EA" w14:textId="5B058E80" w:rsidR="00B75D3A" w:rsidRPr="00E97D52" w:rsidRDefault="00FD43CB"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4.6</w:t>
            </w:r>
            <w:r w:rsidR="00B75D3A" w:rsidRPr="00560673">
              <w:rPr>
                <w:rFonts w:ascii="Arial" w:eastAsia="Times New Roman" w:hAnsi="Arial" w:cs="Arial"/>
                <w:color w:val="17365D" w:themeColor="text2" w:themeShade="BF"/>
                <w:sz w:val="18"/>
                <w:szCs w:val="18"/>
              </w:rPr>
              <w:t>%</w:t>
            </w:r>
          </w:p>
        </w:tc>
      </w:tr>
      <w:tr w:rsidR="00B75D3A" w:rsidRPr="000A733E" w14:paraId="52DE1385" w14:textId="77777777" w:rsidTr="00782AA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7DC406A0" w14:textId="77777777" w:rsidR="00B75D3A" w:rsidRPr="000A733E" w:rsidRDefault="00B75D3A" w:rsidP="00B75D3A">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Fresh vegetables</w:t>
            </w:r>
          </w:p>
        </w:tc>
        <w:tc>
          <w:tcPr>
            <w:tcW w:w="1265" w:type="dxa"/>
            <w:vAlign w:val="center"/>
          </w:tcPr>
          <w:p w14:paraId="643F13CC" w14:textId="0CDFE949"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3.6</w:t>
            </w:r>
            <w:r w:rsidRPr="00E97D52">
              <w:rPr>
                <w:rFonts w:ascii="Arial" w:eastAsia="Times New Roman" w:hAnsi="Arial" w:cs="Arial"/>
                <w:color w:val="17365D" w:themeColor="text2" w:themeShade="BF"/>
                <w:sz w:val="18"/>
                <w:szCs w:val="18"/>
              </w:rPr>
              <w:t>B</w:t>
            </w:r>
          </w:p>
        </w:tc>
        <w:tc>
          <w:tcPr>
            <w:tcW w:w="1265" w:type="dxa"/>
          </w:tcPr>
          <w:p w14:paraId="62E753B2" w14:textId="112E2183"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5.0</w:t>
            </w:r>
            <w:r w:rsidRPr="00591300">
              <w:rPr>
                <w:rFonts w:ascii="Arial" w:eastAsia="Times New Roman" w:hAnsi="Arial" w:cs="Arial"/>
                <w:color w:val="17365D" w:themeColor="text2" w:themeShade="BF"/>
                <w:sz w:val="18"/>
                <w:szCs w:val="18"/>
              </w:rPr>
              <w:t>%</w:t>
            </w:r>
          </w:p>
        </w:tc>
        <w:tc>
          <w:tcPr>
            <w:tcW w:w="1265" w:type="dxa"/>
          </w:tcPr>
          <w:p w14:paraId="5F82C4A8" w14:textId="01FAB2BF" w:rsidR="00B75D3A" w:rsidRPr="00E97D52" w:rsidRDefault="00AE6E95" w:rsidP="00B75D3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20.2</w:t>
            </w:r>
            <w:r w:rsidR="00B75D3A" w:rsidRPr="00591300">
              <w:rPr>
                <w:rFonts w:ascii="Arial" w:eastAsia="Times New Roman" w:hAnsi="Arial" w:cs="Arial"/>
                <w:color w:val="17365D" w:themeColor="text2" w:themeShade="BF"/>
                <w:sz w:val="18"/>
                <w:szCs w:val="18"/>
              </w:rPr>
              <w:t>%</w:t>
            </w:r>
          </w:p>
        </w:tc>
        <w:tc>
          <w:tcPr>
            <w:tcW w:w="1265" w:type="dxa"/>
          </w:tcPr>
          <w:p w14:paraId="36BF3793" w14:textId="75673B1A"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3.1</w:t>
            </w:r>
            <w:r w:rsidRPr="000A0500">
              <w:rPr>
                <w:rFonts w:ascii="Arial" w:eastAsia="Times New Roman" w:hAnsi="Arial" w:cs="Arial"/>
                <w:color w:val="17365D" w:themeColor="text2" w:themeShade="BF"/>
                <w:sz w:val="18"/>
                <w:szCs w:val="18"/>
              </w:rPr>
              <w:t>%</w:t>
            </w:r>
          </w:p>
        </w:tc>
        <w:tc>
          <w:tcPr>
            <w:tcW w:w="1265" w:type="dxa"/>
          </w:tcPr>
          <w:p w14:paraId="60C3D45F" w14:textId="31BE067E" w:rsidR="00B75D3A" w:rsidRPr="00E97D52" w:rsidRDefault="00FD43CB"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2.8</w:t>
            </w:r>
            <w:r w:rsidR="00B75D3A" w:rsidRPr="007650CC">
              <w:rPr>
                <w:rFonts w:ascii="Arial" w:eastAsia="Times New Roman" w:hAnsi="Arial" w:cs="Arial"/>
                <w:color w:val="17365D" w:themeColor="text2" w:themeShade="BF"/>
                <w:sz w:val="18"/>
                <w:szCs w:val="18"/>
              </w:rPr>
              <w:t>%</w:t>
            </w:r>
          </w:p>
        </w:tc>
        <w:tc>
          <w:tcPr>
            <w:tcW w:w="1265" w:type="dxa"/>
          </w:tcPr>
          <w:p w14:paraId="53B735C6" w14:textId="6F1B2423"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9.3</w:t>
            </w:r>
            <w:r w:rsidRPr="00E87888">
              <w:rPr>
                <w:rFonts w:ascii="Arial" w:eastAsia="Times New Roman" w:hAnsi="Arial" w:cs="Arial"/>
                <w:color w:val="17365D" w:themeColor="text2" w:themeShade="BF"/>
                <w:sz w:val="18"/>
                <w:szCs w:val="18"/>
              </w:rPr>
              <w:t>%</w:t>
            </w:r>
          </w:p>
        </w:tc>
        <w:tc>
          <w:tcPr>
            <w:tcW w:w="1266" w:type="dxa"/>
          </w:tcPr>
          <w:p w14:paraId="3696D109" w14:textId="2DFA7904" w:rsidR="00B75D3A" w:rsidRPr="00E97D52" w:rsidRDefault="00FD43CB"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CF005A">
              <w:rPr>
                <w:rFonts w:ascii="Arial" w:eastAsia="Times New Roman" w:hAnsi="Arial" w:cs="Arial"/>
                <w:color w:val="17365D" w:themeColor="text2" w:themeShade="BF"/>
                <w:sz w:val="18"/>
                <w:szCs w:val="18"/>
              </w:rPr>
              <w:t>1.2</w:t>
            </w:r>
            <w:r w:rsidR="00B75D3A" w:rsidRPr="00560673">
              <w:rPr>
                <w:rFonts w:ascii="Arial" w:eastAsia="Times New Roman" w:hAnsi="Arial" w:cs="Arial"/>
                <w:color w:val="17365D" w:themeColor="text2" w:themeShade="BF"/>
                <w:sz w:val="18"/>
                <w:szCs w:val="18"/>
              </w:rPr>
              <w:t>%</w:t>
            </w:r>
          </w:p>
        </w:tc>
      </w:tr>
    </w:tbl>
    <w:p w14:paraId="76F803AD" w14:textId="77777777" w:rsidR="00E97D52" w:rsidRPr="00B64ECF" w:rsidRDefault="00E97D52" w:rsidP="00E97D52">
      <w:pPr>
        <w:pStyle w:val="NoSpacing"/>
        <w:rPr>
          <w:rFonts w:ascii="Arial" w:hAnsi="Arial" w:cs="Arial"/>
          <w:sz w:val="12"/>
          <w:szCs w:val="16"/>
        </w:rPr>
      </w:pPr>
    </w:p>
    <w:p w14:paraId="7B8E71ED" w14:textId="39D7F5F7" w:rsidR="0053257C" w:rsidRDefault="00E97D52" w:rsidP="002D178D">
      <w:pPr>
        <w:pStyle w:val="NoSpacing"/>
        <w:rPr>
          <w:rFonts w:ascii="Arial" w:hAnsi="Arial" w:cs="Arial"/>
          <w:sz w:val="16"/>
          <w:szCs w:val="16"/>
        </w:rPr>
      </w:pPr>
      <w:r w:rsidRPr="005C6A11">
        <w:rPr>
          <w:rFonts w:ascii="Arial" w:hAnsi="Arial" w:cs="Arial"/>
          <w:sz w:val="16"/>
          <w:szCs w:val="16"/>
        </w:rPr>
        <w:t xml:space="preserve">Source: IRI, </w:t>
      </w:r>
      <w:r>
        <w:rPr>
          <w:rFonts w:ascii="Arial" w:hAnsi="Arial" w:cs="Arial"/>
          <w:sz w:val="16"/>
          <w:szCs w:val="16"/>
        </w:rPr>
        <w:t xml:space="preserve">Integrated Fresh, Total </w:t>
      </w:r>
      <w:r w:rsidRPr="005C6A11">
        <w:rPr>
          <w:rFonts w:ascii="Arial" w:hAnsi="Arial" w:cs="Arial"/>
          <w:sz w:val="16"/>
          <w:szCs w:val="16"/>
        </w:rPr>
        <w:t>US, MULO, % change vs. year ago.</w:t>
      </w:r>
    </w:p>
    <w:p w14:paraId="20EC010E" w14:textId="77777777" w:rsidR="008E0FB8" w:rsidRPr="00C227BA" w:rsidRDefault="008E0FB8" w:rsidP="002D178D">
      <w:pPr>
        <w:pStyle w:val="NoSpacing"/>
        <w:rPr>
          <w:rFonts w:ascii="Arial" w:hAnsi="Arial" w:cs="Arial"/>
          <w:color w:val="595959" w:themeColor="text1" w:themeTint="A6"/>
          <w:sz w:val="24"/>
        </w:rPr>
      </w:pPr>
    </w:p>
    <w:tbl>
      <w:tblPr>
        <w:tblStyle w:val="LightShading-Accent5"/>
        <w:tblpPr w:leftFromText="180" w:rightFromText="180" w:vertAnchor="text" w:horzAnchor="margin" w:tblpXSpec="right" w:tblpY="320"/>
        <w:tblOverlap w:val="never"/>
        <w:tblW w:w="5701" w:type="dxa"/>
        <w:tblBorders>
          <w:top w:val="none" w:sz="0" w:space="0" w:color="auto"/>
          <w:bottom w:val="none" w:sz="0" w:space="0" w:color="auto"/>
        </w:tblBorders>
        <w:tblLook w:val="04A0" w:firstRow="1" w:lastRow="0" w:firstColumn="1" w:lastColumn="0" w:noHBand="0" w:noVBand="1"/>
      </w:tblPr>
      <w:tblGrid>
        <w:gridCol w:w="1843"/>
        <w:gridCol w:w="1276"/>
        <w:gridCol w:w="1291"/>
        <w:gridCol w:w="1291"/>
      </w:tblGrid>
      <w:tr w:rsidR="00A225AD" w:rsidRPr="00DE633B" w14:paraId="789E18F0" w14:textId="77777777" w:rsidTr="009D788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2B589CF" w14:textId="77777777" w:rsidR="00A225AD" w:rsidRPr="00DE633B" w:rsidRDefault="00A225AD" w:rsidP="00340AA9">
            <w:pPr>
              <w:rPr>
                <w:rFonts w:ascii="Arial" w:hAnsi="Arial" w:cs="Arial"/>
                <w:color w:val="FFFFFF" w:themeColor="background1"/>
                <w:sz w:val="18"/>
                <w:szCs w:val="20"/>
              </w:rPr>
            </w:pPr>
            <w:r>
              <w:rPr>
                <w:rFonts w:ascii="Arial" w:hAnsi="Arial" w:cs="Arial"/>
                <w:color w:val="FFFFFF" w:themeColor="background1"/>
                <w:sz w:val="18"/>
                <w:szCs w:val="20"/>
              </w:rPr>
              <w:t xml:space="preserve">Produce </w:t>
            </w:r>
            <w:r w:rsidRPr="00DE633B">
              <w:rPr>
                <w:rFonts w:ascii="Arial" w:hAnsi="Arial" w:cs="Arial"/>
                <w:color w:val="FFFFFF" w:themeColor="background1"/>
                <w:sz w:val="18"/>
                <w:szCs w:val="20"/>
              </w:rPr>
              <w:t>department</w:t>
            </w:r>
          </w:p>
        </w:tc>
        <w:tc>
          <w:tcPr>
            <w:tcW w:w="1276"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97495A7" w14:textId="77777777"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DE633B">
              <w:rPr>
                <w:rFonts w:ascii="Arial" w:hAnsi="Arial" w:cs="Arial"/>
                <w:color w:val="FFFFFF" w:themeColor="background1"/>
                <w:sz w:val="18"/>
                <w:szCs w:val="20"/>
              </w:rPr>
              <w:t xml:space="preserve">Dollar </w:t>
            </w:r>
            <w:r>
              <w:rPr>
                <w:rFonts w:ascii="Arial" w:hAnsi="Arial" w:cs="Arial"/>
                <w:color w:val="FFFFFF" w:themeColor="background1"/>
                <w:sz w:val="18"/>
                <w:szCs w:val="20"/>
              </w:rPr>
              <w:br/>
            </w:r>
            <w:r w:rsidRPr="00DE633B">
              <w:rPr>
                <w:rFonts w:ascii="Arial" w:hAnsi="Arial" w:cs="Arial"/>
                <w:color w:val="FFFFFF" w:themeColor="background1"/>
                <w:sz w:val="18"/>
                <w:szCs w:val="20"/>
              </w:rPr>
              <w:t>sales</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F6EDA89" w14:textId="77777777" w:rsidR="009D7889" w:rsidRDefault="009D7889"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r>
              <w:rPr>
                <w:rFonts w:ascii="Arial" w:hAnsi="Arial" w:cs="Arial"/>
                <w:color w:val="FFFFFF" w:themeColor="background1"/>
                <w:sz w:val="18"/>
                <w:szCs w:val="20"/>
              </w:rPr>
              <w:t xml:space="preserve">$ </w:t>
            </w:r>
          </w:p>
          <w:p w14:paraId="789DFE22" w14:textId="5D3683E5"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 xml:space="preserve">vs. </w:t>
            </w:r>
            <w:r w:rsidR="009D7889">
              <w:rPr>
                <w:rFonts w:ascii="Arial" w:hAnsi="Arial" w:cs="Arial"/>
                <w:color w:val="FFFFFF" w:themeColor="background1"/>
                <w:sz w:val="18"/>
                <w:szCs w:val="20"/>
              </w:rPr>
              <w:t>YA</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00F40F68" w14:textId="195B8A9C" w:rsidR="009D7889" w:rsidRDefault="00DB005E"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proofErr w:type="spellStart"/>
            <w:r>
              <w:rPr>
                <w:rFonts w:ascii="Arial" w:hAnsi="Arial" w:cs="Arial"/>
                <w:color w:val="FFFFFF" w:themeColor="background1"/>
                <w:sz w:val="18"/>
                <w:szCs w:val="20"/>
              </w:rPr>
              <w:t>l</w:t>
            </w:r>
            <w:r w:rsidR="009D7889">
              <w:rPr>
                <w:rFonts w:ascii="Arial" w:hAnsi="Arial" w:cs="Arial"/>
                <w:color w:val="FFFFFF" w:themeColor="background1"/>
                <w:sz w:val="18"/>
                <w:szCs w:val="20"/>
              </w:rPr>
              <w:t>bs</w:t>
            </w:r>
            <w:proofErr w:type="spellEnd"/>
            <w:r w:rsidR="009D7889">
              <w:rPr>
                <w:rFonts w:ascii="Arial" w:hAnsi="Arial" w:cs="Arial"/>
                <w:color w:val="FFFFFF" w:themeColor="background1"/>
                <w:sz w:val="18"/>
                <w:szCs w:val="20"/>
              </w:rPr>
              <w:t xml:space="preserve"> </w:t>
            </w:r>
          </w:p>
          <w:p w14:paraId="602B4FB7" w14:textId="2AC2744A" w:rsidR="00A225AD" w:rsidRPr="00DE633B" w:rsidRDefault="009D7889"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vs. YA</w:t>
            </w:r>
          </w:p>
        </w:tc>
      </w:tr>
      <w:tr w:rsidR="00A225AD" w:rsidRPr="00361BCC" w14:paraId="2B024870" w14:textId="77777777" w:rsidTr="00E001A3">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642F99E2" w14:textId="52F25EDE" w:rsidR="00A225AD" w:rsidRPr="00361BCC" w:rsidRDefault="00E001A3" w:rsidP="00AF4FDD">
            <w:pPr>
              <w:pStyle w:val="NoSpacing"/>
              <w:rPr>
                <w:rFonts w:ascii="Arial" w:hAnsi="Arial" w:cs="Arial"/>
                <w:color w:val="215868" w:themeColor="accent5" w:themeShade="80"/>
                <w:sz w:val="18"/>
                <w:szCs w:val="18"/>
              </w:rPr>
            </w:pPr>
            <w:r>
              <w:rPr>
                <w:rFonts w:ascii="Arial" w:hAnsi="Arial" w:cs="Arial"/>
                <w:color w:val="215868" w:themeColor="accent5" w:themeShade="80"/>
                <w:sz w:val="18"/>
                <w:szCs w:val="18"/>
              </w:rPr>
              <w:t>October</w:t>
            </w:r>
            <w:r w:rsidR="00A96063">
              <w:rPr>
                <w:rFonts w:ascii="Arial" w:hAnsi="Arial" w:cs="Arial"/>
                <w:color w:val="215868" w:themeColor="accent5" w:themeShade="80"/>
                <w:sz w:val="18"/>
                <w:szCs w:val="18"/>
              </w:rPr>
              <w:t xml:space="preserve"> </w:t>
            </w:r>
            <w:r w:rsidR="00112E9A">
              <w:rPr>
                <w:rFonts w:ascii="Arial" w:hAnsi="Arial" w:cs="Arial"/>
                <w:color w:val="215868" w:themeColor="accent5" w:themeShade="80"/>
                <w:sz w:val="18"/>
                <w:szCs w:val="18"/>
              </w:rPr>
              <w:t>2022</w:t>
            </w:r>
          </w:p>
        </w:tc>
        <w:tc>
          <w:tcPr>
            <w:tcW w:w="1276" w:type="dxa"/>
            <w:tcBorders>
              <w:left w:val="none" w:sz="0" w:space="0" w:color="auto"/>
              <w:right w:val="none" w:sz="0" w:space="0" w:color="auto"/>
            </w:tcBorders>
            <w:vAlign w:val="center"/>
          </w:tcPr>
          <w:p w14:paraId="112F661F" w14:textId="5CBE2D21" w:rsidR="00A225AD" w:rsidRPr="00361BCC" w:rsidRDefault="00A225AD"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sidRPr="00361BCC">
              <w:rPr>
                <w:rFonts w:ascii="Arial" w:hAnsi="Arial" w:cs="Arial"/>
                <w:b/>
                <w:bCs/>
                <w:color w:val="215868" w:themeColor="accent5" w:themeShade="80"/>
                <w:sz w:val="18"/>
                <w:szCs w:val="20"/>
              </w:rPr>
              <w:t>$</w:t>
            </w:r>
            <w:r w:rsidR="00F041A6">
              <w:rPr>
                <w:rFonts w:ascii="Arial" w:hAnsi="Arial" w:cs="Arial"/>
                <w:b/>
                <w:bCs/>
                <w:color w:val="215868" w:themeColor="accent5" w:themeShade="80"/>
                <w:sz w:val="18"/>
                <w:szCs w:val="20"/>
              </w:rPr>
              <w:t>6.761</w:t>
            </w:r>
            <w:r w:rsidRPr="00361BCC">
              <w:rPr>
                <w:rFonts w:ascii="Arial" w:hAnsi="Arial" w:cs="Arial"/>
                <w:b/>
                <w:bCs/>
                <w:color w:val="215868" w:themeColor="accent5" w:themeShade="80"/>
                <w:sz w:val="18"/>
                <w:szCs w:val="20"/>
              </w:rPr>
              <w:t>B</w:t>
            </w:r>
          </w:p>
        </w:tc>
        <w:tc>
          <w:tcPr>
            <w:tcW w:w="1291" w:type="dxa"/>
            <w:tcBorders>
              <w:left w:val="none" w:sz="0" w:space="0" w:color="auto"/>
              <w:right w:val="none" w:sz="0" w:space="0" w:color="auto"/>
            </w:tcBorders>
            <w:vAlign w:val="center"/>
          </w:tcPr>
          <w:p w14:paraId="626D5FC4" w14:textId="12BA9D8B" w:rsidR="00A225AD" w:rsidRPr="00361BCC"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F041A6">
              <w:rPr>
                <w:rFonts w:ascii="Arial" w:hAnsi="Arial" w:cs="Arial"/>
                <w:b/>
                <w:bCs/>
                <w:color w:val="215868" w:themeColor="accent5" w:themeShade="80"/>
                <w:sz w:val="18"/>
                <w:szCs w:val="20"/>
              </w:rPr>
              <w:t>2.5</w:t>
            </w:r>
            <w:r w:rsidR="00A225AD" w:rsidRPr="00361BCC">
              <w:rPr>
                <w:rFonts w:ascii="Arial" w:hAnsi="Arial" w:cs="Arial"/>
                <w:b/>
                <w:bCs/>
                <w:color w:val="215868" w:themeColor="accent5" w:themeShade="80"/>
                <w:sz w:val="18"/>
                <w:szCs w:val="20"/>
              </w:rPr>
              <w:t>%</w:t>
            </w:r>
          </w:p>
        </w:tc>
        <w:tc>
          <w:tcPr>
            <w:tcW w:w="1291" w:type="dxa"/>
            <w:tcBorders>
              <w:left w:val="none" w:sz="0" w:space="0" w:color="auto"/>
              <w:right w:val="none" w:sz="0" w:space="0" w:color="auto"/>
            </w:tcBorders>
            <w:vAlign w:val="center"/>
          </w:tcPr>
          <w:p w14:paraId="18FFDE5D" w14:textId="3D56EB41" w:rsidR="00A225AD" w:rsidRPr="00361BCC" w:rsidRDefault="009D7889"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F041A6">
              <w:rPr>
                <w:rFonts w:ascii="Arial" w:hAnsi="Arial" w:cs="Arial"/>
                <w:b/>
                <w:bCs/>
                <w:color w:val="215868" w:themeColor="accent5" w:themeShade="80"/>
                <w:sz w:val="18"/>
                <w:szCs w:val="20"/>
              </w:rPr>
              <w:t>4.2</w:t>
            </w:r>
            <w:r w:rsidR="00A225AD" w:rsidRPr="00361BCC">
              <w:rPr>
                <w:rFonts w:ascii="Arial" w:hAnsi="Arial" w:cs="Arial"/>
                <w:b/>
                <w:bCs/>
                <w:color w:val="215868" w:themeColor="accent5" w:themeShade="80"/>
                <w:sz w:val="18"/>
                <w:szCs w:val="20"/>
              </w:rPr>
              <w:t>%</w:t>
            </w:r>
          </w:p>
        </w:tc>
      </w:tr>
      <w:tr w:rsidR="00E001A3" w:rsidRPr="00E736B9" w14:paraId="0E6C1C11" w14:textId="77777777" w:rsidTr="00E001A3">
        <w:trPr>
          <w:trHeight w:val="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11A1C270" w14:textId="34D68BB4" w:rsidR="00E001A3" w:rsidRPr="00E736B9" w:rsidRDefault="00E001A3" w:rsidP="00E001A3">
            <w:pPr>
              <w:pStyle w:val="NoSpacing"/>
              <w:rPr>
                <w:rFonts w:ascii="Arial" w:hAnsi="Arial" w:cs="Arial"/>
                <w:b w:val="0"/>
                <w:color w:val="215868" w:themeColor="accent5" w:themeShade="80"/>
                <w:sz w:val="18"/>
                <w:szCs w:val="18"/>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10/2/2022</w:t>
            </w:r>
          </w:p>
        </w:tc>
        <w:tc>
          <w:tcPr>
            <w:tcW w:w="1276" w:type="dxa"/>
            <w:vAlign w:val="center"/>
          </w:tcPr>
          <w:p w14:paraId="05ACFCB0" w14:textId="30A729CF" w:rsidR="00E001A3" w:rsidRPr="005B198A" w:rsidRDefault="00E001A3" w:rsidP="00E001A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F041A6">
              <w:rPr>
                <w:rFonts w:ascii="Arial" w:hAnsi="Arial" w:cs="Arial"/>
                <w:color w:val="215868" w:themeColor="accent5" w:themeShade="80"/>
                <w:sz w:val="18"/>
                <w:szCs w:val="20"/>
              </w:rPr>
              <w:t>1.353</w:t>
            </w:r>
            <w:r w:rsidRPr="005B198A">
              <w:rPr>
                <w:rFonts w:ascii="Arial" w:hAnsi="Arial" w:cs="Arial"/>
                <w:color w:val="215868" w:themeColor="accent5" w:themeShade="80"/>
                <w:sz w:val="18"/>
                <w:szCs w:val="20"/>
              </w:rPr>
              <w:t>B</w:t>
            </w:r>
          </w:p>
        </w:tc>
        <w:tc>
          <w:tcPr>
            <w:tcW w:w="1291" w:type="dxa"/>
            <w:vAlign w:val="center"/>
          </w:tcPr>
          <w:p w14:paraId="58668FAD" w14:textId="0E3438D7" w:rsidR="00E001A3" w:rsidRPr="005B198A" w:rsidRDefault="00FD43CB" w:rsidP="00E001A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F041A6">
              <w:rPr>
                <w:rFonts w:ascii="Arial" w:hAnsi="Arial" w:cs="Arial"/>
                <w:color w:val="215868" w:themeColor="accent5" w:themeShade="80"/>
                <w:sz w:val="18"/>
                <w:szCs w:val="20"/>
              </w:rPr>
              <w:t>1.8</w:t>
            </w:r>
            <w:r w:rsidR="00E001A3" w:rsidRPr="005B198A">
              <w:rPr>
                <w:rFonts w:ascii="Arial" w:hAnsi="Arial" w:cs="Arial"/>
                <w:color w:val="215868" w:themeColor="accent5" w:themeShade="80"/>
                <w:sz w:val="18"/>
                <w:szCs w:val="20"/>
              </w:rPr>
              <w:t>%</w:t>
            </w:r>
          </w:p>
        </w:tc>
        <w:tc>
          <w:tcPr>
            <w:tcW w:w="1291" w:type="dxa"/>
            <w:vAlign w:val="center"/>
          </w:tcPr>
          <w:p w14:paraId="71A2D256" w14:textId="639AF330" w:rsidR="00E001A3" w:rsidRPr="005B198A" w:rsidRDefault="00E001A3" w:rsidP="00E001A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F041A6">
              <w:rPr>
                <w:rFonts w:ascii="Arial" w:hAnsi="Arial" w:cs="Arial"/>
                <w:color w:val="215868" w:themeColor="accent5" w:themeShade="80"/>
                <w:sz w:val="18"/>
                <w:szCs w:val="20"/>
              </w:rPr>
              <w:t>4.6</w:t>
            </w:r>
            <w:r w:rsidRPr="005B198A">
              <w:rPr>
                <w:rFonts w:ascii="Arial" w:hAnsi="Arial" w:cs="Arial"/>
                <w:color w:val="215868" w:themeColor="accent5" w:themeShade="80"/>
                <w:sz w:val="18"/>
                <w:szCs w:val="20"/>
              </w:rPr>
              <w:t>%</w:t>
            </w:r>
          </w:p>
        </w:tc>
      </w:tr>
      <w:tr w:rsidR="00E001A3" w:rsidRPr="00E736B9" w14:paraId="6851F49E" w14:textId="77777777" w:rsidTr="00E001A3">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647D5E2A" w14:textId="75762FAF" w:rsidR="00E001A3" w:rsidRPr="00E736B9" w:rsidRDefault="00E001A3" w:rsidP="00E001A3">
            <w:pPr>
              <w:rPr>
                <w:color w:val="215868" w:themeColor="accent5" w:themeShade="80"/>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10/9/2022</w:t>
            </w:r>
          </w:p>
        </w:tc>
        <w:tc>
          <w:tcPr>
            <w:tcW w:w="1276" w:type="dxa"/>
            <w:tcBorders>
              <w:left w:val="none" w:sz="0" w:space="0" w:color="auto"/>
              <w:right w:val="none" w:sz="0" w:space="0" w:color="auto"/>
            </w:tcBorders>
            <w:vAlign w:val="center"/>
          </w:tcPr>
          <w:p w14:paraId="38924E9F" w14:textId="0E9123A0" w:rsidR="00E001A3" w:rsidRPr="005B198A" w:rsidRDefault="00E001A3" w:rsidP="00E001A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F041A6">
              <w:rPr>
                <w:rFonts w:ascii="Arial" w:hAnsi="Arial" w:cs="Arial"/>
                <w:color w:val="215868" w:themeColor="accent5" w:themeShade="80"/>
                <w:sz w:val="18"/>
                <w:szCs w:val="20"/>
              </w:rPr>
              <w:t>1.364</w:t>
            </w:r>
            <w:r w:rsidRPr="005B198A">
              <w:rPr>
                <w:rFonts w:ascii="Arial" w:hAnsi="Arial" w:cs="Arial"/>
                <w:color w:val="215868" w:themeColor="accent5" w:themeShade="80"/>
                <w:sz w:val="18"/>
                <w:szCs w:val="20"/>
              </w:rPr>
              <w:t>B</w:t>
            </w:r>
          </w:p>
        </w:tc>
        <w:tc>
          <w:tcPr>
            <w:tcW w:w="1291" w:type="dxa"/>
            <w:tcBorders>
              <w:left w:val="none" w:sz="0" w:space="0" w:color="auto"/>
              <w:right w:val="none" w:sz="0" w:space="0" w:color="auto"/>
            </w:tcBorders>
            <w:vAlign w:val="center"/>
          </w:tcPr>
          <w:p w14:paraId="5FDEE9AD" w14:textId="6169CA14" w:rsidR="00E001A3" w:rsidRPr="005B198A" w:rsidRDefault="00E001A3" w:rsidP="00E001A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F041A6">
              <w:rPr>
                <w:rFonts w:ascii="Arial" w:hAnsi="Arial" w:cs="Arial"/>
                <w:color w:val="215868" w:themeColor="accent5" w:themeShade="80"/>
                <w:sz w:val="18"/>
                <w:szCs w:val="20"/>
              </w:rPr>
              <w:t>2.3</w:t>
            </w:r>
            <w:r w:rsidRPr="005B198A">
              <w:rPr>
                <w:rFonts w:ascii="Arial" w:hAnsi="Arial" w:cs="Arial"/>
                <w:color w:val="215868" w:themeColor="accent5" w:themeShade="80"/>
                <w:sz w:val="18"/>
                <w:szCs w:val="20"/>
              </w:rPr>
              <w:t>%</w:t>
            </w:r>
          </w:p>
        </w:tc>
        <w:tc>
          <w:tcPr>
            <w:tcW w:w="1291" w:type="dxa"/>
            <w:tcBorders>
              <w:left w:val="none" w:sz="0" w:space="0" w:color="auto"/>
              <w:right w:val="none" w:sz="0" w:space="0" w:color="auto"/>
            </w:tcBorders>
            <w:vAlign w:val="center"/>
          </w:tcPr>
          <w:p w14:paraId="05B7695E" w14:textId="159B44BB" w:rsidR="00E001A3" w:rsidRPr="005B198A" w:rsidRDefault="00E001A3" w:rsidP="00E001A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F041A6">
              <w:rPr>
                <w:rFonts w:ascii="Arial" w:hAnsi="Arial" w:cs="Arial"/>
                <w:color w:val="215868" w:themeColor="accent5" w:themeShade="80"/>
                <w:sz w:val="18"/>
                <w:szCs w:val="20"/>
              </w:rPr>
              <w:t>4.7</w:t>
            </w:r>
            <w:r w:rsidRPr="005B198A">
              <w:rPr>
                <w:rFonts w:ascii="Arial" w:hAnsi="Arial" w:cs="Arial"/>
                <w:color w:val="215868" w:themeColor="accent5" w:themeShade="80"/>
                <w:sz w:val="18"/>
                <w:szCs w:val="20"/>
              </w:rPr>
              <w:t>%</w:t>
            </w:r>
          </w:p>
        </w:tc>
      </w:tr>
      <w:tr w:rsidR="00E001A3" w:rsidRPr="00E736B9" w14:paraId="0D2847A6" w14:textId="77777777" w:rsidTr="00E001A3">
        <w:trPr>
          <w:trHeight w:val="104"/>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B223774" w14:textId="54CEB1F1" w:rsidR="00E001A3" w:rsidRPr="00E736B9" w:rsidRDefault="00E001A3" w:rsidP="00E001A3">
            <w:pPr>
              <w:rPr>
                <w:color w:val="215868" w:themeColor="accent5" w:themeShade="80"/>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10/16/2022</w:t>
            </w:r>
          </w:p>
        </w:tc>
        <w:tc>
          <w:tcPr>
            <w:tcW w:w="1276" w:type="dxa"/>
            <w:vAlign w:val="center"/>
          </w:tcPr>
          <w:p w14:paraId="5AB61FC0" w14:textId="3E346225" w:rsidR="00E001A3" w:rsidRPr="005B198A" w:rsidRDefault="00E001A3" w:rsidP="00E001A3">
            <w:pPr>
              <w:jc w:val="right"/>
              <w:cnfStyle w:val="000000000000" w:firstRow="0" w:lastRow="0" w:firstColumn="0" w:lastColumn="0" w:oddVBand="0" w:evenVBand="0" w:oddHBand="0" w:evenHBand="0" w:firstRowFirstColumn="0" w:firstRowLastColumn="0" w:lastRowFirstColumn="0" w:lastRowLastColumn="0"/>
            </w:pPr>
            <w:r w:rsidRPr="005B198A">
              <w:rPr>
                <w:rFonts w:ascii="Arial" w:hAnsi="Arial" w:cs="Arial"/>
                <w:color w:val="215868" w:themeColor="accent5" w:themeShade="80"/>
                <w:sz w:val="18"/>
                <w:szCs w:val="20"/>
              </w:rPr>
              <w:t>$</w:t>
            </w:r>
            <w:r w:rsidR="00F041A6">
              <w:rPr>
                <w:rFonts w:ascii="Arial" w:hAnsi="Arial" w:cs="Arial"/>
                <w:color w:val="215868" w:themeColor="accent5" w:themeShade="80"/>
                <w:sz w:val="18"/>
                <w:szCs w:val="20"/>
              </w:rPr>
              <w:t>1.352</w:t>
            </w:r>
            <w:r w:rsidRPr="005B198A">
              <w:rPr>
                <w:rFonts w:ascii="Arial" w:hAnsi="Arial" w:cs="Arial"/>
                <w:color w:val="215868" w:themeColor="accent5" w:themeShade="80"/>
                <w:sz w:val="18"/>
                <w:szCs w:val="20"/>
              </w:rPr>
              <w:t>B</w:t>
            </w:r>
          </w:p>
        </w:tc>
        <w:tc>
          <w:tcPr>
            <w:tcW w:w="1291" w:type="dxa"/>
            <w:vAlign w:val="center"/>
          </w:tcPr>
          <w:p w14:paraId="17ECF4F3" w14:textId="4F066C22" w:rsidR="00E001A3" w:rsidRPr="005B198A" w:rsidRDefault="00E001A3" w:rsidP="00E001A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F041A6">
              <w:rPr>
                <w:rFonts w:ascii="Arial" w:hAnsi="Arial" w:cs="Arial"/>
                <w:color w:val="215868" w:themeColor="accent5" w:themeShade="80"/>
                <w:sz w:val="18"/>
                <w:szCs w:val="20"/>
              </w:rPr>
              <w:t>2.2</w:t>
            </w:r>
            <w:r w:rsidRPr="005B198A">
              <w:rPr>
                <w:rFonts w:ascii="Arial" w:hAnsi="Arial" w:cs="Arial"/>
                <w:color w:val="215868" w:themeColor="accent5" w:themeShade="80"/>
                <w:sz w:val="18"/>
                <w:szCs w:val="20"/>
              </w:rPr>
              <w:t>%</w:t>
            </w:r>
          </w:p>
        </w:tc>
        <w:tc>
          <w:tcPr>
            <w:tcW w:w="1291" w:type="dxa"/>
            <w:vAlign w:val="center"/>
          </w:tcPr>
          <w:p w14:paraId="787DCCD7" w14:textId="7C6C03BE" w:rsidR="00E001A3" w:rsidRPr="005B198A" w:rsidRDefault="00FD43CB" w:rsidP="00E001A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F041A6">
              <w:rPr>
                <w:rFonts w:ascii="Arial" w:hAnsi="Arial" w:cs="Arial"/>
                <w:color w:val="215868" w:themeColor="accent5" w:themeShade="80"/>
                <w:sz w:val="18"/>
                <w:szCs w:val="20"/>
              </w:rPr>
              <w:t>4.9</w:t>
            </w:r>
            <w:r w:rsidR="00E001A3" w:rsidRPr="005B198A">
              <w:rPr>
                <w:rFonts w:ascii="Arial" w:hAnsi="Arial" w:cs="Arial"/>
                <w:color w:val="215868" w:themeColor="accent5" w:themeShade="80"/>
                <w:sz w:val="18"/>
                <w:szCs w:val="20"/>
              </w:rPr>
              <w:t>%</w:t>
            </w:r>
          </w:p>
        </w:tc>
      </w:tr>
      <w:tr w:rsidR="00E001A3" w:rsidRPr="00E736B9" w14:paraId="480D89B1" w14:textId="77777777" w:rsidTr="00E001A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5D516260" w14:textId="7E0FA74D" w:rsidR="00E001A3" w:rsidRPr="00E736B9" w:rsidRDefault="00E001A3" w:rsidP="00E001A3">
            <w:pPr>
              <w:rPr>
                <w:color w:val="215868" w:themeColor="accent5" w:themeShade="80"/>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10/23/2022</w:t>
            </w:r>
          </w:p>
        </w:tc>
        <w:tc>
          <w:tcPr>
            <w:tcW w:w="1276" w:type="dxa"/>
            <w:tcBorders>
              <w:left w:val="none" w:sz="0" w:space="0" w:color="auto"/>
              <w:right w:val="none" w:sz="0" w:space="0" w:color="auto"/>
            </w:tcBorders>
            <w:vAlign w:val="center"/>
          </w:tcPr>
          <w:p w14:paraId="1637EA20" w14:textId="79C1C851" w:rsidR="00E001A3" w:rsidRPr="005B198A" w:rsidRDefault="00E001A3" w:rsidP="00E001A3">
            <w:pPr>
              <w:jc w:val="right"/>
              <w:cnfStyle w:val="000000100000" w:firstRow="0" w:lastRow="0" w:firstColumn="0" w:lastColumn="0" w:oddVBand="0" w:evenVBand="0" w:oddHBand="1" w:evenHBand="0" w:firstRowFirstColumn="0" w:firstRowLastColumn="0" w:lastRowFirstColumn="0" w:lastRowLastColumn="0"/>
            </w:pPr>
            <w:r w:rsidRPr="005B198A">
              <w:rPr>
                <w:rFonts w:ascii="Arial" w:hAnsi="Arial" w:cs="Arial"/>
                <w:color w:val="215868" w:themeColor="accent5" w:themeShade="80"/>
                <w:sz w:val="18"/>
                <w:szCs w:val="20"/>
              </w:rPr>
              <w:t>$</w:t>
            </w:r>
            <w:r w:rsidR="00F041A6">
              <w:rPr>
                <w:rFonts w:ascii="Arial" w:hAnsi="Arial" w:cs="Arial"/>
                <w:color w:val="215868" w:themeColor="accent5" w:themeShade="80"/>
                <w:sz w:val="18"/>
                <w:szCs w:val="20"/>
              </w:rPr>
              <w:t>1.352</w:t>
            </w:r>
            <w:r w:rsidRPr="005B198A">
              <w:rPr>
                <w:rFonts w:ascii="Arial" w:hAnsi="Arial" w:cs="Arial"/>
                <w:color w:val="215868" w:themeColor="accent5" w:themeShade="80"/>
                <w:sz w:val="18"/>
                <w:szCs w:val="20"/>
              </w:rPr>
              <w:t>B</w:t>
            </w:r>
          </w:p>
        </w:tc>
        <w:tc>
          <w:tcPr>
            <w:tcW w:w="1291" w:type="dxa"/>
            <w:tcBorders>
              <w:left w:val="none" w:sz="0" w:space="0" w:color="auto"/>
              <w:right w:val="none" w:sz="0" w:space="0" w:color="auto"/>
            </w:tcBorders>
            <w:vAlign w:val="center"/>
          </w:tcPr>
          <w:p w14:paraId="7A1D7AA7" w14:textId="05E3318A" w:rsidR="00E001A3" w:rsidRPr="005B198A" w:rsidRDefault="00FD43CB" w:rsidP="00E001A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F041A6">
              <w:rPr>
                <w:rFonts w:ascii="Arial" w:hAnsi="Arial" w:cs="Arial"/>
                <w:color w:val="215868" w:themeColor="accent5" w:themeShade="80"/>
                <w:sz w:val="18"/>
                <w:szCs w:val="20"/>
              </w:rPr>
              <w:t>3.1</w:t>
            </w:r>
            <w:r w:rsidR="00E001A3" w:rsidRPr="005B198A">
              <w:rPr>
                <w:rFonts w:ascii="Arial" w:hAnsi="Arial" w:cs="Arial"/>
                <w:color w:val="215868" w:themeColor="accent5" w:themeShade="80"/>
                <w:sz w:val="18"/>
                <w:szCs w:val="20"/>
              </w:rPr>
              <w:t>%</w:t>
            </w:r>
          </w:p>
        </w:tc>
        <w:tc>
          <w:tcPr>
            <w:tcW w:w="1291" w:type="dxa"/>
            <w:tcBorders>
              <w:left w:val="none" w:sz="0" w:space="0" w:color="auto"/>
              <w:right w:val="none" w:sz="0" w:space="0" w:color="auto"/>
            </w:tcBorders>
            <w:vAlign w:val="center"/>
          </w:tcPr>
          <w:p w14:paraId="57F75F3D" w14:textId="37966CBD" w:rsidR="00E001A3" w:rsidRPr="005B198A" w:rsidRDefault="00E001A3" w:rsidP="00E001A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F041A6">
              <w:rPr>
                <w:rFonts w:ascii="Arial" w:hAnsi="Arial" w:cs="Arial"/>
                <w:color w:val="215868" w:themeColor="accent5" w:themeShade="80"/>
                <w:sz w:val="18"/>
                <w:szCs w:val="20"/>
              </w:rPr>
              <w:t>4.5</w:t>
            </w:r>
            <w:r w:rsidRPr="005B198A">
              <w:rPr>
                <w:rFonts w:ascii="Arial" w:hAnsi="Arial" w:cs="Arial"/>
                <w:color w:val="215868" w:themeColor="accent5" w:themeShade="80"/>
                <w:sz w:val="18"/>
                <w:szCs w:val="20"/>
              </w:rPr>
              <w:t>%</w:t>
            </w:r>
          </w:p>
        </w:tc>
      </w:tr>
      <w:tr w:rsidR="00E001A3" w:rsidRPr="00E736B9" w14:paraId="081875AA" w14:textId="77777777" w:rsidTr="00E001A3">
        <w:trPr>
          <w:trHeight w:val="11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07BAD71" w14:textId="39921DDF" w:rsidR="00E001A3" w:rsidRDefault="00E001A3" w:rsidP="00E001A3">
            <w:pPr>
              <w:rPr>
                <w:rFonts w:ascii="Arial" w:hAnsi="Arial" w:cs="Arial"/>
                <w:color w:val="215868" w:themeColor="accent5" w:themeShade="80"/>
                <w:sz w:val="18"/>
                <w:szCs w:val="18"/>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10/30/2022</w:t>
            </w:r>
          </w:p>
        </w:tc>
        <w:tc>
          <w:tcPr>
            <w:tcW w:w="1276" w:type="dxa"/>
            <w:vAlign w:val="center"/>
          </w:tcPr>
          <w:p w14:paraId="33B9A21E" w14:textId="41BA6912" w:rsidR="00E001A3" w:rsidRPr="005B198A" w:rsidRDefault="00FD43CB" w:rsidP="00E001A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F041A6">
              <w:rPr>
                <w:rFonts w:ascii="Arial" w:hAnsi="Arial" w:cs="Arial"/>
                <w:color w:val="215868" w:themeColor="accent5" w:themeShade="80"/>
                <w:sz w:val="18"/>
                <w:szCs w:val="20"/>
              </w:rPr>
              <w:t>1.339</w:t>
            </w:r>
            <w:r>
              <w:rPr>
                <w:rFonts w:ascii="Arial" w:hAnsi="Arial" w:cs="Arial"/>
                <w:color w:val="215868" w:themeColor="accent5" w:themeShade="80"/>
                <w:sz w:val="18"/>
                <w:szCs w:val="20"/>
              </w:rPr>
              <w:t>B</w:t>
            </w:r>
          </w:p>
        </w:tc>
        <w:tc>
          <w:tcPr>
            <w:tcW w:w="1291" w:type="dxa"/>
            <w:vAlign w:val="center"/>
          </w:tcPr>
          <w:p w14:paraId="738D191C" w14:textId="145D9E25" w:rsidR="00E001A3" w:rsidRDefault="00FD43CB" w:rsidP="00E001A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F041A6">
              <w:rPr>
                <w:rFonts w:ascii="Arial" w:hAnsi="Arial" w:cs="Arial"/>
                <w:color w:val="215868" w:themeColor="accent5" w:themeShade="80"/>
                <w:sz w:val="18"/>
                <w:szCs w:val="20"/>
              </w:rPr>
              <w:t>3.1</w:t>
            </w:r>
            <w:r>
              <w:rPr>
                <w:rFonts w:ascii="Arial" w:hAnsi="Arial" w:cs="Arial"/>
                <w:color w:val="215868" w:themeColor="accent5" w:themeShade="80"/>
                <w:sz w:val="18"/>
                <w:szCs w:val="20"/>
              </w:rPr>
              <w:t>%</w:t>
            </w:r>
          </w:p>
        </w:tc>
        <w:tc>
          <w:tcPr>
            <w:tcW w:w="1291" w:type="dxa"/>
            <w:vAlign w:val="center"/>
          </w:tcPr>
          <w:p w14:paraId="07093A91" w14:textId="1D760704" w:rsidR="00E001A3" w:rsidRPr="005B198A" w:rsidRDefault="00FD43CB" w:rsidP="00E001A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F041A6">
              <w:rPr>
                <w:rFonts w:ascii="Arial" w:hAnsi="Arial" w:cs="Arial"/>
                <w:color w:val="215868" w:themeColor="accent5" w:themeShade="80"/>
                <w:sz w:val="18"/>
                <w:szCs w:val="20"/>
              </w:rPr>
              <w:t>2.4</w:t>
            </w:r>
            <w:r>
              <w:rPr>
                <w:rFonts w:ascii="Arial" w:hAnsi="Arial" w:cs="Arial"/>
                <w:color w:val="215868" w:themeColor="accent5" w:themeShade="80"/>
                <w:sz w:val="18"/>
                <w:szCs w:val="20"/>
              </w:rPr>
              <w:t>%</w:t>
            </w:r>
          </w:p>
        </w:tc>
      </w:tr>
    </w:tbl>
    <w:p w14:paraId="2E1C73C4" w14:textId="54A21185" w:rsidR="00253765" w:rsidRDefault="0040269A" w:rsidP="00D4285A">
      <w:pPr>
        <w:spacing w:after="0" w:line="240" w:lineRule="auto"/>
        <w:rPr>
          <w:rFonts w:ascii="Arial" w:hAnsi="Arial" w:cs="Arial"/>
          <w:sz w:val="20"/>
          <w:szCs w:val="20"/>
        </w:rPr>
      </w:pPr>
      <w:r>
        <w:rPr>
          <w:rFonts w:ascii="Arial" w:hAnsi="Arial" w:cs="Arial"/>
          <w:noProof/>
          <w:sz w:val="20"/>
          <w:szCs w:val="20"/>
          <w:lang w:val="nl-NL" w:eastAsia="nl-NL"/>
        </w:rPr>
        <mc:AlternateContent>
          <mc:Choice Requires="wps">
            <w:drawing>
              <wp:anchor distT="0" distB="0" distL="114300" distR="114300" simplePos="0" relativeHeight="251662336" behindDoc="0" locked="0" layoutInCell="1" allowOverlap="1" wp14:anchorId="521DE452" wp14:editId="389BC207">
                <wp:simplePos x="0" y="0"/>
                <wp:positionH relativeFrom="column">
                  <wp:posOffset>3090545</wp:posOffset>
                </wp:positionH>
                <wp:positionV relativeFrom="paragraph">
                  <wp:posOffset>1332230</wp:posOffset>
                </wp:positionV>
                <wp:extent cx="3547745" cy="20066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00660"/>
                        </a:xfrm>
                        <a:prstGeom prst="rect">
                          <a:avLst/>
                        </a:prstGeom>
                        <a:solidFill>
                          <a:srgbClr val="FFFFFF"/>
                        </a:solidFill>
                        <a:ln>
                          <a:noFill/>
                        </a:ln>
                      </wps:spPr>
                      <wps:txbx>
                        <w:txbxContent>
                          <w:p w14:paraId="61B6AA1E" w14:textId="77777777" w:rsidR="00811C9C" w:rsidRDefault="00811C9C" w:rsidP="0053257C">
                            <w:pPr>
                              <w:pStyle w:val="NoSpacing"/>
                            </w:pPr>
                            <w:r>
                              <w:rPr>
                                <w:rFonts w:ascii="Arial" w:hAnsi="Arial" w:cs="Arial"/>
                                <w:sz w:val="16"/>
                                <w:szCs w:val="16"/>
                              </w:rPr>
                              <w:t>Source: IRI, Integrated Fresh, Total US, MULO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DE452" id="_x0000_t202" coordsize="21600,21600" o:spt="202" path="m,l,21600r21600,l21600,xe">
                <v:stroke joinstyle="miter"/>
                <v:path gradientshapeok="t" o:connecttype="rect"/>
              </v:shapetype>
              <v:shape id="Text Box 7" o:spid="_x0000_s1026" type="#_x0000_t202" style="position:absolute;margin-left:243.35pt;margin-top:104.9pt;width:279.3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" stroked="f">
                <v:textbox>
                  <w:txbxContent>
                    <w:p w14:paraId="61B6AA1E" w14:textId="77777777" w:rsidR="00811C9C" w:rsidRDefault="00811C9C" w:rsidP="0053257C">
                      <w:pPr>
                        <w:pStyle w:val="NoSpacing"/>
                      </w:pPr>
                      <w:r>
                        <w:rPr>
                          <w:rFonts w:ascii="Arial" w:hAnsi="Arial" w:cs="Arial"/>
                          <w:sz w:val="16"/>
                          <w:szCs w:val="16"/>
                        </w:rPr>
                        <w:t>Source: IRI, Integrated Fresh, Total US, MULO</w:t>
                      </w:r>
                    </w:p>
                  </w:txbxContent>
                </v:textbox>
                <w10:wrap type="square"/>
              </v:shape>
            </w:pict>
          </mc:Fallback>
        </mc:AlternateContent>
      </w:r>
      <w:r w:rsidR="00F041A6">
        <w:rPr>
          <w:rFonts w:ascii="Arial" w:hAnsi="Arial" w:cs="Arial"/>
          <w:sz w:val="20"/>
          <w:szCs w:val="20"/>
        </w:rPr>
        <w:t>After tapering off each of the September weeks, fresh produce sales remained remarkably stable during the five October weeks, at around $1.35 billion</w:t>
      </w:r>
      <w:r w:rsidR="000905A6">
        <w:rPr>
          <w:rFonts w:ascii="Arial" w:hAnsi="Arial" w:cs="Arial"/>
          <w:sz w:val="20"/>
          <w:szCs w:val="20"/>
        </w:rPr>
        <w:t xml:space="preserve">. </w:t>
      </w:r>
      <w:r w:rsidR="00F041A6">
        <w:rPr>
          <w:rFonts w:ascii="Arial" w:hAnsi="Arial" w:cs="Arial"/>
          <w:sz w:val="20"/>
          <w:szCs w:val="20"/>
        </w:rPr>
        <w:t>Year-on-year growth rates averaged between 2% and 3% during each of the weeks for dollars, but pound sales were down between 4% and 5% each week.</w:t>
      </w:r>
      <w:r>
        <w:rPr>
          <w:rFonts w:ascii="Arial" w:hAnsi="Arial" w:cs="Arial"/>
          <w:sz w:val="20"/>
          <w:szCs w:val="20"/>
        </w:rPr>
        <w:t xml:space="preserve"> </w:t>
      </w:r>
    </w:p>
    <w:p w14:paraId="3D60D6F7" w14:textId="0DC9DD1F" w:rsidR="00253765" w:rsidRDefault="00253765" w:rsidP="00D4285A">
      <w:pPr>
        <w:spacing w:after="0" w:line="240" w:lineRule="auto"/>
        <w:rPr>
          <w:rFonts w:ascii="Arial" w:hAnsi="Arial" w:cs="Arial"/>
          <w:sz w:val="20"/>
          <w:szCs w:val="20"/>
        </w:rPr>
      </w:pPr>
    </w:p>
    <w:p w14:paraId="03B014E3" w14:textId="00A0F642" w:rsidR="005567F4" w:rsidRDefault="009A10DA" w:rsidP="00D4285A">
      <w:pPr>
        <w:spacing w:after="0" w:line="240" w:lineRule="auto"/>
        <w:rPr>
          <w:rFonts w:ascii="Arial" w:hAnsi="Arial" w:cs="Arial"/>
          <w:sz w:val="20"/>
          <w:szCs w:val="20"/>
        </w:rPr>
      </w:pPr>
      <w:r>
        <w:rPr>
          <w:rFonts w:ascii="Arial" w:hAnsi="Arial" w:cs="Arial"/>
          <w:sz w:val="20"/>
          <w:szCs w:val="20"/>
        </w:rPr>
        <w:t>“</w:t>
      </w:r>
      <w:r w:rsidR="00637FD9">
        <w:rPr>
          <w:rFonts w:ascii="Arial" w:hAnsi="Arial" w:cs="Arial"/>
          <w:sz w:val="20"/>
          <w:szCs w:val="20"/>
        </w:rPr>
        <w:t>Vegetables are taking over as the top area of growth,” said Watson</w:t>
      </w:r>
      <w:r w:rsidR="00003384">
        <w:rPr>
          <w:rFonts w:ascii="Arial" w:hAnsi="Arial" w:cs="Arial"/>
          <w:sz w:val="20"/>
          <w:szCs w:val="20"/>
        </w:rPr>
        <w:t xml:space="preserve">. “The much lower levels of inflation in fruit are no longer offsetting the year-on-year drop in volume which is </w:t>
      </w:r>
      <w:r w:rsidR="000833C6">
        <w:rPr>
          <w:rFonts w:ascii="Arial" w:hAnsi="Arial" w:cs="Arial"/>
          <w:sz w:val="20"/>
          <w:szCs w:val="20"/>
        </w:rPr>
        <w:t>leading to sales declines</w:t>
      </w:r>
      <w:r w:rsidR="00F026CE">
        <w:rPr>
          <w:rFonts w:ascii="Arial" w:hAnsi="Arial" w:cs="Arial"/>
          <w:sz w:val="20"/>
          <w:szCs w:val="20"/>
        </w:rPr>
        <w:t>.</w:t>
      </w:r>
      <w:r w:rsidR="00637FD9">
        <w:rPr>
          <w:rFonts w:ascii="Arial" w:hAnsi="Arial" w:cs="Arial"/>
          <w:sz w:val="20"/>
          <w:szCs w:val="20"/>
        </w:rPr>
        <w:t xml:space="preserve"> </w:t>
      </w:r>
      <w:r w:rsidR="000833C6">
        <w:rPr>
          <w:rFonts w:ascii="Arial" w:hAnsi="Arial" w:cs="Arial"/>
          <w:sz w:val="20"/>
          <w:szCs w:val="20"/>
        </w:rPr>
        <w:t>Compared with</w:t>
      </w:r>
      <w:r w:rsidR="00637FD9">
        <w:rPr>
          <w:rFonts w:ascii="Arial" w:hAnsi="Arial" w:cs="Arial"/>
          <w:sz w:val="20"/>
          <w:szCs w:val="20"/>
        </w:rPr>
        <w:t xml:space="preserve"> 2019</w:t>
      </w:r>
      <w:r w:rsidR="000833C6">
        <w:rPr>
          <w:rFonts w:ascii="Arial" w:hAnsi="Arial" w:cs="Arial"/>
          <w:sz w:val="20"/>
          <w:szCs w:val="20"/>
        </w:rPr>
        <w:t>, both fresh fruit and vegetables are now trending about 20% above pre-pandemic levels</w:t>
      </w:r>
      <w:r w:rsidR="00637FD9">
        <w:rPr>
          <w:rFonts w:ascii="Arial" w:hAnsi="Arial" w:cs="Arial"/>
          <w:sz w:val="20"/>
          <w:szCs w:val="20"/>
        </w:rPr>
        <w:t>.”</w:t>
      </w:r>
      <w:r w:rsidR="00F026CE">
        <w:rPr>
          <w:rFonts w:ascii="Arial" w:hAnsi="Arial" w:cs="Arial"/>
          <w:sz w:val="20"/>
          <w:szCs w:val="20"/>
        </w:rPr>
        <w:t xml:space="preserve"> </w:t>
      </w:r>
    </w:p>
    <w:p w14:paraId="7AF020BD" w14:textId="7E6319D5" w:rsidR="00824EAC" w:rsidRDefault="00824EAC" w:rsidP="00D4285A">
      <w:pPr>
        <w:spacing w:after="0" w:line="240" w:lineRule="auto"/>
        <w:rPr>
          <w:rFonts w:ascii="Arial" w:hAnsi="Arial" w:cs="Arial"/>
          <w:sz w:val="20"/>
          <w:szCs w:val="20"/>
        </w:rPr>
      </w:pPr>
    </w:p>
    <w:p w14:paraId="3AE2F20C" w14:textId="21219062" w:rsidR="00824EAC" w:rsidRDefault="00003384" w:rsidP="00D4285A">
      <w:pPr>
        <w:spacing w:after="0" w:line="240" w:lineRule="auto"/>
        <w:rPr>
          <w:rFonts w:ascii="Arial" w:hAnsi="Arial" w:cs="Arial"/>
          <w:sz w:val="20"/>
          <w:szCs w:val="20"/>
        </w:rPr>
      </w:pPr>
      <w:r>
        <w:rPr>
          <w:noProof/>
        </w:rPr>
        <w:lastRenderedPageBreak/>
        <w:drawing>
          <wp:inline distT="0" distB="0" distL="0" distR="0" wp14:anchorId="1FACBA93" wp14:editId="2B09D153">
            <wp:extent cx="6750685" cy="3062605"/>
            <wp:effectExtent l="0" t="0" r="0" b="4445"/>
            <wp:docPr id="8" name="Chart 8">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B2008E" w14:textId="77777777" w:rsidR="0068309E" w:rsidRDefault="0068309E" w:rsidP="0068309E">
      <w:pPr>
        <w:pStyle w:val="NoSpacing"/>
        <w:rPr>
          <w:rFonts w:ascii="Arial" w:hAnsi="Arial" w:cs="Arial"/>
          <w:sz w:val="16"/>
          <w:szCs w:val="16"/>
        </w:rPr>
      </w:pPr>
      <w:r w:rsidRPr="00B35CE9">
        <w:rPr>
          <w:rFonts w:ascii="Arial" w:hAnsi="Arial" w:cs="Arial"/>
          <w:sz w:val="16"/>
          <w:szCs w:val="16"/>
        </w:rPr>
        <w:t>Source</w:t>
      </w:r>
      <w:r>
        <w:rPr>
          <w:rFonts w:ascii="Arial" w:hAnsi="Arial" w:cs="Arial"/>
          <w:sz w:val="16"/>
          <w:szCs w:val="16"/>
        </w:rPr>
        <w:t>: IRI Integrated Fresh, Total U.S., MULO</w:t>
      </w:r>
    </w:p>
    <w:p w14:paraId="3CCC5188" w14:textId="77777777" w:rsidR="0068309E" w:rsidRDefault="0068309E" w:rsidP="00151CCC">
      <w:pPr>
        <w:pStyle w:val="NoSpacing"/>
        <w:rPr>
          <w:rFonts w:ascii="Arial" w:hAnsi="Arial" w:cs="Arial"/>
          <w:sz w:val="20"/>
          <w:szCs w:val="20"/>
        </w:rPr>
      </w:pPr>
    </w:p>
    <w:p w14:paraId="05609152" w14:textId="77777777" w:rsidR="000A543A" w:rsidRDefault="000A543A" w:rsidP="00160D1A">
      <w:pPr>
        <w:pStyle w:val="NoSpacing"/>
        <w:rPr>
          <w:rFonts w:ascii="Arial" w:hAnsi="Arial" w:cs="Arial"/>
          <w:b/>
          <w:color w:val="595959" w:themeColor="text1" w:themeTint="A6"/>
          <w:sz w:val="24"/>
          <w:szCs w:val="24"/>
        </w:rPr>
      </w:pPr>
    </w:p>
    <w:p w14:paraId="64B3B221" w14:textId="5DC9080B" w:rsidR="00C573F6" w:rsidRPr="00507D74" w:rsidRDefault="00043B43" w:rsidP="00160D1A">
      <w:pPr>
        <w:pStyle w:val="NoSpacing"/>
        <w:rPr>
          <w:rFonts w:ascii="Arial" w:hAnsi="Arial" w:cs="Arial"/>
          <w:b/>
          <w:color w:val="595959" w:themeColor="text1" w:themeTint="A6"/>
          <w:sz w:val="24"/>
          <w:szCs w:val="24"/>
        </w:rPr>
      </w:pPr>
      <w:r w:rsidRPr="00507D74">
        <w:rPr>
          <w:rFonts w:ascii="Arial" w:hAnsi="Arial" w:cs="Arial"/>
          <w:b/>
          <w:color w:val="595959" w:themeColor="text1" w:themeTint="A6"/>
          <w:sz w:val="24"/>
          <w:szCs w:val="24"/>
        </w:rPr>
        <w:t xml:space="preserve">Fresh </w:t>
      </w:r>
      <w:r w:rsidR="00C23843">
        <w:rPr>
          <w:rFonts w:ascii="Arial" w:hAnsi="Arial" w:cs="Arial"/>
          <w:b/>
          <w:color w:val="595959" w:themeColor="text1" w:themeTint="A6"/>
          <w:sz w:val="24"/>
          <w:szCs w:val="24"/>
        </w:rPr>
        <w:t xml:space="preserve">Produce </w:t>
      </w:r>
      <w:r w:rsidRPr="00507D74">
        <w:rPr>
          <w:rFonts w:ascii="Arial" w:hAnsi="Arial" w:cs="Arial"/>
          <w:b/>
          <w:color w:val="595959" w:themeColor="text1" w:themeTint="A6"/>
          <w:sz w:val="24"/>
          <w:szCs w:val="24"/>
        </w:rPr>
        <w:t>Share</w:t>
      </w:r>
      <w:r w:rsidR="00EB33CE">
        <w:rPr>
          <w:rFonts w:ascii="Arial" w:hAnsi="Arial" w:cs="Arial"/>
          <w:b/>
          <w:color w:val="595959" w:themeColor="text1" w:themeTint="A6"/>
          <w:sz w:val="24"/>
          <w:szCs w:val="24"/>
        </w:rPr>
        <w:t xml:space="preserve"> </w:t>
      </w:r>
      <w:r w:rsidR="00C23843">
        <w:rPr>
          <w:rFonts w:ascii="Arial" w:hAnsi="Arial" w:cs="Arial"/>
          <w:b/>
          <w:color w:val="595959" w:themeColor="text1" w:themeTint="A6"/>
          <w:sz w:val="24"/>
          <w:szCs w:val="24"/>
        </w:rPr>
        <w:t>of Total Fruits and Vegetables</w:t>
      </w:r>
    </w:p>
    <w:p w14:paraId="5CC596CB" w14:textId="300F2722" w:rsidR="00AC0CDA" w:rsidRDefault="0028208D" w:rsidP="00AC0CDA">
      <w:pPr>
        <w:pStyle w:val="NoSpacing"/>
        <w:rPr>
          <w:rFonts w:ascii="Arial" w:hAnsi="Arial" w:cs="Arial"/>
          <w:sz w:val="20"/>
          <w:szCs w:val="20"/>
        </w:rPr>
      </w:pPr>
      <w:r>
        <w:rPr>
          <w:rFonts w:ascii="Arial" w:hAnsi="Arial" w:cs="Arial"/>
          <w:sz w:val="20"/>
          <w:szCs w:val="20"/>
        </w:rPr>
        <w:t xml:space="preserve"> “</w:t>
      </w:r>
      <w:r w:rsidR="00460E70">
        <w:rPr>
          <w:rFonts w:ascii="Arial" w:hAnsi="Arial" w:cs="Arial"/>
          <w:sz w:val="20"/>
          <w:szCs w:val="20"/>
        </w:rPr>
        <w:t xml:space="preserve">The fresh share of total fruits and vegetables dropped </w:t>
      </w:r>
      <w:r w:rsidR="000833C6">
        <w:rPr>
          <w:rFonts w:ascii="Arial" w:hAnsi="Arial" w:cs="Arial"/>
          <w:sz w:val="20"/>
          <w:szCs w:val="20"/>
        </w:rPr>
        <w:t xml:space="preserve">further in October </w:t>
      </w:r>
      <w:r w:rsidR="00460E70">
        <w:rPr>
          <w:rFonts w:ascii="Arial" w:hAnsi="Arial" w:cs="Arial"/>
          <w:sz w:val="20"/>
          <w:szCs w:val="20"/>
        </w:rPr>
        <w:t>2022</w:t>
      </w:r>
      <w:r>
        <w:rPr>
          <w:rFonts w:ascii="Arial" w:hAnsi="Arial" w:cs="Arial"/>
          <w:sz w:val="20"/>
          <w:szCs w:val="20"/>
        </w:rPr>
        <w:t>,” Watson commented. “</w:t>
      </w:r>
      <w:r w:rsidR="00460E70">
        <w:rPr>
          <w:rFonts w:ascii="Arial" w:hAnsi="Arial" w:cs="Arial"/>
          <w:sz w:val="20"/>
          <w:szCs w:val="20"/>
        </w:rPr>
        <w:t>In September, the fresh share dropped to 80.2%</w:t>
      </w:r>
      <w:r w:rsidR="000833C6">
        <w:rPr>
          <w:rFonts w:ascii="Arial" w:hAnsi="Arial" w:cs="Arial"/>
          <w:sz w:val="20"/>
          <w:szCs w:val="20"/>
        </w:rPr>
        <w:t xml:space="preserve"> and in October it hit 78.2% — a level not seen since 2020.</w:t>
      </w:r>
      <w:r w:rsidR="00460E70">
        <w:rPr>
          <w:rFonts w:ascii="Arial" w:hAnsi="Arial" w:cs="Arial"/>
          <w:sz w:val="20"/>
          <w:szCs w:val="20"/>
        </w:rPr>
        <w:t xml:space="preserve"> </w:t>
      </w:r>
      <w:r w:rsidR="000833C6">
        <w:rPr>
          <w:rFonts w:ascii="Arial" w:hAnsi="Arial" w:cs="Arial"/>
          <w:sz w:val="20"/>
          <w:szCs w:val="20"/>
        </w:rPr>
        <w:t>Different levels of inflation certainly play a role, but</w:t>
      </w:r>
      <w:r w:rsidR="00524065">
        <w:rPr>
          <w:rFonts w:ascii="Arial" w:hAnsi="Arial" w:cs="Arial"/>
          <w:sz w:val="20"/>
          <w:szCs w:val="20"/>
        </w:rPr>
        <w:t xml:space="preserve"> the share of pounds </w:t>
      </w:r>
      <w:proofErr w:type="gramStart"/>
      <w:r w:rsidR="00524065">
        <w:rPr>
          <w:rFonts w:ascii="Arial" w:hAnsi="Arial" w:cs="Arial"/>
          <w:sz w:val="20"/>
          <w:szCs w:val="20"/>
        </w:rPr>
        <w:t>were</w:t>
      </w:r>
      <w:proofErr w:type="gramEnd"/>
      <w:r w:rsidR="00524065">
        <w:rPr>
          <w:rFonts w:ascii="Arial" w:hAnsi="Arial" w:cs="Arial"/>
          <w:sz w:val="20"/>
          <w:szCs w:val="20"/>
        </w:rPr>
        <w:t xml:space="preserve"> very similar so that does not explain the recent pressure. Certainly, we </w:t>
      </w:r>
      <w:r w:rsidR="00DE69E2">
        <w:rPr>
          <w:rFonts w:ascii="Arial" w:hAnsi="Arial" w:cs="Arial"/>
          <w:sz w:val="20"/>
          <w:szCs w:val="20"/>
        </w:rPr>
        <w:t>know that perception is reality and consumers often associate fresh with being more expensive, whether it is or not. A focus on overall value, not price alone, in combination with health and nutrition, may be a favorable strategies as economic pressure persists</w:t>
      </w:r>
      <w:r w:rsidR="00460E70">
        <w:rPr>
          <w:rFonts w:ascii="Arial" w:hAnsi="Arial" w:cs="Arial"/>
          <w:sz w:val="20"/>
          <w:szCs w:val="20"/>
        </w:rPr>
        <w:t>.</w:t>
      </w:r>
      <w:r w:rsidR="00414828">
        <w:rPr>
          <w:rFonts w:ascii="Arial" w:hAnsi="Arial" w:cs="Arial"/>
          <w:sz w:val="20"/>
          <w:szCs w:val="20"/>
        </w:rPr>
        <w:t>”</w:t>
      </w:r>
      <w:r w:rsidR="00313611">
        <w:rPr>
          <w:rFonts w:ascii="Arial" w:hAnsi="Arial" w:cs="Arial"/>
          <w:sz w:val="20"/>
          <w:szCs w:val="20"/>
        </w:rPr>
        <w:t xml:space="preserve"> </w:t>
      </w:r>
      <w:r>
        <w:rPr>
          <w:rFonts w:ascii="Arial" w:hAnsi="Arial" w:cs="Arial"/>
          <w:sz w:val="20"/>
          <w:szCs w:val="20"/>
        </w:rPr>
        <w:t xml:space="preserve"> </w:t>
      </w:r>
      <w:r w:rsidR="00313611">
        <w:rPr>
          <w:rFonts w:ascii="Arial" w:hAnsi="Arial" w:cs="Arial"/>
          <w:sz w:val="20"/>
          <w:szCs w:val="20"/>
        </w:rPr>
        <w:t xml:space="preserve"> </w:t>
      </w:r>
    </w:p>
    <w:p w14:paraId="2336DEC9" w14:textId="77777777" w:rsidR="00770809" w:rsidRPr="00B265F0" w:rsidRDefault="00770809" w:rsidP="00770809">
      <w:pPr>
        <w:pStyle w:val="NoSpacing"/>
        <w:rPr>
          <w:rFonts w:ascii="Arial" w:hAnsi="Arial" w:cs="Arial"/>
          <w:sz w:val="16"/>
          <w:szCs w:val="16"/>
        </w:rPr>
      </w:pPr>
    </w:p>
    <w:tbl>
      <w:tblPr>
        <w:tblStyle w:val="LightShading-Accent5"/>
        <w:tblW w:w="10620" w:type="dxa"/>
        <w:tblBorders>
          <w:top w:val="none" w:sz="0" w:space="0" w:color="auto"/>
          <w:bottom w:val="none" w:sz="0" w:space="0" w:color="auto"/>
        </w:tblBorders>
        <w:tblLook w:val="04A0" w:firstRow="1" w:lastRow="0" w:firstColumn="1" w:lastColumn="0" w:noHBand="0" w:noVBand="1"/>
      </w:tblPr>
      <w:tblGrid>
        <w:gridCol w:w="2700"/>
        <w:gridCol w:w="1584"/>
        <w:gridCol w:w="1584"/>
        <w:gridCol w:w="1584"/>
        <w:gridCol w:w="1584"/>
        <w:gridCol w:w="1584"/>
      </w:tblGrid>
      <w:tr w:rsidR="00770809" w:rsidRPr="00B265F0" w14:paraId="6403B5CC" w14:textId="77777777" w:rsidTr="00BC21C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B0D9439" w14:textId="5E22ED95" w:rsidR="00770809" w:rsidRPr="00B265F0" w:rsidRDefault="00E001A3" w:rsidP="001F29DC">
            <w:pPr>
              <w:pStyle w:val="NoSpacing"/>
              <w:rPr>
                <w:rFonts w:ascii="Arial" w:hAnsi="Arial" w:cs="Arial"/>
                <w:color w:val="FFFFFF" w:themeColor="background1"/>
                <w:sz w:val="18"/>
                <w:szCs w:val="20"/>
              </w:rPr>
            </w:pPr>
            <w:r>
              <w:rPr>
                <w:rFonts w:ascii="Arial" w:hAnsi="Arial" w:cs="Arial"/>
                <w:color w:val="FFFFFF" w:themeColor="background1"/>
                <w:sz w:val="18"/>
                <w:szCs w:val="20"/>
              </w:rPr>
              <w:t>October</w:t>
            </w:r>
            <w:r w:rsidR="00253765">
              <w:rPr>
                <w:rFonts w:ascii="Arial" w:hAnsi="Arial" w:cs="Arial"/>
                <w:color w:val="FFFFFF" w:themeColor="background1"/>
                <w:sz w:val="18"/>
                <w:szCs w:val="20"/>
              </w:rPr>
              <w:t xml:space="preserve"> </w:t>
            </w:r>
            <w:r w:rsidR="00112E9A">
              <w:rPr>
                <w:rFonts w:ascii="Arial" w:hAnsi="Arial" w:cs="Arial"/>
                <w:color w:val="FFFFFF" w:themeColor="background1"/>
                <w:sz w:val="18"/>
                <w:szCs w:val="20"/>
              </w:rPr>
              <w:t>2022</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2FC01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Dollar</w:t>
            </w:r>
            <w:r>
              <w:rPr>
                <w:rFonts w:ascii="Arial" w:hAnsi="Arial" w:cs="Arial"/>
                <w:color w:val="FFFFFF" w:themeColor="background1"/>
                <w:sz w:val="18"/>
                <w:szCs w:val="20"/>
              </w:rPr>
              <w:br/>
              <w:t>sales</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38E3F723"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 gains v</w:t>
            </w:r>
            <w:r>
              <w:rPr>
                <w:rFonts w:ascii="Arial" w:hAnsi="Arial" w:cs="Arial"/>
                <w:color w:val="FFFFFF" w:themeColor="background1"/>
                <w:sz w:val="18"/>
                <w:szCs w:val="20"/>
              </w:rPr>
              <w:t>s. 202</w:t>
            </w:r>
            <w:r w:rsidR="00112E9A">
              <w:rPr>
                <w:rFonts w:ascii="Arial" w:hAnsi="Arial" w:cs="Arial"/>
                <w:color w:val="FFFFFF" w:themeColor="background1"/>
                <w:sz w:val="18"/>
                <w:szCs w:val="20"/>
              </w:rPr>
              <w:t>1</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1C8CB91B" w14:textId="291A5585"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w:t>
            </w:r>
            <w:r>
              <w:rPr>
                <w:rFonts w:ascii="Arial" w:hAnsi="Arial" w:cs="Arial"/>
                <w:color w:val="FFFFFF" w:themeColor="background1"/>
                <w:sz w:val="18"/>
                <w:szCs w:val="20"/>
              </w:rPr>
              <w:br/>
            </w:r>
            <w:r w:rsidRPr="00B265F0">
              <w:rPr>
                <w:rFonts w:ascii="Arial" w:hAnsi="Arial" w:cs="Arial"/>
                <w:color w:val="FFFFFF" w:themeColor="background1"/>
                <w:sz w:val="18"/>
                <w:szCs w:val="20"/>
              </w:rPr>
              <w:t xml:space="preserve"> gains v</w:t>
            </w:r>
            <w:r>
              <w:rPr>
                <w:rFonts w:ascii="Arial" w:hAnsi="Arial" w:cs="Arial"/>
                <w:color w:val="FFFFFF" w:themeColor="background1"/>
                <w:sz w:val="18"/>
                <w:szCs w:val="20"/>
              </w:rPr>
              <w:t>s. 20</w:t>
            </w:r>
            <w:r w:rsidR="00414828">
              <w:rPr>
                <w:rFonts w:ascii="Arial" w:hAnsi="Arial" w:cs="Arial"/>
                <w:color w:val="FFFFFF" w:themeColor="background1"/>
                <w:sz w:val="18"/>
                <w:szCs w:val="20"/>
              </w:rPr>
              <w:t>19</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DA60DE9"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Average price per unit</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67079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Increase price vs. YA</w:t>
            </w:r>
          </w:p>
        </w:tc>
      </w:tr>
      <w:tr w:rsidR="000833C6" w:rsidRPr="000833C6" w14:paraId="28B74F40" w14:textId="77777777" w:rsidTr="00B51610">
        <w:tblPrEx>
          <w:tblBorders>
            <w:top w:val="single" w:sz="8" w:space="0" w:color="4BACC6" w:themeColor="accent5"/>
            <w:bottom w:val="single" w:sz="8" w:space="0" w:color="4BACC6" w:themeColor="accent5"/>
          </w:tblBorders>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Pr>
          <w:p w14:paraId="3DC9A607" w14:textId="77777777" w:rsidR="000833C6" w:rsidRPr="000833C6" w:rsidRDefault="000833C6" w:rsidP="00B51610">
            <w:pPr>
              <w:pStyle w:val="NoSpacing"/>
              <w:rPr>
                <w:rFonts w:ascii="Arial" w:hAnsi="Arial" w:cs="Arial"/>
                <w:bCs w:val="0"/>
                <w:color w:val="215868" w:themeColor="accent5" w:themeShade="80"/>
                <w:sz w:val="18"/>
                <w:szCs w:val="20"/>
              </w:rPr>
            </w:pPr>
            <w:r w:rsidRPr="000833C6">
              <w:rPr>
                <w:rFonts w:ascii="Arial" w:hAnsi="Arial" w:cs="Arial"/>
                <w:bCs w:val="0"/>
                <w:color w:val="215868" w:themeColor="accent5" w:themeShade="80"/>
                <w:sz w:val="18"/>
                <w:szCs w:val="20"/>
              </w:rPr>
              <w:t>Fresh produce department</w:t>
            </w:r>
          </w:p>
        </w:tc>
        <w:tc>
          <w:tcPr>
            <w:tcW w:w="1584" w:type="dxa"/>
          </w:tcPr>
          <w:p w14:paraId="7BF32325" w14:textId="77777777" w:rsidR="000833C6" w:rsidRPr="000833C6" w:rsidRDefault="000833C6" w:rsidP="00B5161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20"/>
              </w:rPr>
            </w:pPr>
            <w:r w:rsidRPr="000833C6">
              <w:rPr>
                <w:rFonts w:ascii="Arial" w:hAnsi="Arial" w:cs="Arial"/>
                <w:b/>
                <w:color w:val="215868" w:themeColor="accent5" w:themeShade="80"/>
                <w:sz w:val="18"/>
                <w:szCs w:val="20"/>
              </w:rPr>
              <w:t>$6.8B</w:t>
            </w:r>
          </w:p>
        </w:tc>
        <w:tc>
          <w:tcPr>
            <w:tcW w:w="1584" w:type="dxa"/>
          </w:tcPr>
          <w:p w14:paraId="39984305" w14:textId="77777777" w:rsidR="000833C6" w:rsidRPr="000833C6" w:rsidRDefault="000833C6" w:rsidP="00B5161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20"/>
              </w:rPr>
            </w:pPr>
            <w:r w:rsidRPr="000833C6">
              <w:rPr>
                <w:rFonts w:ascii="Arial" w:hAnsi="Arial" w:cs="Arial"/>
                <w:b/>
                <w:color w:val="215868" w:themeColor="accent5" w:themeShade="80"/>
                <w:sz w:val="18"/>
                <w:szCs w:val="20"/>
              </w:rPr>
              <w:t>+2.5%</w:t>
            </w:r>
          </w:p>
        </w:tc>
        <w:tc>
          <w:tcPr>
            <w:tcW w:w="1584" w:type="dxa"/>
          </w:tcPr>
          <w:p w14:paraId="214FE4F8" w14:textId="77777777" w:rsidR="000833C6" w:rsidRPr="000833C6" w:rsidRDefault="000833C6" w:rsidP="00B5161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rPr>
            </w:pPr>
            <w:r w:rsidRPr="000833C6">
              <w:rPr>
                <w:rFonts w:ascii="Arial" w:hAnsi="Arial" w:cs="Arial"/>
                <w:b/>
                <w:color w:val="215868" w:themeColor="accent5" w:themeShade="80"/>
                <w:sz w:val="18"/>
                <w:szCs w:val="20"/>
              </w:rPr>
              <w:t>+19.6%</w:t>
            </w:r>
          </w:p>
        </w:tc>
        <w:tc>
          <w:tcPr>
            <w:tcW w:w="1584" w:type="dxa"/>
          </w:tcPr>
          <w:p w14:paraId="110FC2E2" w14:textId="77777777" w:rsidR="000833C6" w:rsidRPr="000833C6" w:rsidRDefault="000833C6" w:rsidP="00B5161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20"/>
              </w:rPr>
            </w:pPr>
            <w:r w:rsidRPr="000833C6">
              <w:rPr>
                <w:rFonts w:ascii="Arial" w:hAnsi="Arial" w:cs="Arial"/>
                <w:b/>
                <w:color w:val="215868" w:themeColor="accent5" w:themeShade="80"/>
                <w:sz w:val="18"/>
                <w:szCs w:val="20"/>
              </w:rPr>
              <w:t>$2.59</w:t>
            </w:r>
          </w:p>
        </w:tc>
        <w:tc>
          <w:tcPr>
            <w:tcW w:w="1584" w:type="dxa"/>
          </w:tcPr>
          <w:p w14:paraId="24B401D7" w14:textId="77777777" w:rsidR="000833C6" w:rsidRPr="000833C6" w:rsidRDefault="000833C6" w:rsidP="00B5161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215868" w:themeColor="accent5" w:themeShade="80"/>
                <w:sz w:val="18"/>
                <w:szCs w:val="20"/>
              </w:rPr>
            </w:pPr>
            <w:r w:rsidRPr="000833C6">
              <w:rPr>
                <w:rFonts w:ascii="Arial" w:hAnsi="Arial" w:cs="Arial"/>
                <w:b/>
                <w:color w:val="215868" w:themeColor="accent5" w:themeShade="80"/>
                <w:sz w:val="18"/>
                <w:szCs w:val="20"/>
              </w:rPr>
              <w:t>+5.3%</w:t>
            </w:r>
          </w:p>
        </w:tc>
      </w:tr>
      <w:tr w:rsidR="000833C6" w:rsidRPr="00E43E81" w14:paraId="53607A39" w14:textId="77777777" w:rsidTr="00B51610">
        <w:trPr>
          <w:trHeight w:val="227"/>
        </w:trPr>
        <w:tc>
          <w:tcPr>
            <w:cnfStyle w:val="001000000000" w:firstRow="0" w:lastRow="0" w:firstColumn="1" w:lastColumn="0" w:oddVBand="0" w:evenVBand="0" w:oddHBand="0" w:evenHBand="0" w:firstRowFirstColumn="0" w:firstRowLastColumn="0" w:lastRowFirstColumn="0" w:lastRowLastColumn="0"/>
            <w:tcW w:w="2700" w:type="dxa"/>
          </w:tcPr>
          <w:p w14:paraId="063DF506" w14:textId="77777777" w:rsidR="000833C6" w:rsidRPr="000D5031" w:rsidRDefault="000833C6" w:rsidP="00B51610">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Frozen fruits and vegetables</w:t>
            </w:r>
          </w:p>
        </w:tc>
        <w:tc>
          <w:tcPr>
            <w:tcW w:w="1584" w:type="dxa"/>
          </w:tcPr>
          <w:p w14:paraId="11ED8EE5" w14:textId="78E9D27F" w:rsidR="000833C6" w:rsidRPr="000D5031" w:rsidRDefault="000833C6" w:rsidP="00B5161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$736M</w:t>
            </w:r>
          </w:p>
        </w:tc>
        <w:tc>
          <w:tcPr>
            <w:tcW w:w="1584" w:type="dxa"/>
          </w:tcPr>
          <w:p w14:paraId="618FA501" w14:textId="1BE4AE94" w:rsidR="000833C6" w:rsidRPr="000D5031" w:rsidRDefault="000833C6" w:rsidP="00B5161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+13.5</w:t>
            </w:r>
            <w:r w:rsidRPr="000D5031">
              <w:rPr>
                <w:rFonts w:ascii="Arial" w:hAnsi="Arial" w:cs="Arial"/>
                <w:color w:val="215868" w:themeColor="accent5" w:themeShade="80"/>
                <w:sz w:val="18"/>
                <w:szCs w:val="20"/>
              </w:rPr>
              <w:t>%</w:t>
            </w:r>
          </w:p>
        </w:tc>
        <w:tc>
          <w:tcPr>
            <w:tcW w:w="1584" w:type="dxa"/>
          </w:tcPr>
          <w:p w14:paraId="5EBA11F2" w14:textId="1B7E81FB" w:rsidR="000833C6" w:rsidRPr="000D5031" w:rsidRDefault="000833C6"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+30.5</w:t>
            </w:r>
            <w:r w:rsidRPr="000D5031">
              <w:rPr>
                <w:rFonts w:ascii="Arial" w:hAnsi="Arial" w:cs="Arial"/>
                <w:color w:val="215868" w:themeColor="accent5" w:themeShade="80"/>
                <w:sz w:val="18"/>
                <w:szCs w:val="20"/>
              </w:rPr>
              <w:t>%</w:t>
            </w:r>
          </w:p>
        </w:tc>
        <w:tc>
          <w:tcPr>
            <w:tcW w:w="1584" w:type="dxa"/>
          </w:tcPr>
          <w:p w14:paraId="234F510D" w14:textId="4D0B844E" w:rsidR="000833C6" w:rsidRPr="000D5031" w:rsidRDefault="000833C6" w:rsidP="00B5161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$3.08</w:t>
            </w:r>
          </w:p>
        </w:tc>
        <w:tc>
          <w:tcPr>
            <w:tcW w:w="1584" w:type="dxa"/>
          </w:tcPr>
          <w:p w14:paraId="34E514EC" w14:textId="36B7D15B" w:rsidR="000833C6" w:rsidRPr="000D5031" w:rsidRDefault="000833C6" w:rsidP="00B5161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+20.6%</w:t>
            </w:r>
          </w:p>
        </w:tc>
      </w:tr>
      <w:tr w:rsidR="00770809" w:rsidRPr="00E43E81" w14:paraId="6436AB32" w14:textId="77777777" w:rsidTr="00BC21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Pr>
          <w:p w14:paraId="2DECF2C9" w14:textId="77777777" w:rsidR="00770809" w:rsidRPr="000D5031" w:rsidRDefault="00770809" w:rsidP="001F29DC">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 xml:space="preserve">Shelf stable fruits </w:t>
            </w:r>
          </w:p>
        </w:tc>
        <w:tc>
          <w:tcPr>
            <w:tcW w:w="1584" w:type="dxa"/>
          </w:tcPr>
          <w:p w14:paraId="762ADF8F" w14:textId="79F6597A" w:rsidR="00770809" w:rsidRPr="000D5031"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0833C6">
              <w:rPr>
                <w:rFonts w:ascii="Arial" w:hAnsi="Arial" w:cs="Arial"/>
                <w:color w:val="215868" w:themeColor="accent5" w:themeShade="80"/>
                <w:sz w:val="18"/>
                <w:szCs w:val="20"/>
              </w:rPr>
              <w:t>437</w:t>
            </w:r>
            <w:r w:rsidR="006D4E7C">
              <w:rPr>
                <w:rFonts w:ascii="Arial" w:hAnsi="Arial" w:cs="Arial"/>
                <w:color w:val="215868" w:themeColor="accent5" w:themeShade="80"/>
                <w:sz w:val="18"/>
                <w:szCs w:val="20"/>
              </w:rPr>
              <w:t>M</w:t>
            </w:r>
          </w:p>
        </w:tc>
        <w:tc>
          <w:tcPr>
            <w:tcW w:w="1584" w:type="dxa"/>
          </w:tcPr>
          <w:p w14:paraId="65CF6948" w14:textId="59CA39C4" w:rsidR="00770809" w:rsidRPr="000D5031"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0833C6">
              <w:rPr>
                <w:rFonts w:ascii="Arial" w:hAnsi="Arial" w:cs="Arial"/>
                <w:color w:val="215868" w:themeColor="accent5" w:themeShade="80"/>
                <w:sz w:val="18"/>
                <w:szCs w:val="20"/>
              </w:rPr>
              <w:t>10.5</w:t>
            </w:r>
            <w:r w:rsidR="00770809" w:rsidRPr="000D5031">
              <w:rPr>
                <w:rFonts w:ascii="Arial" w:hAnsi="Arial" w:cs="Arial"/>
                <w:color w:val="215868" w:themeColor="accent5" w:themeShade="80"/>
                <w:sz w:val="18"/>
                <w:szCs w:val="20"/>
              </w:rPr>
              <w:t>%</w:t>
            </w:r>
          </w:p>
        </w:tc>
        <w:tc>
          <w:tcPr>
            <w:tcW w:w="1584" w:type="dxa"/>
          </w:tcPr>
          <w:p w14:paraId="6106E491" w14:textId="6F411CA8" w:rsidR="00770809" w:rsidRPr="000D5031" w:rsidRDefault="00E33D11"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w:t>
            </w:r>
            <w:r w:rsidR="000833C6">
              <w:rPr>
                <w:rFonts w:ascii="Arial" w:hAnsi="Arial" w:cs="Arial"/>
                <w:color w:val="215868" w:themeColor="accent5" w:themeShade="80"/>
                <w:sz w:val="18"/>
                <w:szCs w:val="20"/>
              </w:rPr>
              <w:t>30.5</w:t>
            </w:r>
            <w:r w:rsidR="00770809" w:rsidRPr="000D5031">
              <w:rPr>
                <w:rFonts w:ascii="Arial" w:hAnsi="Arial" w:cs="Arial"/>
                <w:color w:val="215868" w:themeColor="accent5" w:themeShade="80"/>
                <w:sz w:val="18"/>
                <w:szCs w:val="20"/>
              </w:rPr>
              <w:t>%</w:t>
            </w:r>
          </w:p>
        </w:tc>
        <w:tc>
          <w:tcPr>
            <w:tcW w:w="1584" w:type="dxa"/>
          </w:tcPr>
          <w:p w14:paraId="607B80B7" w14:textId="6EF948A2" w:rsidR="00770809"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0833C6">
              <w:rPr>
                <w:rFonts w:ascii="Arial" w:hAnsi="Arial" w:cs="Arial"/>
                <w:color w:val="215868" w:themeColor="accent5" w:themeShade="80"/>
                <w:sz w:val="18"/>
                <w:szCs w:val="20"/>
              </w:rPr>
              <w:t>3.36</w:t>
            </w:r>
          </w:p>
        </w:tc>
        <w:tc>
          <w:tcPr>
            <w:tcW w:w="1584" w:type="dxa"/>
          </w:tcPr>
          <w:p w14:paraId="7D05D7D9" w14:textId="5E7FB29F" w:rsidR="00770809"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0833C6">
              <w:rPr>
                <w:rFonts w:ascii="Arial" w:hAnsi="Arial" w:cs="Arial"/>
                <w:color w:val="215868" w:themeColor="accent5" w:themeShade="80"/>
                <w:sz w:val="18"/>
                <w:szCs w:val="20"/>
              </w:rPr>
              <w:t>24.2</w:t>
            </w:r>
            <w:r w:rsidR="00E33D11">
              <w:rPr>
                <w:rFonts w:ascii="Arial" w:hAnsi="Arial" w:cs="Arial"/>
                <w:color w:val="215868" w:themeColor="accent5" w:themeShade="80"/>
                <w:sz w:val="18"/>
                <w:szCs w:val="20"/>
              </w:rPr>
              <w:t>%</w:t>
            </w:r>
          </w:p>
        </w:tc>
      </w:tr>
      <w:tr w:rsidR="00253765" w:rsidRPr="00E43E81" w14:paraId="136DBAD7" w14:textId="77777777" w:rsidTr="00BC21CA">
        <w:trPr>
          <w:trHeight w:val="227"/>
        </w:trPr>
        <w:tc>
          <w:tcPr>
            <w:cnfStyle w:val="001000000000" w:firstRow="0" w:lastRow="0" w:firstColumn="1" w:lastColumn="0" w:oddVBand="0" w:evenVBand="0" w:oddHBand="0" w:evenHBand="0" w:firstRowFirstColumn="0" w:firstRowLastColumn="0" w:lastRowFirstColumn="0" w:lastRowLastColumn="0"/>
            <w:tcW w:w="2700" w:type="dxa"/>
          </w:tcPr>
          <w:p w14:paraId="205297AD" w14:textId="77777777" w:rsidR="00253765" w:rsidRPr="000D5031" w:rsidRDefault="00253765" w:rsidP="00253765">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Shelf stable vegetables</w:t>
            </w:r>
          </w:p>
        </w:tc>
        <w:tc>
          <w:tcPr>
            <w:tcW w:w="1584" w:type="dxa"/>
          </w:tcPr>
          <w:p w14:paraId="1B917AA7" w14:textId="11363F5A"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0833C6">
              <w:rPr>
                <w:rFonts w:ascii="Arial" w:hAnsi="Arial" w:cs="Arial"/>
                <w:color w:val="215868" w:themeColor="accent5" w:themeShade="80"/>
                <w:sz w:val="18"/>
                <w:szCs w:val="20"/>
              </w:rPr>
              <w:t>715</w:t>
            </w:r>
            <w:r>
              <w:rPr>
                <w:rFonts w:ascii="Arial" w:hAnsi="Arial" w:cs="Arial"/>
                <w:color w:val="215868" w:themeColor="accent5" w:themeShade="80"/>
                <w:sz w:val="18"/>
                <w:szCs w:val="20"/>
              </w:rPr>
              <w:t>M</w:t>
            </w:r>
          </w:p>
        </w:tc>
        <w:tc>
          <w:tcPr>
            <w:tcW w:w="1584" w:type="dxa"/>
          </w:tcPr>
          <w:p w14:paraId="371B11FD" w14:textId="67C6ADA6"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0833C6">
              <w:rPr>
                <w:rFonts w:ascii="Arial" w:hAnsi="Arial" w:cs="Arial"/>
                <w:color w:val="215868" w:themeColor="accent5" w:themeShade="80"/>
                <w:sz w:val="18"/>
                <w:szCs w:val="20"/>
              </w:rPr>
              <w:t>10.9</w:t>
            </w:r>
            <w:r w:rsidRPr="000D5031">
              <w:rPr>
                <w:rFonts w:ascii="Arial" w:hAnsi="Arial" w:cs="Arial"/>
                <w:color w:val="215868" w:themeColor="accent5" w:themeShade="80"/>
                <w:sz w:val="18"/>
                <w:szCs w:val="20"/>
              </w:rPr>
              <w:t>%</w:t>
            </w:r>
          </w:p>
        </w:tc>
        <w:tc>
          <w:tcPr>
            <w:tcW w:w="1584" w:type="dxa"/>
          </w:tcPr>
          <w:p w14:paraId="248DEF07" w14:textId="5FBAD704" w:rsidR="00253765" w:rsidRPr="000D5031" w:rsidRDefault="00951B01" w:rsidP="0025376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w:t>
            </w:r>
            <w:r w:rsidR="000833C6">
              <w:rPr>
                <w:rFonts w:ascii="Arial" w:hAnsi="Arial" w:cs="Arial"/>
                <w:color w:val="215868" w:themeColor="accent5" w:themeShade="80"/>
                <w:sz w:val="18"/>
                <w:szCs w:val="20"/>
              </w:rPr>
              <w:t>22.2</w:t>
            </w:r>
            <w:r w:rsidR="00253765" w:rsidRPr="000D5031">
              <w:rPr>
                <w:rFonts w:ascii="Arial" w:hAnsi="Arial" w:cs="Arial"/>
                <w:color w:val="215868" w:themeColor="accent5" w:themeShade="80"/>
                <w:sz w:val="18"/>
                <w:szCs w:val="20"/>
              </w:rPr>
              <w:t>%</w:t>
            </w:r>
          </w:p>
        </w:tc>
        <w:tc>
          <w:tcPr>
            <w:tcW w:w="1584" w:type="dxa"/>
          </w:tcPr>
          <w:p w14:paraId="7417AA65" w14:textId="66764666" w:rsidR="00253765"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0833C6">
              <w:rPr>
                <w:rFonts w:ascii="Arial" w:hAnsi="Arial" w:cs="Arial"/>
                <w:color w:val="215868" w:themeColor="accent5" w:themeShade="80"/>
                <w:sz w:val="18"/>
                <w:szCs w:val="20"/>
              </w:rPr>
              <w:t>1.45</w:t>
            </w:r>
          </w:p>
        </w:tc>
        <w:tc>
          <w:tcPr>
            <w:tcW w:w="1584" w:type="dxa"/>
          </w:tcPr>
          <w:p w14:paraId="4AF0D023" w14:textId="7B0B8EA3" w:rsidR="00253765"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0833C6">
              <w:rPr>
                <w:rFonts w:ascii="Arial" w:hAnsi="Arial" w:cs="Arial"/>
                <w:color w:val="215868" w:themeColor="accent5" w:themeShade="80"/>
                <w:sz w:val="18"/>
                <w:szCs w:val="20"/>
              </w:rPr>
              <w:t>19.1</w:t>
            </w:r>
            <w:r w:rsidR="00E33D11">
              <w:rPr>
                <w:rFonts w:ascii="Arial" w:hAnsi="Arial" w:cs="Arial"/>
                <w:color w:val="215868" w:themeColor="accent5" w:themeShade="80"/>
                <w:sz w:val="18"/>
                <w:szCs w:val="20"/>
              </w:rPr>
              <w:t>%</w:t>
            </w:r>
          </w:p>
        </w:tc>
      </w:tr>
    </w:tbl>
    <w:p w14:paraId="788E9F0B" w14:textId="77777777" w:rsidR="00770809" w:rsidRPr="00B265F0" w:rsidRDefault="00770809" w:rsidP="00770809">
      <w:pPr>
        <w:pStyle w:val="NoSpacing"/>
        <w:rPr>
          <w:rFonts w:ascii="Arial" w:hAnsi="Arial" w:cs="Arial"/>
          <w:sz w:val="10"/>
          <w:szCs w:val="10"/>
        </w:rPr>
      </w:pPr>
    </w:p>
    <w:p w14:paraId="127869F3" w14:textId="77777777" w:rsidR="00770809" w:rsidRPr="00B35CE9" w:rsidRDefault="00770809" w:rsidP="00770809">
      <w:pPr>
        <w:pStyle w:val="NoSpacing"/>
        <w:rPr>
          <w:rFonts w:ascii="Arial" w:hAnsi="Arial" w:cs="Arial"/>
          <w:sz w:val="16"/>
          <w:szCs w:val="16"/>
        </w:rPr>
      </w:pPr>
      <w:r w:rsidRPr="00B265F0">
        <w:rPr>
          <w:rFonts w:ascii="Arial" w:hAnsi="Arial" w:cs="Arial"/>
          <w:sz w:val="16"/>
          <w:szCs w:val="16"/>
        </w:rPr>
        <w:t>Source: IRI</w:t>
      </w:r>
      <w:r>
        <w:rPr>
          <w:rFonts w:ascii="Arial" w:hAnsi="Arial" w:cs="Arial"/>
          <w:sz w:val="16"/>
          <w:szCs w:val="16"/>
        </w:rPr>
        <w:t xml:space="preserve"> Integrated Fresh, </w:t>
      </w:r>
      <w:r w:rsidRPr="00B265F0">
        <w:rPr>
          <w:rFonts w:ascii="Arial" w:hAnsi="Arial" w:cs="Arial"/>
          <w:sz w:val="16"/>
          <w:szCs w:val="16"/>
        </w:rPr>
        <w:t>Total US, MULO</w:t>
      </w:r>
    </w:p>
    <w:p w14:paraId="308559FB" w14:textId="5B6B997C" w:rsidR="00770809" w:rsidRDefault="00770809" w:rsidP="00770809">
      <w:pPr>
        <w:pStyle w:val="NoSpacing"/>
        <w:rPr>
          <w:rFonts w:ascii="Arial" w:hAnsi="Arial" w:cs="Arial"/>
          <w:sz w:val="20"/>
          <w:szCs w:val="20"/>
        </w:rPr>
      </w:pPr>
    </w:p>
    <w:p w14:paraId="53C7F7C1" w14:textId="505D21B0" w:rsidR="00E33D11" w:rsidRDefault="009A4953" w:rsidP="00770809">
      <w:pPr>
        <w:pStyle w:val="NoSpacing"/>
        <w:rPr>
          <w:rFonts w:ascii="Arial" w:hAnsi="Arial" w:cs="Arial"/>
          <w:sz w:val="20"/>
          <w:szCs w:val="20"/>
        </w:rPr>
      </w:pPr>
      <w:r>
        <w:rPr>
          <w:rFonts w:ascii="Arial" w:hAnsi="Arial" w:cs="Arial"/>
          <w:sz w:val="20"/>
          <w:szCs w:val="20"/>
        </w:rPr>
        <w:t>The below-average growth</w:t>
      </w:r>
      <w:r w:rsidR="00524065">
        <w:rPr>
          <w:rFonts w:ascii="Arial" w:hAnsi="Arial" w:cs="Arial"/>
          <w:sz w:val="20"/>
          <w:szCs w:val="20"/>
        </w:rPr>
        <w:t xml:space="preserve"> and rate of </w:t>
      </w:r>
      <w:r w:rsidR="00460E70">
        <w:rPr>
          <w:rFonts w:ascii="Arial" w:hAnsi="Arial" w:cs="Arial"/>
          <w:sz w:val="20"/>
          <w:szCs w:val="20"/>
        </w:rPr>
        <w:t>inflation</w:t>
      </w:r>
      <w:r>
        <w:rPr>
          <w:rFonts w:ascii="Arial" w:hAnsi="Arial" w:cs="Arial"/>
          <w:sz w:val="20"/>
          <w:szCs w:val="20"/>
        </w:rPr>
        <w:t xml:space="preserve"> for fresh produce meant a drop in the share of fresh fruit and vegetables versus the share represented by frozen (</w:t>
      </w:r>
      <w:r w:rsidR="00460E70">
        <w:rPr>
          <w:rFonts w:ascii="Arial" w:hAnsi="Arial" w:cs="Arial"/>
          <w:sz w:val="20"/>
          <w:szCs w:val="20"/>
        </w:rPr>
        <w:t>8.</w:t>
      </w:r>
      <w:r w:rsidR="000833C6">
        <w:rPr>
          <w:rFonts w:ascii="Arial" w:hAnsi="Arial" w:cs="Arial"/>
          <w:sz w:val="20"/>
          <w:szCs w:val="20"/>
        </w:rPr>
        <w:t>5</w:t>
      </w:r>
      <w:r>
        <w:rPr>
          <w:rFonts w:ascii="Arial" w:hAnsi="Arial" w:cs="Arial"/>
          <w:sz w:val="20"/>
          <w:szCs w:val="20"/>
        </w:rPr>
        <w:t>%) and shelf-stable (</w:t>
      </w:r>
      <w:r w:rsidR="000833C6">
        <w:rPr>
          <w:rFonts w:ascii="Arial" w:hAnsi="Arial" w:cs="Arial"/>
          <w:sz w:val="20"/>
          <w:szCs w:val="20"/>
        </w:rPr>
        <w:t>13.3</w:t>
      </w:r>
      <w:r>
        <w:rPr>
          <w:rFonts w:ascii="Arial" w:hAnsi="Arial" w:cs="Arial"/>
          <w:sz w:val="20"/>
          <w:szCs w:val="20"/>
        </w:rPr>
        <w:t>%)</w:t>
      </w:r>
      <w:r w:rsidR="00313611">
        <w:rPr>
          <w:rFonts w:ascii="Arial" w:hAnsi="Arial" w:cs="Arial"/>
          <w:sz w:val="20"/>
          <w:szCs w:val="20"/>
        </w:rPr>
        <w:t>.</w:t>
      </w:r>
    </w:p>
    <w:p w14:paraId="55311572" w14:textId="71D32785" w:rsidR="003508FD" w:rsidRPr="00983F3F" w:rsidRDefault="000833C6" w:rsidP="00983F3F">
      <w:pPr>
        <w:spacing w:after="0" w:line="240" w:lineRule="auto"/>
        <w:rPr>
          <w:rFonts w:ascii="Arial" w:hAnsi="Arial" w:cs="Arial"/>
          <w:color w:val="000000" w:themeColor="text1"/>
          <w:sz w:val="10"/>
          <w:szCs w:val="10"/>
          <w:shd w:val="clear" w:color="auto" w:fill="FFFFFF"/>
        </w:rPr>
      </w:pPr>
      <w:r>
        <w:rPr>
          <w:noProof/>
        </w:rPr>
        <w:lastRenderedPageBreak/>
        <w:drawing>
          <wp:inline distT="0" distB="0" distL="0" distR="0" wp14:anchorId="4CA01F5D" wp14:editId="5F2B3074">
            <wp:extent cx="6750685" cy="2885440"/>
            <wp:effectExtent l="0" t="0" r="0" b="0"/>
            <wp:docPr id="11" name="Chart 11">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51DC13" w14:textId="77777777" w:rsidR="008111C0" w:rsidRDefault="008111C0" w:rsidP="00983F3F">
      <w:pPr>
        <w:spacing w:after="0" w:line="240" w:lineRule="auto"/>
        <w:rPr>
          <w:rFonts w:ascii="Arial" w:hAnsi="Arial" w:cs="Arial"/>
          <w:sz w:val="16"/>
          <w:szCs w:val="16"/>
        </w:rPr>
      </w:pPr>
      <w:r w:rsidRPr="00507D74">
        <w:rPr>
          <w:rFonts w:ascii="Arial" w:hAnsi="Arial" w:cs="Arial"/>
          <w:sz w:val="16"/>
          <w:szCs w:val="16"/>
        </w:rPr>
        <w:t>Source: Source: IRI Integrated Fresh, Total U.S., MULO</w:t>
      </w:r>
    </w:p>
    <w:p w14:paraId="6A747D79" w14:textId="32DB7BC7" w:rsidR="008111C0" w:rsidRDefault="008111C0" w:rsidP="0053257C">
      <w:pPr>
        <w:spacing w:after="0" w:line="240" w:lineRule="auto"/>
        <w:rPr>
          <w:rFonts w:ascii="Arial" w:hAnsi="Arial" w:cs="Arial"/>
          <w:sz w:val="20"/>
          <w:shd w:val="clear" w:color="auto" w:fill="FFFFFF"/>
        </w:rPr>
      </w:pPr>
    </w:p>
    <w:p w14:paraId="29284688" w14:textId="77777777" w:rsidR="00215410" w:rsidRDefault="00215410" w:rsidP="0053257C">
      <w:pPr>
        <w:spacing w:after="0" w:line="240" w:lineRule="auto"/>
        <w:rPr>
          <w:rFonts w:ascii="Arial" w:hAnsi="Arial" w:cs="Arial"/>
          <w:sz w:val="20"/>
          <w:shd w:val="clear" w:color="auto" w:fill="FFFFFF"/>
        </w:rPr>
      </w:pPr>
    </w:p>
    <w:p w14:paraId="6839CE99" w14:textId="77777777" w:rsidR="002137F5" w:rsidRPr="00CF309B" w:rsidRDefault="006C3FCE" w:rsidP="006069A6">
      <w:pPr>
        <w:pStyle w:val="NoSpacing"/>
        <w:rPr>
          <w:rFonts w:ascii="Arial" w:hAnsi="Arial" w:cs="Arial"/>
          <w:b/>
          <w:color w:val="595959" w:themeColor="text1" w:themeTint="A6"/>
          <w:sz w:val="24"/>
          <w:szCs w:val="24"/>
        </w:rPr>
      </w:pPr>
      <w:r w:rsidRPr="00CF309B">
        <w:rPr>
          <w:rFonts w:ascii="Arial" w:hAnsi="Arial" w:cs="Arial"/>
          <w:b/>
          <w:color w:val="595959" w:themeColor="text1" w:themeTint="A6"/>
          <w:sz w:val="24"/>
          <w:szCs w:val="24"/>
        </w:rPr>
        <w:t xml:space="preserve">Fresh Produce </w:t>
      </w:r>
      <w:r w:rsidR="002137F5" w:rsidRPr="00CF309B">
        <w:rPr>
          <w:rFonts w:ascii="Arial" w:hAnsi="Arial" w:cs="Arial"/>
          <w:b/>
          <w:color w:val="595959" w:themeColor="text1" w:themeTint="A6"/>
          <w:sz w:val="24"/>
          <w:szCs w:val="24"/>
        </w:rPr>
        <w:t>Dollars versus Volume</w:t>
      </w:r>
    </w:p>
    <w:p w14:paraId="0CB7AB49" w14:textId="3482ABF7" w:rsidR="0005157F" w:rsidRDefault="00223410" w:rsidP="006069A6">
      <w:pPr>
        <w:pStyle w:val="NoSpacing"/>
        <w:rPr>
          <w:rFonts w:ascii="Arial" w:hAnsi="Arial" w:cs="Arial"/>
          <w:sz w:val="20"/>
          <w:szCs w:val="20"/>
        </w:rPr>
      </w:pPr>
      <w:r>
        <w:rPr>
          <w:rFonts w:ascii="Arial" w:hAnsi="Arial" w:cs="Arial"/>
          <w:sz w:val="20"/>
          <w:szCs w:val="20"/>
        </w:rPr>
        <w:t xml:space="preserve">Fresh produce pound sales </w:t>
      </w:r>
      <w:r w:rsidR="00D36C5A">
        <w:rPr>
          <w:rFonts w:ascii="Arial" w:hAnsi="Arial" w:cs="Arial"/>
          <w:sz w:val="20"/>
          <w:szCs w:val="20"/>
        </w:rPr>
        <w:t>ha</w:t>
      </w:r>
      <w:r w:rsidR="00034C1B">
        <w:rPr>
          <w:rFonts w:ascii="Arial" w:hAnsi="Arial" w:cs="Arial"/>
          <w:sz w:val="20"/>
          <w:szCs w:val="20"/>
        </w:rPr>
        <w:t>ve</w:t>
      </w:r>
      <w:r w:rsidR="00D36C5A">
        <w:rPr>
          <w:rFonts w:ascii="Arial" w:hAnsi="Arial" w:cs="Arial"/>
          <w:sz w:val="20"/>
          <w:szCs w:val="20"/>
        </w:rPr>
        <w:t xml:space="preserve"> </w:t>
      </w:r>
      <w:r>
        <w:rPr>
          <w:rFonts w:ascii="Arial" w:hAnsi="Arial" w:cs="Arial"/>
          <w:sz w:val="20"/>
          <w:szCs w:val="20"/>
        </w:rPr>
        <w:t xml:space="preserve">trailed behind year ago levels </w:t>
      </w:r>
      <w:r w:rsidR="00D36C5A">
        <w:rPr>
          <w:rFonts w:ascii="Arial" w:hAnsi="Arial" w:cs="Arial"/>
          <w:sz w:val="20"/>
          <w:szCs w:val="20"/>
        </w:rPr>
        <w:t>since March 2021, but volume pressure sharpened in</w:t>
      </w:r>
      <w:r w:rsidR="000E6D83">
        <w:rPr>
          <w:rFonts w:ascii="Arial" w:hAnsi="Arial" w:cs="Arial"/>
          <w:sz w:val="20"/>
          <w:szCs w:val="20"/>
        </w:rPr>
        <w:t xml:space="preserve"> 2022 to around 5 points below year ago</w:t>
      </w:r>
      <w:r w:rsidR="00D36C5A">
        <w:rPr>
          <w:rFonts w:ascii="Arial" w:hAnsi="Arial" w:cs="Arial"/>
          <w:sz w:val="20"/>
          <w:szCs w:val="20"/>
        </w:rPr>
        <w:t xml:space="preserve">. </w:t>
      </w:r>
      <w:r w:rsidR="000E6D83">
        <w:rPr>
          <w:rFonts w:ascii="Arial" w:hAnsi="Arial" w:cs="Arial"/>
          <w:sz w:val="20"/>
          <w:szCs w:val="20"/>
        </w:rPr>
        <w:t xml:space="preserve">In </w:t>
      </w:r>
      <w:r w:rsidR="00DE69E2">
        <w:rPr>
          <w:rFonts w:ascii="Arial" w:hAnsi="Arial" w:cs="Arial"/>
          <w:sz w:val="20"/>
          <w:szCs w:val="20"/>
        </w:rPr>
        <w:t xml:space="preserve">October </w:t>
      </w:r>
      <w:r w:rsidR="000E6D83">
        <w:rPr>
          <w:rFonts w:ascii="Arial" w:hAnsi="Arial" w:cs="Arial"/>
          <w:sz w:val="20"/>
          <w:szCs w:val="20"/>
        </w:rPr>
        <w:t>2022, pounds trailed the 2021 performance by</w:t>
      </w:r>
      <w:r w:rsidR="00DE69E2">
        <w:rPr>
          <w:rFonts w:ascii="Arial" w:hAnsi="Arial" w:cs="Arial"/>
          <w:sz w:val="20"/>
          <w:szCs w:val="20"/>
        </w:rPr>
        <w:t xml:space="preserve"> 4.2</w:t>
      </w:r>
      <w:r w:rsidR="000E6D83">
        <w:rPr>
          <w:rFonts w:ascii="Arial" w:hAnsi="Arial" w:cs="Arial"/>
          <w:sz w:val="20"/>
          <w:szCs w:val="20"/>
        </w:rPr>
        <w:t>%.</w:t>
      </w:r>
      <w:r w:rsidR="00D36C5A">
        <w:rPr>
          <w:rFonts w:ascii="Arial" w:hAnsi="Arial" w:cs="Arial"/>
          <w:sz w:val="20"/>
          <w:szCs w:val="20"/>
        </w:rPr>
        <w:t xml:space="preserve"> </w:t>
      </w:r>
      <w:r w:rsidR="00DE69E2">
        <w:rPr>
          <w:rFonts w:ascii="Arial" w:hAnsi="Arial" w:cs="Arial"/>
          <w:sz w:val="20"/>
          <w:szCs w:val="20"/>
        </w:rPr>
        <w:t xml:space="preserve">While down, this is the best performance since the fourth quarter of 2021. </w:t>
      </w:r>
    </w:p>
    <w:p w14:paraId="21AE6872" w14:textId="52842E4B" w:rsidR="00AC478B" w:rsidRDefault="00AC478B" w:rsidP="009D1A60">
      <w:pPr>
        <w:pStyle w:val="NoSpacing"/>
        <w:rPr>
          <w:noProof/>
        </w:rPr>
      </w:pPr>
    </w:p>
    <w:p w14:paraId="33F0DBEC" w14:textId="32EFA06A" w:rsidR="00BA5935" w:rsidRDefault="00DE69E2" w:rsidP="009D1A60">
      <w:pPr>
        <w:pStyle w:val="NoSpacing"/>
        <w:rPr>
          <w:noProof/>
        </w:rPr>
      </w:pPr>
      <w:r>
        <w:rPr>
          <w:noProof/>
        </w:rPr>
        <w:drawing>
          <wp:inline distT="0" distB="0" distL="0" distR="0" wp14:anchorId="2DE9E2CB" wp14:editId="140BE6C5">
            <wp:extent cx="6750685" cy="2512612"/>
            <wp:effectExtent l="0" t="0" r="0" b="2540"/>
            <wp:docPr id="13" name="Chart 13">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962AB8" w14:textId="77777777" w:rsidR="00BA5935" w:rsidRPr="009D1A60" w:rsidRDefault="00BA5935" w:rsidP="009D1A60">
      <w:pPr>
        <w:pStyle w:val="NoSpacing"/>
      </w:pPr>
    </w:p>
    <w:p w14:paraId="3AE9A45F" w14:textId="77777777" w:rsidR="00441E8F" w:rsidRPr="00CF309B" w:rsidRDefault="00441E8F" w:rsidP="00441E8F">
      <w:pPr>
        <w:pStyle w:val="NoSpacing"/>
        <w:rPr>
          <w:rFonts w:ascii="Arial" w:hAnsi="Arial" w:cs="Arial"/>
          <w:sz w:val="16"/>
          <w:szCs w:val="16"/>
        </w:rPr>
      </w:pPr>
      <w:r w:rsidRPr="00CF309B">
        <w:rPr>
          <w:rFonts w:ascii="Arial" w:hAnsi="Arial" w:cs="Arial"/>
          <w:sz w:val="16"/>
          <w:szCs w:val="16"/>
        </w:rPr>
        <w:t>Source: Source: IRI</w:t>
      </w:r>
      <w:r w:rsidR="00906C46">
        <w:rPr>
          <w:rFonts w:ascii="Arial" w:hAnsi="Arial" w:cs="Arial"/>
          <w:sz w:val="16"/>
          <w:szCs w:val="16"/>
        </w:rPr>
        <w:t xml:space="preserve"> Integrated Fresh</w:t>
      </w:r>
      <w:r w:rsidRPr="00CF309B">
        <w:rPr>
          <w:rFonts w:ascii="Arial" w:hAnsi="Arial" w:cs="Arial"/>
          <w:sz w:val="16"/>
          <w:szCs w:val="16"/>
        </w:rPr>
        <w:t>, Total U.S., MULO</w:t>
      </w:r>
      <w:r w:rsidR="00AA6AEB">
        <w:rPr>
          <w:rFonts w:ascii="Arial" w:hAnsi="Arial" w:cs="Arial"/>
          <w:sz w:val="16"/>
          <w:szCs w:val="16"/>
        </w:rPr>
        <w:t xml:space="preserve"> </w:t>
      </w:r>
    </w:p>
    <w:p w14:paraId="3053AAE0" w14:textId="77777777" w:rsidR="00043B43" w:rsidRPr="00CF309B" w:rsidRDefault="00043B43" w:rsidP="006069A6">
      <w:pPr>
        <w:pStyle w:val="NoSpacing"/>
        <w:rPr>
          <w:rFonts w:ascii="Arial" w:hAnsi="Arial" w:cs="Arial"/>
          <w:sz w:val="20"/>
          <w:szCs w:val="20"/>
        </w:rPr>
      </w:pPr>
    </w:p>
    <w:p w14:paraId="14CF2F77" w14:textId="481B0DAD" w:rsidR="00EF524A" w:rsidRDefault="00034C1B" w:rsidP="007C430F">
      <w:pPr>
        <w:pStyle w:val="NoSpacing"/>
        <w:rPr>
          <w:rFonts w:ascii="Arial" w:hAnsi="Arial" w:cs="Arial"/>
          <w:color w:val="000000" w:themeColor="text1"/>
          <w:sz w:val="20"/>
          <w:szCs w:val="18"/>
          <w:shd w:val="clear" w:color="auto" w:fill="FFFFFF"/>
        </w:rPr>
      </w:pPr>
      <w:r>
        <w:rPr>
          <w:rFonts w:ascii="Arial" w:hAnsi="Arial" w:cs="Arial"/>
          <w:color w:val="000000" w:themeColor="text1"/>
          <w:sz w:val="20"/>
          <w:szCs w:val="18"/>
          <w:shd w:val="clear" w:color="auto" w:fill="FFFFFF"/>
        </w:rPr>
        <w:t xml:space="preserve">The overall produce volume pressure is driven </w:t>
      </w:r>
      <w:r w:rsidR="00080BAE">
        <w:rPr>
          <w:rFonts w:ascii="Arial" w:hAnsi="Arial" w:cs="Arial"/>
          <w:color w:val="000000" w:themeColor="text1"/>
          <w:sz w:val="20"/>
          <w:szCs w:val="18"/>
          <w:shd w:val="clear" w:color="auto" w:fill="FFFFFF"/>
        </w:rPr>
        <w:t xml:space="preserve">equally </w:t>
      </w:r>
      <w:r>
        <w:rPr>
          <w:rFonts w:ascii="Arial" w:hAnsi="Arial" w:cs="Arial"/>
          <w:color w:val="000000" w:themeColor="text1"/>
          <w:sz w:val="20"/>
          <w:szCs w:val="18"/>
          <w:shd w:val="clear" w:color="auto" w:fill="FFFFFF"/>
        </w:rPr>
        <w:t>by fruit</w:t>
      </w:r>
      <w:r w:rsidR="00080BAE">
        <w:rPr>
          <w:rFonts w:ascii="Arial" w:hAnsi="Arial" w:cs="Arial"/>
          <w:color w:val="000000" w:themeColor="text1"/>
          <w:sz w:val="20"/>
          <w:szCs w:val="18"/>
          <w:shd w:val="clear" w:color="auto" w:fill="FFFFFF"/>
        </w:rPr>
        <w:t xml:space="preserve"> and vegetables</w:t>
      </w:r>
      <w:r>
        <w:rPr>
          <w:rFonts w:ascii="Arial" w:hAnsi="Arial" w:cs="Arial"/>
          <w:color w:val="000000" w:themeColor="text1"/>
          <w:sz w:val="20"/>
          <w:szCs w:val="18"/>
          <w:shd w:val="clear" w:color="auto" w:fill="FFFFFF"/>
        </w:rPr>
        <w:t>. Fruit pounds were down -</w:t>
      </w:r>
      <w:r w:rsidR="00D642D0">
        <w:rPr>
          <w:rFonts w:ascii="Arial" w:hAnsi="Arial" w:cs="Arial"/>
          <w:color w:val="000000" w:themeColor="text1"/>
          <w:sz w:val="20"/>
          <w:szCs w:val="18"/>
          <w:shd w:val="clear" w:color="auto" w:fill="FFFFFF"/>
        </w:rPr>
        <w:t>3.9</w:t>
      </w:r>
      <w:r>
        <w:rPr>
          <w:rFonts w:ascii="Arial" w:hAnsi="Arial" w:cs="Arial"/>
          <w:color w:val="000000" w:themeColor="text1"/>
          <w:sz w:val="20"/>
          <w:szCs w:val="18"/>
          <w:shd w:val="clear" w:color="auto" w:fill="FFFFFF"/>
        </w:rPr>
        <w:t>% year-on-year in</w:t>
      </w:r>
      <w:r w:rsidR="00D642D0">
        <w:rPr>
          <w:rFonts w:ascii="Arial" w:hAnsi="Arial" w:cs="Arial"/>
          <w:color w:val="000000" w:themeColor="text1"/>
          <w:sz w:val="20"/>
          <w:szCs w:val="18"/>
          <w:shd w:val="clear" w:color="auto" w:fill="FFFFFF"/>
        </w:rPr>
        <w:t xml:space="preserve"> October</w:t>
      </w:r>
      <w:r>
        <w:rPr>
          <w:rFonts w:ascii="Arial" w:hAnsi="Arial" w:cs="Arial"/>
          <w:color w:val="000000" w:themeColor="text1"/>
          <w:sz w:val="20"/>
          <w:szCs w:val="18"/>
          <w:shd w:val="clear" w:color="auto" w:fill="FFFFFF"/>
        </w:rPr>
        <w:t>, while vegetable volume sales were</w:t>
      </w:r>
      <w:r w:rsidR="00080BAE">
        <w:rPr>
          <w:rFonts w:ascii="Arial" w:hAnsi="Arial" w:cs="Arial"/>
          <w:color w:val="000000" w:themeColor="text1"/>
          <w:sz w:val="20"/>
          <w:szCs w:val="18"/>
          <w:shd w:val="clear" w:color="auto" w:fill="FFFFFF"/>
        </w:rPr>
        <w:t xml:space="preserve"> off </w:t>
      </w:r>
      <w:r w:rsidR="00D642D0">
        <w:rPr>
          <w:rFonts w:ascii="Arial" w:hAnsi="Arial" w:cs="Arial"/>
          <w:color w:val="000000" w:themeColor="text1"/>
          <w:sz w:val="20"/>
          <w:szCs w:val="18"/>
          <w:shd w:val="clear" w:color="auto" w:fill="FFFFFF"/>
        </w:rPr>
        <w:t>4.6%</w:t>
      </w:r>
      <w:r>
        <w:rPr>
          <w:rFonts w:ascii="Arial" w:hAnsi="Arial" w:cs="Arial"/>
          <w:color w:val="000000" w:themeColor="text1"/>
          <w:sz w:val="20"/>
          <w:szCs w:val="18"/>
          <w:shd w:val="clear" w:color="auto" w:fill="FFFFFF"/>
        </w:rPr>
        <w:t xml:space="preserve">. </w:t>
      </w:r>
      <w:r w:rsidR="00D642D0">
        <w:rPr>
          <w:rFonts w:ascii="Arial" w:hAnsi="Arial" w:cs="Arial"/>
          <w:color w:val="000000" w:themeColor="text1"/>
          <w:sz w:val="20"/>
          <w:szCs w:val="18"/>
          <w:shd w:val="clear" w:color="auto" w:fill="FFFFFF"/>
        </w:rPr>
        <w:t xml:space="preserve">Both remained above 2019 levels. </w:t>
      </w:r>
    </w:p>
    <w:p w14:paraId="18A8E37F" w14:textId="77777777" w:rsidR="00F700E5" w:rsidRDefault="00F700E5" w:rsidP="007C430F">
      <w:pPr>
        <w:pStyle w:val="NoSpacing"/>
        <w:rPr>
          <w:rFonts w:ascii="Arial" w:hAnsi="Arial" w:cs="Arial"/>
          <w:color w:val="000000" w:themeColor="text1"/>
          <w:sz w:val="20"/>
          <w:szCs w:val="18"/>
          <w:shd w:val="clear" w:color="auto" w:fill="FFFFFF"/>
        </w:rPr>
      </w:pPr>
    </w:p>
    <w:tbl>
      <w:tblPr>
        <w:tblStyle w:val="LightShading-Accent5"/>
        <w:tblW w:w="10631" w:type="dxa"/>
        <w:tblBorders>
          <w:top w:val="none" w:sz="0" w:space="0" w:color="auto"/>
          <w:bottom w:val="none" w:sz="0" w:space="0" w:color="auto"/>
        </w:tblBorders>
        <w:tblLook w:val="04A0" w:firstRow="1" w:lastRow="0" w:firstColumn="1" w:lastColumn="0" w:noHBand="0" w:noVBand="1"/>
      </w:tblPr>
      <w:tblGrid>
        <w:gridCol w:w="941"/>
        <w:gridCol w:w="299"/>
        <w:gridCol w:w="481"/>
        <w:gridCol w:w="311"/>
        <w:gridCol w:w="508"/>
        <w:gridCol w:w="286"/>
        <w:gridCol w:w="786"/>
        <w:gridCol w:w="782"/>
        <w:gridCol w:w="761"/>
        <w:gridCol w:w="786"/>
        <w:gridCol w:w="786"/>
        <w:gridCol w:w="761"/>
        <w:gridCol w:w="732"/>
        <w:gridCol w:w="812"/>
        <w:gridCol w:w="767"/>
        <w:gridCol w:w="832"/>
      </w:tblGrid>
      <w:tr w:rsidR="008674D0" w:rsidRPr="00CF309B" w14:paraId="54D27BD5" w14:textId="77777777" w:rsidTr="008674D0">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3"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1D9731B" w14:textId="77777777" w:rsidR="008674D0" w:rsidRPr="00B7196D" w:rsidRDefault="008674D0" w:rsidP="00EC62BA">
            <w:pPr>
              <w:pStyle w:val="NoSpacing"/>
              <w:jc w:val="center"/>
              <w:rPr>
                <w:rFonts w:ascii="Arial" w:hAnsi="Arial" w:cs="Arial"/>
                <w:color w:val="FFFFFF" w:themeColor="background1"/>
                <w:sz w:val="18"/>
                <w:szCs w:val="18"/>
              </w:rPr>
            </w:pPr>
            <w:bookmarkStart w:id="5" w:name="_Hlk114217515"/>
          </w:p>
        </w:tc>
        <w:tc>
          <w:tcPr>
            <w:tcW w:w="786"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6CFA624D" w14:textId="77777777" w:rsidR="008674D0" w:rsidRPr="00CF309B" w:rsidRDefault="008674D0"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822"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7BB487D6" w14:textId="77777777" w:rsidR="008674D0" w:rsidRPr="00CF309B" w:rsidRDefault="008674D0"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8080" w:type="dxa"/>
            <w:gridSpan w:val="11"/>
            <w:tcBorders>
              <w:top w:val="none" w:sz="0" w:space="0" w:color="auto"/>
              <w:left w:val="none" w:sz="0" w:space="0" w:color="auto"/>
              <w:bottom w:val="none" w:sz="0" w:space="0" w:color="auto"/>
              <w:right w:val="none" w:sz="0" w:space="0" w:color="auto"/>
            </w:tcBorders>
            <w:shd w:val="clear" w:color="auto" w:fill="17365D" w:themeFill="text2" w:themeFillShade="BF"/>
          </w:tcPr>
          <w:p w14:paraId="5C2A10C7" w14:textId="6AE559D7" w:rsidR="008674D0" w:rsidRPr="00CF309B" w:rsidRDefault="008674D0"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F309B">
              <w:rPr>
                <w:rFonts w:ascii="Arial" w:hAnsi="Arial" w:cs="Arial"/>
                <w:color w:val="FFFFFF" w:themeColor="background1"/>
                <w:sz w:val="18"/>
                <w:szCs w:val="18"/>
              </w:rPr>
              <w:t>Growth over comparable period</w:t>
            </w:r>
          </w:p>
        </w:tc>
      </w:tr>
      <w:tr w:rsidR="00D642D0" w:rsidRPr="00CF309B" w14:paraId="2188E4FF" w14:textId="77777777" w:rsidTr="008674D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44" w:type="dxa"/>
            <w:gridSpan w:val="2"/>
            <w:shd w:val="clear" w:color="auto" w:fill="17365D" w:themeFill="text2" w:themeFillShade="BF"/>
            <w:vAlign w:val="center"/>
          </w:tcPr>
          <w:p w14:paraId="29E5768B" w14:textId="77777777" w:rsidR="008674D0" w:rsidRPr="00B7196D" w:rsidRDefault="008674D0" w:rsidP="00D44AC8">
            <w:pPr>
              <w:pStyle w:val="NoSpacing"/>
              <w:jc w:val="right"/>
              <w:rPr>
                <w:rFonts w:ascii="Arial" w:hAnsi="Arial" w:cs="Arial"/>
                <w:color w:val="FFFFFF" w:themeColor="background1"/>
                <w:sz w:val="18"/>
                <w:szCs w:val="18"/>
              </w:rPr>
            </w:pPr>
          </w:p>
        </w:tc>
        <w:tc>
          <w:tcPr>
            <w:tcW w:w="799" w:type="dxa"/>
            <w:gridSpan w:val="2"/>
            <w:shd w:val="clear" w:color="auto" w:fill="17365D" w:themeFill="text2" w:themeFillShade="BF"/>
            <w:vAlign w:val="center"/>
          </w:tcPr>
          <w:p w14:paraId="63017601" w14:textId="77777777" w:rsidR="008674D0" w:rsidRPr="003C245B"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798" w:type="dxa"/>
            <w:gridSpan w:val="2"/>
            <w:shd w:val="clear" w:color="auto" w:fill="17365D" w:themeFill="text2" w:themeFillShade="BF"/>
            <w:vAlign w:val="center"/>
          </w:tcPr>
          <w:p w14:paraId="4A18F774" w14:textId="77777777" w:rsidR="008674D0" w:rsidRPr="003C245B"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790" w:type="dxa"/>
            <w:shd w:val="clear" w:color="auto" w:fill="17365D" w:themeFill="text2" w:themeFillShade="BF"/>
            <w:vAlign w:val="center"/>
          </w:tcPr>
          <w:p w14:paraId="3AD9F6FB" w14:textId="345B94E0" w:rsidR="008674D0"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21</w:t>
            </w:r>
          </w:p>
        </w:tc>
        <w:tc>
          <w:tcPr>
            <w:tcW w:w="790" w:type="dxa"/>
            <w:shd w:val="clear" w:color="auto" w:fill="17365D" w:themeFill="text2" w:themeFillShade="BF"/>
            <w:vAlign w:val="center"/>
          </w:tcPr>
          <w:p w14:paraId="56E4CCDB" w14:textId="79790FAF" w:rsidR="008674D0"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21</w:t>
            </w:r>
          </w:p>
        </w:tc>
        <w:tc>
          <w:tcPr>
            <w:tcW w:w="768" w:type="dxa"/>
            <w:shd w:val="clear" w:color="auto" w:fill="17365D" w:themeFill="text2" w:themeFillShade="BF"/>
            <w:vAlign w:val="center"/>
          </w:tcPr>
          <w:p w14:paraId="2293C6F3" w14:textId="1E5D39A4" w:rsidR="008674D0"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790" w:type="dxa"/>
            <w:shd w:val="clear" w:color="auto" w:fill="17365D" w:themeFill="text2" w:themeFillShade="BF"/>
            <w:vAlign w:val="center"/>
          </w:tcPr>
          <w:p w14:paraId="1A442681" w14:textId="5AB2F491" w:rsidR="008674D0"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790" w:type="dxa"/>
            <w:shd w:val="clear" w:color="auto" w:fill="17365D" w:themeFill="text2" w:themeFillShade="BF"/>
            <w:vAlign w:val="center"/>
          </w:tcPr>
          <w:p w14:paraId="4385EE9E" w14:textId="22D4D9C4" w:rsidR="008674D0"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768" w:type="dxa"/>
            <w:shd w:val="clear" w:color="auto" w:fill="17365D" w:themeFill="text2" w:themeFillShade="BF"/>
            <w:vAlign w:val="center"/>
          </w:tcPr>
          <w:p w14:paraId="1C76D19F" w14:textId="11890A13" w:rsidR="008674D0"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22</w:t>
            </w:r>
          </w:p>
        </w:tc>
        <w:tc>
          <w:tcPr>
            <w:tcW w:w="711" w:type="dxa"/>
            <w:shd w:val="clear" w:color="auto" w:fill="17365D" w:themeFill="text2" w:themeFillShade="BF"/>
            <w:vAlign w:val="center"/>
          </w:tcPr>
          <w:p w14:paraId="49CD60B3" w14:textId="22F34E36"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w:t>
            </w:r>
            <w:r w:rsidR="00215D7C">
              <w:rPr>
                <w:rFonts w:ascii="Arial" w:hAnsi="Arial" w:cs="Arial"/>
                <w:b/>
                <w:color w:val="FFFFFF" w:themeColor="background1"/>
                <w:sz w:val="18"/>
                <w:szCs w:val="18"/>
              </w:rPr>
              <w:t xml:space="preserve"> 22</w:t>
            </w:r>
          </w:p>
        </w:tc>
        <w:tc>
          <w:tcPr>
            <w:tcW w:w="816" w:type="dxa"/>
            <w:shd w:val="clear" w:color="auto" w:fill="17365D" w:themeFill="text2" w:themeFillShade="BF"/>
            <w:vAlign w:val="center"/>
          </w:tcPr>
          <w:p w14:paraId="7DD4E35E" w14:textId="245F2BCB" w:rsidR="008674D0" w:rsidRDefault="003C0347"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xml:space="preserve">Oct </w:t>
            </w:r>
            <w:r w:rsidR="008674D0">
              <w:rPr>
                <w:rFonts w:ascii="Arial" w:hAnsi="Arial" w:cs="Arial"/>
                <w:b/>
                <w:color w:val="FFFFFF" w:themeColor="background1"/>
                <w:sz w:val="18"/>
                <w:szCs w:val="18"/>
              </w:rPr>
              <w:t>22</w:t>
            </w:r>
          </w:p>
        </w:tc>
        <w:tc>
          <w:tcPr>
            <w:tcW w:w="768" w:type="dxa"/>
            <w:shd w:val="clear" w:color="auto" w:fill="17365D" w:themeFill="text2" w:themeFillShade="BF"/>
            <w:vAlign w:val="center"/>
          </w:tcPr>
          <w:p w14:paraId="041FEF61" w14:textId="4E21B2CB" w:rsidR="008674D0"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 YA</w:t>
            </w:r>
          </w:p>
        </w:tc>
        <w:tc>
          <w:tcPr>
            <w:tcW w:w="799" w:type="dxa"/>
            <w:shd w:val="clear" w:color="auto" w:fill="17365D" w:themeFill="text2" w:themeFillShade="BF"/>
            <w:vAlign w:val="center"/>
          </w:tcPr>
          <w:p w14:paraId="582F16C2" w14:textId="2A0FD017" w:rsidR="008674D0" w:rsidRDefault="008674D0"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 2019</w:t>
            </w:r>
          </w:p>
        </w:tc>
      </w:tr>
      <w:tr w:rsidR="008674D0" w:rsidRPr="00E43E81" w14:paraId="63E25688" w14:textId="77777777" w:rsidTr="008674D0">
        <w:trPr>
          <w:trHeight w:val="140"/>
        </w:trPr>
        <w:tc>
          <w:tcPr>
            <w:cnfStyle w:val="001000000000" w:firstRow="0" w:lastRow="0" w:firstColumn="1" w:lastColumn="0" w:oddVBand="0" w:evenVBand="0" w:oddHBand="0" w:evenHBand="0" w:firstRowFirstColumn="0" w:firstRowLastColumn="0" w:lastRowFirstColumn="0" w:lastRowLastColumn="0"/>
            <w:tcW w:w="1244" w:type="dxa"/>
            <w:gridSpan w:val="2"/>
            <w:vAlign w:val="center"/>
          </w:tcPr>
          <w:p w14:paraId="1BC5E048" w14:textId="77777777" w:rsidR="008674D0" w:rsidRPr="00E43E81" w:rsidRDefault="008674D0" w:rsidP="003A7E92">
            <w:pPr>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Fruit</w:t>
            </w:r>
          </w:p>
        </w:tc>
        <w:tc>
          <w:tcPr>
            <w:tcW w:w="799" w:type="dxa"/>
            <w:gridSpan w:val="2"/>
            <w:vAlign w:val="center"/>
          </w:tcPr>
          <w:p w14:paraId="1139F53D" w14:textId="77777777" w:rsidR="008674D0" w:rsidRPr="00E43E81" w:rsidRDefault="008674D0"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98" w:type="dxa"/>
            <w:gridSpan w:val="2"/>
            <w:vAlign w:val="center"/>
          </w:tcPr>
          <w:p w14:paraId="7781D8C8" w14:textId="77777777" w:rsidR="008674D0" w:rsidRPr="00E43E81" w:rsidRDefault="008674D0"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90" w:type="dxa"/>
            <w:vAlign w:val="center"/>
          </w:tcPr>
          <w:p w14:paraId="4B6676A1" w14:textId="77777777" w:rsidR="008674D0" w:rsidRPr="00E43E81" w:rsidRDefault="008674D0"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90" w:type="dxa"/>
          </w:tcPr>
          <w:p w14:paraId="34E1CFA3" w14:textId="77777777" w:rsidR="008674D0" w:rsidRPr="00E43E81" w:rsidRDefault="008674D0"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68" w:type="dxa"/>
          </w:tcPr>
          <w:p w14:paraId="55E76F30" w14:textId="77777777" w:rsidR="008674D0" w:rsidRPr="00E43E81" w:rsidRDefault="008674D0"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90" w:type="dxa"/>
          </w:tcPr>
          <w:p w14:paraId="2AA16F83" w14:textId="77777777" w:rsidR="008674D0" w:rsidRPr="00E43E81" w:rsidRDefault="008674D0"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90" w:type="dxa"/>
          </w:tcPr>
          <w:p w14:paraId="0E3FBDB9" w14:textId="77777777" w:rsidR="008674D0" w:rsidRPr="00E43E81" w:rsidRDefault="008674D0"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68" w:type="dxa"/>
          </w:tcPr>
          <w:p w14:paraId="63E23AFE" w14:textId="77777777" w:rsidR="008674D0" w:rsidRPr="00E43E81" w:rsidRDefault="008674D0"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11" w:type="dxa"/>
            <w:vAlign w:val="center"/>
          </w:tcPr>
          <w:p w14:paraId="0DF8158F" w14:textId="77777777" w:rsidR="008674D0" w:rsidRPr="00E43E81"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16" w:type="dxa"/>
          </w:tcPr>
          <w:p w14:paraId="4EFAFB8B" w14:textId="67038AFE" w:rsidR="008674D0" w:rsidRPr="00E43E81" w:rsidRDefault="008674D0"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68" w:type="dxa"/>
          </w:tcPr>
          <w:p w14:paraId="3E5E2079" w14:textId="6B23943E" w:rsidR="008674D0" w:rsidRPr="00E43E81" w:rsidRDefault="008674D0"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99" w:type="dxa"/>
          </w:tcPr>
          <w:p w14:paraId="3C1099A0" w14:textId="77777777" w:rsidR="008674D0" w:rsidRPr="00E43E81" w:rsidRDefault="008674D0"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r>
      <w:tr w:rsidR="008674D0" w:rsidRPr="00EF524A" w14:paraId="5AEC7600" w14:textId="77777777" w:rsidTr="008674D0">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244" w:type="dxa"/>
            <w:gridSpan w:val="2"/>
            <w:tcBorders>
              <w:left w:val="none" w:sz="0" w:space="0" w:color="auto"/>
              <w:right w:val="none" w:sz="0" w:space="0" w:color="auto"/>
            </w:tcBorders>
            <w:vAlign w:val="center"/>
          </w:tcPr>
          <w:p w14:paraId="7D1E7D37" w14:textId="4D3D1D32" w:rsidR="008674D0" w:rsidRPr="00D642D0" w:rsidRDefault="008674D0" w:rsidP="008674D0">
            <w:pPr>
              <w:pStyle w:val="NoSpacing"/>
              <w:jc w:val="right"/>
              <w:rPr>
                <w:rFonts w:ascii="Arial" w:hAnsi="Arial" w:cs="Arial"/>
                <w:b w:val="0"/>
                <w:bCs w:val="0"/>
                <w:color w:val="215868" w:themeColor="accent5" w:themeShade="80"/>
                <w:sz w:val="18"/>
                <w:szCs w:val="18"/>
              </w:rPr>
            </w:pPr>
            <w:r w:rsidRPr="00D642D0">
              <w:rPr>
                <w:rFonts w:ascii="Arial" w:hAnsi="Arial" w:cs="Arial"/>
                <w:b w:val="0"/>
                <w:bCs w:val="0"/>
                <w:color w:val="215868"/>
                <w:sz w:val="18"/>
                <w:szCs w:val="18"/>
              </w:rPr>
              <w:t xml:space="preserve">   Dollars</w:t>
            </w:r>
          </w:p>
        </w:tc>
        <w:tc>
          <w:tcPr>
            <w:tcW w:w="799" w:type="dxa"/>
            <w:gridSpan w:val="2"/>
            <w:tcBorders>
              <w:left w:val="none" w:sz="0" w:space="0" w:color="auto"/>
              <w:right w:val="none" w:sz="0" w:space="0" w:color="auto"/>
            </w:tcBorders>
            <w:vAlign w:val="center"/>
          </w:tcPr>
          <w:p w14:paraId="15B690B5" w14:textId="587D8887" w:rsidR="008674D0" w:rsidRPr="00EF524A"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
                <w:bCs/>
                <w:color w:val="215868"/>
                <w:sz w:val="18"/>
                <w:szCs w:val="18"/>
              </w:rPr>
              <w:t>+</w:t>
            </w:r>
            <w:r w:rsidR="008674D0">
              <w:rPr>
                <w:rFonts w:ascii="Arial" w:hAnsi="Arial" w:cs="Arial"/>
                <w:b/>
                <w:bCs/>
                <w:color w:val="215868"/>
                <w:sz w:val="18"/>
                <w:szCs w:val="18"/>
              </w:rPr>
              <w:t>0%</w:t>
            </w:r>
          </w:p>
        </w:tc>
        <w:tc>
          <w:tcPr>
            <w:tcW w:w="798" w:type="dxa"/>
            <w:gridSpan w:val="2"/>
            <w:tcBorders>
              <w:left w:val="none" w:sz="0" w:space="0" w:color="auto"/>
              <w:right w:val="none" w:sz="0" w:space="0" w:color="auto"/>
            </w:tcBorders>
            <w:vAlign w:val="center"/>
          </w:tcPr>
          <w:p w14:paraId="17DA2E9F" w14:textId="0EA60C18" w:rsidR="008674D0" w:rsidRPr="00EF524A"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
                <w:bCs/>
                <w:color w:val="215868"/>
                <w:sz w:val="18"/>
                <w:szCs w:val="18"/>
              </w:rPr>
              <w:t>+</w:t>
            </w:r>
            <w:r w:rsidR="008674D0">
              <w:rPr>
                <w:rFonts w:ascii="Arial" w:hAnsi="Arial" w:cs="Arial"/>
                <w:b/>
                <w:bCs/>
                <w:color w:val="215868"/>
                <w:sz w:val="18"/>
                <w:szCs w:val="18"/>
              </w:rPr>
              <w:t>9%</w:t>
            </w:r>
          </w:p>
        </w:tc>
        <w:tc>
          <w:tcPr>
            <w:tcW w:w="790" w:type="dxa"/>
            <w:tcBorders>
              <w:left w:val="none" w:sz="0" w:space="0" w:color="auto"/>
              <w:right w:val="none" w:sz="0" w:space="0" w:color="auto"/>
            </w:tcBorders>
            <w:vAlign w:val="center"/>
          </w:tcPr>
          <w:p w14:paraId="283B4C73" w14:textId="132AA3B4" w:rsidR="008674D0" w:rsidRPr="00EF524A"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
                <w:bCs/>
                <w:color w:val="215868"/>
                <w:sz w:val="18"/>
                <w:szCs w:val="18"/>
              </w:rPr>
              <w:t>+</w:t>
            </w:r>
            <w:r w:rsidR="008674D0">
              <w:rPr>
                <w:rFonts w:ascii="Arial" w:hAnsi="Arial" w:cs="Arial"/>
                <w:b/>
                <w:bCs/>
                <w:color w:val="215868"/>
                <w:sz w:val="18"/>
                <w:szCs w:val="18"/>
              </w:rPr>
              <w:t>5%</w:t>
            </w:r>
          </w:p>
        </w:tc>
        <w:tc>
          <w:tcPr>
            <w:tcW w:w="790" w:type="dxa"/>
            <w:tcBorders>
              <w:left w:val="none" w:sz="0" w:space="0" w:color="auto"/>
              <w:right w:val="none" w:sz="0" w:space="0" w:color="auto"/>
            </w:tcBorders>
            <w:vAlign w:val="center"/>
          </w:tcPr>
          <w:p w14:paraId="05F0A495" w14:textId="65D6DF98" w:rsidR="008674D0" w:rsidRPr="00EF524A"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
                <w:bCs/>
                <w:color w:val="215868"/>
                <w:sz w:val="18"/>
                <w:szCs w:val="18"/>
              </w:rPr>
              <w:t>+</w:t>
            </w:r>
            <w:r w:rsidR="008674D0">
              <w:rPr>
                <w:rFonts w:ascii="Arial" w:hAnsi="Arial" w:cs="Arial"/>
                <w:b/>
                <w:bCs/>
                <w:color w:val="215868"/>
                <w:sz w:val="18"/>
                <w:szCs w:val="18"/>
              </w:rPr>
              <w:t>5%</w:t>
            </w:r>
          </w:p>
        </w:tc>
        <w:tc>
          <w:tcPr>
            <w:tcW w:w="768" w:type="dxa"/>
            <w:tcBorders>
              <w:left w:val="none" w:sz="0" w:space="0" w:color="auto"/>
              <w:right w:val="none" w:sz="0" w:space="0" w:color="auto"/>
            </w:tcBorders>
            <w:vAlign w:val="center"/>
          </w:tcPr>
          <w:p w14:paraId="7BE6A292" w14:textId="7F4CB4B0" w:rsidR="008674D0" w:rsidRPr="00EF524A"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
                <w:bCs/>
                <w:color w:val="215868"/>
                <w:sz w:val="18"/>
                <w:szCs w:val="18"/>
              </w:rPr>
              <w:t>+</w:t>
            </w:r>
            <w:r w:rsidR="008674D0">
              <w:rPr>
                <w:rFonts w:ascii="Arial" w:hAnsi="Arial" w:cs="Arial"/>
                <w:b/>
                <w:bCs/>
                <w:color w:val="215868"/>
                <w:sz w:val="18"/>
                <w:szCs w:val="18"/>
              </w:rPr>
              <w:t>6%</w:t>
            </w:r>
          </w:p>
        </w:tc>
        <w:tc>
          <w:tcPr>
            <w:tcW w:w="790" w:type="dxa"/>
            <w:tcBorders>
              <w:left w:val="none" w:sz="0" w:space="0" w:color="auto"/>
              <w:right w:val="none" w:sz="0" w:space="0" w:color="auto"/>
            </w:tcBorders>
            <w:vAlign w:val="center"/>
          </w:tcPr>
          <w:p w14:paraId="59F7AEF4" w14:textId="3CBCC869" w:rsidR="008674D0" w:rsidRPr="00EF524A"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w:t>
            </w:r>
            <w:r w:rsidR="008674D0">
              <w:rPr>
                <w:rFonts w:ascii="Arial" w:hAnsi="Arial" w:cs="Arial"/>
                <w:b/>
                <w:bCs/>
                <w:color w:val="215868"/>
                <w:sz w:val="18"/>
                <w:szCs w:val="18"/>
              </w:rPr>
              <w:t>11%</w:t>
            </w:r>
          </w:p>
        </w:tc>
        <w:tc>
          <w:tcPr>
            <w:tcW w:w="790" w:type="dxa"/>
            <w:tcBorders>
              <w:left w:val="none" w:sz="0" w:space="0" w:color="auto"/>
              <w:right w:val="none" w:sz="0" w:space="0" w:color="auto"/>
            </w:tcBorders>
            <w:vAlign w:val="center"/>
          </w:tcPr>
          <w:p w14:paraId="0DFFA07C" w14:textId="31614361" w:rsidR="008674D0" w:rsidRPr="00EF524A"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w:t>
            </w:r>
            <w:r w:rsidR="008674D0">
              <w:rPr>
                <w:rFonts w:ascii="Arial" w:hAnsi="Arial" w:cs="Arial"/>
                <w:b/>
                <w:bCs/>
                <w:color w:val="215868"/>
                <w:sz w:val="18"/>
                <w:szCs w:val="18"/>
              </w:rPr>
              <w:t>10%</w:t>
            </w:r>
          </w:p>
        </w:tc>
        <w:tc>
          <w:tcPr>
            <w:tcW w:w="768" w:type="dxa"/>
            <w:tcBorders>
              <w:left w:val="none" w:sz="0" w:space="0" w:color="auto"/>
              <w:right w:val="none" w:sz="0" w:space="0" w:color="auto"/>
            </w:tcBorders>
            <w:vAlign w:val="center"/>
          </w:tcPr>
          <w:p w14:paraId="483B56F7" w14:textId="7B62B4E7" w:rsidR="008674D0"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w:t>
            </w:r>
            <w:r w:rsidR="008674D0">
              <w:rPr>
                <w:rFonts w:ascii="Arial" w:hAnsi="Arial" w:cs="Arial"/>
                <w:b/>
                <w:bCs/>
                <w:color w:val="215868"/>
                <w:sz w:val="18"/>
                <w:szCs w:val="18"/>
              </w:rPr>
              <w:t>4%</w:t>
            </w:r>
          </w:p>
        </w:tc>
        <w:tc>
          <w:tcPr>
            <w:tcW w:w="711" w:type="dxa"/>
            <w:tcBorders>
              <w:left w:val="none" w:sz="0" w:space="0" w:color="auto"/>
              <w:right w:val="none" w:sz="0" w:space="0" w:color="auto"/>
            </w:tcBorders>
            <w:vAlign w:val="center"/>
          </w:tcPr>
          <w:p w14:paraId="4FD296DE" w14:textId="2B93212B" w:rsidR="008674D0"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sz w:val="18"/>
                <w:szCs w:val="18"/>
              </w:rPr>
            </w:pPr>
            <w:r>
              <w:rPr>
                <w:rFonts w:ascii="Arial" w:hAnsi="Arial" w:cs="Arial"/>
                <w:b/>
                <w:bCs/>
                <w:color w:val="215868"/>
                <w:sz w:val="18"/>
                <w:szCs w:val="18"/>
              </w:rPr>
              <w:t>+</w:t>
            </w:r>
            <w:r w:rsidR="00080BAE">
              <w:rPr>
                <w:rFonts w:ascii="Arial" w:hAnsi="Arial" w:cs="Arial"/>
                <w:b/>
                <w:bCs/>
                <w:color w:val="215868"/>
                <w:sz w:val="18"/>
                <w:szCs w:val="18"/>
              </w:rPr>
              <w:t>4.6</w:t>
            </w:r>
            <w:r w:rsidR="00215D7C">
              <w:rPr>
                <w:rFonts w:ascii="Arial" w:hAnsi="Arial" w:cs="Arial"/>
                <w:b/>
                <w:bCs/>
                <w:color w:val="215868"/>
                <w:sz w:val="18"/>
                <w:szCs w:val="18"/>
              </w:rPr>
              <w:t>%</w:t>
            </w:r>
          </w:p>
        </w:tc>
        <w:tc>
          <w:tcPr>
            <w:tcW w:w="816" w:type="dxa"/>
            <w:tcBorders>
              <w:left w:val="none" w:sz="0" w:space="0" w:color="auto"/>
              <w:right w:val="none" w:sz="0" w:space="0" w:color="auto"/>
            </w:tcBorders>
            <w:vAlign w:val="center"/>
          </w:tcPr>
          <w:p w14:paraId="0B316AC7" w14:textId="0C13E529" w:rsidR="008674D0" w:rsidRPr="00EF524A"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w:t>
            </w:r>
            <w:r w:rsidR="00D642D0">
              <w:rPr>
                <w:rFonts w:ascii="Arial" w:hAnsi="Arial" w:cs="Arial"/>
                <w:b/>
                <w:bCs/>
                <w:color w:val="215868"/>
                <w:sz w:val="18"/>
                <w:szCs w:val="18"/>
              </w:rPr>
              <w:t>3.1</w:t>
            </w:r>
            <w:r>
              <w:rPr>
                <w:rFonts w:ascii="Arial" w:hAnsi="Arial" w:cs="Arial"/>
                <w:b/>
                <w:bCs/>
                <w:color w:val="215868"/>
                <w:sz w:val="18"/>
                <w:szCs w:val="18"/>
              </w:rPr>
              <w:t>B</w:t>
            </w:r>
          </w:p>
        </w:tc>
        <w:tc>
          <w:tcPr>
            <w:tcW w:w="768" w:type="dxa"/>
            <w:tcBorders>
              <w:left w:val="none" w:sz="0" w:space="0" w:color="auto"/>
              <w:right w:val="none" w:sz="0" w:space="0" w:color="auto"/>
            </w:tcBorders>
            <w:vAlign w:val="center"/>
          </w:tcPr>
          <w:p w14:paraId="22BC605C" w14:textId="392BB57E" w:rsidR="008674D0" w:rsidRPr="00EF524A" w:rsidRDefault="00D642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-0.3</w:t>
            </w:r>
            <w:r w:rsidR="008674D0">
              <w:rPr>
                <w:rFonts w:ascii="Arial" w:hAnsi="Arial" w:cs="Arial"/>
                <w:b/>
                <w:bCs/>
                <w:color w:val="215868"/>
                <w:sz w:val="18"/>
                <w:szCs w:val="18"/>
              </w:rPr>
              <w:t>%</w:t>
            </w:r>
          </w:p>
        </w:tc>
        <w:tc>
          <w:tcPr>
            <w:tcW w:w="799" w:type="dxa"/>
            <w:tcBorders>
              <w:left w:val="none" w:sz="0" w:space="0" w:color="auto"/>
              <w:right w:val="none" w:sz="0" w:space="0" w:color="auto"/>
            </w:tcBorders>
            <w:vAlign w:val="center"/>
          </w:tcPr>
          <w:p w14:paraId="2FC95C73" w14:textId="5BC482B6" w:rsidR="008674D0" w:rsidRPr="00EF524A"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
                <w:bCs/>
                <w:color w:val="215868"/>
                <w:sz w:val="18"/>
                <w:szCs w:val="18"/>
              </w:rPr>
              <w:t>+</w:t>
            </w:r>
            <w:r w:rsidR="00D642D0">
              <w:rPr>
                <w:rFonts w:ascii="Arial" w:hAnsi="Arial" w:cs="Arial"/>
                <w:b/>
                <w:bCs/>
                <w:color w:val="215868"/>
                <w:sz w:val="18"/>
                <w:szCs w:val="18"/>
              </w:rPr>
              <w:t>19.0</w:t>
            </w:r>
            <w:r>
              <w:rPr>
                <w:rFonts w:ascii="Arial" w:hAnsi="Arial" w:cs="Arial"/>
                <w:b/>
                <w:bCs/>
                <w:color w:val="215868"/>
                <w:sz w:val="18"/>
                <w:szCs w:val="18"/>
              </w:rPr>
              <w:t>%</w:t>
            </w:r>
          </w:p>
        </w:tc>
      </w:tr>
      <w:tr w:rsidR="008674D0" w:rsidRPr="00E43E81" w14:paraId="3476271B" w14:textId="77777777" w:rsidTr="008674D0">
        <w:trPr>
          <w:trHeight w:val="140"/>
        </w:trPr>
        <w:tc>
          <w:tcPr>
            <w:cnfStyle w:val="001000000000" w:firstRow="0" w:lastRow="0" w:firstColumn="1" w:lastColumn="0" w:oddVBand="0" w:evenVBand="0" w:oddHBand="0" w:evenHBand="0" w:firstRowFirstColumn="0" w:firstRowLastColumn="0" w:lastRowFirstColumn="0" w:lastRowLastColumn="0"/>
            <w:tcW w:w="1244" w:type="dxa"/>
            <w:gridSpan w:val="2"/>
            <w:vAlign w:val="center"/>
          </w:tcPr>
          <w:p w14:paraId="3C77D01E" w14:textId="5EB81D7D" w:rsidR="008674D0" w:rsidRPr="00D642D0" w:rsidRDefault="008674D0" w:rsidP="008674D0">
            <w:pPr>
              <w:pStyle w:val="NoSpacing"/>
              <w:jc w:val="right"/>
              <w:rPr>
                <w:rFonts w:ascii="Arial" w:hAnsi="Arial" w:cs="Arial"/>
                <w:b w:val="0"/>
                <w:bCs w:val="0"/>
                <w:color w:val="215868" w:themeColor="accent5" w:themeShade="80"/>
                <w:sz w:val="18"/>
                <w:szCs w:val="18"/>
              </w:rPr>
            </w:pPr>
            <w:r w:rsidRPr="00D642D0">
              <w:rPr>
                <w:rFonts w:ascii="Arial" w:hAnsi="Arial" w:cs="Arial"/>
                <w:b w:val="0"/>
                <w:bCs w:val="0"/>
                <w:color w:val="215868"/>
                <w:sz w:val="18"/>
                <w:szCs w:val="18"/>
              </w:rPr>
              <w:t xml:space="preserve">   Volume</w:t>
            </w:r>
          </w:p>
        </w:tc>
        <w:tc>
          <w:tcPr>
            <w:tcW w:w="799" w:type="dxa"/>
            <w:gridSpan w:val="2"/>
            <w:vAlign w:val="center"/>
          </w:tcPr>
          <w:p w14:paraId="5B77DAE0" w14:textId="19345A6B" w:rsidR="008674D0" w:rsidRPr="00EF524A"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w:t>
            </w:r>
          </w:p>
        </w:tc>
        <w:tc>
          <w:tcPr>
            <w:tcW w:w="798" w:type="dxa"/>
            <w:gridSpan w:val="2"/>
            <w:vAlign w:val="center"/>
          </w:tcPr>
          <w:p w14:paraId="2014A442" w14:textId="2792669B" w:rsidR="008674D0"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8674D0">
              <w:rPr>
                <w:rFonts w:ascii="Arial" w:hAnsi="Arial" w:cs="Arial"/>
                <w:color w:val="215868"/>
                <w:sz w:val="18"/>
                <w:szCs w:val="18"/>
              </w:rPr>
              <w:t>9%</w:t>
            </w:r>
          </w:p>
        </w:tc>
        <w:tc>
          <w:tcPr>
            <w:tcW w:w="790" w:type="dxa"/>
            <w:vAlign w:val="center"/>
          </w:tcPr>
          <w:p w14:paraId="52EE4C7F" w14:textId="176D1246"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w:t>
            </w:r>
          </w:p>
        </w:tc>
        <w:tc>
          <w:tcPr>
            <w:tcW w:w="790" w:type="dxa"/>
            <w:vAlign w:val="center"/>
          </w:tcPr>
          <w:p w14:paraId="1AF979C8" w14:textId="3CB4A770"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w:t>
            </w:r>
          </w:p>
        </w:tc>
        <w:tc>
          <w:tcPr>
            <w:tcW w:w="768" w:type="dxa"/>
            <w:vAlign w:val="center"/>
          </w:tcPr>
          <w:p w14:paraId="6FC1B8BB" w14:textId="7A8962F0"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w:t>
            </w:r>
          </w:p>
        </w:tc>
        <w:tc>
          <w:tcPr>
            <w:tcW w:w="790" w:type="dxa"/>
            <w:vAlign w:val="center"/>
          </w:tcPr>
          <w:p w14:paraId="75D8DE48" w14:textId="034E697E"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-1%</w:t>
            </w:r>
          </w:p>
        </w:tc>
        <w:tc>
          <w:tcPr>
            <w:tcW w:w="790" w:type="dxa"/>
            <w:vAlign w:val="center"/>
          </w:tcPr>
          <w:p w14:paraId="1BD47635" w14:textId="763C3805"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-4%</w:t>
            </w:r>
          </w:p>
        </w:tc>
        <w:tc>
          <w:tcPr>
            <w:tcW w:w="768" w:type="dxa"/>
            <w:vAlign w:val="center"/>
          </w:tcPr>
          <w:p w14:paraId="14C8E331" w14:textId="0AC7D99A"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-5%</w:t>
            </w:r>
          </w:p>
        </w:tc>
        <w:tc>
          <w:tcPr>
            <w:tcW w:w="711" w:type="dxa"/>
            <w:vAlign w:val="center"/>
          </w:tcPr>
          <w:p w14:paraId="61FFE954" w14:textId="6D12DE22" w:rsidR="008674D0"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080BAE">
              <w:rPr>
                <w:rFonts w:ascii="Arial" w:hAnsi="Arial" w:cs="Arial"/>
                <w:color w:val="215868"/>
                <w:sz w:val="18"/>
                <w:szCs w:val="18"/>
              </w:rPr>
              <w:t>5.0</w:t>
            </w:r>
            <w:r w:rsidR="00215D7C">
              <w:rPr>
                <w:rFonts w:ascii="Arial" w:hAnsi="Arial" w:cs="Arial"/>
                <w:color w:val="215868"/>
                <w:sz w:val="18"/>
                <w:szCs w:val="18"/>
              </w:rPr>
              <w:t>%</w:t>
            </w:r>
          </w:p>
        </w:tc>
        <w:tc>
          <w:tcPr>
            <w:tcW w:w="816" w:type="dxa"/>
            <w:vAlign w:val="center"/>
          </w:tcPr>
          <w:p w14:paraId="24ED1C4B" w14:textId="0DF02321" w:rsidR="008674D0" w:rsidRDefault="00D642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1.8</w:t>
            </w:r>
            <w:r w:rsidR="008674D0">
              <w:rPr>
                <w:rFonts w:ascii="Arial" w:hAnsi="Arial" w:cs="Arial"/>
                <w:color w:val="215868"/>
                <w:sz w:val="18"/>
                <w:szCs w:val="18"/>
              </w:rPr>
              <w:t>B</w:t>
            </w:r>
          </w:p>
        </w:tc>
        <w:tc>
          <w:tcPr>
            <w:tcW w:w="768" w:type="dxa"/>
            <w:vAlign w:val="center"/>
          </w:tcPr>
          <w:p w14:paraId="40C78115" w14:textId="2B32962B" w:rsidR="008674D0" w:rsidRPr="00E43E81"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w:t>
            </w:r>
            <w:r w:rsidR="00D642D0">
              <w:rPr>
                <w:rFonts w:ascii="Arial" w:hAnsi="Arial" w:cs="Arial"/>
                <w:color w:val="215868"/>
                <w:sz w:val="18"/>
                <w:szCs w:val="18"/>
              </w:rPr>
              <w:t>3.9</w:t>
            </w:r>
            <w:r>
              <w:rPr>
                <w:rFonts w:ascii="Arial" w:hAnsi="Arial" w:cs="Arial"/>
                <w:color w:val="215868"/>
                <w:sz w:val="18"/>
                <w:szCs w:val="18"/>
              </w:rPr>
              <w:t>%</w:t>
            </w:r>
          </w:p>
        </w:tc>
        <w:tc>
          <w:tcPr>
            <w:tcW w:w="799" w:type="dxa"/>
            <w:vAlign w:val="center"/>
          </w:tcPr>
          <w:p w14:paraId="40AFD473" w14:textId="2A6FD54A" w:rsidR="008674D0" w:rsidRPr="00E43E81" w:rsidRDefault="00505E84"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w:t>
            </w:r>
            <w:r w:rsidR="00D642D0">
              <w:rPr>
                <w:rFonts w:ascii="Arial" w:hAnsi="Arial" w:cs="Arial"/>
                <w:color w:val="215868"/>
                <w:sz w:val="18"/>
                <w:szCs w:val="18"/>
              </w:rPr>
              <w:t>4.6</w:t>
            </w:r>
            <w:r w:rsidR="008674D0">
              <w:rPr>
                <w:rFonts w:ascii="Arial" w:hAnsi="Arial" w:cs="Arial"/>
                <w:color w:val="215868"/>
                <w:sz w:val="18"/>
                <w:szCs w:val="18"/>
              </w:rPr>
              <w:t>%</w:t>
            </w:r>
          </w:p>
        </w:tc>
      </w:tr>
      <w:tr w:rsidR="008674D0" w:rsidRPr="00E43E81" w14:paraId="086B8DCB" w14:textId="77777777" w:rsidTr="008674D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4" w:type="dxa"/>
            <w:gridSpan w:val="2"/>
            <w:tcBorders>
              <w:left w:val="none" w:sz="0" w:space="0" w:color="auto"/>
              <w:right w:val="none" w:sz="0" w:space="0" w:color="auto"/>
            </w:tcBorders>
            <w:vAlign w:val="center"/>
          </w:tcPr>
          <w:p w14:paraId="33C6FCCB" w14:textId="5B9F8EE3" w:rsidR="008674D0" w:rsidRPr="00D642D0" w:rsidRDefault="008674D0" w:rsidP="008674D0">
            <w:pPr>
              <w:pStyle w:val="NoSpacing"/>
              <w:rPr>
                <w:rFonts w:ascii="Arial" w:hAnsi="Arial" w:cs="Arial"/>
                <w:color w:val="215868" w:themeColor="accent5" w:themeShade="80"/>
                <w:sz w:val="18"/>
                <w:szCs w:val="18"/>
              </w:rPr>
            </w:pPr>
            <w:r w:rsidRPr="00D642D0">
              <w:rPr>
                <w:rFonts w:ascii="Arial" w:hAnsi="Arial" w:cs="Arial"/>
                <w:color w:val="215868"/>
                <w:sz w:val="18"/>
                <w:szCs w:val="18"/>
              </w:rPr>
              <w:t>Vegetables</w:t>
            </w:r>
          </w:p>
        </w:tc>
        <w:tc>
          <w:tcPr>
            <w:tcW w:w="799" w:type="dxa"/>
            <w:gridSpan w:val="2"/>
            <w:tcBorders>
              <w:left w:val="none" w:sz="0" w:space="0" w:color="auto"/>
              <w:right w:val="none" w:sz="0" w:space="0" w:color="auto"/>
            </w:tcBorders>
            <w:vAlign w:val="center"/>
          </w:tcPr>
          <w:p w14:paraId="73DCC43F" w14:textId="77777777" w:rsidR="008674D0" w:rsidRPr="00EF524A"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798" w:type="dxa"/>
            <w:gridSpan w:val="2"/>
            <w:tcBorders>
              <w:left w:val="none" w:sz="0" w:space="0" w:color="auto"/>
              <w:right w:val="none" w:sz="0" w:space="0" w:color="auto"/>
            </w:tcBorders>
            <w:vAlign w:val="center"/>
          </w:tcPr>
          <w:p w14:paraId="7761902E" w14:textId="77777777"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790" w:type="dxa"/>
            <w:tcBorders>
              <w:left w:val="none" w:sz="0" w:space="0" w:color="auto"/>
              <w:right w:val="none" w:sz="0" w:space="0" w:color="auto"/>
            </w:tcBorders>
            <w:vAlign w:val="center"/>
          </w:tcPr>
          <w:p w14:paraId="74E5391B" w14:textId="77777777"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790" w:type="dxa"/>
            <w:tcBorders>
              <w:left w:val="none" w:sz="0" w:space="0" w:color="auto"/>
              <w:right w:val="none" w:sz="0" w:space="0" w:color="auto"/>
            </w:tcBorders>
            <w:vAlign w:val="center"/>
          </w:tcPr>
          <w:p w14:paraId="18CCBF84" w14:textId="77777777"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768" w:type="dxa"/>
            <w:tcBorders>
              <w:left w:val="none" w:sz="0" w:space="0" w:color="auto"/>
              <w:right w:val="none" w:sz="0" w:space="0" w:color="auto"/>
            </w:tcBorders>
            <w:vAlign w:val="center"/>
          </w:tcPr>
          <w:p w14:paraId="01DBE46D" w14:textId="77777777"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790" w:type="dxa"/>
            <w:tcBorders>
              <w:left w:val="none" w:sz="0" w:space="0" w:color="auto"/>
              <w:right w:val="none" w:sz="0" w:space="0" w:color="auto"/>
            </w:tcBorders>
            <w:vAlign w:val="center"/>
          </w:tcPr>
          <w:p w14:paraId="6BD6E949" w14:textId="77777777" w:rsidR="008674D0" w:rsidRPr="00E43E81"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790" w:type="dxa"/>
            <w:tcBorders>
              <w:left w:val="none" w:sz="0" w:space="0" w:color="auto"/>
              <w:right w:val="none" w:sz="0" w:space="0" w:color="auto"/>
            </w:tcBorders>
            <w:vAlign w:val="center"/>
          </w:tcPr>
          <w:p w14:paraId="2EC07E7F" w14:textId="77777777" w:rsidR="008674D0" w:rsidRPr="00E43E81"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768" w:type="dxa"/>
            <w:tcBorders>
              <w:left w:val="none" w:sz="0" w:space="0" w:color="auto"/>
              <w:right w:val="none" w:sz="0" w:space="0" w:color="auto"/>
            </w:tcBorders>
            <w:vAlign w:val="center"/>
          </w:tcPr>
          <w:p w14:paraId="6CFBC54D" w14:textId="77777777" w:rsidR="008674D0" w:rsidRPr="00E43E81"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711" w:type="dxa"/>
            <w:tcBorders>
              <w:left w:val="none" w:sz="0" w:space="0" w:color="auto"/>
              <w:right w:val="none" w:sz="0" w:space="0" w:color="auto"/>
            </w:tcBorders>
            <w:vAlign w:val="center"/>
          </w:tcPr>
          <w:p w14:paraId="7640A3CF" w14:textId="77777777" w:rsidR="008674D0" w:rsidRPr="00E43E81"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16" w:type="dxa"/>
            <w:tcBorders>
              <w:left w:val="none" w:sz="0" w:space="0" w:color="auto"/>
              <w:right w:val="none" w:sz="0" w:space="0" w:color="auto"/>
            </w:tcBorders>
            <w:vAlign w:val="center"/>
          </w:tcPr>
          <w:p w14:paraId="7096CAC7" w14:textId="31A73247" w:rsidR="008674D0" w:rsidRPr="00E43E81"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768" w:type="dxa"/>
            <w:tcBorders>
              <w:left w:val="none" w:sz="0" w:space="0" w:color="auto"/>
              <w:right w:val="none" w:sz="0" w:space="0" w:color="auto"/>
            </w:tcBorders>
            <w:vAlign w:val="center"/>
          </w:tcPr>
          <w:p w14:paraId="29C1AAF9" w14:textId="37631E86" w:rsidR="008674D0" w:rsidRPr="00E43E81"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799" w:type="dxa"/>
            <w:tcBorders>
              <w:left w:val="none" w:sz="0" w:space="0" w:color="auto"/>
              <w:right w:val="none" w:sz="0" w:space="0" w:color="auto"/>
            </w:tcBorders>
            <w:vAlign w:val="center"/>
          </w:tcPr>
          <w:p w14:paraId="05C8EE53" w14:textId="77777777" w:rsidR="008674D0" w:rsidRPr="00E43E81"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8674D0" w:rsidRPr="00E43E81" w14:paraId="21073A7E" w14:textId="77777777" w:rsidTr="008674D0">
        <w:trPr>
          <w:trHeight w:val="140"/>
        </w:trPr>
        <w:tc>
          <w:tcPr>
            <w:cnfStyle w:val="001000000000" w:firstRow="0" w:lastRow="0" w:firstColumn="1" w:lastColumn="0" w:oddVBand="0" w:evenVBand="0" w:oddHBand="0" w:evenHBand="0" w:firstRowFirstColumn="0" w:firstRowLastColumn="0" w:lastRowFirstColumn="0" w:lastRowLastColumn="0"/>
            <w:tcW w:w="1244" w:type="dxa"/>
            <w:gridSpan w:val="2"/>
            <w:vAlign w:val="center"/>
          </w:tcPr>
          <w:p w14:paraId="212B5B99" w14:textId="1EF31D37" w:rsidR="008674D0" w:rsidRPr="00D642D0" w:rsidRDefault="008674D0" w:rsidP="008674D0">
            <w:pPr>
              <w:pStyle w:val="NoSpacing"/>
              <w:jc w:val="right"/>
              <w:rPr>
                <w:rFonts w:ascii="Arial" w:hAnsi="Arial" w:cs="Arial"/>
                <w:b w:val="0"/>
                <w:bCs w:val="0"/>
                <w:color w:val="215868" w:themeColor="accent5" w:themeShade="80"/>
                <w:sz w:val="18"/>
                <w:szCs w:val="18"/>
              </w:rPr>
            </w:pPr>
            <w:r w:rsidRPr="00D642D0">
              <w:rPr>
                <w:rFonts w:ascii="Arial" w:hAnsi="Arial" w:cs="Arial"/>
                <w:b w:val="0"/>
                <w:bCs w:val="0"/>
                <w:color w:val="215868"/>
                <w:sz w:val="18"/>
                <w:szCs w:val="18"/>
              </w:rPr>
              <w:lastRenderedPageBreak/>
              <w:t xml:space="preserve">   Dollars</w:t>
            </w:r>
          </w:p>
        </w:tc>
        <w:tc>
          <w:tcPr>
            <w:tcW w:w="799" w:type="dxa"/>
            <w:gridSpan w:val="2"/>
            <w:vAlign w:val="center"/>
          </w:tcPr>
          <w:p w14:paraId="1765AE90" w14:textId="62EB795C" w:rsidR="008674D0" w:rsidRPr="00EF524A"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8674D0">
              <w:rPr>
                <w:rFonts w:ascii="Arial" w:hAnsi="Arial" w:cs="Arial"/>
                <w:color w:val="215868"/>
                <w:sz w:val="18"/>
                <w:szCs w:val="18"/>
              </w:rPr>
              <w:t>4%</w:t>
            </w:r>
          </w:p>
        </w:tc>
        <w:tc>
          <w:tcPr>
            <w:tcW w:w="798" w:type="dxa"/>
            <w:gridSpan w:val="2"/>
            <w:vAlign w:val="center"/>
          </w:tcPr>
          <w:p w14:paraId="32E683B5" w14:textId="299A82A3" w:rsidR="008674D0"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8674D0">
              <w:rPr>
                <w:rFonts w:ascii="Arial" w:hAnsi="Arial" w:cs="Arial"/>
                <w:color w:val="215868"/>
                <w:sz w:val="18"/>
                <w:szCs w:val="18"/>
              </w:rPr>
              <w:t>15%</w:t>
            </w:r>
          </w:p>
        </w:tc>
        <w:tc>
          <w:tcPr>
            <w:tcW w:w="790" w:type="dxa"/>
            <w:vAlign w:val="center"/>
          </w:tcPr>
          <w:p w14:paraId="505795D6" w14:textId="5B217B1B" w:rsidR="008674D0"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8674D0">
              <w:rPr>
                <w:rFonts w:ascii="Arial" w:hAnsi="Arial" w:cs="Arial"/>
                <w:color w:val="215868"/>
                <w:sz w:val="18"/>
                <w:szCs w:val="18"/>
              </w:rPr>
              <w:t>5%</w:t>
            </w:r>
          </w:p>
        </w:tc>
        <w:tc>
          <w:tcPr>
            <w:tcW w:w="790" w:type="dxa"/>
            <w:vAlign w:val="center"/>
          </w:tcPr>
          <w:p w14:paraId="4B1C1FD6" w14:textId="2FA475BE"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-7%</w:t>
            </w:r>
          </w:p>
        </w:tc>
        <w:tc>
          <w:tcPr>
            <w:tcW w:w="768" w:type="dxa"/>
            <w:vAlign w:val="center"/>
          </w:tcPr>
          <w:p w14:paraId="10FE4091" w14:textId="37CC833E"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w:t>
            </w:r>
          </w:p>
        </w:tc>
        <w:tc>
          <w:tcPr>
            <w:tcW w:w="790" w:type="dxa"/>
            <w:vAlign w:val="center"/>
          </w:tcPr>
          <w:p w14:paraId="04FFBCC4" w14:textId="3BA24442" w:rsidR="008674D0"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8674D0">
              <w:rPr>
                <w:rFonts w:ascii="Arial" w:hAnsi="Arial" w:cs="Arial"/>
                <w:color w:val="215868"/>
                <w:sz w:val="18"/>
                <w:szCs w:val="18"/>
              </w:rPr>
              <w:t>0%</w:t>
            </w:r>
          </w:p>
        </w:tc>
        <w:tc>
          <w:tcPr>
            <w:tcW w:w="790" w:type="dxa"/>
            <w:vAlign w:val="center"/>
          </w:tcPr>
          <w:p w14:paraId="61F9669F" w14:textId="661480E8" w:rsidR="008674D0"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8674D0">
              <w:rPr>
                <w:rFonts w:ascii="Arial" w:hAnsi="Arial" w:cs="Arial"/>
                <w:color w:val="215868"/>
                <w:sz w:val="18"/>
                <w:szCs w:val="18"/>
              </w:rPr>
              <w:t>0%</w:t>
            </w:r>
          </w:p>
        </w:tc>
        <w:tc>
          <w:tcPr>
            <w:tcW w:w="768" w:type="dxa"/>
            <w:vAlign w:val="center"/>
          </w:tcPr>
          <w:p w14:paraId="046A612B" w14:textId="25BD312E" w:rsidR="008674D0"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color w:val="215868"/>
                <w:sz w:val="18"/>
                <w:szCs w:val="18"/>
              </w:rPr>
              <w:t>+</w:t>
            </w:r>
            <w:r w:rsidR="008674D0">
              <w:rPr>
                <w:rFonts w:ascii="Arial" w:hAnsi="Arial" w:cs="Arial"/>
                <w:color w:val="215868"/>
                <w:sz w:val="18"/>
                <w:szCs w:val="18"/>
              </w:rPr>
              <w:t>3%</w:t>
            </w:r>
          </w:p>
        </w:tc>
        <w:tc>
          <w:tcPr>
            <w:tcW w:w="711" w:type="dxa"/>
            <w:vAlign w:val="center"/>
          </w:tcPr>
          <w:p w14:paraId="2E31ACB9" w14:textId="044143EA" w:rsidR="008674D0"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080BAE">
              <w:rPr>
                <w:rFonts w:ascii="Arial" w:hAnsi="Arial" w:cs="Arial"/>
                <w:color w:val="215868"/>
                <w:sz w:val="18"/>
                <w:szCs w:val="18"/>
              </w:rPr>
              <w:t>4.8</w:t>
            </w:r>
            <w:r w:rsidR="00215D7C">
              <w:rPr>
                <w:rFonts w:ascii="Arial" w:hAnsi="Arial" w:cs="Arial"/>
                <w:color w:val="215868"/>
                <w:sz w:val="18"/>
                <w:szCs w:val="18"/>
              </w:rPr>
              <w:t>%</w:t>
            </w:r>
          </w:p>
        </w:tc>
        <w:tc>
          <w:tcPr>
            <w:tcW w:w="816" w:type="dxa"/>
            <w:vAlign w:val="center"/>
          </w:tcPr>
          <w:p w14:paraId="3FA0D484" w14:textId="7D630EFB" w:rsidR="008674D0" w:rsidRDefault="008674D0"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D642D0">
              <w:rPr>
                <w:rFonts w:ascii="Arial" w:hAnsi="Arial" w:cs="Arial"/>
                <w:color w:val="215868"/>
                <w:sz w:val="18"/>
                <w:szCs w:val="18"/>
              </w:rPr>
              <w:t>3.6</w:t>
            </w:r>
            <w:r>
              <w:rPr>
                <w:rFonts w:ascii="Arial" w:hAnsi="Arial" w:cs="Arial"/>
                <w:color w:val="215868"/>
                <w:sz w:val="18"/>
                <w:szCs w:val="18"/>
              </w:rPr>
              <w:t>B</w:t>
            </w:r>
          </w:p>
        </w:tc>
        <w:tc>
          <w:tcPr>
            <w:tcW w:w="768" w:type="dxa"/>
            <w:vAlign w:val="center"/>
          </w:tcPr>
          <w:p w14:paraId="37E2BD2D" w14:textId="09AC27AF" w:rsidR="008674D0" w:rsidRPr="00E43E81"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D642D0">
              <w:rPr>
                <w:rFonts w:ascii="Arial" w:hAnsi="Arial" w:cs="Arial"/>
                <w:color w:val="215868"/>
                <w:sz w:val="18"/>
                <w:szCs w:val="18"/>
              </w:rPr>
              <w:t>5.0</w:t>
            </w:r>
            <w:r w:rsidR="008674D0">
              <w:rPr>
                <w:rFonts w:ascii="Arial" w:hAnsi="Arial" w:cs="Arial"/>
                <w:color w:val="215868"/>
                <w:sz w:val="18"/>
                <w:szCs w:val="18"/>
              </w:rPr>
              <w:t>%</w:t>
            </w:r>
          </w:p>
        </w:tc>
        <w:tc>
          <w:tcPr>
            <w:tcW w:w="799" w:type="dxa"/>
            <w:vAlign w:val="center"/>
          </w:tcPr>
          <w:p w14:paraId="108031E8" w14:textId="0ECBB019" w:rsidR="008674D0" w:rsidRPr="00E43E81" w:rsidRDefault="00D2307D" w:rsidP="008674D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D642D0">
              <w:rPr>
                <w:rFonts w:ascii="Arial" w:hAnsi="Arial" w:cs="Arial"/>
                <w:color w:val="215868"/>
                <w:sz w:val="18"/>
                <w:szCs w:val="18"/>
              </w:rPr>
              <w:t>20.2</w:t>
            </w:r>
            <w:r w:rsidR="008674D0">
              <w:rPr>
                <w:rFonts w:ascii="Arial" w:hAnsi="Arial" w:cs="Arial"/>
                <w:color w:val="215868"/>
                <w:sz w:val="18"/>
                <w:szCs w:val="18"/>
              </w:rPr>
              <w:t>%</w:t>
            </w:r>
          </w:p>
        </w:tc>
      </w:tr>
      <w:tr w:rsidR="008674D0" w:rsidRPr="00E43E81" w14:paraId="43A744ED" w14:textId="77777777" w:rsidTr="008674D0">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244" w:type="dxa"/>
            <w:gridSpan w:val="2"/>
            <w:tcBorders>
              <w:left w:val="none" w:sz="0" w:space="0" w:color="auto"/>
              <w:right w:val="none" w:sz="0" w:space="0" w:color="auto"/>
            </w:tcBorders>
            <w:vAlign w:val="center"/>
          </w:tcPr>
          <w:p w14:paraId="2D5BC9DE" w14:textId="4F82E929" w:rsidR="008674D0" w:rsidRPr="00D642D0" w:rsidRDefault="008674D0" w:rsidP="008674D0">
            <w:pPr>
              <w:pStyle w:val="NoSpacing"/>
              <w:jc w:val="right"/>
              <w:rPr>
                <w:rFonts w:ascii="Arial" w:hAnsi="Arial" w:cs="Arial"/>
                <w:b w:val="0"/>
                <w:bCs w:val="0"/>
                <w:color w:val="215868" w:themeColor="accent5" w:themeShade="80"/>
                <w:sz w:val="18"/>
                <w:szCs w:val="18"/>
              </w:rPr>
            </w:pPr>
            <w:r w:rsidRPr="00D642D0">
              <w:rPr>
                <w:rFonts w:ascii="Arial" w:hAnsi="Arial" w:cs="Arial"/>
                <w:b w:val="0"/>
                <w:bCs w:val="0"/>
                <w:color w:val="215868"/>
                <w:sz w:val="18"/>
                <w:szCs w:val="18"/>
              </w:rPr>
              <w:t xml:space="preserve">   Volume</w:t>
            </w:r>
          </w:p>
        </w:tc>
        <w:tc>
          <w:tcPr>
            <w:tcW w:w="799" w:type="dxa"/>
            <w:gridSpan w:val="2"/>
            <w:tcBorders>
              <w:left w:val="none" w:sz="0" w:space="0" w:color="auto"/>
              <w:right w:val="none" w:sz="0" w:space="0" w:color="auto"/>
            </w:tcBorders>
            <w:vAlign w:val="center"/>
          </w:tcPr>
          <w:p w14:paraId="355C182D" w14:textId="7E9BA1D9" w:rsidR="008674D0" w:rsidRPr="00EF524A"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8674D0">
              <w:rPr>
                <w:rFonts w:ascii="Arial" w:hAnsi="Arial" w:cs="Arial"/>
                <w:color w:val="215868"/>
                <w:sz w:val="18"/>
                <w:szCs w:val="18"/>
              </w:rPr>
              <w:t>2%</w:t>
            </w:r>
          </w:p>
        </w:tc>
        <w:tc>
          <w:tcPr>
            <w:tcW w:w="798" w:type="dxa"/>
            <w:gridSpan w:val="2"/>
            <w:tcBorders>
              <w:left w:val="none" w:sz="0" w:space="0" w:color="auto"/>
              <w:right w:val="none" w:sz="0" w:space="0" w:color="auto"/>
            </w:tcBorders>
            <w:vAlign w:val="center"/>
          </w:tcPr>
          <w:p w14:paraId="2918379D" w14:textId="339D0376" w:rsidR="008674D0"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8674D0">
              <w:rPr>
                <w:rFonts w:ascii="Arial" w:hAnsi="Arial" w:cs="Arial"/>
                <w:color w:val="215868"/>
                <w:sz w:val="18"/>
                <w:szCs w:val="18"/>
              </w:rPr>
              <w:t>14%</w:t>
            </w:r>
          </w:p>
        </w:tc>
        <w:tc>
          <w:tcPr>
            <w:tcW w:w="790" w:type="dxa"/>
            <w:tcBorders>
              <w:left w:val="none" w:sz="0" w:space="0" w:color="auto"/>
              <w:right w:val="none" w:sz="0" w:space="0" w:color="auto"/>
            </w:tcBorders>
            <w:vAlign w:val="center"/>
          </w:tcPr>
          <w:p w14:paraId="211A3D88" w14:textId="2E7CA090" w:rsidR="008674D0"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8674D0">
              <w:rPr>
                <w:rFonts w:ascii="Arial" w:hAnsi="Arial" w:cs="Arial"/>
                <w:color w:val="215868"/>
                <w:sz w:val="18"/>
                <w:szCs w:val="18"/>
              </w:rPr>
              <w:t>14%</w:t>
            </w:r>
          </w:p>
        </w:tc>
        <w:tc>
          <w:tcPr>
            <w:tcW w:w="790" w:type="dxa"/>
            <w:tcBorders>
              <w:left w:val="none" w:sz="0" w:space="0" w:color="auto"/>
              <w:right w:val="none" w:sz="0" w:space="0" w:color="auto"/>
            </w:tcBorders>
            <w:vAlign w:val="center"/>
          </w:tcPr>
          <w:p w14:paraId="06B7466D" w14:textId="07FB2983"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-12%</w:t>
            </w:r>
          </w:p>
        </w:tc>
        <w:tc>
          <w:tcPr>
            <w:tcW w:w="768" w:type="dxa"/>
            <w:tcBorders>
              <w:left w:val="none" w:sz="0" w:space="0" w:color="auto"/>
              <w:right w:val="none" w:sz="0" w:space="0" w:color="auto"/>
            </w:tcBorders>
            <w:vAlign w:val="center"/>
          </w:tcPr>
          <w:p w14:paraId="40158A08" w14:textId="08830B45"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w:t>
            </w:r>
          </w:p>
        </w:tc>
        <w:tc>
          <w:tcPr>
            <w:tcW w:w="790" w:type="dxa"/>
            <w:tcBorders>
              <w:left w:val="none" w:sz="0" w:space="0" w:color="auto"/>
              <w:right w:val="none" w:sz="0" w:space="0" w:color="auto"/>
            </w:tcBorders>
            <w:vAlign w:val="center"/>
          </w:tcPr>
          <w:p w14:paraId="155D24DC" w14:textId="7FA03AF1"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-6%</w:t>
            </w:r>
          </w:p>
        </w:tc>
        <w:tc>
          <w:tcPr>
            <w:tcW w:w="790" w:type="dxa"/>
            <w:tcBorders>
              <w:left w:val="none" w:sz="0" w:space="0" w:color="auto"/>
              <w:right w:val="none" w:sz="0" w:space="0" w:color="auto"/>
            </w:tcBorders>
            <w:vAlign w:val="center"/>
          </w:tcPr>
          <w:p w14:paraId="315BB821" w14:textId="0C78CAA8"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-6%</w:t>
            </w:r>
          </w:p>
        </w:tc>
        <w:tc>
          <w:tcPr>
            <w:tcW w:w="768" w:type="dxa"/>
            <w:tcBorders>
              <w:left w:val="none" w:sz="0" w:space="0" w:color="auto"/>
              <w:right w:val="none" w:sz="0" w:space="0" w:color="auto"/>
            </w:tcBorders>
            <w:vAlign w:val="center"/>
          </w:tcPr>
          <w:p w14:paraId="28025221" w14:textId="452F65FE" w:rsidR="008674D0"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sz w:val="18"/>
                <w:szCs w:val="18"/>
              </w:rPr>
              <w:t>-5%</w:t>
            </w:r>
          </w:p>
        </w:tc>
        <w:tc>
          <w:tcPr>
            <w:tcW w:w="711" w:type="dxa"/>
            <w:tcBorders>
              <w:left w:val="none" w:sz="0" w:space="0" w:color="auto"/>
              <w:right w:val="none" w:sz="0" w:space="0" w:color="auto"/>
            </w:tcBorders>
            <w:vAlign w:val="center"/>
          </w:tcPr>
          <w:p w14:paraId="400ADA07" w14:textId="05DA5F96" w:rsidR="008674D0" w:rsidRDefault="00D2307D"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080BAE">
              <w:rPr>
                <w:rFonts w:ascii="Arial" w:hAnsi="Arial" w:cs="Arial"/>
                <w:color w:val="215868"/>
                <w:sz w:val="18"/>
                <w:szCs w:val="18"/>
              </w:rPr>
              <w:t>4.7</w:t>
            </w:r>
            <w:r w:rsidR="00215D7C">
              <w:rPr>
                <w:rFonts w:ascii="Arial" w:hAnsi="Arial" w:cs="Arial"/>
                <w:color w:val="215868"/>
                <w:sz w:val="18"/>
                <w:szCs w:val="18"/>
              </w:rPr>
              <w:t>%</w:t>
            </w:r>
          </w:p>
        </w:tc>
        <w:tc>
          <w:tcPr>
            <w:tcW w:w="816" w:type="dxa"/>
            <w:tcBorders>
              <w:left w:val="none" w:sz="0" w:space="0" w:color="auto"/>
              <w:right w:val="none" w:sz="0" w:space="0" w:color="auto"/>
            </w:tcBorders>
            <w:vAlign w:val="center"/>
          </w:tcPr>
          <w:p w14:paraId="286BF450" w14:textId="7F70688E" w:rsidR="008674D0" w:rsidRDefault="00D642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2.0</w:t>
            </w:r>
            <w:r w:rsidR="008674D0">
              <w:rPr>
                <w:rFonts w:ascii="Arial" w:hAnsi="Arial" w:cs="Arial"/>
                <w:color w:val="215868"/>
                <w:sz w:val="18"/>
                <w:szCs w:val="18"/>
              </w:rPr>
              <w:t>B</w:t>
            </w:r>
          </w:p>
        </w:tc>
        <w:tc>
          <w:tcPr>
            <w:tcW w:w="768" w:type="dxa"/>
            <w:tcBorders>
              <w:left w:val="none" w:sz="0" w:space="0" w:color="auto"/>
              <w:right w:val="none" w:sz="0" w:space="0" w:color="auto"/>
            </w:tcBorders>
            <w:vAlign w:val="center"/>
          </w:tcPr>
          <w:p w14:paraId="26B3AA46" w14:textId="27A225C4" w:rsidR="008674D0" w:rsidRPr="00E43E81" w:rsidRDefault="008674D0"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D642D0">
              <w:rPr>
                <w:rFonts w:ascii="Arial" w:hAnsi="Arial" w:cs="Arial"/>
                <w:color w:val="215868"/>
                <w:sz w:val="18"/>
                <w:szCs w:val="18"/>
              </w:rPr>
              <w:t>4.6</w:t>
            </w:r>
            <w:r>
              <w:rPr>
                <w:rFonts w:ascii="Arial" w:hAnsi="Arial" w:cs="Arial"/>
                <w:color w:val="215868"/>
                <w:sz w:val="18"/>
                <w:szCs w:val="18"/>
              </w:rPr>
              <w:t>%</w:t>
            </w:r>
          </w:p>
        </w:tc>
        <w:tc>
          <w:tcPr>
            <w:tcW w:w="799" w:type="dxa"/>
            <w:tcBorders>
              <w:left w:val="none" w:sz="0" w:space="0" w:color="auto"/>
              <w:right w:val="none" w:sz="0" w:space="0" w:color="auto"/>
            </w:tcBorders>
            <w:vAlign w:val="center"/>
          </w:tcPr>
          <w:p w14:paraId="55980290" w14:textId="57E819A7" w:rsidR="008674D0" w:rsidRPr="00E43E81" w:rsidRDefault="00505E84" w:rsidP="008674D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sz w:val="18"/>
                <w:szCs w:val="18"/>
              </w:rPr>
              <w:t>+</w:t>
            </w:r>
            <w:r w:rsidR="00D642D0">
              <w:rPr>
                <w:rFonts w:ascii="Arial" w:hAnsi="Arial" w:cs="Arial"/>
                <w:color w:val="215868"/>
                <w:sz w:val="18"/>
                <w:szCs w:val="18"/>
              </w:rPr>
              <w:t>1.2</w:t>
            </w:r>
            <w:r w:rsidR="008674D0">
              <w:rPr>
                <w:rFonts w:ascii="Arial" w:hAnsi="Arial" w:cs="Arial"/>
                <w:color w:val="215868"/>
                <w:sz w:val="18"/>
                <w:szCs w:val="18"/>
              </w:rPr>
              <w:t>%</w:t>
            </w:r>
          </w:p>
        </w:tc>
      </w:tr>
    </w:tbl>
    <w:bookmarkEnd w:id="5"/>
    <w:p w14:paraId="030C002F" w14:textId="77777777" w:rsidR="00315642" w:rsidRPr="002E09F5" w:rsidRDefault="00FE5D0F" w:rsidP="006069A6">
      <w:pPr>
        <w:pStyle w:val="NoSpacing"/>
        <w:rPr>
          <w:rFonts w:ascii="Arial" w:hAnsi="Arial" w:cs="Arial"/>
          <w:sz w:val="6"/>
          <w:szCs w:val="10"/>
        </w:rPr>
      </w:pPr>
      <w:r w:rsidRPr="002E09F5">
        <w:rPr>
          <w:rFonts w:ascii="Arial" w:hAnsi="Arial" w:cs="Arial"/>
          <w:sz w:val="6"/>
          <w:szCs w:val="10"/>
        </w:rPr>
        <w:t xml:space="preserve"> </w:t>
      </w:r>
    </w:p>
    <w:p w14:paraId="7E6FB482" w14:textId="77777777" w:rsidR="00441E8F" w:rsidRDefault="00441E8F" w:rsidP="00441E8F">
      <w:pPr>
        <w:pStyle w:val="NoSpacing"/>
        <w:rPr>
          <w:rFonts w:ascii="Arial" w:hAnsi="Arial" w:cs="Arial"/>
          <w:sz w:val="16"/>
          <w:szCs w:val="16"/>
        </w:rPr>
      </w:pPr>
      <w:r w:rsidRPr="00CF309B">
        <w:rPr>
          <w:rFonts w:ascii="Arial" w:hAnsi="Arial" w:cs="Arial"/>
          <w:sz w:val="16"/>
          <w:szCs w:val="16"/>
        </w:rPr>
        <w:t>Source:</w:t>
      </w:r>
      <w:r w:rsidR="00BA516E" w:rsidRPr="00CF309B">
        <w:rPr>
          <w:rFonts w:ascii="Arial" w:hAnsi="Arial" w:cs="Arial"/>
          <w:sz w:val="16"/>
          <w:szCs w:val="16"/>
        </w:rPr>
        <w:t xml:space="preserve"> IRI</w:t>
      </w:r>
      <w:r w:rsidR="00906C46">
        <w:rPr>
          <w:rFonts w:ascii="Arial" w:hAnsi="Arial" w:cs="Arial"/>
          <w:sz w:val="16"/>
          <w:szCs w:val="16"/>
        </w:rPr>
        <w:t xml:space="preserve"> Integrated Fresh,</w:t>
      </w:r>
      <w:r w:rsidR="00BA516E" w:rsidRPr="00CF309B">
        <w:rPr>
          <w:rFonts w:ascii="Arial" w:hAnsi="Arial" w:cs="Arial"/>
          <w:sz w:val="16"/>
          <w:szCs w:val="16"/>
        </w:rPr>
        <w:t xml:space="preserve"> Total U.S., MULO</w:t>
      </w:r>
    </w:p>
    <w:p w14:paraId="1E6CCA3B" w14:textId="3D862E78" w:rsidR="00517D7F" w:rsidRDefault="00517D7F" w:rsidP="00CB6454">
      <w:pPr>
        <w:pStyle w:val="NoSpacing"/>
        <w:rPr>
          <w:rFonts w:ascii="Arial" w:hAnsi="Arial" w:cs="Arial"/>
          <w:b/>
          <w:color w:val="595959" w:themeColor="text1" w:themeTint="A6"/>
          <w:sz w:val="24"/>
          <w:szCs w:val="24"/>
        </w:rPr>
      </w:pPr>
    </w:p>
    <w:p w14:paraId="5FB188E2" w14:textId="77777777" w:rsidR="009F5C6A" w:rsidRDefault="009F5C6A" w:rsidP="00CB6454">
      <w:pPr>
        <w:pStyle w:val="NoSpacing"/>
        <w:rPr>
          <w:rFonts w:ascii="Arial" w:hAnsi="Arial" w:cs="Arial"/>
          <w:b/>
          <w:color w:val="595959" w:themeColor="text1" w:themeTint="A6"/>
          <w:sz w:val="24"/>
          <w:szCs w:val="24"/>
        </w:rPr>
      </w:pPr>
    </w:p>
    <w:p w14:paraId="7EA9214F" w14:textId="1C700344" w:rsidR="00CB6454" w:rsidRPr="00B34F5D" w:rsidRDefault="00CB6454" w:rsidP="009F5C6A">
      <w:pPr>
        <w:spacing w:after="0"/>
        <w:rPr>
          <w:rFonts w:ascii="Arial" w:hAnsi="Arial" w:cs="Arial"/>
          <w:b/>
          <w:color w:val="595959" w:themeColor="text1" w:themeTint="A6"/>
          <w:sz w:val="24"/>
          <w:szCs w:val="24"/>
        </w:rPr>
      </w:pPr>
      <w:r w:rsidRPr="00B34F5D">
        <w:rPr>
          <w:rFonts w:ascii="Arial" w:hAnsi="Arial" w:cs="Arial"/>
          <w:b/>
          <w:color w:val="595959" w:themeColor="text1" w:themeTint="A6"/>
          <w:sz w:val="24"/>
          <w:szCs w:val="24"/>
        </w:rPr>
        <w:t>Fresh Fruit</w:t>
      </w:r>
      <w:r w:rsidR="00EB33CE">
        <w:rPr>
          <w:rFonts w:ascii="Arial" w:hAnsi="Arial" w:cs="Arial"/>
          <w:b/>
          <w:color w:val="595959" w:themeColor="text1" w:themeTint="A6"/>
          <w:sz w:val="24"/>
          <w:szCs w:val="24"/>
        </w:rPr>
        <w:t xml:space="preserve"> Sales in </w:t>
      </w:r>
      <w:r w:rsidR="001A3559">
        <w:rPr>
          <w:rFonts w:ascii="Arial" w:hAnsi="Arial" w:cs="Arial"/>
          <w:b/>
          <w:color w:val="595959" w:themeColor="text1" w:themeTint="A6"/>
          <w:sz w:val="24"/>
          <w:szCs w:val="24"/>
        </w:rPr>
        <w:t>October</w:t>
      </w:r>
    </w:p>
    <w:p w14:paraId="0A2BF398" w14:textId="217DBABE" w:rsidR="00BB3051" w:rsidRDefault="00CB6454" w:rsidP="00CB6454">
      <w:pPr>
        <w:pStyle w:val="NoSpacing"/>
        <w:rPr>
          <w:rFonts w:ascii="Arial" w:hAnsi="Arial" w:cs="Arial"/>
          <w:sz w:val="20"/>
          <w:szCs w:val="20"/>
        </w:rPr>
      </w:pPr>
      <w:r>
        <w:rPr>
          <w:rFonts w:ascii="Arial" w:hAnsi="Arial" w:cs="Arial"/>
          <w:sz w:val="20"/>
          <w:szCs w:val="20"/>
        </w:rPr>
        <w:t>“</w:t>
      </w:r>
      <w:r w:rsidR="001404B7">
        <w:rPr>
          <w:rFonts w:ascii="Arial" w:hAnsi="Arial" w:cs="Arial"/>
          <w:sz w:val="20"/>
          <w:szCs w:val="20"/>
        </w:rPr>
        <w:t>It is clear that retailers have finished their fall resets with apples coming on very strong in October</w:t>
      </w:r>
      <w:r w:rsidR="00BE4D67">
        <w:rPr>
          <w:rFonts w:ascii="Arial" w:hAnsi="Arial" w:cs="Arial"/>
          <w:sz w:val="20"/>
          <w:szCs w:val="20"/>
        </w:rPr>
        <w:t xml:space="preserve">,” Parker said. </w:t>
      </w:r>
      <w:r w:rsidRPr="00B35CE9">
        <w:rPr>
          <w:rFonts w:ascii="Arial" w:hAnsi="Arial" w:cs="Arial"/>
          <w:sz w:val="20"/>
          <w:szCs w:val="20"/>
        </w:rPr>
        <w:t>“</w:t>
      </w:r>
      <w:r w:rsidR="006C7F63">
        <w:rPr>
          <w:rFonts w:ascii="Arial" w:hAnsi="Arial" w:cs="Arial"/>
          <w:sz w:val="20"/>
          <w:szCs w:val="20"/>
        </w:rPr>
        <w:t>Berries</w:t>
      </w:r>
      <w:r w:rsidR="009213F8">
        <w:rPr>
          <w:rFonts w:ascii="Arial" w:hAnsi="Arial" w:cs="Arial"/>
          <w:sz w:val="20"/>
          <w:szCs w:val="20"/>
        </w:rPr>
        <w:t xml:space="preserve"> </w:t>
      </w:r>
      <w:r w:rsidR="001404B7">
        <w:rPr>
          <w:rFonts w:ascii="Arial" w:hAnsi="Arial" w:cs="Arial"/>
          <w:sz w:val="20"/>
          <w:szCs w:val="20"/>
        </w:rPr>
        <w:t xml:space="preserve">easily remained the biggest seller and despite strong pound performance, had some year-on-year dollar pressure due to deflation.” Oranges made it back in the top 10 sellers, just ahead of pineapples. </w:t>
      </w:r>
    </w:p>
    <w:p w14:paraId="114F402F" w14:textId="77777777" w:rsidR="005E2F61" w:rsidRDefault="005E2F61" w:rsidP="00CB6454">
      <w:pPr>
        <w:pStyle w:val="NoSpacing"/>
        <w:rPr>
          <w:rFonts w:ascii="Arial" w:hAnsi="Arial" w:cs="Arial"/>
          <w:sz w:val="20"/>
          <w:szCs w:val="20"/>
        </w:rPr>
      </w:pPr>
    </w:p>
    <w:tbl>
      <w:tblPr>
        <w:tblStyle w:val="LightShading-Accent5"/>
        <w:tblW w:w="10915" w:type="dxa"/>
        <w:tblBorders>
          <w:top w:val="none" w:sz="0" w:space="0" w:color="auto"/>
          <w:bottom w:val="none" w:sz="0" w:space="0" w:color="auto"/>
        </w:tblBorders>
        <w:tblLayout w:type="fixed"/>
        <w:tblLook w:val="04A0" w:firstRow="1" w:lastRow="0" w:firstColumn="1" w:lastColumn="0" w:noHBand="0" w:noVBand="1"/>
      </w:tblPr>
      <w:tblGrid>
        <w:gridCol w:w="1090"/>
        <w:gridCol w:w="160"/>
        <w:gridCol w:w="676"/>
        <w:gridCol w:w="119"/>
        <w:gridCol w:w="684"/>
        <w:gridCol w:w="110"/>
        <w:gridCol w:w="688"/>
        <w:gridCol w:w="107"/>
        <w:gridCol w:w="691"/>
        <w:gridCol w:w="103"/>
        <w:gridCol w:w="794"/>
        <w:gridCol w:w="794"/>
        <w:gridCol w:w="794"/>
        <w:gridCol w:w="794"/>
        <w:gridCol w:w="794"/>
        <w:gridCol w:w="816"/>
        <w:gridCol w:w="851"/>
        <w:gridCol w:w="850"/>
      </w:tblGrid>
      <w:tr w:rsidR="00811C9C" w:rsidRPr="0003007F" w14:paraId="3DFD75C2" w14:textId="77777777" w:rsidTr="00B51D86">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26" w:type="dxa"/>
            <w:gridSpan w:val="3"/>
            <w:tcBorders>
              <w:top w:val="none" w:sz="0" w:space="0" w:color="auto"/>
              <w:bottom w:val="none" w:sz="0" w:space="0" w:color="auto"/>
            </w:tcBorders>
            <w:shd w:val="clear" w:color="auto" w:fill="17365D" w:themeFill="text2" w:themeFillShade="BF"/>
          </w:tcPr>
          <w:p w14:paraId="285E05F8" w14:textId="77777777" w:rsidR="00811C9C" w:rsidRPr="00AB1306" w:rsidRDefault="00811C9C" w:rsidP="00422C9B">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803" w:type="dxa"/>
            <w:gridSpan w:val="2"/>
            <w:tcBorders>
              <w:top w:val="none" w:sz="0" w:space="0" w:color="auto"/>
              <w:bottom w:val="none" w:sz="0" w:space="0" w:color="auto"/>
            </w:tcBorders>
            <w:shd w:val="clear" w:color="auto" w:fill="17365D" w:themeFill="text2" w:themeFillShade="BF"/>
          </w:tcPr>
          <w:p w14:paraId="668BD2C0" w14:textId="77777777" w:rsidR="00811C9C" w:rsidRPr="00AB1306" w:rsidRDefault="00811C9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798" w:type="dxa"/>
            <w:gridSpan w:val="2"/>
            <w:tcBorders>
              <w:top w:val="none" w:sz="0" w:space="0" w:color="auto"/>
              <w:bottom w:val="none" w:sz="0" w:space="0" w:color="auto"/>
            </w:tcBorders>
            <w:shd w:val="clear" w:color="auto" w:fill="17365D" w:themeFill="text2" w:themeFillShade="BF"/>
          </w:tcPr>
          <w:p w14:paraId="112830F6" w14:textId="77777777" w:rsidR="00811C9C" w:rsidRPr="00AB1306" w:rsidRDefault="00811C9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798" w:type="dxa"/>
            <w:gridSpan w:val="2"/>
            <w:tcBorders>
              <w:top w:val="none" w:sz="0" w:space="0" w:color="auto"/>
              <w:bottom w:val="none" w:sz="0" w:space="0" w:color="auto"/>
            </w:tcBorders>
            <w:shd w:val="clear" w:color="auto" w:fill="17365D" w:themeFill="text2" w:themeFillShade="BF"/>
          </w:tcPr>
          <w:p w14:paraId="7B632F52" w14:textId="77777777" w:rsidR="00811C9C" w:rsidRPr="00AB1306" w:rsidRDefault="00811C9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6590" w:type="dxa"/>
            <w:gridSpan w:val="9"/>
            <w:tcBorders>
              <w:top w:val="none" w:sz="0" w:space="0" w:color="auto"/>
              <w:bottom w:val="none" w:sz="0" w:space="0" w:color="auto"/>
            </w:tcBorders>
            <w:shd w:val="clear" w:color="auto" w:fill="17365D" w:themeFill="text2" w:themeFillShade="BF"/>
          </w:tcPr>
          <w:p w14:paraId="3A17CC18" w14:textId="648FCAC7" w:rsidR="00811C9C" w:rsidRPr="0003007F" w:rsidRDefault="00811C9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B1306">
              <w:rPr>
                <w:rFonts w:ascii="Arial" w:hAnsi="Arial" w:cs="Arial"/>
                <w:color w:val="FFFFFF" w:themeColor="background1"/>
                <w:sz w:val="18"/>
                <w:szCs w:val="18"/>
              </w:rPr>
              <w:t>Dollar sal</w:t>
            </w:r>
            <w:r>
              <w:rPr>
                <w:rFonts w:ascii="Arial" w:hAnsi="Arial" w:cs="Arial"/>
                <w:color w:val="FFFFFF" w:themeColor="background1"/>
                <w:sz w:val="18"/>
                <w:szCs w:val="18"/>
              </w:rPr>
              <w:t>es increase over comparable period YA</w:t>
            </w:r>
          </w:p>
        </w:tc>
      </w:tr>
      <w:tr w:rsidR="00B51D86" w:rsidRPr="0003007F" w14:paraId="74BF3700" w14:textId="77777777" w:rsidTr="00B51D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50" w:type="dxa"/>
            <w:gridSpan w:val="2"/>
            <w:shd w:val="clear" w:color="auto" w:fill="17365D" w:themeFill="text2" w:themeFillShade="BF"/>
          </w:tcPr>
          <w:p w14:paraId="3F9B606E" w14:textId="77777777" w:rsidR="00811C9C" w:rsidRPr="000F7932" w:rsidRDefault="00811C9C" w:rsidP="00F103B9">
            <w:pPr>
              <w:pStyle w:val="NoSpacing"/>
              <w:rPr>
                <w:rFonts w:ascii="Arial" w:hAnsi="Arial" w:cs="Arial"/>
                <w:color w:val="FFFFFF" w:themeColor="background1"/>
                <w:sz w:val="18"/>
                <w:szCs w:val="18"/>
              </w:rPr>
            </w:pPr>
          </w:p>
        </w:tc>
        <w:tc>
          <w:tcPr>
            <w:tcW w:w="795" w:type="dxa"/>
            <w:gridSpan w:val="2"/>
            <w:shd w:val="clear" w:color="auto" w:fill="17365D" w:themeFill="text2" w:themeFillShade="BF"/>
            <w:vAlign w:val="center"/>
          </w:tcPr>
          <w:p w14:paraId="46CF2457" w14:textId="77777777" w:rsidR="00811C9C" w:rsidRPr="000F7932" w:rsidRDefault="00811C9C" w:rsidP="00034C1B">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794" w:type="dxa"/>
            <w:gridSpan w:val="2"/>
            <w:shd w:val="clear" w:color="auto" w:fill="17365D" w:themeFill="text2" w:themeFillShade="BF"/>
            <w:vAlign w:val="center"/>
          </w:tcPr>
          <w:p w14:paraId="13B20948" w14:textId="77777777" w:rsidR="00811C9C" w:rsidRPr="000F7932" w:rsidRDefault="00811C9C" w:rsidP="00034C1B">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w:t>
            </w:r>
            <w:r w:rsidRPr="000F7932">
              <w:rPr>
                <w:rFonts w:ascii="Arial" w:hAnsi="Arial" w:cs="Arial"/>
                <w:b/>
                <w:color w:val="FFFFFF" w:themeColor="background1"/>
                <w:sz w:val="18"/>
                <w:szCs w:val="18"/>
              </w:rPr>
              <w:t>20</w:t>
            </w:r>
          </w:p>
        </w:tc>
        <w:tc>
          <w:tcPr>
            <w:tcW w:w="795" w:type="dxa"/>
            <w:gridSpan w:val="2"/>
            <w:shd w:val="clear" w:color="auto" w:fill="17365D" w:themeFill="text2" w:themeFillShade="BF"/>
            <w:vAlign w:val="center"/>
          </w:tcPr>
          <w:p w14:paraId="301AC34F" w14:textId="08B3D72B" w:rsidR="00811C9C" w:rsidRPr="000F7932" w:rsidRDefault="00811C9C" w:rsidP="00034C1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Q1 21</w:t>
            </w:r>
          </w:p>
        </w:tc>
        <w:tc>
          <w:tcPr>
            <w:tcW w:w="794" w:type="dxa"/>
            <w:gridSpan w:val="2"/>
            <w:shd w:val="clear" w:color="auto" w:fill="17365D" w:themeFill="text2" w:themeFillShade="BF"/>
            <w:vAlign w:val="center"/>
          </w:tcPr>
          <w:p w14:paraId="0DC3715D" w14:textId="76524617" w:rsidR="00811C9C" w:rsidRPr="000F7932" w:rsidRDefault="00811C9C" w:rsidP="00034C1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w:t>
            </w:r>
            <w:r w:rsidRPr="000F7932">
              <w:rPr>
                <w:rFonts w:ascii="Arial" w:hAnsi="Arial" w:cs="Arial"/>
                <w:b/>
                <w:color w:val="FFFFFF" w:themeColor="background1"/>
                <w:sz w:val="18"/>
                <w:szCs w:val="18"/>
              </w:rPr>
              <w:t xml:space="preserve"> 21</w:t>
            </w:r>
          </w:p>
        </w:tc>
        <w:tc>
          <w:tcPr>
            <w:tcW w:w="794" w:type="dxa"/>
            <w:shd w:val="clear" w:color="auto" w:fill="17365D" w:themeFill="text2" w:themeFillShade="BF"/>
            <w:vAlign w:val="center"/>
          </w:tcPr>
          <w:p w14:paraId="1DE0B116" w14:textId="4D57C668" w:rsidR="00811C9C" w:rsidRDefault="00811C9C" w:rsidP="00034C1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794" w:type="dxa"/>
            <w:shd w:val="clear" w:color="auto" w:fill="17365D" w:themeFill="text2" w:themeFillShade="BF"/>
            <w:vAlign w:val="center"/>
          </w:tcPr>
          <w:p w14:paraId="4FF66A97" w14:textId="27B4D369" w:rsidR="00811C9C" w:rsidRDefault="00811C9C" w:rsidP="00034C1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794" w:type="dxa"/>
            <w:shd w:val="clear" w:color="auto" w:fill="17365D" w:themeFill="text2" w:themeFillShade="BF"/>
            <w:vAlign w:val="center"/>
          </w:tcPr>
          <w:p w14:paraId="147A02D7" w14:textId="5F1F3125" w:rsidR="00811C9C" w:rsidRDefault="00811C9C" w:rsidP="00034C1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794" w:type="dxa"/>
            <w:shd w:val="clear" w:color="auto" w:fill="17365D" w:themeFill="text2" w:themeFillShade="BF"/>
            <w:vAlign w:val="center"/>
          </w:tcPr>
          <w:p w14:paraId="4B0DB5D5" w14:textId="4BC3FEB8" w:rsidR="00811C9C" w:rsidRDefault="00811C9C" w:rsidP="00034C1B">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22</w:t>
            </w:r>
          </w:p>
        </w:tc>
        <w:tc>
          <w:tcPr>
            <w:tcW w:w="794" w:type="dxa"/>
            <w:shd w:val="clear" w:color="auto" w:fill="17365D" w:themeFill="text2" w:themeFillShade="BF"/>
            <w:vAlign w:val="center"/>
          </w:tcPr>
          <w:p w14:paraId="6140FD35" w14:textId="37E1750C" w:rsidR="00811C9C" w:rsidRDefault="00811C9C" w:rsidP="00B7196D">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22</w:t>
            </w:r>
          </w:p>
        </w:tc>
        <w:tc>
          <w:tcPr>
            <w:tcW w:w="816" w:type="dxa"/>
            <w:shd w:val="clear" w:color="auto" w:fill="17365D" w:themeFill="text2" w:themeFillShade="BF"/>
            <w:vAlign w:val="center"/>
          </w:tcPr>
          <w:p w14:paraId="3B63F547" w14:textId="49A0020C" w:rsidR="00811C9C" w:rsidRPr="000F7932" w:rsidRDefault="003C0347" w:rsidP="00A36631">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xml:space="preserve">Oct </w:t>
            </w:r>
            <w:r w:rsidR="00811C9C">
              <w:rPr>
                <w:rFonts w:ascii="Arial" w:hAnsi="Arial" w:cs="Arial"/>
                <w:b/>
                <w:color w:val="FFFFFF" w:themeColor="background1"/>
                <w:sz w:val="18"/>
                <w:szCs w:val="18"/>
              </w:rPr>
              <w:t>22</w:t>
            </w:r>
          </w:p>
        </w:tc>
        <w:tc>
          <w:tcPr>
            <w:tcW w:w="851" w:type="dxa"/>
            <w:shd w:val="clear" w:color="auto" w:fill="17365D" w:themeFill="text2" w:themeFillShade="BF"/>
            <w:vAlign w:val="center"/>
          </w:tcPr>
          <w:p w14:paraId="04C57725" w14:textId="5C847B3A" w:rsidR="00811C9C" w:rsidRPr="000F7932" w:rsidRDefault="00811C9C" w:rsidP="00B7196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w:t>
            </w:r>
            <w:r w:rsidRPr="000F7932">
              <w:rPr>
                <w:rFonts w:ascii="Arial" w:hAnsi="Arial" w:cs="Arial"/>
                <w:b/>
                <w:color w:val="FFFFFF" w:themeColor="background1"/>
                <w:sz w:val="18"/>
                <w:szCs w:val="18"/>
              </w:rPr>
              <w:t xml:space="preserve"> </w:t>
            </w:r>
            <w:r>
              <w:rPr>
                <w:rFonts w:ascii="Arial" w:hAnsi="Arial" w:cs="Arial"/>
                <w:b/>
                <w:color w:val="FFFFFF" w:themeColor="background1"/>
                <w:sz w:val="18"/>
                <w:szCs w:val="18"/>
              </w:rPr>
              <w:br/>
            </w:r>
            <w:r w:rsidRPr="000F7932">
              <w:rPr>
                <w:rFonts w:ascii="Arial" w:hAnsi="Arial" w:cs="Arial"/>
                <w:b/>
                <w:color w:val="FFFFFF" w:themeColor="background1"/>
                <w:sz w:val="18"/>
                <w:szCs w:val="18"/>
              </w:rPr>
              <w:t xml:space="preserve">vs </w:t>
            </w:r>
            <w:r>
              <w:rPr>
                <w:rFonts w:ascii="Arial" w:hAnsi="Arial" w:cs="Arial"/>
                <w:b/>
                <w:color w:val="FFFFFF" w:themeColor="background1"/>
                <w:sz w:val="18"/>
                <w:szCs w:val="18"/>
              </w:rPr>
              <w:t>YA</w:t>
            </w:r>
          </w:p>
        </w:tc>
        <w:tc>
          <w:tcPr>
            <w:tcW w:w="850" w:type="dxa"/>
            <w:shd w:val="clear" w:color="auto" w:fill="17365D" w:themeFill="text2" w:themeFillShade="BF"/>
            <w:vAlign w:val="center"/>
          </w:tcPr>
          <w:p w14:paraId="26786B75" w14:textId="46025FBA" w:rsidR="00811C9C" w:rsidRPr="000F7932" w:rsidRDefault="00811C9C" w:rsidP="0053367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roofErr w:type="spellStart"/>
            <w:r>
              <w:rPr>
                <w:rFonts w:ascii="Arial" w:hAnsi="Arial" w:cs="Arial"/>
                <w:b/>
                <w:color w:val="FFFFFF" w:themeColor="background1"/>
                <w:sz w:val="18"/>
                <w:szCs w:val="18"/>
              </w:rPr>
              <w:t>lbs</w:t>
            </w:r>
            <w:proofErr w:type="spellEnd"/>
            <w:r>
              <w:rPr>
                <w:rFonts w:ascii="Arial" w:hAnsi="Arial" w:cs="Arial"/>
                <w:b/>
                <w:color w:val="FFFFFF" w:themeColor="background1"/>
                <w:sz w:val="18"/>
                <w:szCs w:val="18"/>
              </w:rPr>
              <w:t xml:space="preserve"> vs YA</w:t>
            </w:r>
          </w:p>
        </w:tc>
      </w:tr>
      <w:tr w:rsidR="00811C9C" w:rsidRPr="00091E61" w14:paraId="0CA2F74A" w14:textId="77777777" w:rsidTr="004903AC">
        <w:trPr>
          <w:trHeight w:val="304"/>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66ADF07C" w14:textId="77777777" w:rsidR="00811C9C" w:rsidRPr="00091E61" w:rsidRDefault="00811C9C" w:rsidP="00DD2F0B">
            <w:pPr>
              <w:pStyle w:val="NoSpacing"/>
              <w:rPr>
                <w:rFonts w:ascii="Arial" w:hAnsi="Arial" w:cs="Arial"/>
                <w:color w:val="17365D" w:themeColor="text2" w:themeShade="BF"/>
                <w:sz w:val="18"/>
                <w:szCs w:val="18"/>
              </w:rPr>
            </w:pPr>
            <w:r w:rsidRPr="00091E61">
              <w:rPr>
                <w:rFonts w:ascii="Arial" w:hAnsi="Arial" w:cs="Arial"/>
                <w:color w:val="17365D" w:themeColor="text2" w:themeShade="BF"/>
                <w:sz w:val="18"/>
                <w:szCs w:val="18"/>
              </w:rPr>
              <w:t>Fresh fruit</w:t>
            </w:r>
          </w:p>
        </w:tc>
        <w:tc>
          <w:tcPr>
            <w:tcW w:w="955" w:type="dxa"/>
            <w:gridSpan w:val="3"/>
            <w:vAlign w:val="center"/>
          </w:tcPr>
          <w:p w14:paraId="39EFBE0F" w14:textId="79A27A34" w:rsidR="00811C9C" w:rsidRPr="00091E61" w:rsidRDefault="00811C9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-0.2</w:t>
            </w:r>
            <w:r w:rsidRPr="00091E61">
              <w:rPr>
                <w:rFonts w:ascii="Arial" w:hAnsi="Arial" w:cs="Arial"/>
                <w:b/>
                <w:bCs/>
                <w:color w:val="17365D" w:themeColor="text2" w:themeShade="BF"/>
                <w:sz w:val="18"/>
                <w:szCs w:val="18"/>
              </w:rPr>
              <w:t>%</w:t>
            </w:r>
          </w:p>
        </w:tc>
        <w:tc>
          <w:tcPr>
            <w:tcW w:w="794" w:type="dxa"/>
            <w:gridSpan w:val="2"/>
            <w:vAlign w:val="center"/>
          </w:tcPr>
          <w:p w14:paraId="3D5B0656" w14:textId="624A55EF" w:rsidR="00811C9C" w:rsidRPr="00091E61" w:rsidRDefault="0053367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+9</w:t>
            </w:r>
            <w:r w:rsidR="00811C9C" w:rsidRPr="00091E61">
              <w:rPr>
                <w:rFonts w:ascii="Arial" w:hAnsi="Arial" w:cs="Arial"/>
                <w:b/>
                <w:bCs/>
                <w:color w:val="17365D" w:themeColor="text2" w:themeShade="BF"/>
                <w:sz w:val="18"/>
                <w:szCs w:val="18"/>
              </w:rPr>
              <w:t>%</w:t>
            </w:r>
          </w:p>
        </w:tc>
        <w:tc>
          <w:tcPr>
            <w:tcW w:w="795" w:type="dxa"/>
            <w:gridSpan w:val="2"/>
            <w:vAlign w:val="center"/>
          </w:tcPr>
          <w:p w14:paraId="680EF69E" w14:textId="6A2FFAD2" w:rsidR="00811C9C" w:rsidRPr="00091E61" w:rsidRDefault="0053367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+5</w:t>
            </w:r>
            <w:r w:rsidR="00811C9C" w:rsidRPr="00091E61">
              <w:rPr>
                <w:rFonts w:ascii="Arial" w:hAnsi="Arial" w:cs="Arial"/>
                <w:b/>
                <w:bCs/>
                <w:color w:val="17365D" w:themeColor="text2" w:themeShade="BF"/>
                <w:sz w:val="18"/>
                <w:szCs w:val="18"/>
              </w:rPr>
              <w:t>%</w:t>
            </w:r>
          </w:p>
        </w:tc>
        <w:tc>
          <w:tcPr>
            <w:tcW w:w="794" w:type="dxa"/>
            <w:gridSpan w:val="2"/>
            <w:vAlign w:val="center"/>
          </w:tcPr>
          <w:p w14:paraId="21180263" w14:textId="1CD6C85B" w:rsidR="00811C9C" w:rsidRPr="00091E61" w:rsidRDefault="0053367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+5</w:t>
            </w:r>
            <w:r w:rsidR="00811C9C" w:rsidRPr="00091E61">
              <w:rPr>
                <w:rFonts w:ascii="Arial" w:hAnsi="Arial" w:cs="Arial"/>
                <w:b/>
                <w:bCs/>
                <w:color w:val="17365D" w:themeColor="text2" w:themeShade="BF"/>
                <w:sz w:val="18"/>
                <w:szCs w:val="18"/>
              </w:rPr>
              <w:t>%</w:t>
            </w:r>
          </w:p>
        </w:tc>
        <w:tc>
          <w:tcPr>
            <w:tcW w:w="794" w:type="dxa"/>
            <w:vAlign w:val="center"/>
          </w:tcPr>
          <w:p w14:paraId="31205487" w14:textId="2581D529" w:rsidR="00811C9C" w:rsidRPr="00091E61" w:rsidRDefault="00811C9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Pr="00091E61">
              <w:rPr>
                <w:rFonts w:ascii="Arial" w:hAnsi="Arial" w:cs="Arial"/>
                <w:b/>
                <w:bCs/>
                <w:color w:val="17365D" w:themeColor="text2" w:themeShade="BF"/>
                <w:sz w:val="18"/>
                <w:szCs w:val="18"/>
              </w:rPr>
              <w:t>6%</w:t>
            </w:r>
          </w:p>
        </w:tc>
        <w:tc>
          <w:tcPr>
            <w:tcW w:w="794" w:type="dxa"/>
            <w:vAlign w:val="center"/>
          </w:tcPr>
          <w:p w14:paraId="40577A3D" w14:textId="3618EE79" w:rsidR="00811C9C" w:rsidRPr="00091E61" w:rsidRDefault="0053367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+11</w:t>
            </w:r>
            <w:r w:rsidR="00811C9C" w:rsidRPr="00091E61">
              <w:rPr>
                <w:rFonts w:ascii="Arial" w:hAnsi="Arial" w:cs="Arial"/>
                <w:b/>
                <w:bCs/>
                <w:color w:val="17365D" w:themeColor="text2" w:themeShade="BF"/>
                <w:sz w:val="18"/>
                <w:szCs w:val="18"/>
              </w:rPr>
              <w:t>%</w:t>
            </w:r>
          </w:p>
        </w:tc>
        <w:tc>
          <w:tcPr>
            <w:tcW w:w="794" w:type="dxa"/>
            <w:vAlign w:val="center"/>
          </w:tcPr>
          <w:p w14:paraId="4976E3FE" w14:textId="6B7F9149" w:rsidR="00811C9C" w:rsidRPr="00091E61" w:rsidRDefault="00811C9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sidR="0053367C">
              <w:rPr>
                <w:rFonts w:ascii="Arial" w:hAnsi="Arial" w:cs="Arial"/>
                <w:b/>
                <w:bCs/>
                <w:color w:val="17365D" w:themeColor="text2" w:themeShade="BF"/>
                <w:sz w:val="18"/>
                <w:szCs w:val="18"/>
              </w:rPr>
              <w:t>10</w:t>
            </w:r>
            <w:r w:rsidRPr="00091E61">
              <w:rPr>
                <w:rFonts w:ascii="Arial" w:hAnsi="Arial" w:cs="Arial"/>
                <w:b/>
                <w:bCs/>
                <w:color w:val="17365D" w:themeColor="text2" w:themeShade="BF"/>
                <w:sz w:val="18"/>
                <w:szCs w:val="18"/>
              </w:rPr>
              <w:t>%</w:t>
            </w:r>
          </w:p>
        </w:tc>
        <w:tc>
          <w:tcPr>
            <w:tcW w:w="794" w:type="dxa"/>
            <w:vAlign w:val="center"/>
          </w:tcPr>
          <w:p w14:paraId="355736E6" w14:textId="3513413D" w:rsidR="00811C9C" w:rsidRDefault="00811C9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sidR="0053367C">
              <w:rPr>
                <w:rFonts w:ascii="Arial" w:hAnsi="Arial" w:cs="Arial"/>
                <w:b/>
                <w:bCs/>
                <w:color w:val="17365D" w:themeColor="text2" w:themeShade="BF"/>
                <w:sz w:val="18"/>
                <w:szCs w:val="18"/>
              </w:rPr>
              <w:t>4</w:t>
            </w:r>
            <w:r w:rsidRPr="00091E61">
              <w:rPr>
                <w:rFonts w:ascii="Arial" w:hAnsi="Arial" w:cs="Arial"/>
                <w:b/>
                <w:bCs/>
                <w:color w:val="17365D" w:themeColor="text2" w:themeShade="BF"/>
                <w:sz w:val="18"/>
                <w:szCs w:val="18"/>
              </w:rPr>
              <w:t>%</w:t>
            </w:r>
          </w:p>
        </w:tc>
        <w:tc>
          <w:tcPr>
            <w:tcW w:w="794" w:type="dxa"/>
            <w:vAlign w:val="center"/>
          </w:tcPr>
          <w:p w14:paraId="22BDA0D0" w14:textId="5E2D464C" w:rsidR="00811C9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+4.6</w:t>
            </w:r>
            <w:r w:rsidR="0053367C">
              <w:rPr>
                <w:rFonts w:ascii="Arial" w:hAnsi="Arial" w:cs="Arial"/>
                <w:b/>
                <w:bCs/>
                <w:color w:val="17365D" w:themeColor="text2" w:themeShade="BF"/>
                <w:sz w:val="18"/>
                <w:szCs w:val="18"/>
              </w:rPr>
              <w:t>%</w:t>
            </w:r>
          </w:p>
        </w:tc>
        <w:tc>
          <w:tcPr>
            <w:tcW w:w="816" w:type="dxa"/>
            <w:vAlign w:val="center"/>
          </w:tcPr>
          <w:p w14:paraId="76F93CAA" w14:textId="1E970D51" w:rsidR="00811C9C" w:rsidRPr="00091E61" w:rsidRDefault="0053367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00D642D0">
              <w:rPr>
                <w:rFonts w:ascii="Arial" w:hAnsi="Arial" w:cs="Arial"/>
                <w:b/>
                <w:bCs/>
                <w:color w:val="17365D" w:themeColor="text2" w:themeShade="BF"/>
                <w:sz w:val="18"/>
                <w:szCs w:val="18"/>
              </w:rPr>
              <w:t>3.1</w:t>
            </w:r>
            <w:r w:rsidR="00811C9C" w:rsidRPr="00091E61">
              <w:rPr>
                <w:rFonts w:ascii="Arial" w:hAnsi="Arial" w:cs="Arial"/>
                <w:b/>
                <w:bCs/>
                <w:color w:val="17365D" w:themeColor="text2" w:themeShade="BF"/>
                <w:sz w:val="18"/>
                <w:szCs w:val="18"/>
              </w:rPr>
              <w:t>B</w:t>
            </w:r>
          </w:p>
        </w:tc>
        <w:tc>
          <w:tcPr>
            <w:tcW w:w="851" w:type="dxa"/>
            <w:vAlign w:val="center"/>
          </w:tcPr>
          <w:p w14:paraId="52994309" w14:textId="10521DFD" w:rsidR="00811C9C" w:rsidRPr="00A052A1" w:rsidRDefault="00D642D0"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18"/>
                <w:szCs w:val="18"/>
              </w:rPr>
            </w:pPr>
            <w:r>
              <w:rPr>
                <w:rFonts w:ascii="Arial" w:hAnsi="Arial" w:cs="Arial"/>
                <w:b/>
                <w:color w:val="17365D" w:themeColor="text2" w:themeShade="BF"/>
                <w:sz w:val="18"/>
                <w:szCs w:val="18"/>
              </w:rPr>
              <w:t>-0.3</w:t>
            </w:r>
            <w:r w:rsidR="00811C9C" w:rsidRPr="00A052A1">
              <w:rPr>
                <w:rFonts w:ascii="Arial" w:hAnsi="Arial" w:cs="Arial"/>
                <w:b/>
                <w:color w:val="17365D" w:themeColor="text2" w:themeShade="BF"/>
                <w:sz w:val="18"/>
                <w:szCs w:val="18"/>
              </w:rPr>
              <w:t>%</w:t>
            </w:r>
          </w:p>
        </w:tc>
        <w:tc>
          <w:tcPr>
            <w:tcW w:w="850" w:type="dxa"/>
            <w:vAlign w:val="center"/>
          </w:tcPr>
          <w:p w14:paraId="5CADA515" w14:textId="1CC14B8E" w:rsidR="00811C9C" w:rsidRPr="009B4A81" w:rsidRDefault="00D642D0"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-3.9</w:t>
            </w:r>
            <w:r w:rsidR="00811C9C" w:rsidRPr="009B4A81">
              <w:rPr>
                <w:rFonts w:ascii="Arial" w:hAnsi="Arial" w:cs="Arial"/>
                <w:b/>
                <w:bCs/>
                <w:color w:val="215868" w:themeColor="accent5" w:themeShade="80"/>
                <w:sz w:val="18"/>
                <w:szCs w:val="18"/>
              </w:rPr>
              <w:t>%</w:t>
            </w:r>
          </w:p>
        </w:tc>
      </w:tr>
      <w:tr w:rsidR="00B51D86" w:rsidRPr="00E407FC" w14:paraId="5BEE13FC" w14:textId="77777777" w:rsidTr="004903A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62F5917F" w14:textId="77777777" w:rsidR="00811C9C" w:rsidRPr="00E407FC" w:rsidRDefault="00811C9C" w:rsidP="000811E7">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Berries</w:t>
            </w:r>
          </w:p>
        </w:tc>
        <w:tc>
          <w:tcPr>
            <w:tcW w:w="955" w:type="dxa"/>
            <w:gridSpan w:val="3"/>
            <w:vAlign w:val="center"/>
          </w:tcPr>
          <w:p w14:paraId="01DB9726" w14:textId="0B373A05" w:rsidR="00811C9C" w:rsidRPr="00091E61" w:rsidRDefault="0053367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w:t>
            </w:r>
            <w:r w:rsidR="00811C9C" w:rsidRPr="00091E61">
              <w:rPr>
                <w:rFonts w:ascii="Arial" w:hAnsi="Arial" w:cs="Arial"/>
                <w:color w:val="17365D" w:themeColor="text2" w:themeShade="BF"/>
                <w:sz w:val="18"/>
                <w:szCs w:val="18"/>
              </w:rPr>
              <w:t>%</w:t>
            </w:r>
          </w:p>
        </w:tc>
        <w:tc>
          <w:tcPr>
            <w:tcW w:w="794" w:type="dxa"/>
            <w:gridSpan w:val="2"/>
            <w:vAlign w:val="center"/>
          </w:tcPr>
          <w:p w14:paraId="60423065" w14:textId="38B5FF63" w:rsidR="00811C9C" w:rsidRPr="00E407FC" w:rsidRDefault="0053367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+14</w:t>
            </w:r>
            <w:r w:rsidR="00811C9C" w:rsidRPr="00E407FC">
              <w:rPr>
                <w:rFonts w:ascii="Arial" w:hAnsi="Arial" w:cs="Arial"/>
                <w:color w:val="17365D" w:themeColor="text2" w:themeShade="BF"/>
                <w:sz w:val="18"/>
                <w:szCs w:val="18"/>
              </w:rPr>
              <w:t>%</w:t>
            </w:r>
          </w:p>
        </w:tc>
        <w:tc>
          <w:tcPr>
            <w:tcW w:w="795" w:type="dxa"/>
            <w:gridSpan w:val="2"/>
            <w:vAlign w:val="center"/>
          </w:tcPr>
          <w:p w14:paraId="6647773F" w14:textId="56E9117F" w:rsidR="00811C9C" w:rsidRPr="00E407FC" w:rsidRDefault="0053367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+11</w:t>
            </w:r>
            <w:r w:rsidR="00811C9C" w:rsidRPr="00E407FC">
              <w:rPr>
                <w:rFonts w:ascii="Arial" w:hAnsi="Arial" w:cs="Arial"/>
                <w:color w:val="17365D" w:themeColor="text2" w:themeShade="BF"/>
                <w:sz w:val="18"/>
                <w:szCs w:val="18"/>
              </w:rPr>
              <w:t>%</w:t>
            </w:r>
          </w:p>
        </w:tc>
        <w:tc>
          <w:tcPr>
            <w:tcW w:w="794" w:type="dxa"/>
            <w:gridSpan w:val="2"/>
            <w:vAlign w:val="center"/>
          </w:tcPr>
          <w:p w14:paraId="5EB69396" w14:textId="1AF37504" w:rsidR="00811C9C" w:rsidRPr="00E407FC" w:rsidRDefault="00896A24"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w:t>
            </w:r>
            <w:r w:rsidR="00811C9C" w:rsidRPr="00E407FC">
              <w:rPr>
                <w:rFonts w:ascii="Arial" w:hAnsi="Arial" w:cs="Arial"/>
                <w:color w:val="17365D" w:themeColor="text2" w:themeShade="BF"/>
                <w:sz w:val="18"/>
                <w:szCs w:val="18"/>
              </w:rPr>
              <w:t>%</w:t>
            </w:r>
          </w:p>
        </w:tc>
        <w:tc>
          <w:tcPr>
            <w:tcW w:w="794" w:type="dxa"/>
            <w:vAlign w:val="center"/>
          </w:tcPr>
          <w:p w14:paraId="1D48CA52" w14:textId="772BDBD4" w:rsidR="00811C9C" w:rsidRPr="00E407FC" w:rsidRDefault="0053367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+11</w:t>
            </w:r>
            <w:r w:rsidR="00811C9C" w:rsidRPr="00E407FC">
              <w:rPr>
                <w:rFonts w:ascii="Arial" w:hAnsi="Arial" w:cs="Arial"/>
                <w:color w:val="17365D" w:themeColor="text2" w:themeShade="BF"/>
                <w:sz w:val="18"/>
                <w:szCs w:val="18"/>
              </w:rPr>
              <w:t>%</w:t>
            </w:r>
          </w:p>
        </w:tc>
        <w:tc>
          <w:tcPr>
            <w:tcW w:w="794" w:type="dxa"/>
            <w:vAlign w:val="center"/>
          </w:tcPr>
          <w:p w14:paraId="0C8663B0" w14:textId="1C275EBF" w:rsidR="00811C9C" w:rsidRPr="00E407FC" w:rsidRDefault="0053367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+17</w:t>
            </w:r>
            <w:r w:rsidR="00811C9C" w:rsidRPr="00E407FC">
              <w:rPr>
                <w:rFonts w:ascii="Arial" w:hAnsi="Arial" w:cs="Arial"/>
                <w:bCs/>
                <w:color w:val="17365D" w:themeColor="text2" w:themeShade="BF"/>
                <w:sz w:val="18"/>
                <w:szCs w:val="18"/>
              </w:rPr>
              <w:t>%</w:t>
            </w:r>
          </w:p>
        </w:tc>
        <w:tc>
          <w:tcPr>
            <w:tcW w:w="794" w:type="dxa"/>
            <w:vAlign w:val="center"/>
          </w:tcPr>
          <w:p w14:paraId="5BEAEAD4" w14:textId="1AECAA3A" w:rsidR="00811C9C" w:rsidRPr="00E407FC" w:rsidRDefault="00811C9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sidR="0053367C">
              <w:rPr>
                <w:rFonts w:ascii="Arial" w:hAnsi="Arial" w:cs="Arial"/>
                <w:bCs/>
                <w:color w:val="17365D" w:themeColor="text2" w:themeShade="BF"/>
                <w:sz w:val="18"/>
                <w:szCs w:val="18"/>
              </w:rPr>
              <w:t>15</w:t>
            </w:r>
            <w:r w:rsidRPr="00E407FC">
              <w:rPr>
                <w:rFonts w:ascii="Arial" w:hAnsi="Arial" w:cs="Arial"/>
                <w:bCs/>
                <w:color w:val="17365D" w:themeColor="text2" w:themeShade="BF"/>
                <w:sz w:val="18"/>
                <w:szCs w:val="18"/>
              </w:rPr>
              <w:t>%</w:t>
            </w:r>
          </w:p>
        </w:tc>
        <w:tc>
          <w:tcPr>
            <w:tcW w:w="794" w:type="dxa"/>
            <w:vAlign w:val="center"/>
          </w:tcPr>
          <w:p w14:paraId="0DC6DD18" w14:textId="6B8F3468" w:rsidR="00811C9C" w:rsidRPr="00E407FC" w:rsidRDefault="00811C9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sidR="0053367C">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794" w:type="dxa"/>
            <w:vAlign w:val="center"/>
          </w:tcPr>
          <w:p w14:paraId="272E655C" w14:textId="0F2AA258" w:rsidR="00811C9C" w:rsidRDefault="004903A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+1.6</w:t>
            </w:r>
            <w:r w:rsidR="0053367C">
              <w:rPr>
                <w:rFonts w:ascii="Arial" w:hAnsi="Arial" w:cs="Arial"/>
                <w:bCs/>
                <w:color w:val="17365D" w:themeColor="text2" w:themeShade="BF"/>
                <w:sz w:val="18"/>
                <w:szCs w:val="18"/>
              </w:rPr>
              <w:t>%</w:t>
            </w:r>
          </w:p>
        </w:tc>
        <w:tc>
          <w:tcPr>
            <w:tcW w:w="816" w:type="dxa"/>
            <w:vAlign w:val="center"/>
          </w:tcPr>
          <w:p w14:paraId="1AAB1DBF" w14:textId="68BFD41F" w:rsidR="00811C9C" w:rsidRPr="00E407FC" w:rsidRDefault="0053367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w:t>
            </w:r>
            <w:r w:rsidR="00D642D0">
              <w:rPr>
                <w:rFonts w:ascii="Arial" w:hAnsi="Arial" w:cs="Arial"/>
                <w:bCs/>
                <w:color w:val="17365D" w:themeColor="text2" w:themeShade="BF"/>
                <w:sz w:val="18"/>
                <w:szCs w:val="18"/>
              </w:rPr>
              <w:t>682</w:t>
            </w:r>
            <w:r w:rsidR="00811C9C" w:rsidRPr="00E407FC">
              <w:rPr>
                <w:rFonts w:ascii="Arial" w:hAnsi="Arial" w:cs="Arial"/>
                <w:bCs/>
                <w:color w:val="17365D" w:themeColor="text2" w:themeShade="BF"/>
                <w:sz w:val="18"/>
                <w:szCs w:val="18"/>
              </w:rPr>
              <w:t>M</w:t>
            </w:r>
          </w:p>
        </w:tc>
        <w:tc>
          <w:tcPr>
            <w:tcW w:w="851" w:type="dxa"/>
            <w:vAlign w:val="center"/>
          </w:tcPr>
          <w:p w14:paraId="31A0F4D1" w14:textId="6C53A7D4" w:rsidR="00811C9C" w:rsidRPr="00E407FC" w:rsidRDefault="00D642D0"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bCs/>
                <w:color w:val="17365D" w:themeColor="text2" w:themeShade="BF"/>
                <w:sz w:val="18"/>
                <w:szCs w:val="18"/>
              </w:rPr>
              <w:t>-1.2</w:t>
            </w:r>
            <w:r w:rsidR="00811C9C" w:rsidRPr="00E407FC">
              <w:rPr>
                <w:rFonts w:ascii="Arial" w:hAnsi="Arial" w:cs="Arial"/>
                <w:bCs/>
                <w:color w:val="17365D" w:themeColor="text2" w:themeShade="BF"/>
                <w:sz w:val="18"/>
                <w:szCs w:val="18"/>
              </w:rPr>
              <w:t>%</w:t>
            </w:r>
          </w:p>
        </w:tc>
        <w:tc>
          <w:tcPr>
            <w:tcW w:w="850" w:type="dxa"/>
            <w:vAlign w:val="center"/>
          </w:tcPr>
          <w:p w14:paraId="06DCB3E5" w14:textId="17F2D4BF" w:rsidR="00811C9C" w:rsidRPr="009B4A81" w:rsidRDefault="00D642D0"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+0.3</w:t>
            </w:r>
            <w:r w:rsidR="00811C9C" w:rsidRPr="009B4A81">
              <w:rPr>
                <w:rFonts w:ascii="Arial" w:hAnsi="Arial" w:cs="Arial"/>
                <w:color w:val="215868" w:themeColor="accent5" w:themeShade="80"/>
                <w:sz w:val="18"/>
                <w:szCs w:val="18"/>
              </w:rPr>
              <w:t>%</w:t>
            </w:r>
          </w:p>
        </w:tc>
      </w:tr>
      <w:tr w:rsidR="00D642D0" w:rsidRPr="00E407FC" w14:paraId="718F9D15" w14:textId="77777777" w:rsidTr="00B51610">
        <w:trPr>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224BE501" w14:textId="77777777" w:rsidR="00D642D0" w:rsidRPr="00E407FC" w:rsidRDefault="00D642D0" w:rsidP="00B51610">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Apples</w:t>
            </w:r>
          </w:p>
        </w:tc>
        <w:tc>
          <w:tcPr>
            <w:tcW w:w="955" w:type="dxa"/>
            <w:gridSpan w:val="3"/>
            <w:vAlign w:val="center"/>
          </w:tcPr>
          <w:p w14:paraId="549D1182" w14:textId="77777777" w:rsidR="00D642D0" w:rsidRPr="00091E61"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w:t>
            </w:r>
            <w:r w:rsidRPr="00091E61">
              <w:rPr>
                <w:rFonts w:ascii="Arial" w:hAnsi="Arial" w:cs="Arial"/>
                <w:color w:val="17365D" w:themeColor="text2" w:themeShade="BF"/>
                <w:sz w:val="18"/>
                <w:szCs w:val="18"/>
              </w:rPr>
              <w:t>%</w:t>
            </w:r>
          </w:p>
        </w:tc>
        <w:tc>
          <w:tcPr>
            <w:tcW w:w="794" w:type="dxa"/>
            <w:gridSpan w:val="2"/>
            <w:vAlign w:val="center"/>
          </w:tcPr>
          <w:p w14:paraId="28B58045"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w:t>
            </w:r>
            <w:r w:rsidRPr="00E407FC">
              <w:rPr>
                <w:rFonts w:ascii="Arial" w:hAnsi="Arial" w:cs="Arial"/>
                <w:color w:val="17365D" w:themeColor="text2" w:themeShade="BF"/>
                <w:sz w:val="18"/>
                <w:szCs w:val="18"/>
              </w:rPr>
              <w:t>%</w:t>
            </w:r>
          </w:p>
        </w:tc>
        <w:tc>
          <w:tcPr>
            <w:tcW w:w="795" w:type="dxa"/>
            <w:gridSpan w:val="2"/>
            <w:vAlign w:val="center"/>
          </w:tcPr>
          <w:p w14:paraId="56069AF3"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1</w:t>
            </w:r>
            <w:r w:rsidRPr="00E407FC">
              <w:rPr>
                <w:rFonts w:ascii="Arial" w:hAnsi="Arial" w:cs="Arial"/>
                <w:color w:val="17365D" w:themeColor="text2" w:themeShade="BF"/>
                <w:sz w:val="18"/>
                <w:szCs w:val="18"/>
              </w:rPr>
              <w:t>%</w:t>
            </w:r>
          </w:p>
        </w:tc>
        <w:tc>
          <w:tcPr>
            <w:tcW w:w="794" w:type="dxa"/>
            <w:gridSpan w:val="2"/>
            <w:vAlign w:val="center"/>
          </w:tcPr>
          <w:p w14:paraId="56734BD8"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w:t>
            </w:r>
            <w:r w:rsidRPr="00E407FC">
              <w:rPr>
                <w:rFonts w:ascii="Arial" w:hAnsi="Arial" w:cs="Arial"/>
                <w:color w:val="17365D" w:themeColor="text2" w:themeShade="BF"/>
                <w:sz w:val="18"/>
                <w:szCs w:val="18"/>
              </w:rPr>
              <w:t>%</w:t>
            </w:r>
          </w:p>
        </w:tc>
        <w:tc>
          <w:tcPr>
            <w:tcW w:w="794" w:type="dxa"/>
            <w:vAlign w:val="center"/>
          </w:tcPr>
          <w:p w14:paraId="20318911"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w:t>
            </w:r>
            <w:r w:rsidRPr="00E407FC">
              <w:rPr>
                <w:rFonts w:ascii="Arial" w:hAnsi="Arial" w:cs="Arial"/>
                <w:color w:val="17365D" w:themeColor="text2" w:themeShade="BF"/>
                <w:sz w:val="18"/>
                <w:szCs w:val="18"/>
              </w:rPr>
              <w:t>%</w:t>
            </w:r>
          </w:p>
        </w:tc>
        <w:tc>
          <w:tcPr>
            <w:tcW w:w="794" w:type="dxa"/>
            <w:vAlign w:val="center"/>
          </w:tcPr>
          <w:p w14:paraId="276424B9"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+8</w:t>
            </w:r>
            <w:r w:rsidRPr="00E407FC">
              <w:rPr>
                <w:rFonts w:ascii="Arial" w:hAnsi="Arial" w:cs="Arial"/>
                <w:bCs/>
                <w:color w:val="17365D" w:themeColor="text2" w:themeShade="BF"/>
                <w:sz w:val="18"/>
                <w:szCs w:val="18"/>
              </w:rPr>
              <w:t>%</w:t>
            </w:r>
          </w:p>
        </w:tc>
        <w:tc>
          <w:tcPr>
            <w:tcW w:w="794" w:type="dxa"/>
            <w:vAlign w:val="center"/>
          </w:tcPr>
          <w:p w14:paraId="47E194FD"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8</w:t>
            </w:r>
            <w:r w:rsidRPr="00C7349C">
              <w:rPr>
                <w:rFonts w:ascii="Arial" w:hAnsi="Arial" w:cs="Arial"/>
                <w:bCs/>
                <w:color w:val="17365D" w:themeColor="text2" w:themeShade="BF"/>
                <w:sz w:val="18"/>
                <w:szCs w:val="18"/>
              </w:rPr>
              <w:t>%</w:t>
            </w:r>
          </w:p>
        </w:tc>
        <w:tc>
          <w:tcPr>
            <w:tcW w:w="794" w:type="dxa"/>
            <w:vAlign w:val="center"/>
          </w:tcPr>
          <w:p w14:paraId="341D8833"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7</w:t>
            </w:r>
            <w:r w:rsidRPr="00C7349C">
              <w:rPr>
                <w:rFonts w:ascii="Arial" w:hAnsi="Arial" w:cs="Arial"/>
                <w:bCs/>
                <w:color w:val="17365D" w:themeColor="text2" w:themeShade="BF"/>
                <w:sz w:val="18"/>
                <w:szCs w:val="18"/>
              </w:rPr>
              <w:t>%</w:t>
            </w:r>
          </w:p>
        </w:tc>
        <w:tc>
          <w:tcPr>
            <w:tcW w:w="794" w:type="dxa"/>
            <w:vAlign w:val="center"/>
          </w:tcPr>
          <w:p w14:paraId="6BFEE1A5"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+2.5%</w:t>
            </w:r>
          </w:p>
        </w:tc>
        <w:tc>
          <w:tcPr>
            <w:tcW w:w="816" w:type="dxa"/>
            <w:vAlign w:val="center"/>
          </w:tcPr>
          <w:p w14:paraId="2C235DF8" w14:textId="4CCF5744"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450</w:t>
            </w:r>
            <w:r w:rsidRPr="00E407FC">
              <w:rPr>
                <w:rFonts w:ascii="Arial" w:hAnsi="Arial" w:cs="Arial"/>
                <w:bCs/>
                <w:color w:val="17365D" w:themeColor="text2" w:themeShade="BF"/>
                <w:sz w:val="18"/>
                <w:szCs w:val="18"/>
              </w:rPr>
              <w:t>M</w:t>
            </w:r>
          </w:p>
        </w:tc>
        <w:tc>
          <w:tcPr>
            <w:tcW w:w="851" w:type="dxa"/>
            <w:vAlign w:val="center"/>
          </w:tcPr>
          <w:p w14:paraId="63D8C3A4" w14:textId="35839D4C" w:rsidR="00D642D0" w:rsidRDefault="00D642D0" w:rsidP="00B51610">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0.7</w:t>
            </w:r>
            <w:r w:rsidRPr="00E407FC">
              <w:rPr>
                <w:rFonts w:ascii="Arial" w:hAnsi="Arial" w:cs="Arial"/>
                <w:bCs/>
                <w:color w:val="17365D" w:themeColor="text2" w:themeShade="BF"/>
                <w:sz w:val="18"/>
                <w:szCs w:val="18"/>
              </w:rPr>
              <w:t>%</w:t>
            </w:r>
          </w:p>
        </w:tc>
        <w:tc>
          <w:tcPr>
            <w:tcW w:w="850" w:type="dxa"/>
            <w:vAlign w:val="center"/>
          </w:tcPr>
          <w:p w14:paraId="0DD64E89" w14:textId="7706C8B8" w:rsidR="00D642D0" w:rsidRPr="009B4A81"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Pr>
                <w:rFonts w:ascii="Arial" w:hAnsi="Arial" w:cs="Arial"/>
                <w:color w:val="215868" w:themeColor="accent5" w:themeShade="80"/>
                <w:sz w:val="18"/>
                <w:szCs w:val="18"/>
              </w:rPr>
              <w:t>4.2</w:t>
            </w:r>
            <w:r w:rsidRPr="009B4A81">
              <w:rPr>
                <w:rFonts w:ascii="Arial" w:hAnsi="Arial" w:cs="Arial"/>
                <w:color w:val="215868" w:themeColor="accent5" w:themeShade="80"/>
                <w:sz w:val="18"/>
                <w:szCs w:val="18"/>
              </w:rPr>
              <w:t>%</w:t>
            </w:r>
          </w:p>
        </w:tc>
      </w:tr>
      <w:tr w:rsidR="00605AF1" w:rsidRPr="00E407FC" w14:paraId="09F4F97D" w14:textId="77777777" w:rsidTr="004903A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77260FAB" w14:textId="77777777" w:rsidR="00605AF1" w:rsidRPr="00E407FC" w:rsidRDefault="00605AF1" w:rsidP="00D10C95">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Grapes</w:t>
            </w:r>
          </w:p>
        </w:tc>
        <w:tc>
          <w:tcPr>
            <w:tcW w:w="955" w:type="dxa"/>
            <w:gridSpan w:val="3"/>
            <w:vAlign w:val="center"/>
          </w:tcPr>
          <w:p w14:paraId="0A341114" w14:textId="77777777" w:rsidR="00605AF1" w:rsidRPr="00091E61"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w:t>
            </w:r>
            <w:r w:rsidRPr="00091E61">
              <w:rPr>
                <w:rFonts w:ascii="Arial" w:hAnsi="Arial" w:cs="Arial"/>
                <w:color w:val="17365D" w:themeColor="text2" w:themeShade="BF"/>
                <w:sz w:val="18"/>
                <w:szCs w:val="18"/>
              </w:rPr>
              <w:t>%</w:t>
            </w:r>
          </w:p>
        </w:tc>
        <w:tc>
          <w:tcPr>
            <w:tcW w:w="794" w:type="dxa"/>
            <w:gridSpan w:val="2"/>
            <w:vAlign w:val="center"/>
          </w:tcPr>
          <w:p w14:paraId="0A7FECC8"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w:t>
            </w:r>
            <w:r w:rsidRPr="00E407FC">
              <w:rPr>
                <w:rFonts w:ascii="Arial" w:hAnsi="Arial" w:cs="Arial"/>
                <w:color w:val="17365D" w:themeColor="text2" w:themeShade="BF"/>
                <w:sz w:val="18"/>
                <w:szCs w:val="18"/>
              </w:rPr>
              <w:t>%</w:t>
            </w:r>
          </w:p>
        </w:tc>
        <w:tc>
          <w:tcPr>
            <w:tcW w:w="795" w:type="dxa"/>
            <w:gridSpan w:val="2"/>
            <w:vAlign w:val="center"/>
          </w:tcPr>
          <w:p w14:paraId="68AB7731"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w:t>
            </w:r>
            <w:r w:rsidRPr="00E407FC">
              <w:rPr>
                <w:rFonts w:ascii="Arial" w:hAnsi="Arial" w:cs="Arial"/>
                <w:color w:val="17365D" w:themeColor="text2" w:themeShade="BF"/>
                <w:sz w:val="18"/>
                <w:szCs w:val="18"/>
              </w:rPr>
              <w:t>%</w:t>
            </w:r>
          </w:p>
        </w:tc>
        <w:tc>
          <w:tcPr>
            <w:tcW w:w="794" w:type="dxa"/>
            <w:gridSpan w:val="2"/>
            <w:vAlign w:val="center"/>
          </w:tcPr>
          <w:p w14:paraId="15087808"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w:t>
            </w:r>
            <w:r w:rsidRPr="00E407FC">
              <w:rPr>
                <w:rFonts w:ascii="Arial" w:hAnsi="Arial" w:cs="Arial"/>
                <w:color w:val="17365D" w:themeColor="text2" w:themeShade="BF"/>
                <w:sz w:val="18"/>
                <w:szCs w:val="18"/>
              </w:rPr>
              <w:t>%</w:t>
            </w:r>
          </w:p>
        </w:tc>
        <w:tc>
          <w:tcPr>
            <w:tcW w:w="794" w:type="dxa"/>
            <w:vAlign w:val="center"/>
          </w:tcPr>
          <w:p w14:paraId="00F18D99"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+7</w:t>
            </w:r>
            <w:r w:rsidRPr="00E407FC">
              <w:rPr>
                <w:rFonts w:ascii="Arial" w:hAnsi="Arial" w:cs="Arial"/>
                <w:color w:val="17365D" w:themeColor="text2" w:themeShade="BF"/>
                <w:sz w:val="18"/>
                <w:szCs w:val="18"/>
              </w:rPr>
              <w:t>%</w:t>
            </w:r>
          </w:p>
        </w:tc>
        <w:tc>
          <w:tcPr>
            <w:tcW w:w="794" w:type="dxa"/>
            <w:vAlign w:val="center"/>
          </w:tcPr>
          <w:p w14:paraId="4DD1CD05"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+12</w:t>
            </w:r>
            <w:r w:rsidRPr="00E407FC">
              <w:rPr>
                <w:rFonts w:ascii="Arial" w:hAnsi="Arial" w:cs="Arial"/>
                <w:bCs/>
                <w:color w:val="17365D" w:themeColor="text2" w:themeShade="BF"/>
                <w:sz w:val="18"/>
                <w:szCs w:val="18"/>
              </w:rPr>
              <w:t>%</w:t>
            </w:r>
          </w:p>
        </w:tc>
        <w:tc>
          <w:tcPr>
            <w:tcW w:w="794" w:type="dxa"/>
            <w:vAlign w:val="center"/>
          </w:tcPr>
          <w:p w14:paraId="04B319A1"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5</w:t>
            </w:r>
            <w:r w:rsidRPr="00C7349C">
              <w:rPr>
                <w:rFonts w:ascii="Arial" w:hAnsi="Arial" w:cs="Arial"/>
                <w:bCs/>
                <w:color w:val="17365D" w:themeColor="text2" w:themeShade="BF"/>
                <w:sz w:val="18"/>
                <w:szCs w:val="18"/>
              </w:rPr>
              <w:t>%</w:t>
            </w:r>
          </w:p>
        </w:tc>
        <w:tc>
          <w:tcPr>
            <w:tcW w:w="794" w:type="dxa"/>
            <w:vAlign w:val="center"/>
          </w:tcPr>
          <w:p w14:paraId="65EAE823"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6</w:t>
            </w:r>
            <w:r w:rsidRPr="00C7349C">
              <w:rPr>
                <w:rFonts w:ascii="Arial" w:hAnsi="Arial" w:cs="Arial"/>
                <w:bCs/>
                <w:color w:val="17365D" w:themeColor="text2" w:themeShade="BF"/>
                <w:sz w:val="18"/>
                <w:szCs w:val="18"/>
              </w:rPr>
              <w:t>%</w:t>
            </w:r>
          </w:p>
        </w:tc>
        <w:tc>
          <w:tcPr>
            <w:tcW w:w="794" w:type="dxa"/>
            <w:vAlign w:val="center"/>
          </w:tcPr>
          <w:p w14:paraId="7FD87ED2" w14:textId="36B01F9A" w:rsidR="00605AF1" w:rsidRPr="00E407FC" w:rsidRDefault="004903A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+2.3</w:t>
            </w:r>
            <w:r w:rsidR="00605AF1">
              <w:rPr>
                <w:rFonts w:ascii="Arial" w:hAnsi="Arial" w:cs="Arial"/>
                <w:bCs/>
                <w:color w:val="17365D" w:themeColor="text2" w:themeShade="BF"/>
                <w:sz w:val="18"/>
                <w:szCs w:val="18"/>
              </w:rPr>
              <w:t>%</w:t>
            </w:r>
          </w:p>
        </w:tc>
        <w:tc>
          <w:tcPr>
            <w:tcW w:w="816" w:type="dxa"/>
            <w:vAlign w:val="center"/>
          </w:tcPr>
          <w:p w14:paraId="2F864503" w14:textId="66FDB3EC"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D642D0">
              <w:rPr>
                <w:rFonts w:ascii="Arial" w:hAnsi="Arial" w:cs="Arial"/>
                <w:bCs/>
                <w:color w:val="17365D" w:themeColor="text2" w:themeShade="BF"/>
                <w:sz w:val="18"/>
                <w:szCs w:val="18"/>
              </w:rPr>
              <w:t>418</w:t>
            </w:r>
            <w:r w:rsidRPr="00E407FC">
              <w:rPr>
                <w:rFonts w:ascii="Arial" w:hAnsi="Arial" w:cs="Arial"/>
                <w:bCs/>
                <w:color w:val="17365D" w:themeColor="text2" w:themeShade="BF"/>
                <w:sz w:val="18"/>
                <w:szCs w:val="18"/>
              </w:rPr>
              <w:t>M</w:t>
            </w:r>
          </w:p>
        </w:tc>
        <w:tc>
          <w:tcPr>
            <w:tcW w:w="851" w:type="dxa"/>
            <w:vAlign w:val="center"/>
          </w:tcPr>
          <w:p w14:paraId="4D124E58" w14:textId="3925EE19" w:rsidR="00605AF1" w:rsidRDefault="00605AF1" w:rsidP="004903AC">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w:t>
            </w:r>
            <w:r w:rsidR="00D642D0">
              <w:rPr>
                <w:rFonts w:ascii="Arial" w:hAnsi="Arial" w:cs="Arial"/>
                <w:bCs/>
                <w:color w:val="17365D" w:themeColor="text2" w:themeShade="BF"/>
                <w:sz w:val="18"/>
                <w:szCs w:val="18"/>
              </w:rPr>
              <w:t>0.2</w:t>
            </w:r>
            <w:r w:rsidRPr="00E407FC">
              <w:rPr>
                <w:rFonts w:ascii="Arial" w:hAnsi="Arial" w:cs="Arial"/>
                <w:bCs/>
                <w:color w:val="17365D" w:themeColor="text2" w:themeShade="BF"/>
                <w:sz w:val="18"/>
                <w:szCs w:val="18"/>
              </w:rPr>
              <w:t>%</w:t>
            </w:r>
          </w:p>
        </w:tc>
        <w:tc>
          <w:tcPr>
            <w:tcW w:w="850" w:type="dxa"/>
            <w:vAlign w:val="center"/>
          </w:tcPr>
          <w:p w14:paraId="52546008" w14:textId="463DE4CC" w:rsidR="00605AF1" w:rsidRPr="009B4A81"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D642D0">
              <w:rPr>
                <w:rFonts w:ascii="Arial" w:hAnsi="Arial" w:cs="Arial"/>
                <w:color w:val="215868" w:themeColor="accent5" w:themeShade="80"/>
                <w:sz w:val="18"/>
                <w:szCs w:val="18"/>
              </w:rPr>
              <w:t>6.5</w:t>
            </w:r>
            <w:r w:rsidRPr="009B4A81">
              <w:rPr>
                <w:rFonts w:ascii="Arial" w:hAnsi="Arial" w:cs="Arial"/>
                <w:color w:val="215868" w:themeColor="accent5" w:themeShade="80"/>
                <w:sz w:val="18"/>
                <w:szCs w:val="18"/>
              </w:rPr>
              <w:t>%</w:t>
            </w:r>
          </w:p>
        </w:tc>
      </w:tr>
      <w:tr w:rsidR="00D642D0" w:rsidRPr="00E407FC" w14:paraId="58588B64" w14:textId="77777777" w:rsidTr="00B51610">
        <w:trPr>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60980BDF" w14:textId="77777777" w:rsidR="00D642D0" w:rsidRPr="00E407FC" w:rsidRDefault="00D642D0" w:rsidP="00B51610">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Bananas</w:t>
            </w:r>
          </w:p>
        </w:tc>
        <w:tc>
          <w:tcPr>
            <w:tcW w:w="955" w:type="dxa"/>
            <w:gridSpan w:val="3"/>
            <w:vAlign w:val="center"/>
          </w:tcPr>
          <w:p w14:paraId="440C6678" w14:textId="77777777" w:rsidR="00D642D0" w:rsidRPr="00091E61"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w:t>
            </w:r>
            <w:r w:rsidRPr="00091E61">
              <w:rPr>
                <w:rFonts w:ascii="Arial" w:hAnsi="Arial" w:cs="Arial"/>
                <w:color w:val="17365D" w:themeColor="text2" w:themeShade="BF"/>
                <w:sz w:val="18"/>
                <w:szCs w:val="18"/>
              </w:rPr>
              <w:t>%</w:t>
            </w:r>
          </w:p>
        </w:tc>
        <w:tc>
          <w:tcPr>
            <w:tcW w:w="794" w:type="dxa"/>
            <w:gridSpan w:val="2"/>
            <w:vAlign w:val="center"/>
          </w:tcPr>
          <w:p w14:paraId="2AC3D81F"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w:t>
            </w:r>
            <w:r w:rsidRPr="00E407FC">
              <w:rPr>
                <w:rFonts w:ascii="Arial" w:hAnsi="Arial" w:cs="Arial"/>
                <w:color w:val="17365D" w:themeColor="text2" w:themeShade="BF"/>
                <w:sz w:val="18"/>
                <w:szCs w:val="18"/>
              </w:rPr>
              <w:t>%</w:t>
            </w:r>
          </w:p>
        </w:tc>
        <w:tc>
          <w:tcPr>
            <w:tcW w:w="795" w:type="dxa"/>
            <w:gridSpan w:val="2"/>
            <w:vAlign w:val="center"/>
          </w:tcPr>
          <w:p w14:paraId="3646DE86"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1</w:t>
            </w:r>
            <w:r w:rsidRPr="00E407FC">
              <w:rPr>
                <w:rFonts w:ascii="Arial" w:hAnsi="Arial" w:cs="Arial"/>
                <w:color w:val="17365D" w:themeColor="text2" w:themeShade="BF"/>
                <w:sz w:val="18"/>
                <w:szCs w:val="18"/>
              </w:rPr>
              <w:t>%</w:t>
            </w:r>
          </w:p>
        </w:tc>
        <w:tc>
          <w:tcPr>
            <w:tcW w:w="794" w:type="dxa"/>
            <w:gridSpan w:val="2"/>
            <w:vAlign w:val="center"/>
          </w:tcPr>
          <w:p w14:paraId="57D39C89"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2</w:t>
            </w:r>
            <w:r w:rsidRPr="00E407FC">
              <w:rPr>
                <w:rFonts w:ascii="Arial" w:hAnsi="Arial" w:cs="Arial"/>
                <w:color w:val="17365D" w:themeColor="text2" w:themeShade="BF"/>
                <w:sz w:val="18"/>
                <w:szCs w:val="18"/>
              </w:rPr>
              <w:t>%</w:t>
            </w:r>
          </w:p>
        </w:tc>
        <w:tc>
          <w:tcPr>
            <w:tcW w:w="794" w:type="dxa"/>
            <w:vAlign w:val="center"/>
          </w:tcPr>
          <w:p w14:paraId="6C291626"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4%</w:t>
            </w:r>
          </w:p>
        </w:tc>
        <w:tc>
          <w:tcPr>
            <w:tcW w:w="794" w:type="dxa"/>
            <w:vAlign w:val="center"/>
          </w:tcPr>
          <w:p w14:paraId="7F439C99"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+3</w:t>
            </w:r>
            <w:r w:rsidRPr="00E407FC">
              <w:rPr>
                <w:rFonts w:ascii="Arial" w:hAnsi="Arial" w:cs="Arial"/>
                <w:bCs/>
                <w:color w:val="17365D" w:themeColor="text2" w:themeShade="BF"/>
                <w:sz w:val="18"/>
                <w:szCs w:val="18"/>
              </w:rPr>
              <w:t>%</w:t>
            </w:r>
          </w:p>
        </w:tc>
        <w:tc>
          <w:tcPr>
            <w:tcW w:w="794" w:type="dxa"/>
            <w:vAlign w:val="center"/>
          </w:tcPr>
          <w:p w14:paraId="5FDB8FE4"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w:t>
            </w:r>
            <w:r w:rsidRPr="00C7349C">
              <w:rPr>
                <w:rFonts w:ascii="Arial" w:hAnsi="Arial" w:cs="Arial"/>
                <w:bCs/>
                <w:color w:val="17365D" w:themeColor="text2" w:themeShade="BF"/>
                <w:sz w:val="18"/>
                <w:szCs w:val="18"/>
              </w:rPr>
              <w:t>%</w:t>
            </w:r>
          </w:p>
        </w:tc>
        <w:tc>
          <w:tcPr>
            <w:tcW w:w="794" w:type="dxa"/>
            <w:vAlign w:val="center"/>
          </w:tcPr>
          <w:p w14:paraId="052C16D7"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-2</w:t>
            </w:r>
            <w:r w:rsidRPr="00C7349C">
              <w:rPr>
                <w:rFonts w:ascii="Arial" w:hAnsi="Arial" w:cs="Arial"/>
                <w:bCs/>
                <w:color w:val="17365D" w:themeColor="text2" w:themeShade="BF"/>
                <w:sz w:val="18"/>
                <w:szCs w:val="18"/>
              </w:rPr>
              <w:t>%</w:t>
            </w:r>
          </w:p>
        </w:tc>
        <w:tc>
          <w:tcPr>
            <w:tcW w:w="794" w:type="dxa"/>
            <w:vAlign w:val="center"/>
          </w:tcPr>
          <w:p w14:paraId="0774F6FF"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+3.6%</w:t>
            </w:r>
          </w:p>
        </w:tc>
        <w:tc>
          <w:tcPr>
            <w:tcW w:w="816" w:type="dxa"/>
            <w:vAlign w:val="center"/>
          </w:tcPr>
          <w:p w14:paraId="2D3453A7" w14:textId="1D8915CB"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312</w:t>
            </w:r>
            <w:r w:rsidRPr="00E407FC">
              <w:rPr>
                <w:rFonts w:ascii="Arial" w:hAnsi="Arial" w:cs="Arial"/>
                <w:bCs/>
                <w:color w:val="17365D" w:themeColor="text2" w:themeShade="BF"/>
                <w:sz w:val="18"/>
                <w:szCs w:val="18"/>
              </w:rPr>
              <w:t>M</w:t>
            </w:r>
          </w:p>
        </w:tc>
        <w:tc>
          <w:tcPr>
            <w:tcW w:w="851" w:type="dxa"/>
            <w:vAlign w:val="center"/>
          </w:tcPr>
          <w:p w14:paraId="4B79FE4A" w14:textId="0FFEC4E4" w:rsidR="00D642D0" w:rsidRDefault="00D642D0" w:rsidP="00B51610">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4.1</w:t>
            </w:r>
            <w:r w:rsidRPr="00E407FC">
              <w:rPr>
                <w:rFonts w:ascii="Arial" w:hAnsi="Arial" w:cs="Arial"/>
                <w:bCs/>
                <w:color w:val="17365D" w:themeColor="text2" w:themeShade="BF"/>
                <w:sz w:val="18"/>
                <w:szCs w:val="18"/>
              </w:rPr>
              <w:t>%</w:t>
            </w:r>
          </w:p>
        </w:tc>
        <w:tc>
          <w:tcPr>
            <w:tcW w:w="850" w:type="dxa"/>
            <w:vAlign w:val="center"/>
          </w:tcPr>
          <w:p w14:paraId="221D47CF" w14:textId="5536CA34" w:rsidR="00D642D0" w:rsidRPr="009B4A81"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Pr>
                <w:rFonts w:ascii="Arial" w:hAnsi="Arial" w:cs="Arial"/>
                <w:color w:val="215868" w:themeColor="accent5" w:themeShade="80"/>
                <w:sz w:val="18"/>
                <w:szCs w:val="18"/>
              </w:rPr>
              <w:t>1.0</w:t>
            </w:r>
            <w:r w:rsidRPr="009B4A81">
              <w:rPr>
                <w:rFonts w:ascii="Arial" w:hAnsi="Arial" w:cs="Arial"/>
                <w:color w:val="215868" w:themeColor="accent5" w:themeShade="80"/>
                <w:sz w:val="18"/>
                <w:szCs w:val="18"/>
              </w:rPr>
              <w:t>%</w:t>
            </w:r>
          </w:p>
        </w:tc>
      </w:tr>
      <w:tr w:rsidR="00D642D0" w:rsidRPr="00E407FC" w14:paraId="5E0FA04D" w14:textId="77777777" w:rsidTr="004903A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0450ED95" w14:textId="5C90822D" w:rsidR="00811C9C" w:rsidRPr="00E407FC" w:rsidRDefault="00811C9C" w:rsidP="000811E7">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Melons</w:t>
            </w:r>
          </w:p>
        </w:tc>
        <w:tc>
          <w:tcPr>
            <w:tcW w:w="955" w:type="dxa"/>
            <w:gridSpan w:val="3"/>
            <w:vAlign w:val="center"/>
          </w:tcPr>
          <w:p w14:paraId="2FB712D2" w14:textId="55ED64B9" w:rsidR="00811C9C" w:rsidRPr="00091E61" w:rsidRDefault="0053367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w:t>
            </w:r>
            <w:r w:rsidR="00811C9C" w:rsidRPr="00091E61">
              <w:rPr>
                <w:rFonts w:ascii="Arial" w:hAnsi="Arial" w:cs="Arial"/>
                <w:color w:val="17365D" w:themeColor="text2" w:themeShade="BF"/>
                <w:sz w:val="18"/>
                <w:szCs w:val="18"/>
              </w:rPr>
              <w:t>%</w:t>
            </w:r>
          </w:p>
        </w:tc>
        <w:tc>
          <w:tcPr>
            <w:tcW w:w="794" w:type="dxa"/>
            <w:gridSpan w:val="2"/>
            <w:vAlign w:val="center"/>
          </w:tcPr>
          <w:p w14:paraId="1D59C3C7" w14:textId="60FA2C71" w:rsidR="00811C9C" w:rsidRPr="00E407FC" w:rsidRDefault="0053367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r w:rsidR="00811C9C" w:rsidRPr="00E407FC">
              <w:rPr>
                <w:rFonts w:ascii="Arial" w:hAnsi="Arial" w:cs="Arial"/>
                <w:color w:val="17365D" w:themeColor="text2" w:themeShade="BF"/>
                <w:sz w:val="18"/>
                <w:szCs w:val="18"/>
              </w:rPr>
              <w:t>%</w:t>
            </w:r>
          </w:p>
        </w:tc>
        <w:tc>
          <w:tcPr>
            <w:tcW w:w="795" w:type="dxa"/>
            <w:gridSpan w:val="2"/>
            <w:vAlign w:val="center"/>
          </w:tcPr>
          <w:p w14:paraId="17B879B2" w14:textId="5323AE55" w:rsidR="00811C9C" w:rsidRPr="00E407FC" w:rsidRDefault="00811C9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10%</w:t>
            </w:r>
          </w:p>
        </w:tc>
        <w:tc>
          <w:tcPr>
            <w:tcW w:w="794" w:type="dxa"/>
            <w:gridSpan w:val="2"/>
            <w:vAlign w:val="center"/>
          </w:tcPr>
          <w:p w14:paraId="1B215152" w14:textId="79294DEC" w:rsidR="00811C9C" w:rsidRPr="00E407FC" w:rsidRDefault="0053367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+14</w:t>
            </w:r>
            <w:r w:rsidR="00811C9C" w:rsidRPr="00E407FC">
              <w:rPr>
                <w:rFonts w:ascii="Arial" w:hAnsi="Arial" w:cs="Arial"/>
                <w:color w:val="17365D" w:themeColor="text2" w:themeShade="BF"/>
                <w:sz w:val="18"/>
                <w:szCs w:val="18"/>
              </w:rPr>
              <w:t>%</w:t>
            </w:r>
          </w:p>
        </w:tc>
        <w:tc>
          <w:tcPr>
            <w:tcW w:w="794" w:type="dxa"/>
            <w:vAlign w:val="center"/>
          </w:tcPr>
          <w:p w14:paraId="68397E58" w14:textId="4D539895" w:rsidR="00811C9C" w:rsidRPr="00E407FC" w:rsidRDefault="00811C9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53367C">
              <w:rPr>
                <w:rFonts w:ascii="Arial" w:hAnsi="Arial" w:cs="Arial"/>
                <w:color w:val="17365D" w:themeColor="text2" w:themeShade="BF"/>
                <w:sz w:val="18"/>
                <w:szCs w:val="18"/>
              </w:rPr>
              <w:t>6</w:t>
            </w:r>
            <w:r w:rsidRPr="00E407FC">
              <w:rPr>
                <w:rFonts w:ascii="Arial" w:hAnsi="Arial" w:cs="Arial"/>
                <w:color w:val="17365D" w:themeColor="text2" w:themeShade="BF"/>
                <w:sz w:val="18"/>
                <w:szCs w:val="18"/>
              </w:rPr>
              <w:t>%</w:t>
            </w:r>
          </w:p>
        </w:tc>
        <w:tc>
          <w:tcPr>
            <w:tcW w:w="794" w:type="dxa"/>
            <w:vAlign w:val="center"/>
          </w:tcPr>
          <w:p w14:paraId="00B0E1B8" w14:textId="52997A68" w:rsidR="00811C9C" w:rsidRPr="00E407FC" w:rsidRDefault="0053367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+23</w:t>
            </w:r>
            <w:r w:rsidR="00811C9C" w:rsidRPr="00E407FC">
              <w:rPr>
                <w:rFonts w:ascii="Arial" w:hAnsi="Arial" w:cs="Arial"/>
                <w:bCs/>
                <w:color w:val="17365D" w:themeColor="text2" w:themeShade="BF"/>
                <w:sz w:val="18"/>
                <w:szCs w:val="18"/>
              </w:rPr>
              <w:t>%</w:t>
            </w:r>
          </w:p>
        </w:tc>
        <w:tc>
          <w:tcPr>
            <w:tcW w:w="794" w:type="dxa"/>
            <w:vAlign w:val="center"/>
          </w:tcPr>
          <w:p w14:paraId="1CD00AF7" w14:textId="4DAC3917" w:rsidR="00811C9C" w:rsidRPr="00E407FC" w:rsidRDefault="00811C9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sidR="0053367C">
              <w:rPr>
                <w:rFonts w:ascii="Arial" w:hAnsi="Arial" w:cs="Arial"/>
                <w:bCs/>
                <w:color w:val="17365D" w:themeColor="text2" w:themeShade="BF"/>
                <w:sz w:val="18"/>
                <w:szCs w:val="18"/>
              </w:rPr>
              <w:t>28</w:t>
            </w:r>
            <w:r w:rsidRPr="00C7349C">
              <w:rPr>
                <w:rFonts w:ascii="Arial" w:hAnsi="Arial" w:cs="Arial"/>
                <w:bCs/>
                <w:color w:val="17365D" w:themeColor="text2" w:themeShade="BF"/>
                <w:sz w:val="18"/>
                <w:szCs w:val="18"/>
              </w:rPr>
              <w:t>%</w:t>
            </w:r>
          </w:p>
        </w:tc>
        <w:tc>
          <w:tcPr>
            <w:tcW w:w="794" w:type="dxa"/>
            <w:vAlign w:val="center"/>
          </w:tcPr>
          <w:p w14:paraId="60CDEE3F" w14:textId="7F2F9E67" w:rsidR="00811C9C" w:rsidRPr="00E407FC" w:rsidRDefault="00811C9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sidR="0053367C">
              <w:rPr>
                <w:rFonts w:ascii="Arial" w:hAnsi="Arial" w:cs="Arial"/>
                <w:bCs/>
                <w:color w:val="17365D" w:themeColor="text2" w:themeShade="BF"/>
                <w:sz w:val="18"/>
                <w:szCs w:val="18"/>
              </w:rPr>
              <w:t>7</w:t>
            </w:r>
            <w:r w:rsidRPr="00C7349C">
              <w:rPr>
                <w:rFonts w:ascii="Arial" w:hAnsi="Arial" w:cs="Arial"/>
                <w:bCs/>
                <w:color w:val="17365D" w:themeColor="text2" w:themeShade="BF"/>
                <w:sz w:val="18"/>
                <w:szCs w:val="18"/>
              </w:rPr>
              <w:t>%</w:t>
            </w:r>
          </w:p>
        </w:tc>
        <w:tc>
          <w:tcPr>
            <w:tcW w:w="794" w:type="dxa"/>
            <w:vAlign w:val="center"/>
          </w:tcPr>
          <w:p w14:paraId="46EBC066" w14:textId="0A6A54B1" w:rsidR="00811C9C" w:rsidRPr="00E407FC" w:rsidRDefault="004903A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+8.3</w:t>
            </w:r>
            <w:r w:rsidR="0053367C">
              <w:rPr>
                <w:rFonts w:ascii="Arial" w:hAnsi="Arial" w:cs="Arial"/>
                <w:bCs/>
                <w:color w:val="17365D" w:themeColor="text2" w:themeShade="BF"/>
                <w:sz w:val="18"/>
                <w:szCs w:val="18"/>
              </w:rPr>
              <w:t>%</w:t>
            </w:r>
          </w:p>
        </w:tc>
        <w:tc>
          <w:tcPr>
            <w:tcW w:w="816" w:type="dxa"/>
            <w:vAlign w:val="center"/>
          </w:tcPr>
          <w:p w14:paraId="74416545" w14:textId="3AF37C01" w:rsidR="00811C9C" w:rsidRPr="00E407FC" w:rsidRDefault="00811C9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D642D0">
              <w:rPr>
                <w:rFonts w:ascii="Arial" w:hAnsi="Arial" w:cs="Arial"/>
                <w:bCs/>
                <w:color w:val="17365D" w:themeColor="text2" w:themeShade="BF"/>
                <w:sz w:val="18"/>
                <w:szCs w:val="18"/>
              </w:rPr>
              <w:t>216</w:t>
            </w:r>
            <w:r w:rsidRPr="00E407FC">
              <w:rPr>
                <w:rFonts w:ascii="Arial" w:hAnsi="Arial" w:cs="Arial"/>
                <w:bCs/>
                <w:color w:val="17365D" w:themeColor="text2" w:themeShade="BF"/>
                <w:sz w:val="18"/>
                <w:szCs w:val="18"/>
              </w:rPr>
              <w:t>M</w:t>
            </w:r>
          </w:p>
        </w:tc>
        <w:tc>
          <w:tcPr>
            <w:tcW w:w="851" w:type="dxa"/>
            <w:vAlign w:val="center"/>
          </w:tcPr>
          <w:p w14:paraId="0BD6EE9C" w14:textId="498E96E7" w:rsidR="00811C9C" w:rsidRDefault="00D642D0" w:rsidP="004903AC">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-1.8</w:t>
            </w:r>
            <w:r w:rsidR="00811C9C" w:rsidRPr="00E407FC">
              <w:rPr>
                <w:rFonts w:ascii="Arial" w:hAnsi="Arial" w:cs="Arial"/>
                <w:bCs/>
                <w:color w:val="17365D" w:themeColor="text2" w:themeShade="BF"/>
                <w:sz w:val="18"/>
                <w:szCs w:val="18"/>
              </w:rPr>
              <w:t>%</w:t>
            </w:r>
          </w:p>
        </w:tc>
        <w:tc>
          <w:tcPr>
            <w:tcW w:w="850" w:type="dxa"/>
            <w:vAlign w:val="center"/>
          </w:tcPr>
          <w:p w14:paraId="4F8C8D25" w14:textId="44E25278" w:rsidR="00811C9C" w:rsidRPr="009B4A81" w:rsidRDefault="00811C9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sidR="00D642D0">
              <w:rPr>
                <w:rFonts w:ascii="Arial" w:hAnsi="Arial" w:cs="Arial"/>
                <w:color w:val="215868" w:themeColor="accent5" w:themeShade="80"/>
                <w:sz w:val="18"/>
                <w:szCs w:val="18"/>
              </w:rPr>
              <w:t>11.5</w:t>
            </w:r>
            <w:r w:rsidRPr="009B4A81">
              <w:rPr>
                <w:rFonts w:ascii="Arial" w:hAnsi="Arial" w:cs="Arial"/>
                <w:color w:val="215868" w:themeColor="accent5" w:themeShade="80"/>
                <w:sz w:val="18"/>
                <w:szCs w:val="18"/>
              </w:rPr>
              <w:t>%</w:t>
            </w:r>
          </w:p>
        </w:tc>
      </w:tr>
      <w:tr w:rsidR="00D642D0" w:rsidRPr="00E407FC" w14:paraId="3721BE06" w14:textId="77777777" w:rsidTr="004903AC">
        <w:trPr>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70C96842" w14:textId="77777777" w:rsidR="00605AF1" w:rsidRPr="00E407FC" w:rsidRDefault="00605AF1" w:rsidP="00D10C95">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Avocados</w:t>
            </w:r>
          </w:p>
        </w:tc>
        <w:tc>
          <w:tcPr>
            <w:tcW w:w="955" w:type="dxa"/>
            <w:gridSpan w:val="3"/>
            <w:vAlign w:val="center"/>
          </w:tcPr>
          <w:p w14:paraId="79B1B192" w14:textId="77777777" w:rsidR="00605AF1" w:rsidRPr="00091E61"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+7</w:t>
            </w:r>
            <w:r w:rsidRPr="00091E61">
              <w:rPr>
                <w:rFonts w:ascii="Arial" w:hAnsi="Arial" w:cs="Arial"/>
                <w:color w:val="17365D" w:themeColor="text2" w:themeShade="BF"/>
                <w:sz w:val="18"/>
                <w:szCs w:val="18"/>
              </w:rPr>
              <w:t>%</w:t>
            </w:r>
          </w:p>
        </w:tc>
        <w:tc>
          <w:tcPr>
            <w:tcW w:w="794" w:type="dxa"/>
            <w:gridSpan w:val="2"/>
            <w:vAlign w:val="center"/>
          </w:tcPr>
          <w:p w14:paraId="30F62926" w14:textId="77777777" w:rsidR="00605AF1" w:rsidRPr="00E407FC"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w:t>
            </w:r>
            <w:r w:rsidRPr="00E407FC">
              <w:rPr>
                <w:rFonts w:ascii="Arial" w:hAnsi="Arial" w:cs="Arial"/>
                <w:color w:val="17365D" w:themeColor="text2" w:themeShade="BF"/>
                <w:sz w:val="18"/>
                <w:szCs w:val="18"/>
              </w:rPr>
              <w:t>%</w:t>
            </w:r>
          </w:p>
        </w:tc>
        <w:tc>
          <w:tcPr>
            <w:tcW w:w="795" w:type="dxa"/>
            <w:gridSpan w:val="2"/>
            <w:vAlign w:val="center"/>
          </w:tcPr>
          <w:p w14:paraId="6E955B10" w14:textId="77777777" w:rsidR="00605AF1" w:rsidRPr="00E407FC"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1</w:t>
            </w:r>
            <w:r w:rsidRPr="00E407FC">
              <w:rPr>
                <w:rFonts w:ascii="Arial" w:hAnsi="Arial" w:cs="Arial"/>
                <w:color w:val="17365D" w:themeColor="text2" w:themeShade="BF"/>
                <w:sz w:val="18"/>
                <w:szCs w:val="18"/>
              </w:rPr>
              <w:t>%</w:t>
            </w:r>
          </w:p>
        </w:tc>
        <w:tc>
          <w:tcPr>
            <w:tcW w:w="794" w:type="dxa"/>
            <w:gridSpan w:val="2"/>
            <w:vAlign w:val="center"/>
          </w:tcPr>
          <w:p w14:paraId="72D360DB" w14:textId="77777777" w:rsidR="00605AF1" w:rsidRPr="00E407FC"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9</w:t>
            </w:r>
            <w:r w:rsidRPr="00E407FC">
              <w:rPr>
                <w:rFonts w:ascii="Arial" w:hAnsi="Arial" w:cs="Arial"/>
                <w:color w:val="17365D" w:themeColor="text2" w:themeShade="BF"/>
                <w:sz w:val="18"/>
                <w:szCs w:val="18"/>
              </w:rPr>
              <w:t>%</w:t>
            </w:r>
          </w:p>
        </w:tc>
        <w:tc>
          <w:tcPr>
            <w:tcW w:w="794" w:type="dxa"/>
            <w:vAlign w:val="center"/>
          </w:tcPr>
          <w:p w14:paraId="3237AF11" w14:textId="77777777" w:rsidR="00605AF1" w:rsidRPr="00E407FC"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3</w:t>
            </w:r>
            <w:r w:rsidRPr="00E407FC">
              <w:rPr>
                <w:rFonts w:ascii="Arial" w:hAnsi="Arial" w:cs="Arial"/>
                <w:color w:val="17365D" w:themeColor="text2" w:themeShade="BF"/>
                <w:sz w:val="18"/>
                <w:szCs w:val="18"/>
              </w:rPr>
              <w:t>%</w:t>
            </w:r>
          </w:p>
        </w:tc>
        <w:tc>
          <w:tcPr>
            <w:tcW w:w="794" w:type="dxa"/>
            <w:vAlign w:val="center"/>
          </w:tcPr>
          <w:p w14:paraId="1D43DC3F" w14:textId="77777777" w:rsidR="00605AF1" w:rsidRPr="00E407FC"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+10</w:t>
            </w:r>
            <w:r w:rsidRPr="00E407FC">
              <w:rPr>
                <w:rFonts w:ascii="Arial" w:hAnsi="Arial" w:cs="Arial"/>
                <w:bCs/>
                <w:color w:val="17365D" w:themeColor="text2" w:themeShade="BF"/>
                <w:sz w:val="18"/>
                <w:szCs w:val="18"/>
              </w:rPr>
              <w:t>%</w:t>
            </w:r>
          </w:p>
        </w:tc>
        <w:tc>
          <w:tcPr>
            <w:tcW w:w="794" w:type="dxa"/>
            <w:vAlign w:val="center"/>
          </w:tcPr>
          <w:p w14:paraId="4F6511C9" w14:textId="77777777" w:rsidR="00605AF1" w:rsidRPr="00E407FC"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17</w:t>
            </w:r>
            <w:r w:rsidRPr="00C7349C">
              <w:rPr>
                <w:rFonts w:ascii="Arial" w:hAnsi="Arial" w:cs="Arial"/>
                <w:bCs/>
                <w:color w:val="17365D" w:themeColor="text2" w:themeShade="BF"/>
                <w:sz w:val="18"/>
                <w:szCs w:val="18"/>
              </w:rPr>
              <w:t>%</w:t>
            </w:r>
          </w:p>
        </w:tc>
        <w:tc>
          <w:tcPr>
            <w:tcW w:w="794" w:type="dxa"/>
            <w:vAlign w:val="center"/>
          </w:tcPr>
          <w:p w14:paraId="73682EFF" w14:textId="77777777" w:rsidR="00605AF1" w:rsidRPr="00E407FC"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11</w:t>
            </w:r>
            <w:r w:rsidRPr="00C7349C">
              <w:rPr>
                <w:rFonts w:ascii="Arial" w:hAnsi="Arial" w:cs="Arial"/>
                <w:bCs/>
                <w:color w:val="17365D" w:themeColor="text2" w:themeShade="BF"/>
                <w:sz w:val="18"/>
                <w:szCs w:val="18"/>
              </w:rPr>
              <w:t>%</w:t>
            </w:r>
          </w:p>
        </w:tc>
        <w:tc>
          <w:tcPr>
            <w:tcW w:w="794" w:type="dxa"/>
            <w:vAlign w:val="center"/>
          </w:tcPr>
          <w:p w14:paraId="7EDFEAD0" w14:textId="2B020CB0" w:rsidR="00605AF1"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+5.8</w:t>
            </w:r>
            <w:r w:rsidR="00605AF1">
              <w:rPr>
                <w:rFonts w:ascii="Arial" w:hAnsi="Arial" w:cs="Arial"/>
                <w:bCs/>
                <w:color w:val="17365D" w:themeColor="text2" w:themeShade="BF"/>
                <w:sz w:val="18"/>
                <w:szCs w:val="18"/>
              </w:rPr>
              <w:t>%</w:t>
            </w:r>
          </w:p>
        </w:tc>
        <w:tc>
          <w:tcPr>
            <w:tcW w:w="816" w:type="dxa"/>
            <w:vAlign w:val="center"/>
          </w:tcPr>
          <w:p w14:paraId="6F402944" w14:textId="4543756B" w:rsidR="00605AF1" w:rsidRPr="00E407FC"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D642D0">
              <w:rPr>
                <w:rFonts w:ascii="Arial" w:hAnsi="Arial" w:cs="Arial"/>
                <w:bCs/>
                <w:color w:val="17365D" w:themeColor="text2" w:themeShade="BF"/>
                <w:sz w:val="18"/>
                <w:szCs w:val="18"/>
              </w:rPr>
              <w:t>212</w:t>
            </w:r>
            <w:r w:rsidRPr="00E407FC">
              <w:rPr>
                <w:rFonts w:ascii="Arial" w:hAnsi="Arial" w:cs="Arial"/>
                <w:bCs/>
                <w:color w:val="17365D" w:themeColor="text2" w:themeShade="BF"/>
                <w:sz w:val="18"/>
                <w:szCs w:val="18"/>
              </w:rPr>
              <w:t>M</w:t>
            </w:r>
          </w:p>
        </w:tc>
        <w:tc>
          <w:tcPr>
            <w:tcW w:w="851" w:type="dxa"/>
            <w:vAlign w:val="center"/>
          </w:tcPr>
          <w:p w14:paraId="0B7C11B7" w14:textId="01305CBD" w:rsidR="00605AF1" w:rsidRDefault="00FD43CB" w:rsidP="004903AC">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w:t>
            </w:r>
            <w:r w:rsidR="00D642D0">
              <w:rPr>
                <w:rFonts w:ascii="Arial" w:hAnsi="Arial" w:cs="Arial"/>
                <w:bCs/>
                <w:color w:val="17365D" w:themeColor="text2" w:themeShade="BF"/>
                <w:sz w:val="18"/>
                <w:szCs w:val="18"/>
              </w:rPr>
              <w:t>6.2</w:t>
            </w:r>
            <w:r w:rsidR="00605AF1" w:rsidRPr="00E407FC">
              <w:rPr>
                <w:rFonts w:ascii="Arial" w:hAnsi="Arial" w:cs="Arial"/>
                <w:bCs/>
                <w:color w:val="17365D" w:themeColor="text2" w:themeShade="BF"/>
                <w:sz w:val="18"/>
                <w:szCs w:val="18"/>
              </w:rPr>
              <w:t>%</w:t>
            </w:r>
          </w:p>
        </w:tc>
        <w:tc>
          <w:tcPr>
            <w:tcW w:w="850" w:type="dxa"/>
            <w:vAlign w:val="center"/>
          </w:tcPr>
          <w:p w14:paraId="31C03E45" w14:textId="4CBE02F3" w:rsidR="00605AF1" w:rsidRPr="009B4A81" w:rsidRDefault="00605AF1"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sidR="00D642D0">
              <w:rPr>
                <w:rFonts w:ascii="Arial" w:hAnsi="Arial" w:cs="Arial"/>
                <w:color w:val="215868" w:themeColor="accent5" w:themeShade="80"/>
                <w:sz w:val="18"/>
                <w:szCs w:val="18"/>
              </w:rPr>
              <w:t>1.4</w:t>
            </w:r>
            <w:r w:rsidRPr="009B4A81">
              <w:rPr>
                <w:rFonts w:ascii="Arial" w:hAnsi="Arial" w:cs="Arial"/>
                <w:color w:val="215868" w:themeColor="accent5" w:themeShade="80"/>
                <w:sz w:val="18"/>
                <w:szCs w:val="18"/>
              </w:rPr>
              <w:t>%</w:t>
            </w:r>
          </w:p>
        </w:tc>
      </w:tr>
      <w:tr w:rsidR="00D642D0" w:rsidRPr="00E407FC" w14:paraId="5789B794" w14:textId="77777777" w:rsidTr="004903A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6699320C" w14:textId="77777777" w:rsidR="00605AF1" w:rsidRPr="00E407FC" w:rsidRDefault="00605AF1" w:rsidP="00D10C95">
            <w:pPr>
              <w:pStyle w:val="NoSpacing"/>
              <w:rPr>
                <w:rFonts w:ascii="Arial" w:hAnsi="Arial" w:cs="Arial"/>
                <w:b w:val="0"/>
                <w:color w:val="17365D" w:themeColor="text2" w:themeShade="BF"/>
                <w:sz w:val="18"/>
                <w:szCs w:val="18"/>
              </w:rPr>
            </w:pPr>
            <w:r>
              <w:rPr>
                <w:rFonts w:ascii="Arial" w:hAnsi="Arial" w:cs="Arial"/>
                <w:b w:val="0"/>
                <w:color w:val="17365D" w:themeColor="text2" w:themeShade="BF"/>
                <w:sz w:val="18"/>
                <w:szCs w:val="18"/>
              </w:rPr>
              <w:t>Mandarins</w:t>
            </w:r>
          </w:p>
        </w:tc>
        <w:tc>
          <w:tcPr>
            <w:tcW w:w="955" w:type="dxa"/>
            <w:gridSpan w:val="3"/>
            <w:vAlign w:val="center"/>
          </w:tcPr>
          <w:p w14:paraId="1E21E0FA" w14:textId="77777777" w:rsidR="00605AF1" w:rsidRPr="00091E61"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-5%</w:t>
            </w:r>
          </w:p>
        </w:tc>
        <w:tc>
          <w:tcPr>
            <w:tcW w:w="794" w:type="dxa"/>
            <w:gridSpan w:val="2"/>
            <w:vAlign w:val="center"/>
          </w:tcPr>
          <w:p w14:paraId="14C08D39"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p>
        </w:tc>
        <w:tc>
          <w:tcPr>
            <w:tcW w:w="795" w:type="dxa"/>
            <w:gridSpan w:val="2"/>
            <w:vAlign w:val="center"/>
          </w:tcPr>
          <w:p w14:paraId="39F6723D"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w:t>
            </w:r>
          </w:p>
        </w:tc>
        <w:tc>
          <w:tcPr>
            <w:tcW w:w="794" w:type="dxa"/>
            <w:gridSpan w:val="2"/>
            <w:vAlign w:val="center"/>
          </w:tcPr>
          <w:p w14:paraId="3E896048"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+14%</w:t>
            </w:r>
          </w:p>
        </w:tc>
        <w:tc>
          <w:tcPr>
            <w:tcW w:w="794" w:type="dxa"/>
            <w:vAlign w:val="center"/>
          </w:tcPr>
          <w:p w14:paraId="373F86FE"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+12%</w:t>
            </w:r>
          </w:p>
        </w:tc>
        <w:tc>
          <w:tcPr>
            <w:tcW w:w="794" w:type="dxa"/>
            <w:vAlign w:val="center"/>
          </w:tcPr>
          <w:p w14:paraId="1B2A9A23"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+5%</w:t>
            </w:r>
          </w:p>
        </w:tc>
        <w:tc>
          <w:tcPr>
            <w:tcW w:w="794" w:type="dxa"/>
            <w:vAlign w:val="center"/>
          </w:tcPr>
          <w:p w14:paraId="4C67FEB7"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+0%</w:t>
            </w:r>
          </w:p>
        </w:tc>
        <w:tc>
          <w:tcPr>
            <w:tcW w:w="794" w:type="dxa"/>
            <w:vAlign w:val="center"/>
          </w:tcPr>
          <w:p w14:paraId="4CA38FB1" w14:textId="77777777"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-14%</w:t>
            </w:r>
          </w:p>
        </w:tc>
        <w:tc>
          <w:tcPr>
            <w:tcW w:w="794" w:type="dxa"/>
            <w:vAlign w:val="center"/>
          </w:tcPr>
          <w:p w14:paraId="39CC51A4" w14:textId="11FAD407" w:rsidR="00605AF1" w:rsidRPr="00E407FC" w:rsidRDefault="004903AC"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-3.1</w:t>
            </w:r>
            <w:r w:rsidR="00605AF1">
              <w:rPr>
                <w:rFonts w:ascii="Arial" w:hAnsi="Arial" w:cs="Arial"/>
                <w:bCs/>
                <w:color w:val="17365D" w:themeColor="text2" w:themeShade="BF"/>
                <w:sz w:val="18"/>
                <w:szCs w:val="18"/>
              </w:rPr>
              <w:t>%</w:t>
            </w:r>
          </w:p>
        </w:tc>
        <w:tc>
          <w:tcPr>
            <w:tcW w:w="816" w:type="dxa"/>
            <w:vAlign w:val="center"/>
          </w:tcPr>
          <w:p w14:paraId="6E64E055" w14:textId="1F1BF838"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D642D0">
              <w:rPr>
                <w:rFonts w:ascii="Arial" w:hAnsi="Arial" w:cs="Arial"/>
                <w:bCs/>
                <w:color w:val="17365D" w:themeColor="text2" w:themeShade="BF"/>
                <w:sz w:val="18"/>
                <w:szCs w:val="18"/>
              </w:rPr>
              <w:t>162</w:t>
            </w:r>
            <w:r w:rsidRPr="00E407FC">
              <w:rPr>
                <w:rFonts w:ascii="Arial" w:hAnsi="Arial" w:cs="Arial"/>
                <w:bCs/>
                <w:color w:val="17365D" w:themeColor="text2" w:themeShade="BF"/>
                <w:sz w:val="18"/>
                <w:szCs w:val="18"/>
              </w:rPr>
              <w:t>M</w:t>
            </w:r>
          </w:p>
        </w:tc>
        <w:tc>
          <w:tcPr>
            <w:tcW w:w="851" w:type="dxa"/>
            <w:vAlign w:val="center"/>
          </w:tcPr>
          <w:p w14:paraId="2EFF2254" w14:textId="4849EC4F" w:rsidR="00605AF1" w:rsidRDefault="00FD43CB" w:rsidP="004903AC">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w:t>
            </w:r>
            <w:r w:rsidR="00D642D0">
              <w:rPr>
                <w:rFonts w:ascii="Arial" w:hAnsi="Arial" w:cs="Arial"/>
                <w:bCs/>
                <w:color w:val="17365D" w:themeColor="text2" w:themeShade="BF"/>
                <w:sz w:val="18"/>
                <w:szCs w:val="18"/>
              </w:rPr>
              <w:t>9.4</w:t>
            </w:r>
            <w:r w:rsidR="00605AF1" w:rsidRPr="00E407FC">
              <w:rPr>
                <w:rFonts w:ascii="Arial" w:hAnsi="Arial" w:cs="Arial"/>
                <w:bCs/>
                <w:color w:val="17365D" w:themeColor="text2" w:themeShade="BF"/>
                <w:sz w:val="18"/>
                <w:szCs w:val="18"/>
              </w:rPr>
              <w:t>%</w:t>
            </w:r>
          </w:p>
        </w:tc>
        <w:tc>
          <w:tcPr>
            <w:tcW w:w="850" w:type="dxa"/>
            <w:vAlign w:val="center"/>
          </w:tcPr>
          <w:p w14:paraId="0CD4B754" w14:textId="0DF8C401" w:rsidR="00605AF1" w:rsidRPr="009B4A81" w:rsidRDefault="00FD43CB"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D642D0">
              <w:rPr>
                <w:rFonts w:ascii="Arial" w:hAnsi="Arial" w:cs="Arial"/>
                <w:color w:val="215868" w:themeColor="accent5" w:themeShade="80"/>
                <w:sz w:val="18"/>
                <w:szCs w:val="18"/>
              </w:rPr>
              <w:t>9.2</w:t>
            </w:r>
            <w:r w:rsidR="00605AF1" w:rsidRPr="009B4A81">
              <w:rPr>
                <w:rFonts w:ascii="Arial" w:hAnsi="Arial" w:cs="Arial"/>
                <w:color w:val="215868" w:themeColor="accent5" w:themeShade="80"/>
                <w:sz w:val="18"/>
                <w:szCs w:val="18"/>
              </w:rPr>
              <w:t>%</w:t>
            </w:r>
          </w:p>
        </w:tc>
      </w:tr>
      <w:tr w:rsidR="00D642D0" w:rsidRPr="00E407FC" w14:paraId="2BCEF1C3" w14:textId="77777777" w:rsidTr="00B51610">
        <w:trPr>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6CACC157" w14:textId="77777777" w:rsidR="00D642D0" w:rsidRPr="00E407FC" w:rsidRDefault="00D642D0" w:rsidP="00B51610">
            <w:pPr>
              <w:pStyle w:val="NoSpacing"/>
              <w:rPr>
                <w:rFonts w:ascii="Arial" w:hAnsi="Arial" w:cs="Arial"/>
                <w:b w:val="0"/>
                <w:color w:val="17365D" w:themeColor="text2" w:themeShade="BF"/>
                <w:sz w:val="18"/>
                <w:szCs w:val="18"/>
              </w:rPr>
            </w:pPr>
            <w:r>
              <w:rPr>
                <w:rFonts w:ascii="Arial" w:hAnsi="Arial" w:cs="Arial"/>
                <w:b w:val="0"/>
                <w:color w:val="17365D" w:themeColor="text2" w:themeShade="BF"/>
                <w:sz w:val="18"/>
                <w:szCs w:val="18"/>
              </w:rPr>
              <w:t>Mixed fruit</w:t>
            </w:r>
          </w:p>
        </w:tc>
        <w:tc>
          <w:tcPr>
            <w:tcW w:w="955" w:type="dxa"/>
            <w:gridSpan w:val="3"/>
            <w:vAlign w:val="center"/>
          </w:tcPr>
          <w:p w14:paraId="3A820577" w14:textId="77777777" w:rsidR="00D642D0" w:rsidRPr="00091E61"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w:t>
            </w:r>
          </w:p>
        </w:tc>
        <w:tc>
          <w:tcPr>
            <w:tcW w:w="794" w:type="dxa"/>
            <w:gridSpan w:val="2"/>
            <w:vAlign w:val="center"/>
          </w:tcPr>
          <w:p w14:paraId="29187E93"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p>
        </w:tc>
        <w:tc>
          <w:tcPr>
            <w:tcW w:w="795" w:type="dxa"/>
            <w:gridSpan w:val="2"/>
            <w:vAlign w:val="center"/>
          </w:tcPr>
          <w:p w14:paraId="2BBC86CD"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w:t>
            </w:r>
          </w:p>
        </w:tc>
        <w:tc>
          <w:tcPr>
            <w:tcW w:w="794" w:type="dxa"/>
            <w:gridSpan w:val="2"/>
            <w:vAlign w:val="center"/>
          </w:tcPr>
          <w:p w14:paraId="7A8C1F31"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+59%</w:t>
            </w:r>
          </w:p>
        </w:tc>
        <w:tc>
          <w:tcPr>
            <w:tcW w:w="794" w:type="dxa"/>
            <w:vAlign w:val="center"/>
          </w:tcPr>
          <w:p w14:paraId="6C9587E5"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+29%</w:t>
            </w:r>
          </w:p>
        </w:tc>
        <w:tc>
          <w:tcPr>
            <w:tcW w:w="794" w:type="dxa"/>
            <w:vAlign w:val="center"/>
          </w:tcPr>
          <w:p w14:paraId="3F8B4803"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+30%</w:t>
            </w:r>
          </w:p>
        </w:tc>
        <w:tc>
          <w:tcPr>
            <w:tcW w:w="794" w:type="dxa"/>
            <w:vAlign w:val="center"/>
          </w:tcPr>
          <w:p w14:paraId="5D56839D"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+18%</w:t>
            </w:r>
          </w:p>
        </w:tc>
        <w:tc>
          <w:tcPr>
            <w:tcW w:w="794" w:type="dxa"/>
            <w:vAlign w:val="center"/>
          </w:tcPr>
          <w:p w14:paraId="5B0406C9"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+4%</w:t>
            </w:r>
          </w:p>
        </w:tc>
        <w:tc>
          <w:tcPr>
            <w:tcW w:w="794" w:type="dxa"/>
            <w:vAlign w:val="center"/>
          </w:tcPr>
          <w:p w14:paraId="44852450" w14:textId="77777777"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-2.3%</w:t>
            </w:r>
          </w:p>
        </w:tc>
        <w:tc>
          <w:tcPr>
            <w:tcW w:w="816" w:type="dxa"/>
            <w:vAlign w:val="center"/>
          </w:tcPr>
          <w:p w14:paraId="42CEDBFE" w14:textId="315E19A8" w:rsidR="00D642D0" w:rsidRPr="00E407FC"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86</w:t>
            </w:r>
            <w:r w:rsidRPr="00E407FC">
              <w:rPr>
                <w:rFonts w:ascii="Arial" w:hAnsi="Arial" w:cs="Arial"/>
                <w:bCs/>
                <w:color w:val="17365D" w:themeColor="text2" w:themeShade="BF"/>
                <w:sz w:val="18"/>
                <w:szCs w:val="18"/>
              </w:rPr>
              <w:t>M</w:t>
            </w:r>
          </w:p>
        </w:tc>
        <w:tc>
          <w:tcPr>
            <w:tcW w:w="851" w:type="dxa"/>
            <w:vAlign w:val="center"/>
          </w:tcPr>
          <w:p w14:paraId="14DA6B54" w14:textId="6BABFD5F" w:rsidR="00D642D0" w:rsidRDefault="00D642D0" w:rsidP="00B51610">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-3.3</w:t>
            </w:r>
            <w:r w:rsidRPr="00E407FC">
              <w:rPr>
                <w:rFonts w:ascii="Arial" w:hAnsi="Arial" w:cs="Arial"/>
                <w:bCs/>
                <w:color w:val="17365D" w:themeColor="text2" w:themeShade="BF"/>
                <w:sz w:val="18"/>
                <w:szCs w:val="18"/>
              </w:rPr>
              <w:t>%</w:t>
            </w:r>
          </w:p>
        </w:tc>
        <w:tc>
          <w:tcPr>
            <w:tcW w:w="850" w:type="dxa"/>
            <w:vAlign w:val="center"/>
          </w:tcPr>
          <w:p w14:paraId="1A543701" w14:textId="146C3275" w:rsidR="00D642D0" w:rsidRPr="009B4A81" w:rsidRDefault="00D642D0" w:rsidP="00B516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-8.1</w:t>
            </w:r>
            <w:r w:rsidRPr="009B4A81">
              <w:rPr>
                <w:rFonts w:ascii="Arial" w:hAnsi="Arial" w:cs="Arial"/>
                <w:color w:val="215868" w:themeColor="accent5" w:themeShade="80"/>
                <w:sz w:val="18"/>
                <w:szCs w:val="18"/>
              </w:rPr>
              <w:t>%</w:t>
            </w:r>
          </w:p>
        </w:tc>
      </w:tr>
      <w:tr w:rsidR="00D642D0" w:rsidRPr="00E407FC" w14:paraId="37B958E1" w14:textId="77777777" w:rsidTr="004903A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4CF7A4F7" w14:textId="428585C0" w:rsidR="00605AF1" w:rsidRPr="00E407FC" w:rsidRDefault="00D642D0" w:rsidP="00D10C95">
            <w:pPr>
              <w:pStyle w:val="NoSpacing"/>
              <w:rPr>
                <w:rFonts w:ascii="Arial" w:hAnsi="Arial" w:cs="Arial"/>
                <w:b w:val="0"/>
                <w:color w:val="17365D" w:themeColor="text2" w:themeShade="BF"/>
                <w:sz w:val="18"/>
                <w:szCs w:val="18"/>
              </w:rPr>
            </w:pPr>
            <w:r>
              <w:rPr>
                <w:rFonts w:ascii="Arial" w:hAnsi="Arial" w:cs="Arial"/>
                <w:b w:val="0"/>
                <w:color w:val="17365D" w:themeColor="text2" w:themeShade="BF"/>
                <w:sz w:val="18"/>
                <w:szCs w:val="18"/>
              </w:rPr>
              <w:t>Oranges</w:t>
            </w:r>
          </w:p>
        </w:tc>
        <w:tc>
          <w:tcPr>
            <w:tcW w:w="955" w:type="dxa"/>
            <w:gridSpan w:val="3"/>
            <w:vAlign w:val="center"/>
          </w:tcPr>
          <w:p w14:paraId="53807607" w14:textId="4DE610F1" w:rsidR="00605AF1" w:rsidRPr="00091E61" w:rsidRDefault="00D642D0"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p>
        </w:tc>
        <w:tc>
          <w:tcPr>
            <w:tcW w:w="794" w:type="dxa"/>
            <w:gridSpan w:val="2"/>
            <w:vAlign w:val="center"/>
          </w:tcPr>
          <w:p w14:paraId="023CDEFC" w14:textId="7094D191" w:rsidR="00605AF1" w:rsidRPr="00E407FC" w:rsidRDefault="00D642D0"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+32%</w:t>
            </w:r>
          </w:p>
        </w:tc>
        <w:tc>
          <w:tcPr>
            <w:tcW w:w="795" w:type="dxa"/>
            <w:gridSpan w:val="2"/>
            <w:vAlign w:val="center"/>
          </w:tcPr>
          <w:p w14:paraId="7443275C" w14:textId="0C10CB8C" w:rsidR="00605AF1" w:rsidRPr="00E407FC" w:rsidRDefault="00D642D0"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w:t>
            </w:r>
          </w:p>
        </w:tc>
        <w:tc>
          <w:tcPr>
            <w:tcW w:w="794" w:type="dxa"/>
            <w:gridSpan w:val="2"/>
            <w:vAlign w:val="center"/>
          </w:tcPr>
          <w:p w14:paraId="4F49EF02" w14:textId="79DE7EAF" w:rsidR="00605AF1" w:rsidRPr="00E407FC" w:rsidRDefault="00D642D0"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-25%</w:t>
            </w:r>
          </w:p>
        </w:tc>
        <w:tc>
          <w:tcPr>
            <w:tcW w:w="794" w:type="dxa"/>
            <w:vAlign w:val="center"/>
          </w:tcPr>
          <w:p w14:paraId="6262F093" w14:textId="1C1CBCB6" w:rsidR="00605AF1" w:rsidRPr="00E407FC" w:rsidRDefault="00D642D0"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p>
        </w:tc>
        <w:tc>
          <w:tcPr>
            <w:tcW w:w="794" w:type="dxa"/>
            <w:vAlign w:val="center"/>
          </w:tcPr>
          <w:p w14:paraId="08B410DF" w14:textId="43114516" w:rsidR="00605AF1" w:rsidRPr="00E407FC" w:rsidRDefault="00D642D0"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+4%</w:t>
            </w:r>
          </w:p>
        </w:tc>
        <w:tc>
          <w:tcPr>
            <w:tcW w:w="794" w:type="dxa"/>
            <w:vAlign w:val="center"/>
          </w:tcPr>
          <w:p w14:paraId="7EF7E9D7" w14:textId="2E3CB902" w:rsidR="00605AF1" w:rsidRDefault="00D642D0"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+15%</w:t>
            </w:r>
          </w:p>
        </w:tc>
        <w:tc>
          <w:tcPr>
            <w:tcW w:w="794" w:type="dxa"/>
            <w:vAlign w:val="center"/>
          </w:tcPr>
          <w:p w14:paraId="07D2CB1B" w14:textId="037F36A7" w:rsidR="00605AF1" w:rsidRPr="00E407FC" w:rsidRDefault="00D642D0"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+14%</w:t>
            </w:r>
          </w:p>
        </w:tc>
        <w:tc>
          <w:tcPr>
            <w:tcW w:w="794" w:type="dxa"/>
            <w:vAlign w:val="center"/>
          </w:tcPr>
          <w:p w14:paraId="3CC670CC" w14:textId="1A718126" w:rsidR="00605AF1" w:rsidRPr="00E407FC" w:rsidRDefault="00D642D0"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-2.9%</w:t>
            </w:r>
          </w:p>
        </w:tc>
        <w:tc>
          <w:tcPr>
            <w:tcW w:w="816" w:type="dxa"/>
            <w:vAlign w:val="center"/>
          </w:tcPr>
          <w:p w14:paraId="23E21F79" w14:textId="7D47C20E" w:rsidR="00605AF1" w:rsidRPr="00E407FC" w:rsidRDefault="00605AF1"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bCs/>
                <w:color w:val="17365D" w:themeColor="text2" w:themeShade="BF"/>
                <w:sz w:val="18"/>
                <w:szCs w:val="18"/>
              </w:rPr>
              <w:t>$</w:t>
            </w:r>
            <w:r w:rsidR="00D642D0">
              <w:rPr>
                <w:rFonts w:ascii="Arial" w:hAnsi="Arial" w:cs="Arial"/>
                <w:bCs/>
                <w:color w:val="17365D" w:themeColor="text2" w:themeShade="BF"/>
                <w:sz w:val="18"/>
                <w:szCs w:val="18"/>
              </w:rPr>
              <w:t>79</w:t>
            </w:r>
            <w:r w:rsidRPr="00E407FC">
              <w:rPr>
                <w:rFonts w:ascii="Arial" w:hAnsi="Arial" w:cs="Arial"/>
                <w:bCs/>
                <w:color w:val="17365D" w:themeColor="text2" w:themeShade="BF"/>
                <w:sz w:val="18"/>
                <w:szCs w:val="18"/>
              </w:rPr>
              <w:t>M</w:t>
            </w:r>
          </w:p>
        </w:tc>
        <w:tc>
          <w:tcPr>
            <w:tcW w:w="851" w:type="dxa"/>
            <w:vAlign w:val="center"/>
          </w:tcPr>
          <w:p w14:paraId="34DE24DF" w14:textId="4C7D29E5" w:rsidR="00605AF1" w:rsidRDefault="00D642D0" w:rsidP="004903AC">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-2.6</w:t>
            </w:r>
            <w:r w:rsidR="00605AF1" w:rsidRPr="00E407FC">
              <w:rPr>
                <w:rFonts w:ascii="Arial" w:hAnsi="Arial" w:cs="Arial"/>
                <w:bCs/>
                <w:color w:val="17365D" w:themeColor="text2" w:themeShade="BF"/>
                <w:sz w:val="18"/>
                <w:szCs w:val="18"/>
              </w:rPr>
              <w:t>%</w:t>
            </w:r>
          </w:p>
        </w:tc>
        <w:tc>
          <w:tcPr>
            <w:tcW w:w="850" w:type="dxa"/>
            <w:vAlign w:val="center"/>
          </w:tcPr>
          <w:p w14:paraId="49395687" w14:textId="5878E4EE" w:rsidR="00605AF1" w:rsidRPr="009B4A81" w:rsidRDefault="00FD43CB" w:rsidP="004903A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D642D0">
              <w:rPr>
                <w:rFonts w:ascii="Arial" w:hAnsi="Arial" w:cs="Arial"/>
                <w:color w:val="215868" w:themeColor="accent5" w:themeShade="80"/>
                <w:sz w:val="18"/>
                <w:szCs w:val="18"/>
              </w:rPr>
              <w:t>15.9</w:t>
            </w:r>
            <w:r w:rsidR="00605AF1" w:rsidRPr="009B4A81">
              <w:rPr>
                <w:rFonts w:ascii="Arial" w:hAnsi="Arial" w:cs="Arial"/>
                <w:color w:val="215868" w:themeColor="accent5" w:themeShade="80"/>
                <w:sz w:val="18"/>
                <w:szCs w:val="18"/>
              </w:rPr>
              <w:t>%</w:t>
            </w:r>
          </w:p>
        </w:tc>
      </w:tr>
      <w:tr w:rsidR="00D642D0" w:rsidRPr="00E407FC" w14:paraId="311D074E" w14:textId="77777777" w:rsidTr="004903AC">
        <w:trPr>
          <w:trHeight w:val="258"/>
        </w:trPr>
        <w:tc>
          <w:tcPr>
            <w:cnfStyle w:val="001000000000" w:firstRow="0" w:lastRow="0" w:firstColumn="1" w:lastColumn="0" w:oddVBand="0" w:evenVBand="0" w:oddHBand="0" w:evenHBand="0" w:firstRowFirstColumn="0" w:firstRowLastColumn="0" w:lastRowFirstColumn="0" w:lastRowLastColumn="0"/>
            <w:tcW w:w="1090" w:type="dxa"/>
            <w:vAlign w:val="center"/>
          </w:tcPr>
          <w:p w14:paraId="0A45A184" w14:textId="7B7B2191" w:rsidR="004903AC" w:rsidRPr="00E407FC" w:rsidRDefault="004903AC" w:rsidP="004903AC">
            <w:pPr>
              <w:pStyle w:val="NoSpacing"/>
              <w:rPr>
                <w:rFonts w:ascii="Arial" w:hAnsi="Arial" w:cs="Arial"/>
                <w:b w:val="0"/>
                <w:color w:val="17365D" w:themeColor="text2" w:themeShade="BF"/>
                <w:sz w:val="18"/>
                <w:szCs w:val="18"/>
              </w:rPr>
            </w:pPr>
            <w:r>
              <w:rPr>
                <w:rFonts w:ascii="Arial" w:hAnsi="Arial" w:cs="Arial"/>
                <w:b w:val="0"/>
                <w:color w:val="17365D" w:themeColor="text2" w:themeShade="BF"/>
                <w:sz w:val="18"/>
                <w:szCs w:val="18"/>
              </w:rPr>
              <w:t>Pineapple</w:t>
            </w:r>
          </w:p>
        </w:tc>
        <w:tc>
          <w:tcPr>
            <w:tcW w:w="955" w:type="dxa"/>
            <w:gridSpan w:val="3"/>
            <w:vAlign w:val="center"/>
          </w:tcPr>
          <w:p w14:paraId="2C51EDA4" w14:textId="13704A26" w:rsidR="004903AC" w:rsidRPr="00091E61"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w:t>
            </w:r>
          </w:p>
        </w:tc>
        <w:tc>
          <w:tcPr>
            <w:tcW w:w="794" w:type="dxa"/>
            <w:gridSpan w:val="2"/>
            <w:vAlign w:val="center"/>
          </w:tcPr>
          <w:p w14:paraId="5E167841" w14:textId="522ADE6C"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w:t>
            </w:r>
          </w:p>
        </w:tc>
        <w:tc>
          <w:tcPr>
            <w:tcW w:w="795" w:type="dxa"/>
            <w:gridSpan w:val="2"/>
            <w:vAlign w:val="center"/>
          </w:tcPr>
          <w:p w14:paraId="1F1040FD" w14:textId="0EB706A1"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+12%</w:t>
            </w:r>
          </w:p>
        </w:tc>
        <w:tc>
          <w:tcPr>
            <w:tcW w:w="794" w:type="dxa"/>
            <w:gridSpan w:val="2"/>
            <w:vAlign w:val="center"/>
          </w:tcPr>
          <w:p w14:paraId="4D99E88D" w14:textId="2C6AB225"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+11%</w:t>
            </w:r>
          </w:p>
        </w:tc>
        <w:tc>
          <w:tcPr>
            <w:tcW w:w="794" w:type="dxa"/>
            <w:vAlign w:val="center"/>
          </w:tcPr>
          <w:p w14:paraId="247B3D5E" w14:textId="1D9B1E5A"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w:t>
            </w:r>
          </w:p>
        </w:tc>
        <w:tc>
          <w:tcPr>
            <w:tcW w:w="794" w:type="dxa"/>
            <w:vAlign w:val="center"/>
          </w:tcPr>
          <w:p w14:paraId="26EE1851" w14:textId="01EB016F"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+12%</w:t>
            </w:r>
          </w:p>
        </w:tc>
        <w:tc>
          <w:tcPr>
            <w:tcW w:w="794" w:type="dxa"/>
            <w:vAlign w:val="center"/>
          </w:tcPr>
          <w:p w14:paraId="172794C0" w14:textId="10A68928"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+12%</w:t>
            </w:r>
          </w:p>
        </w:tc>
        <w:tc>
          <w:tcPr>
            <w:tcW w:w="794" w:type="dxa"/>
            <w:vAlign w:val="center"/>
          </w:tcPr>
          <w:p w14:paraId="64823B80" w14:textId="76CAFB22"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+11%</w:t>
            </w:r>
          </w:p>
        </w:tc>
        <w:tc>
          <w:tcPr>
            <w:tcW w:w="794" w:type="dxa"/>
            <w:vAlign w:val="center"/>
          </w:tcPr>
          <w:p w14:paraId="4483DBF7" w14:textId="05DB3CAE"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+7.1%</w:t>
            </w:r>
          </w:p>
        </w:tc>
        <w:tc>
          <w:tcPr>
            <w:tcW w:w="816" w:type="dxa"/>
            <w:vAlign w:val="center"/>
          </w:tcPr>
          <w:p w14:paraId="73318EB7" w14:textId="4065E2F5" w:rsidR="004903AC" w:rsidRPr="00E407FC"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D642D0">
              <w:rPr>
                <w:rFonts w:ascii="Arial" w:hAnsi="Arial" w:cs="Arial"/>
                <w:bCs/>
                <w:color w:val="17365D" w:themeColor="text2" w:themeShade="BF"/>
                <w:sz w:val="18"/>
                <w:szCs w:val="18"/>
              </w:rPr>
              <w:t>79</w:t>
            </w:r>
            <w:r w:rsidRPr="00E407FC">
              <w:rPr>
                <w:rFonts w:ascii="Arial" w:hAnsi="Arial" w:cs="Arial"/>
                <w:bCs/>
                <w:color w:val="17365D" w:themeColor="text2" w:themeShade="BF"/>
                <w:sz w:val="18"/>
                <w:szCs w:val="18"/>
              </w:rPr>
              <w:t>M</w:t>
            </w:r>
          </w:p>
        </w:tc>
        <w:tc>
          <w:tcPr>
            <w:tcW w:w="851" w:type="dxa"/>
            <w:vAlign w:val="center"/>
          </w:tcPr>
          <w:p w14:paraId="4F3CEDED" w14:textId="21092CF4" w:rsidR="004903AC" w:rsidRDefault="00D642D0" w:rsidP="004903AC">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-1.2</w:t>
            </w:r>
            <w:r w:rsidR="004903AC" w:rsidRPr="00E407FC">
              <w:rPr>
                <w:rFonts w:ascii="Arial" w:hAnsi="Arial" w:cs="Arial"/>
                <w:bCs/>
                <w:color w:val="17365D" w:themeColor="text2" w:themeShade="BF"/>
                <w:sz w:val="18"/>
                <w:szCs w:val="18"/>
              </w:rPr>
              <w:t>%</w:t>
            </w:r>
          </w:p>
        </w:tc>
        <w:tc>
          <w:tcPr>
            <w:tcW w:w="850" w:type="dxa"/>
            <w:vAlign w:val="center"/>
          </w:tcPr>
          <w:p w14:paraId="6F808937" w14:textId="5131642E" w:rsidR="004903AC" w:rsidRPr="009B4A81" w:rsidRDefault="004903AC" w:rsidP="004903A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sidR="00D642D0">
              <w:rPr>
                <w:rFonts w:ascii="Arial" w:hAnsi="Arial" w:cs="Arial"/>
                <w:color w:val="215868" w:themeColor="accent5" w:themeShade="80"/>
                <w:sz w:val="18"/>
                <w:szCs w:val="18"/>
              </w:rPr>
              <w:t>4.0</w:t>
            </w:r>
            <w:r w:rsidRPr="009B4A81">
              <w:rPr>
                <w:rFonts w:ascii="Arial" w:hAnsi="Arial" w:cs="Arial"/>
                <w:color w:val="215868" w:themeColor="accent5" w:themeShade="80"/>
                <w:sz w:val="18"/>
                <w:szCs w:val="18"/>
              </w:rPr>
              <w:t>%</w:t>
            </w:r>
          </w:p>
        </w:tc>
      </w:tr>
    </w:tbl>
    <w:p w14:paraId="09DFFB42" w14:textId="2303DBBB" w:rsidR="00CB6454" w:rsidRPr="00EA1FE4" w:rsidRDefault="00CB6454" w:rsidP="00CB6454">
      <w:pPr>
        <w:pStyle w:val="NoSpacing"/>
        <w:rPr>
          <w:rFonts w:ascii="Arial" w:hAnsi="Arial" w:cs="Arial"/>
          <w:sz w:val="10"/>
          <w:szCs w:val="10"/>
        </w:rPr>
      </w:pPr>
    </w:p>
    <w:p w14:paraId="70B6D0A4" w14:textId="77777777" w:rsidR="00CB6454" w:rsidRPr="00B35CE9" w:rsidRDefault="00CB6454" w:rsidP="00CB6454">
      <w:pPr>
        <w:pStyle w:val="NoSpacing"/>
        <w:rPr>
          <w:rFonts w:ascii="Arial" w:hAnsi="Arial" w:cs="Arial"/>
          <w:sz w:val="16"/>
          <w:szCs w:val="16"/>
        </w:rPr>
      </w:pPr>
      <w:r>
        <w:rPr>
          <w:rFonts w:ascii="Arial" w:hAnsi="Arial" w:cs="Arial"/>
          <w:sz w:val="16"/>
          <w:szCs w:val="16"/>
        </w:rPr>
        <w:t xml:space="preserve">    </w:t>
      </w:r>
      <w:r w:rsidRPr="00B35CE9">
        <w:rPr>
          <w:rFonts w:ascii="Arial" w:hAnsi="Arial" w:cs="Arial"/>
          <w:sz w:val="16"/>
          <w:szCs w:val="16"/>
        </w:rPr>
        <w:t>Source: Source</w:t>
      </w:r>
      <w:r>
        <w:rPr>
          <w:rFonts w:ascii="Arial" w:hAnsi="Arial" w:cs="Arial"/>
          <w:sz w:val="16"/>
          <w:szCs w:val="16"/>
        </w:rPr>
        <w:t>: IRI Integrated Fresh, Total U.S., MULO</w:t>
      </w:r>
    </w:p>
    <w:p w14:paraId="3EF2F674" w14:textId="7B6BB7F0" w:rsidR="009C4990" w:rsidRDefault="009C4990" w:rsidP="00B10C22">
      <w:pPr>
        <w:pStyle w:val="NoSpacing"/>
        <w:rPr>
          <w:rFonts w:ascii="Arial" w:hAnsi="Arial" w:cs="Arial"/>
          <w:b/>
          <w:color w:val="595959" w:themeColor="text1" w:themeTint="A6"/>
          <w:sz w:val="24"/>
          <w:szCs w:val="24"/>
        </w:rPr>
      </w:pPr>
    </w:p>
    <w:p w14:paraId="16F61730" w14:textId="78EC0B31" w:rsidR="00B10C22" w:rsidRPr="00BF7B2A" w:rsidRDefault="00B10C22" w:rsidP="00B10C22">
      <w:pPr>
        <w:pStyle w:val="NoSpacing"/>
        <w:rPr>
          <w:rFonts w:ascii="Arial" w:hAnsi="Arial" w:cs="Arial"/>
          <w:b/>
          <w:color w:val="595959" w:themeColor="text1" w:themeTint="A6"/>
          <w:sz w:val="24"/>
          <w:szCs w:val="24"/>
        </w:rPr>
      </w:pPr>
      <w:r w:rsidRPr="00BF7B2A">
        <w:rPr>
          <w:rFonts w:ascii="Arial" w:hAnsi="Arial" w:cs="Arial"/>
          <w:b/>
          <w:color w:val="595959" w:themeColor="text1" w:themeTint="A6"/>
          <w:sz w:val="24"/>
          <w:szCs w:val="24"/>
        </w:rPr>
        <w:t xml:space="preserve">Fresh </w:t>
      </w:r>
      <w:r w:rsidR="00BF7B2A">
        <w:rPr>
          <w:rFonts w:ascii="Arial" w:hAnsi="Arial" w:cs="Arial"/>
          <w:b/>
          <w:color w:val="595959" w:themeColor="text1" w:themeTint="A6"/>
          <w:sz w:val="24"/>
          <w:szCs w:val="24"/>
        </w:rPr>
        <w:t>V</w:t>
      </w:r>
      <w:r w:rsidRPr="00BF7B2A">
        <w:rPr>
          <w:rFonts w:ascii="Arial" w:hAnsi="Arial" w:cs="Arial"/>
          <w:b/>
          <w:color w:val="595959" w:themeColor="text1" w:themeTint="A6"/>
          <w:sz w:val="24"/>
          <w:szCs w:val="24"/>
        </w:rPr>
        <w:t>egetables</w:t>
      </w:r>
      <w:r w:rsidR="00EB33CE">
        <w:rPr>
          <w:rFonts w:ascii="Arial" w:hAnsi="Arial" w:cs="Arial"/>
          <w:b/>
          <w:color w:val="595959" w:themeColor="text1" w:themeTint="A6"/>
          <w:sz w:val="24"/>
          <w:szCs w:val="24"/>
        </w:rPr>
        <w:t xml:space="preserve"> Sales in </w:t>
      </w:r>
      <w:r w:rsidR="00FD43CB">
        <w:rPr>
          <w:rFonts w:ascii="Arial" w:hAnsi="Arial" w:cs="Arial"/>
          <w:b/>
          <w:color w:val="595959" w:themeColor="text1" w:themeTint="A6"/>
          <w:sz w:val="24"/>
          <w:szCs w:val="24"/>
        </w:rPr>
        <w:t>October</w:t>
      </w:r>
    </w:p>
    <w:p w14:paraId="79E43D5D" w14:textId="40708FFD" w:rsidR="00836D73" w:rsidRDefault="007273B2" w:rsidP="00B10C22">
      <w:pPr>
        <w:pStyle w:val="NoSpacing"/>
        <w:rPr>
          <w:rFonts w:ascii="Arial" w:hAnsi="Arial" w:cs="Arial"/>
          <w:sz w:val="20"/>
          <w:szCs w:val="20"/>
        </w:rPr>
      </w:pPr>
      <w:r>
        <w:rPr>
          <w:rFonts w:ascii="Arial" w:hAnsi="Arial" w:cs="Arial"/>
          <w:sz w:val="20"/>
          <w:szCs w:val="20"/>
        </w:rPr>
        <w:t>“</w:t>
      </w:r>
      <w:r w:rsidR="00B60B2A">
        <w:rPr>
          <w:rFonts w:ascii="Arial" w:hAnsi="Arial" w:cs="Arial"/>
          <w:sz w:val="20"/>
          <w:szCs w:val="20"/>
        </w:rPr>
        <w:t>The October dollar and volume performances were mixed</w:t>
      </w:r>
      <w:r w:rsidR="00546508">
        <w:rPr>
          <w:rFonts w:ascii="Arial" w:hAnsi="Arial" w:cs="Arial"/>
          <w:sz w:val="20"/>
          <w:szCs w:val="20"/>
        </w:rPr>
        <w:t xml:space="preserve">,” said Watson. </w:t>
      </w:r>
      <w:r w:rsidR="00084469">
        <w:rPr>
          <w:rFonts w:ascii="Arial" w:hAnsi="Arial" w:cs="Arial"/>
          <w:sz w:val="20"/>
          <w:szCs w:val="20"/>
        </w:rPr>
        <w:t>“</w:t>
      </w:r>
      <w:r w:rsidR="00B60B2A">
        <w:rPr>
          <w:rFonts w:ascii="Arial" w:hAnsi="Arial" w:cs="Arial"/>
          <w:sz w:val="20"/>
          <w:szCs w:val="20"/>
        </w:rPr>
        <w:t>The meal staples, such as potatoes and onions, continued to pull well and of course we saw the impact of Halloween with pumpkins making inroads into the top 10 in dollar sales</w:t>
      </w:r>
      <w:r w:rsidR="001A0796">
        <w:rPr>
          <w:rFonts w:ascii="Arial" w:hAnsi="Arial" w:cs="Arial"/>
          <w:sz w:val="20"/>
          <w:szCs w:val="20"/>
        </w:rPr>
        <w:t>.</w:t>
      </w:r>
      <w:r w:rsidR="00B60B2A">
        <w:rPr>
          <w:rFonts w:ascii="Arial" w:hAnsi="Arial" w:cs="Arial"/>
          <w:sz w:val="20"/>
          <w:szCs w:val="20"/>
        </w:rPr>
        <w:t xml:space="preserve"> Pumpkins came in as the sixth largest seller, but dollars, units and pounds fell behind year ago levels.</w:t>
      </w:r>
      <w:r w:rsidR="00891C7E">
        <w:rPr>
          <w:rFonts w:ascii="Arial" w:hAnsi="Arial" w:cs="Arial"/>
          <w:sz w:val="20"/>
          <w:szCs w:val="20"/>
        </w:rPr>
        <w:t>”</w:t>
      </w:r>
      <w:r w:rsidR="00AA16AD">
        <w:rPr>
          <w:rFonts w:ascii="Arial" w:hAnsi="Arial" w:cs="Arial"/>
          <w:sz w:val="20"/>
          <w:szCs w:val="20"/>
        </w:rPr>
        <w:t xml:space="preserve"> </w:t>
      </w:r>
    </w:p>
    <w:p w14:paraId="6D62D09E" w14:textId="77777777" w:rsidR="009213F8" w:rsidRDefault="009213F8" w:rsidP="00B10C22">
      <w:pPr>
        <w:pStyle w:val="NoSpacing"/>
        <w:rPr>
          <w:rFonts w:ascii="Arial" w:hAnsi="Arial" w:cs="Arial"/>
          <w:sz w:val="20"/>
          <w:szCs w:val="20"/>
        </w:rPr>
      </w:pPr>
    </w:p>
    <w:tbl>
      <w:tblPr>
        <w:tblStyle w:val="ListTable4-Accent51"/>
        <w:tblpPr w:leftFromText="141" w:rightFromText="141" w:vertAnchor="text" w:horzAnchor="margin" w:tblpXSpec="center" w:tblpY="61"/>
        <w:tblW w:w="11199"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303"/>
        <w:gridCol w:w="487"/>
        <w:gridCol w:w="239"/>
        <w:gridCol w:w="637"/>
        <w:gridCol w:w="234"/>
        <w:gridCol w:w="638"/>
        <w:gridCol w:w="234"/>
        <w:gridCol w:w="633"/>
        <w:gridCol w:w="238"/>
        <w:gridCol w:w="872"/>
        <w:gridCol w:w="871"/>
        <w:gridCol w:w="726"/>
        <w:gridCol w:w="725"/>
        <w:gridCol w:w="810"/>
        <w:gridCol w:w="851"/>
        <w:gridCol w:w="850"/>
        <w:gridCol w:w="851"/>
      </w:tblGrid>
      <w:tr w:rsidR="00811C9C" w:rsidRPr="0003007F" w14:paraId="038A3A98" w14:textId="77777777" w:rsidTr="00B51D86">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90" w:type="dxa"/>
            <w:gridSpan w:val="2"/>
            <w:tcBorders>
              <w:top w:val="none" w:sz="0" w:space="0" w:color="auto"/>
              <w:left w:val="none" w:sz="0" w:space="0" w:color="auto"/>
              <w:bottom w:val="none" w:sz="0" w:space="0" w:color="auto"/>
            </w:tcBorders>
            <w:shd w:val="clear" w:color="auto" w:fill="17365D" w:themeFill="text2" w:themeFillShade="BF"/>
          </w:tcPr>
          <w:p w14:paraId="468C59D9" w14:textId="77777777" w:rsidR="00E277C6" w:rsidRPr="00811C9C" w:rsidRDefault="00E277C6" w:rsidP="00E277C6">
            <w:pPr>
              <w:pStyle w:val="NoSpacing"/>
              <w:rPr>
                <w:rFonts w:ascii="Arial" w:hAnsi="Arial" w:cs="Arial"/>
                <w:sz w:val="18"/>
                <w:szCs w:val="18"/>
              </w:rPr>
            </w:pPr>
            <w:r w:rsidRPr="00811C9C">
              <w:rPr>
                <w:rFonts w:ascii="Arial" w:hAnsi="Arial" w:cs="Arial"/>
                <w:sz w:val="18"/>
                <w:szCs w:val="18"/>
              </w:rPr>
              <w:t>Top 10 in sales</w:t>
            </w:r>
          </w:p>
        </w:tc>
        <w:tc>
          <w:tcPr>
            <w:tcW w:w="876" w:type="dxa"/>
            <w:gridSpan w:val="2"/>
            <w:tcBorders>
              <w:top w:val="none" w:sz="0" w:space="0" w:color="auto"/>
              <w:bottom w:val="none" w:sz="0" w:space="0" w:color="auto"/>
            </w:tcBorders>
            <w:shd w:val="clear" w:color="auto" w:fill="17365D" w:themeFill="text2" w:themeFillShade="BF"/>
          </w:tcPr>
          <w:p w14:paraId="115FBA45" w14:textId="77777777" w:rsidR="00E277C6" w:rsidRPr="00811C9C" w:rsidRDefault="00E277C6" w:rsidP="00E277C6">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872" w:type="dxa"/>
            <w:gridSpan w:val="2"/>
            <w:tcBorders>
              <w:top w:val="none" w:sz="0" w:space="0" w:color="auto"/>
              <w:bottom w:val="none" w:sz="0" w:space="0" w:color="auto"/>
            </w:tcBorders>
            <w:shd w:val="clear" w:color="auto" w:fill="17365D" w:themeFill="text2" w:themeFillShade="BF"/>
          </w:tcPr>
          <w:p w14:paraId="207993C7" w14:textId="77777777" w:rsidR="00E277C6" w:rsidRPr="00811C9C" w:rsidRDefault="00E277C6" w:rsidP="00E277C6">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867" w:type="dxa"/>
            <w:gridSpan w:val="2"/>
            <w:tcBorders>
              <w:top w:val="none" w:sz="0" w:space="0" w:color="auto"/>
              <w:bottom w:val="none" w:sz="0" w:space="0" w:color="auto"/>
            </w:tcBorders>
            <w:shd w:val="clear" w:color="auto" w:fill="17365D" w:themeFill="text2" w:themeFillShade="BF"/>
          </w:tcPr>
          <w:p w14:paraId="7327014C" w14:textId="77777777" w:rsidR="00E277C6" w:rsidRPr="00811C9C" w:rsidRDefault="00E277C6" w:rsidP="00E277C6">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6794" w:type="dxa"/>
            <w:gridSpan w:val="9"/>
            <w:tcBorders>
              <w:top w:val="none" w:sz="0" w:space="0" w:color="auto"/>
              <w:bottom w:val="none" w:sz="0" w:space="0" w:color="auto"/>
              <w:right w:val="none" w:sz="0" w:space="0" w:color="auto"/>
            </w:tcBorders>
            <w:shd w:val="clear" w:color="auto" w:fill="17365D" w:themeFill="text2" w:themeFillShade="BF"/>
          </w:tcPr>
          <w:p w14:paraId="3A69AFCE" w14:textId="77777777" w:rsidR="00E277C6" w:rsidRPr="00811C9C" w:rsidRDefault="00E277C6" w:rsidP="00E277C6">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11C9C">
              <w:rPr>
                <w:rFonts w:ascii="Arial" w:hAnsi="Arial" w:cs="Arial"/>
                <w:sz w:val="18"/>
                <w:szCs w:val="18"/>
              </w:rPr>
              <w:t>Dollar sales increase over comparable period YA</w:t>
            </w:r>
          </w:p>
        </w:tc>
      </w:tr>
      <w:tr w:rsidR="00B51D86" w:rsidRPr="0003007F" w14:paraId="3FC45723" w14:textId="77777777" w:rsidTr="00B51D86">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03" w:type="dxa"/>
            <w:shd w:val="clear" w:color="auto" w:fill="17365D" w:themeFill="text2" w:themeFillShade="BF"/>
          </w:tcPr>
          <w:p w14:paraId="68F69B01" w14:textId="77777777" w:rsidR="00E277C6" w:rsidRPr="00E25555" w:rsidRDefault="00E277C6" w:rsidP="00E277C6">
            <w:pPr>
              <w:pStyle w:val="NoSpacing"/>
              <w:jc w:val="right"/>
              <w:rPr>
                <w:rFonts w:ascii="Arial" w:hAnsi="Arial" w:cs="Arial"/>
                <w:color w:val="FFFFFF" w:themeColor="background1"/>
                <w:sz w:val="18"/>
                <w:szCs w:val="18"/>
              </w:rPr>
            </w:pPr>
          </w:p>
        </w:tc>
        <w:tc>
          <w:tcPr>
            <w:tcW w:w="726" w:type="dxa"/>
            <w:gridSpan w:val="2"/>
            <w:shd w:val="clear" w:color="auto" w:fill="17365D" w:themeFill="text2" w:themeFillShade="BF"/>
          </w:tcPr>
          <w:p w14:paraId="57A561A2" w14:textId="77777777" w:rsidR="00E277C6" w:rsidRPr="00E25555" w:rsidRDefault="00E277C6" w:rsidP="00E277C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2019</w:t>
            </w:r>
          </w:p>
        </w:tc>
        <w:tc>
          <w:tcPr>
            <w:tcW w:w="871" w:type="dxa"/>
            <w:gridSpan w:val="2"/>
            <w:shd w:val="clear" w:color="auto" w:fill="17365D" w:themeFill="text2" w:themeFillShade="BF"/>
          </w:tcPr>
          <w:p w14:paraId="7E9F6FBF" w14:textId="77777777" w:rsidR="00E277C6" w:rsidRPr="00E25555" w:rsidRDefault="00E277C6" w:rsidP="00E277C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2020</w:t>
            </w:r>
          </w:p>
        </w:tc>
        <w:tc>
          <w:tcPr>
            <w:tcW w:w="872" w:type="dxa"/>
            <w:gridSpan w:val="2"/>
            <w:shd w:val="clear" w:color="auto" w:fill="17365D" w:themeFill="text2" w:themeFillShade="BF"/>
          </w:tcPr>
          <w:p w14:paraId="458EE1CE" w14:textId="77777777" w:rsidR="00E277C6" w:rsidRPr="00E25555" w:rsidRDefault="00E277C6" w:rsidP="00E277C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Q1 21</w:t>
            </w:r>
          </w:p>
        </w:tc>
        <w:tc>
          <w:tcPr>
            <w:tcW w:w="871" w:type="dxa"/>
            <w:gridSpan w:val="2"/>
            <w:shd w:val="clear" w:color="auto" w:fill="17365D" w:themeFill="text2" w:themeFillShade="BF"/>
          </w:tcPr>
          <w:p w14:paraId="15797993" w14:textId="77777777" w:rsidR="00E277C6" w:rsidRPr="00E25555" w:rsidRDefault="00E277C6" w:rsidP="00E277C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Q2 21</w:t>
            </w:r>
          </w:p>
        </w:tc>
        <w:tc>
          <w:tcPr>
            <w:tcW w:w="872" w:type="dxa"/>
            <w:shd w:val="clear" w:color="auto" w:fill="17365D" w:themeFill="text2" w:themeFillShade="BF"/>
          </w:tcPr>
          <w:p w14:paraId="7039B8CB" w14:textId="77777777" w:rsidR="00E277C6" w:rsidRPr="00E25555" w:rsidRDefault="00E277C6" w:rsidP="00E277C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Q3 21</w:t>
            </w:r>
          </w:p>
        </w:tc>
        <w:tc>
          <w:tcPr>
            <w:tcW w:w="871" w:type="dxa"/>
            <w:shd w:val="clear" w:color="auto" w:fill="17365D" w:themeFill="text2" w:themeFillShade="BF"/>
          </w:tcPr>
          <w:p w14:paraId="71732D05" w14:textId="77777777" w:rsidR="00E277C6" w:rsidRPr="00E25555" w:rsidRDefault="00E277C6" w:rsidP="00E277C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Q4 21</w:t>
            </w:r>
          </w:p>
        </w:tc>
        <w:tc>
          <w:tcPr>
            <w:tcW w:w="726" w:type="dxa"/>
            <w:shd w:val="clear" w:color="auto" w:fill="17365D" w:themeFill="text2" w:themeFillShade="BF"/>
          </w:tcPr>
          <w:p w14:paraId="23A49B12" w14:textId="77777777" w:rsidR="00E277C6" w:rsidRPr="00E25555" w:rsidRDefault="00E277C6" w:rsidP="00E277C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Q1 22</w:t>
            </w:r>
          </w:p>
        </w:tc>
        <w:tc>
          <w:tcPr>
            <w:tcW w:w="725" w:type="dxa"/>
            <w:shd w:val="clear" w:color="auto" w:fill="17365D" w:themeFill="text2" w:themeFillShade="BF"/>
          </w:tcPr>
          <w:p w14:paraId="7CDDD30F" w14:textId="77777777" w:rsidR="00E277C6" w:rsidRPr="00E25555" w:rsidRDefault="00E277C6" w:rsidP="00E277C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Q2 22</w:t>
            </w:r>
          </w:p>
        </w:tc>
        <w:tc>
          <w:tcPr>
            <w:tcW w:w="810" w:type="dxa"/>
            <w:shd w:val="clear" w:color="auto" w:fill="17365D" w:themeFill="text2" w:themeFillShade="BF"/>
          </w:tcPr>
          <w:p w14:paraId="64F6D843" w14:textId="77777777" w:rsidR="00E277C6" w:rsidRPr="00E25555" w:rsidRDefault="00E277C6" w:rsidP="00E277C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Q3 22</w:t>
            </w:r>
          </w:p>
        </w:tc>
        <w:tc>
          <w:tcPr>
            <w:tcW w:w="851" w:type="dxa"/>
            <w:shd w:val="clear" w:color="auto" w:fill="17365D" w:themeFill="text2" w:themeFillShade="BF"/>
          </w:tcPr>
          <w:p w14:paraId="6CD37F3E" w14:textId="0AE9CD69" w:rsidR="00E277C6" w:rsidRPr="00E25555" w:rsidRDefault="003C0347" w:rsidP="00B7196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xml:space="preserve">Oct </w:t>
            </w:r>
            <w:r w:rsidR="00E277C6" w:rsidRPr="00E25555">
              <w:rPr>
                <w:rFonts w:ascii="Arial" w:hAnsi="Arial" w:cs="Arial"/>
                <w:b/>
                <w:color w:val="FFFFFF" w:themeColor="background1"/>
                <w:sz w:val="18"/>
                <w:szCs w:val="18"/>
              </w:rPr>
              <w:t>22</w:t>
            </w:r>
          </w:p>
        </w:tc>
        <w:tc>
          <w:tcPr>
            <w:tcW w:w="850" w:type="dxa"/>
            <w:shd w:val="clear" w:color="auto" w:fill="17365D" w:themeFill="text2" w:themeFillShade="BF"/>
          </w:tcPr>
          <w:p w14:paraId="08C565DD" w14:textId="77777777" w:rsidR="00E277C6" w:rsidRPr="00E25555" w:rsidRDefault="00E277C6" w:rsidP="00E277C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E25555">
              <w:rPr>
                <w:rFonts w:ascii="Arial" w:hAnsi="Arial" w:cs="Arial"/>
                <w:b/>
                <w:color w:val="FFFFFF" w:themeColor="background1"/>
                <w:sz w:val="18"/>
                <w:szCs w:val="18"/>
              </w:rPr>
              <w:t xml:space="preserve">$ </w:t>
            </w:r>
            <w:r w:rsidRPr="00E25555">
              <w:rPr>
                <w:rFonts w:ascii="Arial" w:hAnsi="Arial" w:cs="Arial"/>
                <w:b/>
                <w:color w:val="FFFFFF" w:themeColor="background1"/>
                <w:sz w:val="18"/>
                <w:szCs w:val="18"/>
              </w:rPr>
              <w:br/>
              <w:t>vs YA</w:t>
            </w:r>
          </w:p>
        </w:tc>
        <w:tc>
          <w:tcPr>
            <w:tcW w:w="851" w:type="dxa"/>
            <w:shd w:val="clear" w:color="auto" w:fill="17365D" w:themeFill="text2" w:themeFillShade="BF"/>
          </w:tcPr>
          <w:p w14:paraId="17E177F9" w14:textId="77777777" w:rsidR="00E277C6" w:rsidRPr="00E25555" w:rsidRDefault="00E277C6" w:rsidP="00E277C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roofErr w:type="spellStart"/>
            <w:r w:rsidRPr="00E25555">
              <w:rPr>
                <w:rFonts w:ascii="Arial" w:hAnsi="Arial" w:cs="Arial"/>
                <w:b/>
                <w:color w:val="FFFFFF" w:themeColor="background1"/>
                <w:sz w:val="18"/>
                <w:szCs w:val="18"/>
              </w:rPr>
              <w:t>lbs</w:t>
            </w:r>
            <w:proofErr w:type="spellEnd"/>
            <w:r w:rsidRPr="00E25555">
              <w:rPr>
                <w:rFonts w:ascii="Arial" w:hAnsi="Arial" w:cs="Arial"/>
                <w:b/>
                <w:color w:val="FFFFFF" w:themeColor="background1"/>
                <w:sz w:val="18"/>
                <w:szCs w:val="18"/>
              </w:rPr>
              <w:t xml:space="preserve"> vs YA</w:t>
            </w:r>
          </w:p>
        </w:tc>
      </w:tr>
      <w:tr w:rsidR="00B51D86" w:rsidRPr="000C4A54" w14:paraId="5A32220A" w14:textId="77777777" w:rsidTr="00B51D86">
        <w:trPr>
          <w:trHeight w:val="293"/>
        </w:trPr>
        <w:tc>
          <w:tcPr>
            <w:cnfStyle w:val="001000000000" w:firstRow="0" w:lastRow="0" w:firstColumn="1" w:lastColumn="0" w:oddVBand="0" w:evenVBand="0" w:oddHBand="0" w:evenHBand="0" w:firstRowFirstColumn="0" w:firstRowLastColumn="0" w:lastRowFirstColumn="0" w:lastRowLastColumn="0"/>
            <w:tcW w:w="1303" w:type="dxa"/>
          </w:tcPr>
          <w:p w14:paraId="6A4F9EB9" w14:textId="77777777" w:rsidR="00E277C6" w:rsidRPr="000C4A54" w:rsidRDefault="00E277C6" w:rsidP="00E277C6">
            <w:pPr>
              <w:pStyle w:val="NoSpacing"/>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Fresh vegetables</w:t>
            </w:r>
          </w:p>
        </w:tc>
        <w:tc>
          <w:tcPr>
            <w:tcW w:w="726" w:type="dxa"/>
            <w:gridSpan w:val="2"/>
          </w:tcPr>
          <w:p w14:paraId="0B890437" w14:textId="77777777" w:rsidR="00E277C6" w:rsidRPr="000C4A54" w:rsidRDefault="00E277C6" w:rsidP="00E277C6">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w:t>
            </w:r>
            <w:r>
              <w:rPr>
                <w:rFonts w:ascii="Arial" w:hAnsi="Arial" w:cs="Arial"/>
                <w:b/>
                <w:bCs/>
                <w:color w:val="215868" w:themeColor="accent5" w:themeShade="80"/>
                <w:sz w:val="18"/>
                <w:szCs w:val="18"/>
              </w:rPr>
              <w:t>4</w:t>
            </w:r>
            <w:r w:rsidRPr="000C4A54">
              <w:rPr>
                <w:rFonts w:ascii="Arial" w:hAnsi="Arial" w:cs="Arial"/>
                <w:b/>
                <w:bCs/>
                <w:color w:val="215868" w:themeColor="accent5" w:themeShade="80"/>
                <w:sz w:val="18"/>
                <w:szCs w:val="18"/>
              </w:rPr>
              <w:t>%</w:t>
            </w:r>
          </w:p>
        </w:tc>
        <w:tc>
          <w:tcPr>
            <w:tcW w:w="871" w:type="dxa"/>
            <w:gridSpan w:val="2"/>
          </w:tcPr>
          <w:p w14:paraId="22735FC4" w14:textId="3C8C66EC" w:rsidR="00E277C6" w:rsidRPr="000C4A54" w:rsidRDefault="000B296C" w:rsidP="00E277C6">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+15</w:t>
            </w:r>
            <w:r w:rsidR="00E277C6" w:rsidRPr="000C4A54">
              <w:rPr>
                <w:rFonts w:ascii="Arial" w:hAnsi="Arial" w:cs="Arial"/>
                <w:b/>
                <w:bCs/>
                <w:color w:val="215868" w:themeColor="accent5" w:themeShade="80"/>
                <w:sz w:val="18"/>
                <w:szCs w:val="18"/>
              </w:rPr>
              <w:t>%</w:t>
            </w:r>
          </w:p>
        </w:tc>
        <w:tc>
          <w:tcPr>
            <w:tcW w:w="872" w:type="dxa"/>
            <w:gridSpan w:val="2"/>
          </w:tcPr>
          <w:p w14:paraId="3F2D9501" w14:textId="0B443595" w:rsidR="00E277C6" w:rsidRPr="000C4A54" w:rsidRDefault="000B296C" w:rsidP="00E277C6">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+5</w:t>
            </w:r>
            <w:r w:rsidR="00E277C6" w:rsidRPr="000C4A54">
              <w:rPr>
                <w:rFonts w:ascii="Arial" w:hAnsi="Arial" w:cs="Arial"/>
                <w:b/>
                <w:bCs/>
                <w:color w:val="215868" w:themeColor="accent5" w:themeShade="80"/>
                <w:sz w:val="18"/>
                <w:szCs w:val="18"/>
              </w:rPr>
              <w:t>%</w:t>
            </w:r>
          </w:p>
        </w:tc>
        <w:tc>
          <w:tcPr>
            <w:tcW w:w="871" w:type="dxa"/>
            <w:gridSpan w:val="2"/>
          </w:tcPr>
          <w:p w14:paraId="52BA270C" w14:textId="3D66B9BB" w:rsidR="00E277C6" w:rsidRPr="000C4A54" w:rsidRDefault="000B296C" w:rsidP="00E277C6">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-7</w:t>
            </w:r>
            <w:r w:rsidR="00E277C6" w:rsidRPr="000C4A54">
              <w:rPr>
                <w:rFonts w:ascii="Arial" w:hAnsi="Arial" w:cs="Arial"/>
                <w:b/>
                <w:bCs/>
                <w:color w:val="215868" w:themeColor="accent5" w:themeShade="80"/>
                <w:sz w:val="18"/>
                <w:szCs w:val="18"/>
              </w:rPr>
              <w:t>%</w:t>
            </w:r>
          </w:p>
        </w:tc>
        <w:tc>
          <w:tcPr>
            <w:tcW w:w="872" w:type="dxa"/>
          </w:tcPr>
          <w:p w14:paraId="4A78CF7A" w14:textId="57E491E4" w:rsidR="00E277C6" w:rsidRPr="000C4A54" w:rsidRDefault="000B296C" w:rsidP="00E277C6">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-2</w:t>
            </w:r>
            <w:r w:rsidR="00E277C6" w:rsidRPr="000C4A54">
              <w:rPr>
                <w:rFonts w:ascii="Arial" w:hAnsi="Arial" w:cs="Arial"/>
                <w:b/>
                <w:bCs/>
                <w:color w:val="215868" w:themeColor="accent5" w:themeShade="80"/>
                <w:sz w:val="18"/>
                <w:szCs w:val="18"/>
              </w:rPr>
              <w:t>%</w:t>
            </w:r>
          </w:p>
        </w:tc>
        <w:tc>
          <w:tcPr>
            <w:tcW w:w="871" w:type="dxa"/>
          </w:tcPr>
          <w:p w14:paraId="17BC462D" w14:textId="72D8878D" w:rsidR="00E277C6" w:rsidRPr="000C4A54" w:rsidRDefault="000B296C" w:rsidP="00E277C6">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rPr>
            </w:pPr>
            <w:r>
              <w:rPr>
                <w:rFonts w:ascii="Arial" w:hAnsi="Arial" w:cs="Arial"/>
                <w:b/>
                <w:bCs/>
                <w:color w:val="215868" w:themeColor="accent5" w:themeShade="80"/>
                <w:sz w:val="18"/>
              </w:rPr>
              <w:t>+0</w:t>
            </w:r>
            <w:r w:rsidR="00E277C6" w:rsidRPr="000C4A54">
              <w:rPr>
                <w:rFonts w:ascii="Arial" w:hAnsi="Arial" w:cs="Arial"/>
                <w:b/>
                <w:bCs/>
                <w:color w:val="215868" w:themeColor="accent5" w:themeShade="80"/>
                <w:sz w:val="18"/>
              </w:rPr>
              <w:t>%</w:t>
            </w:r>
          </w:p>
        </w:tc>
        <w:tc>
          <w:tcPr>
            <w:tcW w:w="726" w:type="dxa"/>
          </w:tcPr>
          <w:p w14:paraId="2CDCF16F" w14:textId="33F1FFC1" w:rsidR="00E277C6" w:rsidRPr="000C4A54" w:rsidRDefault="000B296C" w:rsidP="00E277C6">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-0</w:t>
            </w:r>
            <w:r w:rsidR="00E277C6" w:rsidRPr="000C4A54">
              <w:rPr>
                <w:rFonts w:ascii="Arial" w:hAnsi="Arial" w:cs="Arial"/>
                <w:b/>
                <w:bCs/>
                <w:color w:val="215868" w:themeColor="accent5" w:themeShade="80"/>
                <w:sz w:val="18"/>
                <w:szCs w:val="18"/>
              </w:rPr>
              <w:t>%</w:t>
            </w:r>
          </w:p>
        </w:tc>
        <w:tc>
          <w:tcPr>
            <w:tcW w:w="725" w:type="dxa"/>
          </w:tcPr>
          <w:p w14:paraId="3326F4EF" w14:textId="5FDA40D3" w:rsidR="00E277C6" w:rsidRPr="000C4A54" w:rsidRDefault="000B296C" w:rsidP="00E277C6">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+3</w:t>
            </w:r>
            <w:r w:rsidR="00E277C6" w:rsidRPr="000C4A54">
              <w:rPr>
                <w:rFonts w:ascii="Arial" w:hAnsi="Arial" w:cs="Arial"/>
                <w:b/>
                <w:bCs/>
                <w:color w:val="215868" w:themeColor="accent5" w:themeShade="80"/>
                <w:sz w:val="18"/>
                <w:szCs w:val="18"/>
              </w:rPr>
              <w:t>%</w:t>
            </w:r>
          </w:p>
        </w:tc>
        <w:tc>
          <w:tcPr>
            <w:tcW w:w="810" w:type="dxa"/>
          </w:tcPr>
          <w:p w14:paraId="788F44D8" w14:textId="7A3BE659" w:rsidR="00E277C6" w:rsidRPr="000C4A54" w:rsidRDefault="009213F8" w:rsidP="00E277C6">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+5</w:t>
            </w:r>
            <w:r w:rsidR="00E277C6">
              <w:rPr>
                <w:rFonts w:ascii="Arial" w:hAnsi="Arial" w:cs="Arial"/>
                <w:b/>
                <w:bCs/>
                <w:color w:val="215868" w:themeColor="accent5" w:themeShade="80"/>
                <w:sz w:val="18"/>
                <w:szCs w:val="18"/>
              </w:rPr>
              <w:t>%</w:t>
            </w:r>
          </w:p>
        </w:tc>
        <w:tc>
          <w:tcPr>
            <w:tcW w:w="851" w:type="dxa"/>
          </w:tcPr>
          <w:p w14:paraId="2B51125F" w14:textId="6480BBFD" w:rsidR="00E277C6" w:rsidRPr="000C4A54" w:rsidRDefault="00E277C6" w:rsidP="00E277C6">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w:t>
            </w:r>
            <w:r w:rsidR="001404B7">
              <w:rPr>
                <w:rFonts w:ascii="Arial" w:hAnsi="Arial" w:cs="Arial"/>
                <w:b/>
                <w:bCs/>
                <w:color w:val="215868" w:themeColor="accent5" w:themeShade="80"/>
                <w:sz w:val="18"/>
                <w:szCs w:val="18"/>
              </w:rPr>
              <w:t>3.6</w:t>
            </w:r>
            <w:r w:rsidRPr="000C4A54">
              <w:rPr>
                <w:rFonts w:ascii="Arial" w:hAnsi="Arial" w:cs="Arial"/>
                <w:b/>
                <w:bCs/>
                <w:color w:val="215868" w:themeColor="accent5" w:themeShade="80"/>
                <w:sz w:val="18"/>
                <w:szCs w:val="18"/>
              </w:rPr>
              <w:t>B</w:t>
            </w:r>
          </w:p>
        </w:tc>
        <w:tc>
          <w:tcPr>
            <w:tcW w:w="850" w:type="dxa"/>
          </w:tcPr>
          <w:p w14:paraId="603AA2BF" w14:textId="1E46C32B" w:rsidR="00E277C6" w:rsidRPr="000C4A54" w:rsidRDefault="00B51D86" w:rsidP="00E277C6">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color w:val="215868" w:themeColor="accent5" w:themeShade="80"/>
                <w:sz w:val="18"/>
                <w:szCs w:val="18"/>
              </w:rPr>
              <w:t>+</w:t>
            </w:r>
            <w:r w:rsidR="001404B7">
              <w:rPr>
                <w:rFonts w:ascii="Arial" w:hAnsi="Arial" w:cs="Arial"/>
                <w:b/>
                <w:color w:val="215868" w:themeColor="accent5" w:themeShade="80"/>
                <w:sz w:val="18"/>
                <w:szCs w:val="18"/>
              </w:rPr>
              <w:t>5.0</w:t>
            </w:r>
            <w:r w:rsidR="00E277C6" w:rsidRPr="000C4A54">
              <w:rPr>
                <w:rFonts w:ascii="Arial" w:hAnsi="Arial" w:cs="Arial"/>
                <w:b/>
                <w:color w:val="215868" w:themeColor="accent5" w:themeShade="80"/>
                <w:sz w:val="18"/>
                <w:szCs w:val="18"/>
              </w:rPr>
              <w:t>%</w:t>
            </w:r>
          </w:p>
        </w:tc>
        <w:tc>
          <w:tcPr>
            <w:tcW w:w="851" w:type="dxa"/>
          </w:tcPr>
          <w:p w14:paraId="44826A3B" w14:textId="2828BA47" w:rsidR="00E277C6" w:rsidRPr="000C4A54" w:rsidRDefault="00E277C6" w:rsidP="00E277C6">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w:t>
            </w:r>
            <w:r w:rsidR="00B60B2A">
              <w:rPr>
                <w:rFonts w:ascii="Arial" w:hAnsi="Arial" w:cs="Arial"/>
                <w:b/>
                <w:bCs/>
                <w:color w:val="215868" w:themeColor="accent5" w:themeShade="80"/>
                <w:sz w:val="18"/>
                <w:szCs w:val="18"/>
              </w:rPr>
              <w:t>4.6</w:t>
            </w:r>
            <w:r w:rsidRPr="000C4A54">
              <w:rPr>
                <w:rFonts w:ascii="Arial" w:hAnsi="Arial" w:cs="Arial"/>
                <w:b/>
                <w:bCs/>
                <w:color w:val="215868" w:themeColor="accent5" w:themeShade="80"/>
                <w:sz w:val="18"/>
                <w:szCs w:val="18"/>
              </w:rPr>
              <w:t>%</w:t>
            </w:r>
          </w:p>
        </w:tc>
      </w:tr>
      <w:tr w:rsidR="009213F8" w:rsidRPr="000C4A54" w14:paraId="1FC9E995" w14:textId="77777777" w:rsidTr="00B51D8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03" w:type="dxa"/>
          </w:tcPr>
          <w:p w14:paraId="3B27776F" w14:textId="1D2DE6F4" w:rsidR="009213F8" w:rsidRPr="000C4A54" w:rsidRDefault="009213F8" w:rsidP="009213F8">
            <w:pPr>
              <w:rPr>
                <w:rFonts w:ascii="Arial" w:hAnsi="Arial" w:cs="Arial"/>
                <w:color w:val="215868" w:themeColor="accent5" w:themeShade="80"/>
                <w:sz w:val="18"/>
                <w:szCs w:val="18"/>
              </w:rPr>
            </w:pPr>
            <w:r w:rsidRPr="000C4A54">
              <w:rPr>
                <w:rFonts w:ascii="Arial" w:hAnsi="Arial" w:cs="Arial"/>
                <w:b w:val="0"/>
                <w:color w:val="215868" w:themeColor="accent5" w:themeShade="80"/>
                <w:sz w:val="18"/>
                <w:szCs w:val="18"/>
              </w:rPr>
              <w:t>Potatoes</w:t>
            </w:r>
          </w:p>
        </w:tc>
        <w:tc>
          <w:tcPr>
            <w:tcW w:w="726" w:type="dxa"/>
            <w:gridSpan w:val="2"/>
          </w:tcPr>
          <w:p w14:paraId="741DA541" w14:textId="0501EA53"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2</w:t>
            </w:r>
            <w:r w:rsidRPr="000C4A54">
              <w:rPr>
                <w:rFonts w:ascii="Arial" w:hAnsi="Arial" w:cs="Arial"/>
                <w:color w:val="215868" w:themeColor="accent5" w:themeShade="80"/>
                <w:sz w:val="18"/>
                <w:szCs w:val="18"/>
              </w:rPr>
              <w:t>%</w:t>
            </w:r>
          </w:p>
        </w:tc>
        <w:tc>
          <w:tcPr>
            <w:tcW w:w="871" w:type="dxa"/>
            <w:gridSpan w:val="2"/>
          </w:tcPr>
          <w:p w14:paraId="305996D7" w14:textId="358727CD" w:rsidR="009213F8"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+21</w:t>
            </w:r>
            <w:r w:rsidRPr="000C4A54">
              <w:rPr>
                <w:rFonts w:ascii="Arial" w:hAnsi="Arial" w:cs="Arial"/>
                <w:color w:val="215868" w:themeColor="accent5" w:themeShade="80"/>
                <w:sz w:val="18"/>
                <w:szCs w:val="18"/>
              </w:rPr>
              <w:t>%</w:t>
            </w:r>
          </w:p>
        </w:tc>
        <w:tc>
          <w:tcPr>
            <w:tcW w:w="872" w:type="dxa"/>
            <w:gridSpan w:val="2"/>
          </w:tcPr>
          <w:p w14:paraId="77FC830E" w14:textId="1D0EBF6A" w:rsidR="009213F8"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w:t>
            </w:r>
            <w:r w:rsidRPr="000C4A54">
              <w:rPr>
                <w:rFonts w:ascii="Arial" w:hAnsi="Arial" w:cs="Arial"/>
                <w:color w:val="215868" w:themeColor="accent5" w:themeShade="80"/>
                <w:sz w:val="18"/>
                <w:szCs w:val="18"/>
              </w:rPr>
              <w:t>%</w:t>
            </w:r>
          </w:p>
        </w:tc>
        <w:tc>
          <w:tcPr>
            <w:tcW w:w="871" w:type="dxa"/>
            <w:gridSpan w:val="2"/>
          </w:tcPr>
          <w:p w14:paraId="2D3C9ED5" w14:textId="59D1F41D" w:rsidR="009213F8"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-20</w:t>
            </w:r>
            <w:r w:rsidRPr="000C4A54">
              <w:rPr>
                <w:rFonts w:ascii="Arial" w:hAnsi="Arial" w:cs="Arial"/>
                <w:color w:val="215868" w:themeColor="accent5" w:themeShade="80"/>
                <w:sz w:val="18"/>
                <w:szCs w:val="18"/>
              </w:rPr>
              <w:t>%</w:t>
            </w:r>
          </w:p>
        </w:tc>
        <w:tc>
          <w:tcPr>
            <w:tcW w:w="872" w:type="dxa"/>
          </w:tcPr>
          <w:p w14:paraId="09A616D7" w14:textId="668ED59F" w:rsidR="009213F8"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w:t>
            </w:r>
            <w:r w:rsidRPr="000C4A54">
              <w:rPr>
                <w:rFonts w:ascii="Arial" w:hAnsi="Arial" w:cs="Arial"/>
                <w:color w:val="215868" w:themeColor="accent5" w:themeShade="80"/>
                <w:sz w:val="18"/>
                <w:szCs w:val="18"/>
              </w:rPr>
              <w:t>%</w:t>
            </w:r>
          </w:p>
        </w:tc>
        <w:tc>
          <w:tcPr>
            <w:tcW w:w="871" w:type="dxa"/>
          </w:tcPr>
          <w:p w14:paraId="43C6F831" w14:textId="10A633D8" w:rsidR="009213F8"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+0</w:t>
            </w:r>
            <w:r w:rsidRPr="000C4A54">
              <w:rPr>
                <w:rFonts w:ascii="Arial" w:hAnsi="Arial" w:cs="Arial"/>
                <w:bCs/>
                <w:color w:val="215868" w:themeColor="accent5" w:themeShade="80"/>
                <w:sz w:val="18"/>
                <w:szCs w:val="18"/>
              </w:rPr>
              <w:t>%</w:t>
            </w:r>
          </w:p>
        </w:tc>
        <w:tc>
          <w:tcPr>
            <w:tcW w:w="726" w:type="dxa"/>
          </w:tcPr>
          <w:p w14:paraId="432C5195" w14:textId="531F9B57" w:rsidR="009213F8"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w:t>
            </w:r>
            <w:r w:rsidRPr="000C4A54">
              <w:rPr>
                <w:rFonts w:ascii="Arial" w:hAnsi="Arial" w:cs="Arial"/>
                <w:color w:val="215868" w:themeColor="accent5" w:themeShade="80"/>
                <w:sz w:val="18"/>
                <w:szCs w:val="18"/>
              </w:rPr>
              <w:t>%</w:t>
            </w:r>
          </w:p>
        </w:tc>
        <w:tc>
          <w:tcPr>
            <w:tcW w:w="725" w:type="dxa"/>
          </w:tcPr>
          <w:p w14:paraId="16429C8B" w14:textId="7E974972"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13</w:t>
            </w:r>
            <w:r w:rsidRPr="000C4A54">
              <w:rPr>
                <w:rFonts w:ascii="Arial" w:hAnsi="Arial" w:cs="Arial"/>
                <w:color w:val="215868" w:themeColor="accent5" w:themeShade="80"/>
                <w:sz w:val="18"/>
                <w:szCs w:val="18"/>
              </w:rPr>
              <w:t>%</w:t>
            </w:r>
          </w:p>
        </w:tc>
        <w:tc>
          <w:tcPr>
            <w:tcW w:w="810" w:type="dxa"/>
          </w:tcPr>
          <w:p w14:paraId="147C4B0D" w14:textId="0CE98963" w:rsidR="009213F8"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+19%</w:t>
            </w:r>
          </w:p>
        </w:tc>
        <w:tc>
          <w:tcPr>
            <w:tcW w:w="851" w:type="dxa"/>
          </w:tcPr>
          <w:p w14:paraId="7F58014B" w14:textId="7F845D77"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w:t>
            </w:r>
            <w:r w:rsidR="001404B7">
              <w:rPr>
                <w:rFonts w:ascii="Arial" w:hAnsi="Arial" w:cs="Arial"/>
                <w:bCs/>
                <w:color w:val="215868" w:themeColor="accent5" w:themeShade="80"/>
                <w:sz w:val="18"/>
                <w:szCs w:val="18"/>
              </w:rPr>
              <w:t>382</w:t>
            </w:r>
            <w:r w:rsidRPr="000C4A54">
              <w:rPr>
                <w:rFonts w:ascii="Arial" w:hAnsi="Arial" w:cs="Arial"/>
                <w:bCs/>
                <w:color w:val="215868" w:themeColor="accent5" w:themeShade="80"/>
                <w:sz w:val="18"/>
                <w:szCs w:val="18"/>
              </w:rPr>
              <w:t>M</w:t>
            </w:r>
          </w:p>
        </w:tc>
        <w:tc>
          <w:tcPr>
            <w:tcW w:w="850" w:type="dxa"/>
          </w:tcPr>
          <w:p w14:paraId="6E3696B3" w14:textId="432D9974" w:rsidR="009213F8"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w:t>
            </w:r>
            <w:r w:rsidR="001404B7">
              <w:rPr>
                <w:rFonts w:ascii="Arial" w:hAnsi="Arial" w:cs="Arial"/>
                <w:bCs/>
                <w:color w:val="215868" w:themeColor="accent5" w:themeShade="80"/>
                <w:sz w:val="18"/>
                <w:szCs w:val="18"/>
              </w:rPr>
              <w:t>21.6</w:t>
            </w:r>
            <w:r w:rsidRPr="000C4A54">
              <w:rPr>
                <w:rFonts w:ascii="Arial" w:hAnsi="Arial" w:cs="Arial"/>
                <w:bCs/>
                <w:color w:val="215868" w:themeColor="accent5" w:themeShade="80"/>
                <w:sz w:val="18"/>
                <w:szCs w:val="18"/>
              </w:rPr>
              <w:t>%</w:t>
            </w:r>
          </w:p>
        </w:tc>
        <w:tc>
          <w:tcPr>
            <w:tcW w:w="851" w:type="dxa"/>
          </w:tcPr>
          <w:p w14:paraId="3F4045FE" w14:textId="15D2937E"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B60B2A">
              <w:rPr>
                <w:rFonts w:ascii="Arial" w:hAnsi="Arial" w:cs="Arial"/>
                <w:bCs/>
                <w:color w:val="215868" w:themeColor="accent5" w:themeShade="80"/>
                <w:sz w:val="18"/>
                <w:szCs w:val="18"/>
              </w:rPr>
              <w:t>1.3</w:t>
            </w:r>
            <w:r w:rsidRPr="000C4A54">
              <w:rPr>
                <w:rFonts w:ascii="Arial" w:hAnsi="Arial" w:cs="Arial"/>
                <w:bCs/>
                <w:color w:val="215868" w:themeColor="accent5" w:themeShade="80"/>
                <w:sz w:val="18"/>
                <w:szCs w:val="18"/>
              </w:rPr>
              <w:t>%</w:t>
            </w:r>
          </w:p>
        </w:tc>
      </w:tr>
      <w:tr w:rsidR="009213F8" w:rsidRPr="000C4A54" w14:paraId="3BCE8282" w14:textId="77777777" w:rsidTr="00B51D86">
        <w:trPr>
          <w:trHeight w:val="249"/>
        </w:trPr>
        <w:tc>
          <w:tcPr>
            <w:cnfStyle w:val="001000000000" w:firstRow="0" w:lastRow="0" w:firstColumn="1" w:lastColumn="0" w:oddVBand="0" w:evenVBand="0" w:oddHBand="0" w:evenHBand="0" w:firstRowFirstColumn="0" w:firstRowLastColumn="0" w:lastRowFirstColumn="0" w:lastRowLastColumn="0"/>
            <w:tcW w:w="1303" w:type="dxa"/>
          </w:tcPr>
          <w:p w14:paraId="5050B3D9" w14:textId="77777777" w:rsidR="009213F8" w:rsidRPr="000C4A54" w:rsidRDefault="009213F8" w:rsidP="009213F8">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Tomatoes</w:t>
            </w:r>
          </w:p>
        </w:tc>
        <w:tc>
          <w:tcPr>
            <w:tcW w:w="726" w:type="dxa"/>
            <w:gridSpan w:val="2"/>
          </w:tcPr>
          <w:p w14:paraId="431059FB" w14:textId="77777777"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+0%</w:t>
            </w:r>
          </w:p>
        </w:tc>
        <w:tc>
          <w:tcPr>
            <w:tcW w:w="871" w:type="dxa"/>
            <w:gridSpan w:val="2"/>
          </w:tcPr>
          <w:p w14:paraId="6558DD54" w14:textId="62478363"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+18</w:t>
            </w:r>
            <w:r w:rsidRPr="000C4A54">
              <w:rPr>
                <w:rFonts w:ascii="Arial" w:hAnsi="Arial" w:cs="Arial"/>
                <w:color w:val="215868" w:themeColor="accent5" w:themeShade="80"/>
                <w:sz w:val="18"/>
                <w:szCs w:val="18"/>
              </w:rPr>
              <w:t>%</w:t>
            </w:r>
          </w:p>
        </w:tc>
        <w:tc>
          <w:tcPr>
            <w:tcW w:w="872" w:type="dxa"/>
            <w:gridSpan w:val="2"/>
          </w:tcPr>
          <w:p w14:paraId="1D2FD5FB" w14:textId="1FC175A0"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w:t>
            </w:r>
            <w:r w:rsidRPr="000C4A54">
              <w:rPr>
                <w:rFonts w:ascii="Arial" w:hAnsi="Arial" w:cs="Arial"/>
                <w:color w:val="215868" w:themeColor="accent5" w:themeShade="80"/>
                <w:sz w:val="18"/>
                <w:szCs w:val="18"/>
              </w:rPr>
              <w:t>%</w:t>
            </w:r>
          </w:p>
        </w:tc>
        <w:tc>
          <w:tcPr>
            <w:tcW w:w="871" w:type="dxa"/>
            <w:gridSpan w:val="2"/>
          </w:tcPr>
          <w:p w14:paraId="4F30B854" w14:textId="6BA7B557"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-9</w:t>
            </w:r>
            <w:r w:rsidRPr="000C4A54">
              <w:rPr>
                <w:rFonts w:ascii="Arial" w:hAnsi="Arial" w:cs="Arial"/>
                <w:color w:val="215868" w:themeColor="accent5" w:themeShade="80"/>
                <w:sz w:val="18"/>
                <w:szCs w:val="18"/>
              </w:rPr>
              <w:t>%</w:t>
            </w:r>
          </w:p>
        </w:tc>
        <w:tc>
          <w:tcPr>
            <w:tcW w:w="872" w:type="dxa"/>
          </w:tcPr>
          <w:p w14:paraId="1B1C468F" w14:textId="47D2D6EB"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w:t>
            </w:r>
            <w:r w:rsidRPr="000C4A54">
              <w:rPr>
                <w:rFonts w:ascii="Arial" w:hAnsi="Arial" w:cs="Arial"/>
                <w:color w:val="215868" w:themeColor="accent5" w:themeShade="80"/>
                <w:sz w:val="18"/>
                <w:szCs w:val="18"/>
              </w:rPr>
              <w:t>%</w:t>
            </w:r>
          </w:p>
        </w:tc>
        <w:tc>
          <w:tcPr>
            <w:tcW w:w="871" w:type="dxa"/>
          </w:tcPr>
          <w:p w14:paraId="26CB9FD6" w14:textId="45D4DEB5"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w:t>
            </w:r>
            <w:r w:rsidRPr="000C4A54">
              <w:rPr>
                <w:rFonts w:ascii="Arial" w:hAnsi="Arial" w:cs="Arial"/>
                <w:bCs/>
                <w:color w:val="215868" w:themeColor="accent5" w:themeShade="80"/>
                <w:sz w:val="18"/>
                <w:szCs w:val="18"/>
              </w:rPr>
              <w:t>%</w:t>
            </w:r>
          </w:p>
        </w:tc>
        <w:tc>
          <w:tcPr>
            <w:tcW w:w="726" w:type="dxa"/>
          </w:tcPr>
          <w:p w14:paraId="6CBF9DF2" w14:textId="78E3547E"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-5</w:t>
            </w:r>
            <w:r w:rsidRPr="000C4A54">
              <w:rPr>
                <w:rFonts w:ascii="Arial" w:hAnsi="Arial" w:cs="Arial"/>
                <w:color w:val="215868" w:themeColor="accent5" w:themeShade="80"/>
                <w:sz w:val="18"/>
                <w:szCs w:val="18"/>
              </w:rPr>
              <w:t>%</w:t>
            </w:r>
          </w:p>
        </w:tc>
        <w:tc>
          <w:tcPr>
            <w:tcW w:w="725" w:type="dxa"/>
          </w:tcPr>
          <w:p w14:paraId="0E1B3884" w14:textId="3CC7C18F"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0</w:t>
            </w:r>
            <w:r w:rsidRPr="000C4A54">
              <w:rPr>
                <w:rFonts w:ascii="Arial" w:hAnsi="Arial" w:cs="Arial"/>
                <w:color w:val="215868" w:themeColor="accent5" w:themeShade="80"/>
                <w:sz w:val="18"/>
                <w:szCs w:val="18"/>
              </w:rPr>
              <w:t>%</w:t>
            </w:r>
          </w:p>
        </w:tc>
        <w:tc>
          <w:tcPr>
            <w:tcW w:w="810" w:type="dxa"/>
          </w:tcPr>
          <w:p w14:paraId="4553CD23" w14:textId="02638898"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+2.5%</w:t>
            </w:r>
          </w:p>
        </w:tc>
        <w:tc>
          <w:tcPr>
            <w:tcW w:w="851" w:type="dxa"/>
          </w:tcPr>
          <w:p w14:paraId="3AF17F7F" w14:textId="5C95A8F6"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1404B7">
              <w:rPr>
                <w:rFonts w:ascii="Arial" w:hAnsi="Arial" w:cs="Arial"/>
                <w:bCs/>
                <w:color w:val="215868" w:themeColor="accent5" w:themeShade="80"/>
                <w:sz w:val="18"/>
                <w:szCs w:val="18"/>
              </w:rPr>
              <w:t>343</w:t>
            </w:r>
            <w:r w:rsidRPr="000C4A54">
              <w:rPr>
                <w:rFonts w:ascii="Arial" w:hAnsi="Arial" w:cs="Arial"/>
                <w:bCs/>
                <w:color w:val="215868" w:themeColor="accent5" w:themeShade="80"/>
                <w:sz w:val="18"/>
                <w:szCs w:val="18"/>
              </w:rPr>
              <w:t>M</w:t>
            </w:r>
          </w:p>
        </w:tc>
        <w:tc>
          <w:tcPr>
            <w:tcW w:w="850" w:type="dxa"/>
          </w:tcPr>
          <w:p w14:paraId="5DB5056C" w14:textId="77571631"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1404B7">
              <w:rPr>
                <w:rFonts w:ascii="Arial" w:hAnsi="Arial" w:cs="Arial"/>
                <w:bCs/>
                <w:color w:val="215868" w:themeColor="accent5" w:themeShade="80"/>
                <w:sz w:val="18"/>
                <w:szCs w:val="18"/>
              </w:rPr>
              <w:t>1.9</w:t>
            </w:r>
            <w:r w:rsidRPr="000C4A54">
              <w:rPr>
                <w:rFonts w:ascii="Arial" w:hAnsi="Arial" w:cs="Arial"/>
                <w:bCs/>
                <w:color w:val="215868" w:themeColor="accent5" w:themeShade="80"/>
                <w:sz w:val="18"/>
                <w:szCs w:val="18"/>
              </w:rPr>
              <w:t>%</w:t>
            </w:r>
          </w:p>
        </w:tc>
        <w:tc>
          <w:tcPr>
            <w:tcW w:w="851" w:type="dxa"/>
          </w:tcPr>
          <w:p w14:paraId="049DFBB8" w14:textId="4A7B507C" w:rsidR="009213F8" w:rsidRPr="000C4A54" w:rsidRDefault="00B60B2A"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+1.2</w:t>
            </w:r>
            <w:r w:rsidR="009213F8" w:rsidRPr="000C4A54">
              <w:rPr>
                <w:rFonts w:ascii="Arial" w:hAnsi="Arial" w:cs="Arial"/>
                <w:bCs/>
                <w:color w:val="215868" w:themeColor="accent5" w:themeShade="80"/>
                <w:sz w:val="18"/>
                <w:szCs w:val="18"/>
              </w:rPr>
              <w:t>%</w:t>
            </w:r>
          </w:p>
        </w:tc>
      </w:tr>
      <w:tr w:rsidR="009213F8" w:rsidRPr="000C4A54" w14:paraId="2F2AA562" w14:textId="77777777" w:rsidTr="00B51D8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03" w:type="dxa"/>
          </w:tcPr>
          <w:p w14:paraId="796A24D5" w14:textId="133AA601" w:rsidR="009213F8" w:rsidRPr="000C4A54" w:rsidRDefault="001404B7" w:rsidP="009213F8">
            <w:pPr>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Salad kits</w:t>
            </w:r>
          </w:p>
        </w:tc>
        <w:tc>
          <w:tcPr>
            <w:tcW w:w="726" w:type="dxa"/>
            <w:gridSpan w:val="2"/>
          </w:tcPr>
          <w:p w14:paraId="7814075F" w14:textId="77777777"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+12%</w:t>
            </w:r>
          </w:p>
        </w:tc>
        <w:tc>
          <w:tcPr>
            <w:tcW w:w="871" w:type="dxa"/>
            <w:gridSpan w:val="2"/>
          </w:tcPr>
          <w:p w14:paraId="336BBB6D" w14:textId="1B769698"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+15</w:t>
            </w:r>
            <w:r w:rsidRPr="000C4A54">
              <w:rPr>
                <w:rFonts w:ascii="Arial" w:hAnsi="Arial" w:cs="Arial"/>
                <w:color w:val="215868" w:themeColor="accent5" w:themeShade="80"/>
                <w:sz w:val="18"/>
                <w:szCs w:val="18"/>
              </w:rPr>
              <w:t>%</w:t>
            </w:r>
          </w:p>
        </w:tc>
        <w:tc>
          <w:tcPr>
            <w:tcW w:w="872" w:type="dxa"/>
            <w:gridSpan w:val="2"/>
          </w:tcPr>
          <w:p w14:paraId="47021E70" w14:textId="05D1D87E"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+13</w:t>
            </w:r>
            <w:r w:rsidRPr="000C4A54">
              <w:rPr>
                <w:rFonts w:ascii="Arial" w:hAnsi="Arial" w:cs="Arial"/>
                <w:color w:val="215868" w:themeColor="accent5" w:themeShade="80"/>
                <w:sz w:val="18"/>
                <w:szCs w:val="18"/>
              </w:rPr>
              <w:t>%</w:t>
            </w:r>
          </w:p>
        </w:tc>
        <w:tc>
          <w:tcPr>
            <w:tcW w:w="871" w:type="dxa"/>
            <w:gridSpan w:val="2"/>
          </w:tcPr>
          <w:p w14:paraId="3756805C" w14:textId="094BD29A"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15</w:t>
            </w:r>
            <w:r w:rsidRPr="000C4A54">
              <w:rPr>
                <w:rFonts w:ascii="Arial" w:hAnsi="Arial" w:cs="Arial"/>
                <w:color w:val="215868" w:themeColor="accent5" w:themeShade="80"/>
                <w:sz w:val="18"/>
                <w:szCs w:val="18"/>
              </w:rPr>
              <w:t>%</w:t>
            </w:r>
          </w:p>
        </w:tc>
        <w:tc>
          <w:tcPr>
            <w:tcW w:w="872" w:type="dxa"/>
          </w:tcPr>
          <w:p w14:paraId="0C8722D1" w14:textId="6B1E3575"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+10</w:t>
            </w:r>
            <w:r w:rsidRPr="000C4A54">
              <w:rPr>
                <w:rFonts w:ascii="Arial" w:hAnsi="Arial" w:cs="Arial"/>
                <w:color w:val="215868" w:themeColor="accent5" w:themeShade="80"/>
                <w:sz w:val="18"/>
                <w:szCs w:val="18"/>
              </w:rPr>
              <w:t>%</w:t>
            </w:r>
          </w:p>
        </w:tc>
        <w:tc>
          <w:tcPr>
            <w:tcW w:w="871" w:type="dxa"/>
          </w:tcPr>
          <w:p w14:paraId="374F53CA" w14:textId="7419FFF4"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+9</w:t>
            </w:r>
            <w:r w:rsidRPr="000C4A54">
              <w:rPr>
                <w:rFonts w:ascii="Arial" w:hAnsi="Arial" w:cs="Arial"/>
                <w:bCs/>
                <w:color w:val="215868" w:themeColor="accent5" w:themeShade="80"/>
                <w:sz w:val="18"/>
                <w:szCs w:val="18"/>
              </w:rPr>
              <w:t>%</w:t>
            </w:r>
          </w:p>
        </w:tc>
        <w:tc>
          <w:tcPr>
            <w:tcW w:w="726" w:type="dxa"/>
          </w:tcPr>
          <w:p w14:paraId="794E3822" w14:textId="041A264E"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+2</w:t>
            </w:r>
            <w:r w:rsidRPr="000C4A54">
              <w:rPr>
                <w:rFonts w:ascii="Arial" w:hAnsi="Arial" w:cs="Arial"/>
                <w:color w:val="215868" w:themeColor="accent5" w:themeShade="80"/>
                <w:sz w:val="18"/>
                <w:szCs w:val="18"/>
              </w:rPr>
              <w:t>%</w:t>
            </w:r>
          </w:p>
        </w:tc>
        <w:tc>
          <w:tcPr>
            <w:tcW w:w="725" w:type="dxa"/>
          </w:tcPr>
          <w:p w14:paraId="48CC62B1" w14:textId="3178D839"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2</w:t>
            </w:r>
            <w:r w:rsidRPr="000C4A54">
              <w:rPr>
                <w:rFonts w:ascii="Arial" w:hAnsi="Arial" w:cs="Arial"/>
                <w:color w:val="215868" w:themeColor="accent5" w:themeShade="80"/>
                <w:sz w:val="18"/>
                <w:szCs w:val="18"/>
              </w:rPr>
              <w:t>%</w:t>
            </w:r>
          </w:p>
        </w:tc>
        <w:tc>
          <w:tcPr>
            <w:tcW w:w="810" w:type="dxa"/>
          </w:tcPr>
          <w:p w14:paraId="63F30155" w14:textId="1FD682CF"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+0%</w:t>
            </w:r>
          </w:p>
        </w:tc>
        <w:tc>
          <w:tcPr>
            <w:tcW w:w="851" w:type="dxa"/>
          </w:tcPr>
          <w:p w14:paraId="7C86FC55" w14:textId="639665C4"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1404B7">
              <w:rPr>
                <w:rFonts w:ascii="Arial" w:hAnsi="Arial" w:cs="Arial"/>
                <w:bCs/>
                <w:color w:val="215868" w:themeColor="accent5" w:themeShade="80"/>
                <w:sz w:val="18"/>
                <w:szCs w:val="18"/>
              </w:rPr>
              <w:t>307</w:t>
            </w:r>
            <w:r w:rsidRPr="000C4A54">
              <w:rPr>
                <w:rFonts w:ascii="Arial" w:hAnsi="Arial" w:cs="Arial"/>
                <w:bCs/>
                <w:color w:val="215868" w:themeColor="accent5" w:themeShade="80"/>
                <w:sz w:val="18"/>
                <w:szCs w:val="18"/>
              </w:rPr>
              <w:t>M</w:t>
            </w:r>
          </w:p>
        </w:tc>
        <w:tc>
          <w:tcPr>
            <w:tcW w:w="850" w:type="dxa"/>
          </w:tcPr>
          <w:p w14:paraId="618B3CA4" w14:textId="3351E1F4"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1404B7">
              <w:rPr>
                <w:rFonts w:ascii="Arial" w:hAnsi="Arial" w:cs="Arial"/>
                <w:bCs/>
                <w:color w:val="215868" w:themeColor="accent5" w:themeShade="80"/>
                <w:sz w:val="18"/>
                <w:szCs w:val="18"/>
              </w:rPr>
              <w:t>2.2</w:t>
            </w:r>
            <w:r w:rsidRPr="000C4A54">
              <w:rPr>
                <w:rFonts w:ascii="Arial" w:hAnsi="Arial" w:cs="Arial"/>
                <w:bCs/>
                <w:color w:val="215868" w:themeColor="accent5" w:themeShade="80"/>
                <w:sz w:val="18"/>
                <w:szCs w:val="18"/>
              </w:rPr>
              <w:t>%</w:t>
            </w:r>
          </w:p>
        </w:tc>
        <w:tc>
          <w:tcPr>
            <w:tcW w:w="851" w:type="dxa"/>
          </w:tcPr>
          <w:p w14:paraId="35A251D8" w14:textId="03F68C55"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B60B2A">
              <w:rPr>
                <w:rFonts w:ascii="Arial" w:hAnsi="Arial" w:cs="Arial"/>
                <w:bCs/>
                <w:color w:val="215868" w:themeColor="accent5" w:themeShade="80"/>
                <w:sz w:val="18"/>
                <w:szCs w:val="18"/>
              </w:rPr>
              <w:t>9.2</w:t>
            </w:r>
            <w:r w:rsidRPr="000C4A54">
              <w:rPr>
                <w:rFonts w:ascii="Arial" w:hAnsi="Arial" w:cs="Arial"/>
                <w:bCs/>
                <w:color w:val="215868" w:themeColor="accent5" w:themeShade="80"/>
                <w:sz w:val="18"/>
                <w:szCs w:val="18"/>
              </w:rPr>
              <w:t>%</w:t>
            </w:r>
          </w:p>
        </w:tc>
      </w:tr>
      <w:tr w:rsidR="009213F8" w:rsidRPr="000C4A54" w14:paraId="2DDFBC55" w14:textId="77777777" w:rsidTr="00B51D86">
        <w:trPr>
          <w:trHeight w:val="249"/>
        </w:trPr>
        <w:tc>
          <w:tcPr>
            <w:cnfStyle w:val="001000000000" w:firstRow="0" w:lastRow="0" w:firstColumn="1" w:lastColumn="0" w:oddVBand="0" w:evenVBand="0" w:oddHBand="0" w:evenHBand="0" w:firstRowFirstColumn="0" w:firstRowLastColumn="0" w:lastRowFirstColumn="0" w:lastRowLastColumn="0"/>
            <w:tcW w:w="1303" w:type="dxa"/>
          </w:tcPr>
          <w:p w14:paraId="1217793F" w14:textId="77777777" w:rsidR="009213F8" w:rsidRPr="000C4A54" w:rsidRDefault="009213F8" w:rsidP="009213F8">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Lettuce</w:t>
            </w:r>
          </w:p>
        </w:tc>
        <w:tc>
          <w:tcPr>
            <w:tcW w:w="726" w:type="dxa"/>
            <w:gridSpan w:val="2"/>
          </w:tcPr>
          <w:p w14:paraId="299314CB" w14:textId="77777777"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+6%</w:t>
            </w:r>
          </w:p>
        </w:tc>
        <w:tc>
          <w:tcPr>
            <w:tcW w:w="871" w:type="dxa"/>
            <w:gridSpan w:val="2"/>
          </w:tcPr>
          <w:p w14:paraId="0A917E59" w14:textId="7C3B4199"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+12</w:t>
            </w:r>
            <w:r w:rsidRPr="000C4A54">
              <w:rPr>
                <w:rFonts w:ascii="Arial" w:hAnsi="Arial" w:cs="Arial"/>
                <w:color w:val="215868" w:themeColor="accent5" w:themeShade="80"/>
                <w:sz w:val="18"/>
                <w:szCs w:val="18"/>
              </w:rPr>
              <w:t>%</w:t>
            </w:r>
          </w:p>
        </w:tc>
        <w:tc>
          <w:tcPr>
            <w:tcW w:w="872" w:type="dxa"/>
            <w:gridSpan w:val="2"/>
          </w:tcPr>
          <w:p w14:paraId="0AA8E491" w14:textId="32FEABF5"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+9</w:t>
            </w:r>
            <w:r w:rsidRPr="000C4A54">
              <w:rPr>
                <w:rFonts w:ascii="Arial" w:hAnsi="Arial" w:cs="Arial"/>
                <w:color w:val="215868" w:themeColor="accent5" w:themeShade="80"/>
                <w:sz w:val="18"/>
                <w:szCs w:val="18"/>
              </w:rPr>
              <w:t>%</w:t>
            </w:r>
          </w:p>
        </w:tc>
        <w:tc>
          <w:tcPr>
            <w:tcW w:w="871" w:type="dxa"/>
            <w:gridSpan w:val="2"/>
          </w:tcPr>
          <w:p w14:paraId="0C55460D" w14:textId="6ED69BD6"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w:t>
            </w:r>
            <w:r w:rsidRPr="000C4A54">
              <w:rPr>
                <w:rFonts w:ascii="Arial" w:hAnsi="Arial" w:cs="Arial"/>
                <w:color w:val="215868" w:themeColor="accent5" w:themeShade="80"/>
                <w:sz w:val="18"/>
                <w:szCs w:val="18"/>
              </w:rPr>
              <w:t>%</w:t>
            </w:r>
          </w:p>
        </w:tc>
        <w:tc>
          <w:tcPr>
            <w:tcW w:w="872" w:type="dxa"/>
          </w:tcPr>
          <w:p w14:paraId="3E6D1D1E" w14:textId="3D811B0C"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w:t>
            </w:r>
            <w:r w:rsidRPr="000C4A54">
              <w:rPr>
                <w:rFonts w:ascii="Arial" w:hAnsi="Arial" w:cs="Arial"/>
                <w:color w:val="215868" w:themeColor="accent5" w:themeShade="80"/>
                <w:sz w:val="18"/>
                <w:szCs w:val="18"/>
              </w:rPr>
              <w:t>%</w:t>
            </w:r>
          </w:p>
        </w:tc>
        <w:tc>
          <w:tcPr>
            <w:tcW w:w="871" w:type="dxa"/>
          </w:tcPr>
          <w:p w14:paraId="7B02CACE" w14:textId="3C5E57F1"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w:t>
            </w:r>
            <w:r w:rsidRPr="000C4A54">
              <w:rPr>
                <w:rFonts w:ascii="Arial" w:hAnsi="Arial" w:cs="Arial"/>
                <w:bCs/>
                <w:color w:val="215868" w:themeColor="accent5" w:themeShade="80"/>
                <w:sz w:val="18"/>
                <w:szCs w:val="18"/>
              </w:rPr>
              <w:t>%</w:t>
            </w:r>
          </w:p>
        </w:tc>
        <w:tc>
          <w:tcPr>
            <w:tcW w:w="726" w:type="dxa"/>
          </w:tcPr>
          <w:p w14:paraId="352B48E8" w14:textId="2A020556"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+5</w:t>
            </w:r>
            <w:r w:rsidRPr="000C4A54">
              <w:rPr>
                <w:rFonts w:ascii="Arial" w:hAnsi="Arial" w:cs="Arial"/>
                <w:color w:val="215868" w:themeColor="accent5" w:themeShade="80"/>
                <w:sz w:val="18"/>
                <w:szCs w:val="18"/>
              </w:rPr>
              <w:t>%</w:t>
            </w:r>
          </w:p>
        </w:tc>
        <w:tc>
          <w:tcPr>
            <w:tcW w:w="725" w:type="dxa"/>
          </w:tcPr>
          <w:p w14:paraId="5898C0B9" w14:textId="5E8F8E31"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10</w:t>
            </w:r>
            <w:r w:rsidRPr="000C4A54">
              <w:rPr>
                <w:rFonts w:ascii="Arial" w:hAnsi="Arial" w:cs="Arial"/>
                <w:color w:val="215868" w:themeColor="accent5" w:themeShade="80"/>
                <w:sz w:val="18"/>
                <w:szCs w:val="18"/>
              </w:rPr>
              <w:t>%</w:t>
            </w:r>
          </w:p>
        </w:tc>
        <w:tc>
          <w:tcPr>
            <w:tcW w:w="810" w:type="dxa"/>
          </w:tcPr>
          <w:p w14:paraId="77266E3E" w14:textId="53D29C1A"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+9%</w:t>
            </w:r>
          </w:p>
        </w:tc>
        <w:tc>
          <w:tcPr>
            <w:tcW w:w="851" w:type="dxa"/>
          </w:tcPr>
          <w:p w14:paraId="18603617" w14:textId="77150DE0"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1404B7">
              <w:rPr>
                <w:rFonts w:ascii="Arial" w:hAnsi="Arial" w:cs="Arial"/>
                <w:bCs/>
                <w:color w:val="215868" w:themeColor="accent5" w:themeShade="80"/>
                <w:sz w:val="18"/>
                <w:szCs w:val="18"/>
              </w:rPr>
              <w:t>284</w:t>
            </w:r>
            <w:r w:rsidRPr="000C4A54">
              <w:rPr>
                <w:rFonts w:ascii="Arial" w:hAnsi="Arial" w:cs="Arial"/>
                <w:bCs/>
                <w:color w:val="215868" w:themeColor="accent5" w:themeShade="80"/>
                <w:sz w:val="18"/>
                <w:szCs w:val="18"/>
              </w:rPr>
              <w:t>M</w:t>
            </w:r>
          </w:p>
        </w:tc>
        <w:tc>
          <w:tcPr>
            <w:tcW w:w="850" w:type="dxa"/>
          </w:tcPr>
          <w:p w14:paraId="3E07C3AF" w14:textId="54C45015"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1404B7">
              <w:rPr>
                <w:rFonts w:ascii="Arial" w:hAnsi="Arial" w:cs="Arial"/>
                <w:bCs/>
                <w:color w:val="215868" w:themeColor="accent5" w:themeShade="80"/>
                <w:sz w:val="18"/>
                <w:szCs w:val="18"/>
              </w:rPr>
              <w:t>12.3</w:t>
            </w:r>
            <w:r w:rsidRPr="000C4A54">
              <w:rPr>
                <w:rFonts w:ascii="Arial" w:hAnsi="Arial" w:cs="Arial"/>
                <w:bCs/>
                <w:color w:val="215868" w:themeColor="accent5" w:themeShade="80"/>
                <w:sz w:val="18"/>
                <w:szCs w:val="18"/>
              </w:rPr>
              <w:t>%</w:t>
            </w:r>
          </w:p>
        </w:tc>
        <w:tc>
          <w:tcPr>
            <w:tcW w:w="851" w:type="dxa"/>
          </w:tcPr>
          <w:p w14:paraId="4AEAD44F" w14:textId="3276123F"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B60B2A">
              <w:rPr>
                <w:rFonts w:ascii="Arial" w:hAnsi="Arial" w:cs="Arial"/>
                <w:bCs/>
                <w:color w:val="215868" w:themeColor="accent5" w:themeShade="80"/>
                <w:sz w:val="18"/>
                <w:szCs w:val="18"/>
              </w:rPr>
              <w:t>4.0</w:t>
            </w:r>
            <w:r w:rsidRPr="000C4A54">
              <w:rPr>
                <w:rFonts w:ascii="Arial" w:hAnsi="Arial" w:cs="Arial"/>
                <w:bCs/>
                <w:color w:val="215868" w:themeColor="accent5" w:themeShade="80"/>
                <w:sz w:val="18"/>
                <w:szCs w:val="18"/>
              </w:rPr>
              <w:t>%</w:t>
            </w:r>
          </w:p>
        </w:tc>
      </w:tr>
      <w:tr w:rsidR="009213F8" w:rsidRPr="000C4A54" w14:paraId="78166DC5" w14:textId="77777777" w:rsidTr="00B51D8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03" w:type="dxa"/>
          </w:tcPr>
          <w:p w14:paraId="7B48D65A" w14:textId="77777777" w:rsidR="009213F8" w:rsidRPr="000C4A54" w:rsidRDefault="009213F8" w:rsidP="009213F8">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Onions</w:t>
            </w:r>
          </w:p>
        </w:tc>
        <w:tc>
          <w:tcPr>
            <w:tcW w:w="726" w:type="dxa"/>
            <w:gridSpan w:val="2"/>
          </w:tcPr>
          <w:p w14:paraId="345433DB" w14:textId="77777777"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+6%</w:t>
            </w:r>
          </w:p>
        </w:tc>
        <w:tc>
          <w:tcPr>
            <w:tcW w:w="871" w:type="dxa"/>
            <w:gridSpan w:val="2"/>
          </w:tcPr>
          <w:p w14:paraId="1D562776" w14:textId="17C3810B"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+15</w:t>
            </w:r>
            <w:r w:rsidRPr="000C4A54">
              <w:rPr>
                <w:rFonts w:ascii="Arial" w:hAnsi="Arial" w:cs="Arial"/>
                <w:color w:val="215868" w:themeColor="accent5" w:themeShade="80"/>
                <w:sz w:val="18"/>
                <w:szCs w:val="18"/>
              </w:rPr>
              <w:t>%</w:t>
            </w:r>
          </w:p>
        </w:tc>
        <w:tc>
          <w:tcPr>
            <w:tcW w:w="872" w:type="dxa"/>
            <w:gridSpan w:val="2"/>
          </w:tcPr>
          <w:p w14:paraId="0D34979D" w14:textId="605B8679"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w:t>
            </w:r>
            <w:r w:rsidRPr="000C4A54">
              <w:rPr>
                <w:rFonts w:ascii="Arial" w:hAnsi="Arial" w:cs="Arial"/>
                <w:color w:val="215868" w:themeColor="accent5" w:themeShade="80"/>
                <w:sz w:val="18"/>
                <w:szCs w:val="18"/>
              </w:rPr>
              <w:t>%</w:t>
            </w:r>
          </w:p>
        </w:tc>
        <w:tc>
          <w:tcPr>
            <w:tcW w:w="871" w:type="dxa"/>
            <w:gridSpan w:val="2"/>
          </w:tcPr>
          <w:p w14:paraId="35A908ED" w14:textId="77A1A5A7"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-14</w:t>
            </w:r>
            <w:r w:rsidRPr="000C4A54">
              <w:rPr>
                <w:rFonts w:ascii="Arial" w:hAnsi="Arial" w:cs="Arial"/>
                <w:color w:val="215868" w:themeColor="accent5" w:themeShade="80"/>
                <w:sz w:val="18"/>
                <w:szCs w:val="18"/>
              </w:rPr>
              <w:t>%</w:t>
            </w:r>
          </w:p>
        </w:tc>
        <w:tc>
          <w:tcPr>
            <w:tcW w:w="872" w:type="dxa"/>
          </w:tcPr>
          <w:p w14:paraId="30C829FD" w14:textId="63724E63"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w:t>
            </w:r>
            <w:r w:rsidRPr="000C4A54">
              <w:rPr>
                <w:rFonts w:ascii="Arial" w:hAnsi="Arial" w:cs="Arial"/>
                <w:color w:val="215868" w:themeColor="accent5" w:themeShade="80"/>
                <w:sz w:val="18"/>
                <w:szCs w:val="18"/>
              </w:rPr>
              <w:t>%</w:t>
            </w:r>
          </w:p>
        </w:tc>
        <w:tc>
          <w:tcPr>
            <w:tcW w:w="871" w:type="dxa"/>
          </w:tcPr>
          <w:p w14:paraId="09FFAA1A" w14:textId="5AC4F3AC"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w:t>
            </w:r>
            <w:r w:rsidRPr="000C4A54">
              <w:rPr>
                <w:rFonts w:ascii="Arial" w:hAnsi="Arial" w:cs="Arial"/>
                <w:bCs/>
                <w:color w:val="215868" w:themeColor="accent5" w:themeShade="80"/>
                <w:sz w:val="18"/>
                <w:szCs w:val="18"/>
              </w:rPr>
              <w:t>%</w:t>
            </w:r>
          </w:p>
        </w:tc>
        <w:tc>
          <w:tcPr>
            <w:tcW w:w="726" w:type="dxa"/>
          </w:tcPr>
          <w:p w14:paraId="302D5D18" w14:textId="66E4942A"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+6</w:t>
            </w:r>
            <w:r w:rsidRPr="000C4A54">
              <w:rPr>
                <w:rFonts w:ascii="Arial" w:hAnsi="Arial" w:cs="Arial"/>
                <w:color w:val="215868" w:themeColor="accent5" w:themeShade="80"/>
                <w:sz w:val="18"/>
                <w:szCs w:val="18"/>
              </w:rPr>
              <w:t>%</w:t>
            </w:r>
          </w:p>
        </w:tc>
        <w:tc>
          <w:tcPr>
            <w:tcW w:w="725" w:type="dxa"/>
          </w:tcPr>
          <w:p w14:paraId="57593DA8" w14:textId="4ADDEB59"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18</w:t>
            </w:r>
            <w:r w:rsidRPr="000C4A54">
              <w:rPr>
                <w:rFonts w:ascii="Arial" w:hAnsi="Arial" w:cs="Arial"/>
                <w:color w:val="215868" w:themeColor="accent5" w:themeShade="80"/>
                <w:sz w:val="18"/>
                <w:szCs w:val="18"/>
              </w:rPr>
              <w:t>%</w:t>
            </w:r>
          </w:p>
        </w:tc>
        <w:tc>
          <w:tcPr>
            <w:tcW w:w="810" w:type="dxa"/>
          </w:tcPr>
          <w:p w14:paraId="159F2B01" w14:textId="63D2CC5C"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+22%</w:t>
            </w:r>
          </w:p>
        </w:tc>
        <w:tc>
          <w:tcPr>
            <w:tcW w:w="851" w:type="dxa"/>
          </w:tcPr>
          <w:p w14:paraId="16417818" w14:textId="0543AEC5"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1404B7">
              <w:rPr>
                <w:rFonts w:ascii="Arial" w:hAnsi="Arial" w:cs="Arial"/>
                <w:bCs/>
                <w:color w:val="215868" w:themeColor="accent5" w:themeShade="80"/>
                <w:sz w:val="18"/>
                <w:szCs w:val="18"/>
              </w:rPr>
              <w:t>275</w:t>
            </w:r>
            <w:r w:rsidRPr="000C4A54">
              <w:rPr>
                <w:rFonts w:ascii="Arial" w:hAnsi="Arial" w:cs="Arial"/>
                <w:bCs/>
                <w:color w:val="215868" w:themeColor="accent5" w:themeShade="80"/>
                <w:sz w:val="18"/>
                <w:szCs w:val="18"/>
              </w:rPr>
              <w:t>M</w:t>
            </w:r>
          </w:p>
        </w:tc>
        <w:tc>
          <w:tcPr>
            <w:tcW w:w="850" w:type="dxa"/>
          </w:tcPr>
          <w:p w14:paraId="68A8E312" w14:textId="53460AB2" w:rsidR="009213F8" w:rsidRPr="000C4A54" w:rsidRDefault="009213F8"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1404B7">
              <w:rPr>
                <w:rFonts w:ascii="Arial" w:hAnsi="Arial" w:cs="Arial"/>
                <w:bCs/>
                <w:color w:val="215868" w:themeColor="accent5" w:themeShade="80"/>
                <w:sz w:val="18"/>
                <w:szCs w:val="18"/>
              </w:rPr>
              <w:t>20.0</w:t>
            </w:r>
            <w:r w:rsidRPr="000C4A54">
              <w:rPr>
                <w:rFonts w:ascii="Arial" w:hAnsi="Arial" w:cs="Arial"/>
                <w:bCs/>
                <w:color w:val="215868" w:themeColor="accent5" w:themeShade="80"/>
                <w:sz w:val="18"/>
                <w:szCs w:val="18"/>
              </w:rPr>
              <w:t>%</w:t>
            </w:r>
          </w:p>
        </w:tc>
        <w:tc>
          <w:tcPr>
            <w:tcW w:w="851" w:type="dxa"/>
          </w:tcPr>
          <w:p w14:paraId="321C05C7" w14:textId="082ED3FD" w:rsidR="009213F8" w:rsidRPr="000C4A54" w:rsidRDefault="00B60B2A" w:rsidP="009213F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+0.6</w:t>
            </w:r>
            <w:r w:rsidR="009213F8" w:rsidRPr="000C4A54">
              <w:rPr>
                <w:rFonts w:ascii="Arial" w:hAnsi="Arial" w:cs="Arial"/>
                <w:bCs/>
                <w:color w:val="215868" w:themeColor="accent5" w:themeShade="80"/>
                <w:sz w:val="18"/>
                <w:szCs w:val="18"/>
              </w:rPr>
              <w:t>%</w:t>
            </w:r>
          </w:p>
        </w:tc>
      </w:tr>
      <w:tr w:rsidR="009213F8" w:rsidRPr="000C4A54" w14:paraId="294160EE" w14:textId="77777777" w:rsidTr="00B51D86">
        <w:trPr>
          <w:trHeight w:val="249"/>
        </w:trPr>
        <w:tc>
          <w:tcPr>
            <w:cnfStyle w:val="001000000000" w:firstRow="0" w:lastRow="0" w:firstColumn="1" w:lastColumn="0" w:oddVBand="0" w:evenVBand="0" w:oddHBand="0" w:evenHBand="0" w:firstRowFirstColumn="0" w:firstRowLastColumn="0" w:lastRowFirstColumn="0" w:lastRowLastColumn="0"/>
            <w:tcW w:w="1303" w:type="dxa"/>
          </w:tcPr>
          <w:p w14:paraId="0F7E0D8A" w14:textId="77777777" w:rsidR="009213F8" w:rsidRPr="000C4A54" w:rsidRDefault="009213F8" w:rsidP="009213F8">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Peppers</w:t>
            </w:r>
          </w:p>
        </w:tc>
        <w:tc>
          <w:tcPr>
            <w:tcW w:w="726" w:type="dxa"/>
            <w:gridSpan w:val="2"/>
          </w:tcPr>
          <w:p w14:paraId="71DA1B0E" w14:textId="77777777"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w:t>
            </w:r>
          </w:p>
        </w:tc>
        <w:tc>
          <w:tcPr>
            <w:tcW w:w="871" w:type="dxa"/>
            <w:gridSpan w:val="2"/>
          </w:tcPr>
          <w:p w14:paraId="574CE391" w14:textId="079ED8D9"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+19</w:t>
            </w:r>
            <w:r w:rsidRPr="000C4A54">
              <w:rPr>
                <w:rFonts w:ascii="Arial" w:hAnsi="Arial" w:cs="Arial"/>
                <w:color w:val="215868" w:themeColor="accent5" w:themeShade="80"/>
                <w:sz w:val="18"/>
                <w:szCs w:val="18"/>
              </w:rPr>
              <w:t>%</w:t>
            </w:r>
          </w:p>
        </w:tc>
        <w:tc>
          <w:tcPr>
            <w:tcW w:w="872" w:type="dxa"/>
            <w:gridSpan w:val="2"/>
          </w:tcPr>
          <w:p w14:paraId="3BC318B4" w14:textId="1D467E20"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+12</w:t>
            </w:r>
            <w:r w:rsidRPr="000C4A54">
              <w:rPr>
                <w:rFonts w:ascii="Arial" w:hAnsi="Arial" w:cs="Arial"/>
                <w:color w:val="215868" w:themeColor="accent5" w:themeShade="80"/>
                <w:sz w:val="18"/>
                <w:szCs w:val="18"/>
              </w:rPr>
              <w:t>%</w:t>
            </w:r>
          </w:p>
        </w:tc>
        <w:tc>
          <w:tcPr>
            <w:tcW w:w="871" w:type="dxa"/>
            <w:gridSpan w:val="2"/>
          </w:tcPr>
          <w:p w14:paraId="469781DD" w14:textId="7D631570"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-7</w:t>
            </w:r>
            <w:r w:rsidRPr="000C4A54">
              <w:rPr>
                <w:rFonts w:ascii="Arial" w:hAnsi="Arial" w:cs="Arial"/>
                <w:color w:val="215868" w:themeColor="accent5" w:themeShade="80"/>
                <w:sz w:val="18"/>
                <w:szCs w:val="18"/>
              </w:rPr>
              <w:t>%</w:t>
            </w:r>
          </w:p>
        </w:tc>
        <w:tc>
          <w:tcPr>
            <w:tcW w:w="872" w:type="dxa"/>
          </w:tcPr>
          <w:p w14:paraId="3D5DD846" w14:textId="5BBB8EAE"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w:t>
            </w:r>
            <w:r w:rsidRPr="000C4A54">
              <w:rPr>
                <w:rFonts w:ascii="Arial" w:hAnsi="Arial" w:cs="Arial"/>
                <w:color w:val="215868" w:themeColor="accent5" w:themeShade="80"/>
                <w:sz w:val="18"/>
                <w:szCs w:val="18"/>
              </w:rPr>
              <w:t>%</w:t>
            </w:r>
          </w:p>
        </w:tc>
        <w:tc>
          <w:tcPr>
            <w:tcW w:w="871" w:type="dxa"/>
          </w:tcPr>
          <w:p w14:paraId="543EB8DD" w14:textId="130B49D0"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-2</w:t>
            </w:r>
            <w:r w:rsidRPr="000C4A54">
              <w:rPr>
                <w:rFonts w:ascii="Arial" w:hAnsi="Arial" w:cs="Arial"/>
                <w:bCs/>
                <w:color w:val="215868" w:themeColor="accent5" w:themeShade="80"/>
                <w:sz w:val="18"/>
                <w:szCs w:val="18"/>
              </w:rPr>
              <w:t>%</w:t>
            </w:r>
          </w:p>
        </w:tc>
        <w:tc>
          <w:tcPr>
            <w:tcW w:w="726" w:type="dxa"/>
          </w:tcPr>
          <w:p w14:paraId="0546E269" w14:textId="004EB3B5"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-2</w:t>
            </w:r>
            <w:r w:rsidRPr="000C4A54">
              <w:rPr>
                <w:rFonts w:ascii="Arial" w:hAnsi="Arial" w:cs="Arial"/>
                <w:color w:val="215868" w:themeColor="accent5" w:themeShade="80"/>
                <w:sz w:val="18"/>
                <w:szCs w:val="18"/>
              </w:rPr>
              <w:t>%</w:t>
            </w:r>
          </w:p>
        </w:tc>
        <w:tc>
          <w:tcPr>
            <w:tcW w:w="725" w:type="dxa"/>
          </w:tcPr>
          <w:p w14:paraId="0B688DBF" w14:textId="3F724658"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1</w:t>
            </w:r>
            <w:r w:rsidRPr="000C4A54">
              <w:rPr>
                <w:rFonts w:ascii="Arial" w:hAnsi="Arial" w:cs="Arial"/>
                <w:color w:val="215868" w:themeColor="accent5" w:themeShade="80"/>
                <w:sz w:val="18"/>
                <w:szCs w:val="18"/>
              </w:rPr>
              <w:t>%</w:t>
            </w:r>
          </w:p>
        </w:tc>
        <w:tc>
          <w:tcPr>
            <w:tcW w:w="810" w:type="dxa"/>
          </w:tcPr>
          <w:p w14:paraId="45128352" w14:textId="1D8459F8"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+2%</w:t>
            </w:r>
          </w:p>
        </w:tc>
        <w:tc>
          <w:tcPr>
            <w:tcW w:w="851" w:type="dxa"/>
          </w:tcPr>
          <w:p w14:paraId="7244BDB3" w14:textId="0DFF3511"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1404B7">
              <w:rPr>
                <w:rFonts w:ascii="Arial" w:hAnsi="Arial" w:cs="Arial"/>
                <w:bCs/>
                <w:color w:val="215868" w:themeColor="accent5" w:themeShade="80"/>
                <w:sz w:val="18"/>
                <w:szCs w:val="18"/>
              </w:rPr>
              <w:t>229</w:t>
            </w:r>
            <w:r w:rsidRPr="000C4A54">
              <w:rPr>
                <w:rFonts w:ascii="Arial" w:hAnsi="Arial" w:cs="Arial"/>
                <w:bCs/>
                <w:color w:val="215868" w:themeColor="accent5" w:themeShade="80"/>
                <w:sz w:val="18"/>
                <w:szCs w:val="18"/>
              </w:rPr>
              <w:t>M</w:t>
            </w:r>
          </w:p>
        </w:tc>
        <w:tc>
          <w:tcPr>
            <w:tcW w:w="850" w:type="dxa"/>
          </w:tcPr>
          <w:p w14:paraId="522E5EDB" w14:textId="15EE6068"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1404B7">
              <w:rPr>
                <w:rFonts w:ascii="Arial" w:hAnsi="Arial" w:cs="Arial"/>
                <w:bCs/>
                <w:color w:val="215868" w:themeColor="accent5" w:themeShade="80"/>
                <w:sz w:val="18"/>
                <w:szCs w:val="18"/>
              </w:rPr>
              <w:t>3.5</w:t>
            </w:r>
            <w:r w:rsidRPr="000C4A54">
              <w:rPr>
                <w:rFonts w:ascii="Arial" w:hAnsi="Arial" w:cs="Arial"/>
                <w:bCs/>
                <w:color w:val="215868" w:themeColor="accent5" w:themeShade="80"/>
                <w:sz w:val="18"/>
                <w:szCs w:val="18"/>
              </w:rPr>
              <w:t>%</w:t>
            </w:r>
          </w:p>
        </w:tc>
        <w:tc>
          <w:tcPr>
            <w:tcW w:w="851" w:type="dxa"/>
          </w:tcPr>
          <w:p w14:paraId="57F9E7E0" w14:textId="646DB510" w:rsidR="009213F8" w:rsidRPr="000C4A54" w:rsidRDefault="009213F8" w:rsidP="009213F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B60B2A">
              <w:rPr>
                <w:rFonts w:ascii="Arial" w:hAnsi="Arial" w:cs="Arial"/>
                <w:bCs/>
                <w:color w:val="215868" w:themeColor="accent5" w:themeShade="80"/>
                <w:sz w:val="18"/>
                <w:szCs w:val="18"/>
              </w:rPr>
              <w:t>4.2</w:t>
            </w:r>
            <w:r w:rsidRPr="000C4A54">
              <w:rPr>
                <w:rFonts w:ascii="Arial" w:hAnsi="Arial" w:cs="Arial"/>
                <w:bCs/>
                <w:color w:val="215868" w:themeColor="accent5" w:themeShade="80"/>
                <w:sz w:val="18"/>
                <w:szCs w:val="18"/>
              </w:rPr>
              <w:t>%</w:t>
            </w:r>
          </w:p>
        </w:tc>
      </w:tr>
      <w:tr w:rsidR="001404B7" w:rsidRPr="000C4A54" w14:paraId="6AB6D9C2" w14:textId="77777777" w:rsidTr="00B51D8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03" w:type="dxa"/>
          </w:tcPr>
          <w:p w14:paraId="6CF30CAD" w14:textId="270E294A" w:rsidR="001404B7" w:rsidRPr="001404B7" w:rsidRDefault="001404B7" w:rsidP="001404B7">
            <w:pPr>
              <w:rPr>
                <w:rFonts w:ascii="Arial" w:hAnsi="Arial" w:cs="Arial"/>
                <w:b w:val="0"/>
                <w:bCs w:val="0"/>
                <w:color w:val="215868" w:themeColor="accent5" w:themeShade="80"/>
                <w:sz w:val="18"/>
                <w:szCs w:val="18"/>
              </w:rPr>
            </w:pPr>
            <w:r w:rsidRPr="001404B7">
              <w:rPr>
                <w:rFonts w:ascii="Arial" w:hAnsi="Arial" w:cs="Arial"/>
                <w:b w:val="0"/>
                <w:bCs w:val="0"/>
                <w:color w:val="215868" w:themeColor="accent5" w:themeShade="80"/>
                <w:sz w:val="18"/>
                <w:szCs w:val="18"/>
              </w:rPr>
              <w:t>Pumpkins</w:t>
            </w:r>
          </w:p>
        </w:tc>
        <w:tc>
          <w:tcPr>
            <w:tcW w:w="726" w:type="dxa"/>
            <w:gridSpan w:val="2"/>
          </w:tcPr>
          <w:p w14:paraId="433A29BB" w14:textId="61822F14" w:rsidR="001404B7" w:rsidRPr="001404B7"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w:t>
            </w:r>
          </w:p>
        </w:tc>
        <w:tc>
          <w:tcPr>
            <w:tcW w:w="871" w:type="dxa"/>
            <w:gridSpan w:val="2"/>
          </w:tcPr>
          <w:p w14:paraId="295FBF88" w14:textId="47E76F56" w:rsidR="001404B7" w:rsidRPr="001404B7"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+20%</w:t>
            </w:r>
          </w:p>
        </w:tc>
        <w:tc>
          <w:tcPr>
            <w:tcW w:w="872" w:type="dxa"/>
            <w:gridSpan w:val="2"/>
          </w:tcPr>
          <w:p w14:paraId="59437AA7" w14:textId="66B0D7DA" w:rsidR="001404B7" w:rsidRPr="001404B7"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p>
        </w:tc>
        <w:tc>
          <w:tcPr>
            <w:tcW w:w="871" w:type="dxa"/>
            <w:gridSpan w:val="2"/>
          </w:tcPr>
          <w:p w14:paraId="0CC545FE" w14:textId="5927DA0E" w:rsidR="001404B7" w:rsidRPr="001404B7"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p>
        </w:tc>
        <w:tc>
          <w:tcPr>
            <w:tcW w:w="872" w:type="dxa"/>
          </w:tcPr>
          <w:p w14:paraId="071AD547" w14:textId="3BF9D06C" w:rsidR="001404B7" w:rsidRPr="001404B7"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p>
        </w:tc>
        <w:tc>
          <w:tcPr>
            <w:tcW w:w="871" w:type="dxa"/>
          </w:tcPr>
          <w:p w14:paraId="2B74BA85" w14:textId="794483F8" w:rsidR="001404B7" w:rsidRPr="001404B7"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p>
        </w:tc>
        <w:tc>
          <w:tcPr>
            <w:tcW w:w="726" w:type="dxa"/>
          </w:tcPr>
          <w:p w14:paraId="38243CDC" w14:textId="74FE6A26" w:rsidR="001404B7" w:rsidRPr="001404B7"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p>
        </w:tc>
        <w:tc>
          <w:tcPr>
            <w:tcW w:w="725" w:type="dxa"/>
          </w:tcPr>
          <w:p w14:paraId="613F94C5" w14:textId="7CE826D0" w:rsidR="001404B7" w:rsidRPr="001404B7"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p>
        </w:tc>
        <w:tc>
          <w:tcPr>
            <w:tcW w:w="810" w:type="dxa"/>
          </w:tcPr>
          <w:p w14:paraId="5F3B2307" w14:textId="58534CE1" w:rsidR="001404B7" w:rsidRPr="001404B7"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p>
        </w:tc>
        <w:tc>
          <w:tcPr>
            <w:tcW w:w="851" w:type="dxa"/>
          </w:tcPr>
          <w:p w14:paraId="7ABBBF19" w14:textId="54C4BE89" w:rsidR="001404B7" w:rsidRPr="001404B7"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$173M</w:t>
            </w:r>
          </w:p>
        </w:tc>
        <w:tc>
          <w:tcPr>
            <w:tcW w:w="850" w:type="dxa"/>
          </w:tcPr>
          <w:p w14:paraId="0F9F1014" w14:textId="41D1AB27" w:rsidR="001404B7" w:rsidRPr="001404B7"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-3.6%</w:t>
            </w:r>
          </w:p>
        </w:tc>
        <w:tc>
          <w:tcPr>
            <w:tcW w:w="851" w:type="dxa"/>
          </w:tcPr>
          <w:p w14:paraId="64389B9E" w14:textId="42978243" w:rsidR="001404B7" w:rsidRPr="001404B7"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-14.8%</w:t>
            </w:r>
          </w:p>
        </w:tc>
      </w:tr>
      <w:tr w:rsidR="001404B7" w:rsidRPr="000C4A54" w14:paraId="0D4EF0DD" w14:textId="77777777" w:rsidTr="00B51D86">
        <w:trPr>
          <w:trHeight w:val="249"/>
        </w:trPr>
        <w:tc>
          <w:tcPr>
            <w:cnfStyle w:val="001000000000" w:firstRow="0" w:lastRow="0" w:firstColumn="1" w:lastColumn="0" w:oddVBand="0" w:evenVBand="0" w:oddHBand="0" w:evenHBand="0" w:firstRowFirstColumn="0" w:firstRowLastColumn="0" w:lastRowFirstColumn="0" w:lastRowLastColumn="0"/>
            <w:tcW w:w="1303" w:type="dxa"/>
          </w:tcPr>
          <w:p w14:paraId="5A5AD6F1" w14:textId="1FE415C3" w:rsidR="001404B7" w:rsidRPr="000C4A54" w:rsidRDefault="001404B7" w:rsidP="001404B7">
            <w:pPr>
              <w:rPr>
                <w:rFonts w:ascii="Arial" w:hAnsi="Arial" w:cs="Arial"/>
                <w:color w:val="215868" w:themeColor="accent5" w:themeShade="80"/>
                <w:sz w:val="18"/>
                <w:szCs w:val="18"/>
              </w:rPr>
            </w:pPr>
            <w:r w:rsidRPr="000C4A54">
              <w:rPr>
                <w:rFonts w:ascii="Arial" w:hAnsi="Arial" w:cs="Arial"/>
                <w:b w:val="0"/>
                <w:color w:val="215868" w:themeColor="accent5" w:themeShade="80"/>
                <w:sz w:val="18"/>
                <w:szCs w:val="18"/>
              </w:rPr>
              <w:t>Carrots</w:t>
            </w:r>
          </w:p>
        </w:tc>
        <w:tc>
          <w:tcPr>
            <w:tcW w:w="726" w:type="dxa"/>
            <w:gridSpan w:val="2"/>
          </w:tcPr>
          <w:p w14:paraId="69F4C81F" w14:textId="0C23A166"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2</w:t>
            </w:r>
            <w:r w:rsidRPr="000C4A54">
              <w:rPr>
                <w:rFonts w:ascii="Arial" w:hAnsi="Arial" w:cs="Arial"/>
                <w:color w:val="215868" w:themeColor="accent5" w:themeShade="80"/>
                <w:sz w:val="18"/>
                <w:szCs w:val="18"/>
              </w:rPr>
              <w:t>%</w:t>
            </w:r>
          </w:p>
        </w:tc>
        <w:tc>
          <w:tcPr>
            <w:tcW w:w="871" w:type="dxa"/>
            <w:gridSpan w:val="2"/>
          </w:tcPr>
          <w:p w14:paraId="6EAE2EAA" w14:textId="4DF38B70" w:rsidR="001404B7"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+7</w:t>
            </w:r>
            <w:r w:rsidRPr="000C4A54">
              <w:rPr>
                <w:rFonts w:ascii="Arial" w:hAnsi="Arial" w:cs="Arial"/>
                <w:color w:val="215868" w:themeColor="accent5" w:themeShade="80"/>
                <w:sz w:val="18"/>
                <w:szCs w:val="18"/>
              </w:rPr>
              <w:t>%</w:t>
            </w:r>
          </w:p>
        </w:tc>
        <w:tc>
          <w:tcPr>
            <w:tcW w:w="872" w:type="dxa"/>
            <w:gridSpan w:val="2"/>
          </w:tcPr>
          <w:p w14:paraId="2B41350F" w14:textId="1339292C"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w:t>
            </w:r>
            <w:r w:rsidRPr="000C4A54">
              <w:rPr>
                <w:rFonts w:ascii="Arial" w:hAnsi="Arial" w:cs="Arial"/>
                <w:color w:val="215868" w:themeColor="accent5" w:themeShade="80"/>
                <w:sz w:val="18"/>
                <w:szCs w:val="18"/>
              </w:rPr>
              <w:t>%</w:t>
            </w:r>
          </w:p>
        </w:tc>
        <w:tc>
          <w:tcPr>
            <w:tcW w:w="871" w:type="dxa"/>
            <w:gridSpan w:val="2"/>
          </w:tcPr>
          <w:p w14:paraId="7F9D3951" w14:textId="12ED3C87" w:rsidR="001404B7"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-8</w:t>
            </w:r>
            <w:r w:rsidRPr="000C4A54">
              <w:rPr>
                <w:rFonts w:ascii="Arial" w:hAnsi="Arial" w:cs="Arial"/>
                <w:color w:val="215868" w:themeColor="accent5" w:themeShade="80"/>
                <w:sz w:val="18"/>
                <w:szCs w:val="18"/>
              </w:rPr>
              <w:t>%</w:t>
            </w:r>
          </w:p>
        </w:tc>
        <w:tc>
          <w:tcPr>
            <w:tcW w:w="872" w:type="dxa"/>
          </w:tcPr>
          <w:p w14:paraId="4DACD375" w14:textId="3237BBB8"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w:t>
            </w:r>
            <w:r w:rsidRPr="000C4A54">
              <w:rPr>
                <w:rFonts w:ascii="Arial" w:hAnsi="Arial" w:cs="Arial"/>
                <w:color w:val="215868" w:themeColor="accent5" w:themeShade="80"/>
                <w:sz w:val="18"/>
                <w:szCs w:val="18"/>
              </w:rPr>
              <w:t>%</w:t>
            </w:r>
          </w:p>
        </w:tc>
        <w:tc>
          <w:tcPr>
            <w:tcW w:w="871" w:type="dxa"/>
          </w:tcPr>
          <w:p w14:paraId="7A39133B" w14:textId="1F294FEC" w:rsidR="001404B7"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+1</w:t>
            </w:r>
            <w:r w:rsidRPr="000C4A54">
              <w:rPr>
                <w:rFonts w:ascii="Arial" w:hAnsi="Arial" w:cs="Arial"/>
                <w:bCs/>
                <w:color w:val="215868" w:themeColor="accent5" w:themeShade="80"/>
                <w:sz w:val="18"/>
                <w:szCs w:val="18"/>
              </w:rPr>
              <w:t>%</w:t>
            </w:r>
          </w:p>
        </w:tc>
        <w:tc>
          <w:tcPr>
            <w:tcW w:w="726" w:type="dxa"/>
          </w:tcPr>
          <w:p w14:paraId="7AA3B591" w14:textId="0EEBCE8E" w:rsidR="001404B7"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w:t>
            </w:r>
            <w:r w:rsidRPr="000C4A54">
              <w:rPr>
                <w:rFonts w:ascii="Arial" w:hAnsi="Arial" w:cs="Arial"/>
                <w:color w:val="215868" w:themeColor="accent5" w:themeShade="80"/>
                <w:sz w:val="18"/>
                <w:szCs w:val="18"/>
              </w:rPr>
              <w:t>%</w:t>
            </w:r>
          </w:p>
        </w:tc>
        <w:tc>
          <w:tcPr>
            <w:tcW w:w="725" w:type="dxa"/>
          </w:tcPr>
          <w:p w14:paraId="757974AF" w14:textId="075FCB72"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4</w:t>
            </w:r>
            <w:r w:rsidRPr="000C4A54">
              <w:rPr>
                <w:rFonts w:ascii="Arial" w:hAnsi="Arial" w:cs="Arial"/>
                <w:color w:val="215868" w:themeColor="accent5" w:themeShade="80"/>
                <w:sz w:val="18"/>
                <w:szCs w:val="18"/>
              </w:rPr>
              <w:t>%</w:t>
            </w:r>
          </w:p>
        </w:tc>
        <w:tc>
          <w:tcPr>
            <w:tcW w:w="810" w:type="dxa"/>
          </w:tcPr>
          <w:p w14:paraId="4F7E44E6" w14:textId="010C8E30" w:rsidR="001404B7"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+4%</w:t>
            </w:r>
          </w:p>
        </w:tc>
        <w:tc>
          <w:tcPr>
            <w:tcW w:w="851" w:type="dxa"/>
          </w:tcPr>
          <w:p w14:paraId="3A2617FA" w14:textId="0FBB2746"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$131</w:t>
            </w:r>
            <w:r w:rsidRPr="000C4A54">
              <w:rPr>
                <w:rFonts w:ascii="Arial" w:hAnsi="Arial" w:cs="Arial"/>
                <w:bCs/>
                <w:color w:val="215868" w:themeColor="accent5" w:themeShade="80"/>
                <w:sz w:val="18"/>
                <w:szCs w:val="18"/>
              </w:rPr>
              <w:t>M</w:t>
            </w:r>
          </w:p>
        </w:tc>
        <w:tc>
          <w:tcPr>
            <w:tcW w:w="850" w:type="dxa"/>
          </w:tcPr>
          <w:p w14:paraId="6272A54A" w14:textId="516DECF9"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w:t>
            </w:r>
            <w:r>
              <w:rPr>
                <w:rFonts w:ascii="Arial" w:hAnsi="Arial" w:cs="Arial"/>
                <w:bCs/>
                <w:color w:val="215868" w:themeColor="accent5" w:themeShade="80"/>
                <w:sz w:val="18"/>
                <w:szCs w:val="18"/>
              </w:rPr>
              <w:t>3.5</w:t>
            </w:r>
            <w:r w:rsidRPr="000C4A54">
              <w:rPr>
                <w:rFonts w:ascii="Arial" w:hAnsi="Arial" w:cs="Arial"/>
                <w:bCs/>
                <w:color w:val="215868" w:themeColor="accent5" w:themeShade="80"/>
                <w:sz w:val="18"/>
                <w:szCs w:val="18"/>
              </w:rPr>
              <w:t>%</w:t>
            </w:r>
          </w:p>
        </w:tc>
        <w:tc>
          <w:tcPr>
            <w:tcW w:w="851" w:type="dxa"/>
          </w:tcPr>
          <w:p w14:paraId="633BEF0F" w14:textId="72FE734F" w:rsidR="001404B7"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w:t>
            </w:r>
            <w:r w:rsidR="00B60B2A">
              <w:rPr>
                <w:rFonts w:ascii="Arial" w:hAnsi="Arial" w:cs="Arial"/>
                <w:bCs/>
                <w:color w:val="215868" w:themeColor="accent5" w:themeShade="80"/>
                <w:sz w:val="18"/>
                <w:szCs w:val="18"/>
              </w:rPr>
              <w:t>2.0</w:t>
            </w:r>
            <w:r w:rsidRPr="000C4A54">
              <w:rPr>
                <w:rFonts w:ascii="Arial" w:hAnsi="Arial" w:cs="Arial"/>
                <w:bCs/>
                <w:color w:val="215868" w:themeColor="accent5" w:themeShade="80"/>
                <w:sz w:val="18"/>
                <w:szCs w:val="18"/>
              </w:rPr>
              <w:t>%</w:t>
            </w:r>
          </w:p>
        </w:tc>
      </w:tr>
      <w:tr w:rsidR="001404B7" w:rsidRPr="000C4A54" w14:paraId="43E08355" w14:textId="77777777" w:rsidTr="00B51D8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03" w:type="dxa"/>
          </w:tcPr>
          <w:p w14:paraId="4C305B29" w14:textId="77777777" w:rsidR="001404B7" w:rsidRPr="000C4A54" w:rsidRDefault="001404B7" w:rsidP="001404B7">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Cucumbers</w:t>
            </w:r>
          </w:p>
        </w:tc>
        <w:tc>
          <w:tcPr>
            <w:tcW w:w="726" w:type="dxa"/>
            <w:gridSpan w:val="2"/>
          </w:tcPr>
          <w:p w14:paraId="7625FF6B" w14:textId="77777777" w:rsidR="001404B7" w:rsidRPr="000C4A54"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w:t>
            </w:r>
          </w:p>
        </w:tc>
        <w:tc>
          <w:tcPr>
            <w:tcW w:w="871" w:type="dxa"/>
            <w:gridSpan w:val="2"/>
          </w:tcPr>
          <w:p w14:paraId="2AC4AFAC" w14:textId="11E2EC77" w:rsidR="001404B7" w:rsidRPr="000C4A54"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+18</w:t>
            </w:r>
            <w:r w:rsidRPr="000C4A54">
              <w:rPr>
                <w:rFonts w:ascii="Arial" w:hAnsi="Arial" w:cs="Arial"/>
                <w:color w:val="215868" w:themeColor="accent5" w:themeShade="80"/>
                <w:sz w:val="18"/>
                <w:szCs w:val="18"/>
              </w:rPr>
              <w:t>%</w:t>
            </w:r>
          </w:p>
        </w:tc>
        <w:tc>
          <w:tcPr>
            <w:tcW w:w="872" w:type="dxa"/>
            <w:gridSpan w:val="2"/>
          </w:tcPr>
          <w:p w14:paraId="56942071" w14:textId="13B5DBD6" w:rsidR="001404B7" w:rsidRPr="000C4A54"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+10%</w:t>
            </w:r>
          </w:p>
        </w:tc>
        <w:tc>
          <w:tcPr>
            <w:tcW w:w="871" w:type="dxa"/>
            <w:gridSpan w:val="2"/>
          </w:tcPr>
          <w:p w14:paraId="0BAD696B" w14:textId="32D4DEA2" w:rsidR="001404B7" w:rsidRPr="000C4A54"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w:t>
            </w:r>
            <w:r w:rsidRPr="000C4A54">
              <w:rPr>
                <w:rFonts w:ascii="Arial" w:hAnsi="Arial" w:cs="Arial"/>
                <w:color w:val="215868" w:themeColor="accent5" w:themeShade="80"/>
                <w:sz w:val="18"/>
                <w:szCs w:val="18"/>
              </w:rPr>
              <w:t>%</w:t>
            </w:r>
          </w:p>
        </w:tc>
        <w:tc>
          <w:tcPr>
            <w:tcW w:w="872" w:type="dxa"/>
          </w:tcPr>
          <w:p w14:paraId="16B1E399" w14:textId="7A98BF5B" w:rsidR="001404B7" w:rsidRPr="000C4A54"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4</w:t>
            </w:r>
            <w:r w:rsidRPr="000C4A54">
              <w:rPr>
                <w:rFonts w:ascii="Arial" w:hAnsi="Arial" w:cs="Arial"/>
                <w:color w:val="215868" w:themeColor="accent5" w:themeShade="80"/>
                <w:sz w:val="18"/>
                <w:szCs w:val="18"/>
              </w:rPr>
              <w:t>%</w:t>
            </w:r>
          </w:p>
        </w:tc>
        <w:tc>
          <w:tcPr>
            <w:tcW w:w="871" w:type="dxa"/>
          </w:tcPr>
          <w:p w14:paraId="41752120" w14:textId="7409A4EE" w:rsidR="001404B7" w:rsidRPr="000C4A54"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w:t>
            </w:r>
            <w:r w:rsidRPr="000C4A54">
              <w:rPr>
                <w:rFonts w:ascii="Arial" w:hAnsi="Arial" w:cs="Arial"/>
                <w:color w:val="215868" w:themeColor="accent5" w:themeShade="80"/>
                <w:sz w:val="18"/>
                <w:szCs w:val="18"/>
              </w:rPr>
              <w:t>%</w:t>
            </w:r>
          </w:p>
        </w:tc>
        <w:tc>
          <w:tcPr>
            <w:tcW w:w="726" w:type="dxa"/>
          </w:tcPr>
          <w:p w14:paraId="45849979" w14:textId="0056DCE9" w:rsidR="001404B7" w:rsidRPr="000C4A54" w:rsidRDefault="001404B7" w:rsidP="001404B7">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+4</w:t>
            </w:r>
            <w:r w:rsidRPr="000C4A54">
              <w:rPr>
                <w:rFonts w:ascii="Arial" w:hAnsi="Arial" w:cs="Arial"/>
                <w:color w:val="215868" w:themeColor="accent5" w:themeShade="80"/>
                <w:sz w:val="18"/>
                <w:szCs w:val="18"/>
              </w:rPr>
              <w:t>%</w:t>
            </w:r>
          </w:p>
        </w:tc>
        <w:tc>
          <w:tcPr>
            <w:tcW w:w="725" w:type="dxa"/>
          </w:tcPr>
          <w:p w14:paraId="0B00906D" w14:textId="4EDF9731" w:rsidR="001404B7" w:rsidRPr="000C4A54"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6</w:t>
            </w:r>
            <w:r w:rsidRPr="000C4A54">
              <w:rPr>
                <w:rFonts w:ascii="Arial" w:hAnsi="Arial" w:cs="Arial"/>
                <w:color w:val="215868" w:themeColor="accent5" w:themeShade="80"/>
                <w:sz w:val="18"/>
                <w:szCs w:val="18"/>
              </w:rPr>
              <w:t>%</w:t>
            </w:r>
          </w:p>
        </w:tc>
        <w:tc>
          <w:tcPr>
            <w:tcW w:w="810" w:type="dxa"/>
          </w:tcPr>
          <w:p w14:paraId="2FB1546E" w14:textId="314487D1" w:rsidR="001404B7" w:rsidRPr="000C4A54"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+8%</w:t>
            </w:r>
          </w:p>
        </w:tc>
        <w:tc>
          <w:tcPr>
            <w:tcW w:w="851" w:type="dxa"/>
          </w:tcPr>
          <w:p w14:paraId="4100C798" w14:textId="3FF6EB68" w:rsidR="001404B7" w:rsidRPr="000C4A54"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Pr>
                <w:rFonts w:ascii="Arial" w:hAnsi="Arial" w:cs="Arial"/>
                <w:bCs/>
                <w:color w:val="215868" w:themeColor="accent5" w:themeShade="80"/>
                <w:sz w:val="18"/>
                <w:szCs w:val="18"/>
              </w:rPr>
              <w:t>130</w:t>
            </w:r>
            <w:r w:rsidRPr="000C4A54">
              <w:rPr>
                <w:rFonts w:ascii="Arial" w:hAnsi="Arial" w:cs="Arial"/>
                <w:bCs/>
                <w:color w:val="215868" w:themeColor="accent5" w:themeShade="80"/>
                <w:sz w:val="18"/>
                <w:szCs w:val="18"/>
              </w:rPr>
              <w:t>M</w:t>
            </w:r>
          </w:p>
        </w:tc>
        <w:tc>
          <w:tcPr>
            <w:tcW w:w="850" w:type="dxa"/>
          </w:tcPr>
          <w:p w14:paraId="55F5DE92" w14:textId="66AE34AD" w:rsidR="001404B7" w:rsidRPr="000C4A54" w:rsidRDefault="001404B7"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Pr>
                <w:rFonts w:ascii="Arial" w:hAnsi="Arial" w:cs="Arial"/>
                <w:bCs/>
                <w:color w:val="215868" w:themeColor="accent5" w:themeShade="80"/>
                <w:sz w:val="18"/>
                <w:szCs w:val="18"/>
              </w:rPr>
              <w:t>9.7</w:t>
            </w:r>
            <w:r w:rsidRPr="000C4A54">
              <w:rPr>
                <w:rFonts w:ascii="Arial" w:hAnsi="Arial" w:cs="Arial"/>
                <w:bCs/>
                <w:color w:val="215868" w:themeColor="accent5" w:themeShade="80"/>
                <w:sz w:val="18"/>
                <w:szCs w:val="18"/>
              </w:rPr>
              <w:t>%</w:t>
            </w:r>
          </w:p>
        </w:tc>
        <w:tc>
          <w:tcPr>
            <w:tcW w:w="851" w:type="dxa"/>
          </w:tcPr>
          <w:p w14:paraId="54686466" w14:textId="7A68BD8C" w:rsidR="001404B7" w:rsidRPr="000C4A54" w:rsidRDefault="00B60B2A" w:rsidP="001404B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+1.3</w:t>
            </w:r>
            <w:r w:rsidR="001404B7" w:rsidRPr="000C4A54">
              <w:rPr>
                <w:rFonts w:ascii="Arial" w:hAnsi="Arial" w:cs="Arial"/>
                <w:bCs/>
                <w:color w:val="215868" w:themeColor="accent5" w:themeShade="80"/>
                <w:sz w:val="18"/>
                <w:szCs w:val="18"/>
              </w:rPr>
              <w:t>%</w:t>
            </w:r>
          </w:p>
        </w:tc>
      </w:tr>
      <w:tr w:rsidR="001404B7" w:rsidRPr="000C4A54" w14:paraId="4080EFC9" w14:textId="77777777" w:rsidTr="00B51D86">
        <w:trPr>
          <w:trHeight w:val="249"/>
        </w:trPr>
        <w:tc>
          <w:tcPr>
            <w:cnfStyle w:val="001000000000" w:firstRow="0" w:lastRow="0" w:firstColumn="1" w:lastColumn="0" w:oddVBand="0" w:evenVBand="0" w:oddHBand="0" w:evenHBand="0" w:firstRowFirstColumn="0" w:firstRowLastColumn="0" w:lastRowFirstColumn="0" w:lastRowLastColumn="0"/>
            <w:tcW w:w="1303" w:type="dxa"/>
          </w:tcPr>
          <w:p w14:paraId="171B2B66" w14:textId="0D618ED1" w:rsidR="001404B7" w:rsidRPr="000C4A54" w:rsidRDefault="001404B7" w:rsidP="001404B7">
            <w:pPr>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 xml:space="preserve">Broccoli </w:t>
            </w:r>
          </w:p>
        </w:tc>
        <w:tc>
          <w:tcPr>
            <w:tcW w:w="726" w:type="dxa"/>
            <w:gridSpan w:val="2"/>
          </w:tcPr>
          <w:p w14:paraId="085CA187" w14:textId="72B0A00B"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+7%</w:t>
            </w:r>
          </w:p>
        </w:tc>
        <w:tc>
          <w:tcPr>
            <w:tcW w:w="871" w:type="dxa"/>
            <w:gridSpan w:val="2"/>
          </w:tcPr>
          <w:p w14:paraId="64AD77BB" w14:textId="7CF8C811"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+12%</w:t>
            </w:r>
          </w:p>
        </w:tc>
        <w:tc>
          <w:tcPr>
            <w:tcW w:w="872" w:type="dxa"/>
            <w:gridSpan w:val="2"/>
          </w:tcPr>
          <w:p w14:paraId="6DD729E8" w14:textId="6F2040F7"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w:t>
            </w:r>
          </w:p>
        </w:tc>
        <w:tc>
          <w:tcPr>
            <w:tcW w:w="871" w:type="dxa"/>
            <w:gridSpan w:val="2"/>
          </w:tcPr>
          <w:p w14:paraId="726F957A" w14:textId="43692942"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w:t>
            </w:r>
          </w:p>
        </w:tc>
        <w:tc>
          <w:tcPr>
            <w:tcW w:w="872" w:type="dxa"/>
          </w:tcPr>
          <w:p w14:paraId="3DC64E40" w14:textId="3460A79D"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w:t>
            </w:r>
          </w:p>
        </w:tc>
        <w:tc>
          <w:tcPr>
            <w:tcW w:w="871" w:type="dxa"/>
          </w:tcPr>
          <w:p w14:paraId="7BB4BA7F" w14:textId="7B0AF551"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+7%</w:t>
            </w:r>
          </w:p>
        </w:tc>
        <w:tc>
          <w:tcPr>
            <w:tcW w:w="726" w:type="dxa"/>
          </w:tcPr>
          <w:p w14:paraId="5F63A4C1" w14:textId="6E7228F9"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hAnsi="Arial" w:cs="Arial"/>
                <w:color w:val="215868" w:themeColor="accent5" w:themeShade="80"/>
                <w:sz w:val="18"/>
                <w:szCs w:val="18"/>
              </w:rPr>
              <w:t>+5</w:t>
            </w:r>
            <w:r w:rsidRPr="000B296C">
              <w:rPr>
                <w:rFonts w:ascii="Arial" w:hAnsi="Arial" w:cs="Arial"/>
                <w:color w:val="215868" w:themeColor="accent5" w:themeShade="80"/>
                <w:sz w:val="18"/>
                <w:szCs w:val="18"/>
              </w:rPr>
              <w:t>%</w:t>
            </w:r>
          </w:p>
        </w:tc>
        <w:tc>
          <w:tcPr>
            <w:tcW w:w="725" w:type="dxa"/>
          </w:tcPr>
          <w:p w14:paraId="0CB45B74" w14:textId="2C9ABEBC"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+5%</w:t>
            </w:r>
          </w:p>
        </w:tc>
        <w:tc>
          <w:tcPr>
            <w:tcW w:w="810" w:type="dxa"/>
          </w:tcPr>
          <w:p w14:paraId="7E2534B9" w14:textId="479409E3"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+4%</w:t>
            </w:r>
          </w:p>
        </w:tc>
        <w:tc>
          <w:tcPr>
            <w:tcW w:w="851" w:type="dxa"/>
          </w:tcPr>
          <w:p w14:paraId="74649743" w14:textId="486E28FD"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Pr>
                <w:rFonts w:ascii="Arial" w:hAnsi="Arial" w:cs="Arial"/>
                <w:bCs/>
                <w:color w:val="215868" w:themeColor="accent5" w:themeShade="80"/>
                <w:sz w:val="18"/>
                <w:szCs w:val="18"/>
              </w:rPr>
              <w:t>116</w:t>
            </w:r>
            <w:r w:rsidRPr="000C4A54">
              <w:rPr>
                <w:rFonts w:ascii="Arial" w:hAnsi="Arial" w:cs="Arial"/>
                <w:bCs/>
                <w:color w:val="215868" w:themeColor="accent5" w:themeShade="80"/>
                <w:sz w:val="18"/>
                <w:szCs w:val="18"/>
              </w:rPr>
              <w:t>M</w:t>
            </w:r>
          </w:p>
        </w:tc>
        <w:tc>
          <w:tcPr>
            <w:tcW w:w="850" w:type="dxa"/>
          </w:tcPr>
          <w:p w14:paraId="520BE17F" w14:textId="7C1C4CEE"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+0.6</w:t>
            </w:r>
            <w:r w:rsidRPr="000C4A54">
              <w:rPr>
                <w:rFonts w:ascii="Arial" w:hAnsi="Arial" w:cs="Arial"/>
                <w:bCs/>
                <w:color w:val="215868" w:themeColor="accent5" w:themeShade="80"/>
                <w:sz w:val="18"/>
                <w:szCs w:val="18"/>
              </w:rPr>
              <w:t>%</w:t>
            </w:r>
          </w:p>
        </w:tc>
        <w:tc>
          <w:tcPr>
            <w:tcW w:w="851" w:type="dxa"/>
          </w:tcPr>
          <w:p w14:paraId="2CD69E3A" w14:textId="6D056A5F" w:rsidR="001404B7" w:rsidRPr="000C4A54" w:rsidRDefault="001404B7" w:rsidP="001404B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B60B2A">
              <w:rPr>
                <w:rFonts w:ascii="Arial" w:hAnsi="Arial" w:cs="Arial"/>
                <w:bCs/>
                <w:color w:val="215868" w:themeColor="accent5" w:themeShade="80"/>
                <w:sz w:val="18"/>
                <w:szCs w:val="18"/>
              </w:rPr>
              <w:t>4.3</w:t>
            </w:r>
            <w:r w:rsidRPr="000C4A54">
              <w:rPr>
                <w:rFonts w:ascii="Arial" w:hAnsi="Arial" w:cs="Arial"/>
                <w:bCs/>
                <w:color w:val="215868" w:themeColor="accent5" w:themeShade="80"/>
                <w:sz w:val="18"/>
                <w:szCs w:val="18"/>
              </w:rPr>
              <w:t>%</w:t>
            </w:r>
          </w:p>
        </w:tc>
      </w:tr>
    </w:tbl>
    <w:p w14:paraId="4466B100" w14:textId="34C7241D" w:rsidR="00CB1955" w:rsidRPr="0009337A" w:rsidRDefault="00CB1955" w:rsidP="00EC2806">
      <w:pPr>
        <w:pStyle w:val="NoSpacing"/>
        <w:rPr>
          <w:rFonts w:ascii="Arial" w:hAnsi="Arial" w:cs="Arial"/>
          <w:sz w:val="14"/>
          <w:szCs w:val="4"/>
        </w:rPr>
      </w:pPr>
    </w:p>
    <w:p w14:paraId="32A125DE" w14:textId="77777777" w:rsidR="00EC2806" w:rsidRPr="00B35CE9" w:rsidRDefault="00EC2806" w:rsidP="00EC2806">
      <w:pPr>
        <w:pStyle w:val="NoSpacing"/>
        <w:rPr>
          <w:rFonts w:ascii="Arial" w:hAnsi="Arial" w:cs="Arial"/>
          <w:sz w:val="16"/>
          <w:szCs w:val="16"/>
        </w:rPr>
      </w:pPr>
      <w:r w:rsidRPr="00B35CE9">
        <w:rPr>
          <w:rFonts w:ascii="Arial" w:hAnsi="Arial" w:cs="Arial"/>
          <w:sz w:val="16"/>
          <w:szCs w:val="16"/>
        </w:rPr>
        <w:t>Source: Source:</w:t>
      </w:r>
      <w:r w:rsidR="007E5948">
        <w:rPr>
          <w:rFonts w:ascii="Arial" w:hAnsi="Arial" w:cs="Arial"/>
          <w:sz w:val="16"/>
          <w:szCs w:val="16"/>
        </w:rPr>
        <w:t xml:space="preserve"> IRI</w:t>
      </w:r>
      <w:r w:rsidR="00012355">
        <w:rPr>
          <w:rFonts w:ascii="Arial" w:hAnsi="Arial" w:cs="Arial"/>
          <w:sz w:val="16"/>
          <w:szCs w:val="16"/>
        </w:rPr>
        <w:t xml:space="preserve"> Integrated Fresh</w:t>
      </w:r>
      <w:r w:rsidR="007E5948">
        <w:rPr>
          <w:rFonts w:ascii="Arial" w:hAnsi="Arial" w:cs="Arial"/>
          <w:sz w:val="16"/>
          <w:szCs w:val="16"/>
        </w:rPr>
        <w:t>, Total U.S., MULO</w:t>
      </w:r>
    </w:p>
    <w:p w14:paraId="6B367975" w14:textId="77777777" w:rsidR="00F8382F" w:rsidRDefault="00F8382F" w:rsidP="00D77735">
      <w:pPr>
        <w:spacing w:after="0" w:line="240" w:lineRule="auto"/>
        <w:rPr>
          <w:rFonts w:ascii="Arial" w:hAnsi="Arial" w:cs="Arial"/>
          <w:b/>
          <w:color w:val="595959" w:themeColor="text1" w:themeTint="A6"/>
          <w:sz w:val="24"/>
          <w:szCs w:val="24"/>
        </w:rPr>
      </w:pPr>
    </w:p>
    <w:p w14:paraId="0932FFB5" w14:textId="77777777" w:rsidR="00C06A0B" w:rsidRDefault="00C06A0B" w:rsidP="009E5261">
      <w:pPr>
        <w:pStyle w:val="NoSpacing"/>
        <w:rPr>
          <w:rFonts w:ascii="Arial" w:hAnsi="Arial" w:cs="Arial"/>
          <w:b/>
          <w:color w:val="595959" w:themeColor="text1" w:themeTint="A6"/>
          <w:sz w:val="24"/>
          <w:szCs w:val="20"/>
        </w:rPr>
      </w:pPr>
    </w:p>
    <w:p w14:paraId="23DE661B" w14:textId="14CFE20F" w:rsidR="009E5261" w:rsidRPr="001A4F53" w:rsidRDefault="00280853" w:rsidP="009E5261">
      <w:pPr>
        <w:pStyle w:val="NoSpacing"/>
        <w:rPr>
          <w:rFonts w:ascii="Arial" w:hAnsi="Arial" w:cs="Arial"/>
          <w:b/>
          <w:color w:val="595959" w:themeColor="text1" w:themeTint="A6"/>
          <w:sz w:val="24"/>
          <w:szCs w:val="20"/>
        </w:rPr>
      </w:pPr>
      <w:r>
        <w:rPr>
          <w:rFonts w:ascii="Arial" w:hAnsi="Arial" w:cs="Arial"/>
          <w:b/>
          <w:color w:val="595959" w:themeColor="text1" w:themeTint="A6"/>
          <w:sz w:val="24"/>
          <w:szCs w:val="20"/>
        </w:rPr>
        <w:t xml:space="preserve">Fresh Produce </w:t>
      </w:r>
      <w:r w:rsidR="009E5261" w:rsidRPr="005E2F61">
        <w:rPr>
          <w:rFonts w:ascii="Arial" w:hAnsi="Arial" w:cs="Arial"/>
          <w:b/>
          <w:color w:val="595959" w:themeColor="text1" w:themeTint="A6"/>
          <w:sz w:val="24"/>
          <w:szCs w:val="20"/>
        </w:rPr>
        <w:t xml:space="preserve">Absolute Dollar </w:t>
      </w:r>
      <w:r>
        <w:rPr>
          <w:rFonts w:ascii="Arial" w:hAnsi="Arial" w:cs="Arial"/>
          <w:b/>
          <w:color w:val="595959" w:themeColor="text1" w:themeTint="A6"/>
          <w:sz w:val="24"/>
          <w:szCs w:val="20"/>
        </w:rPr>
        <w:t>Gains</w:t>
      </w:r>
    </w:p>
    <w:p w14:paraId="25FFE32A" w14:textId="2E3F4406" w:rsidR="009E5261" w:rsidRPr="00B35CE9" w:rsidRDefault="00CC484B" w:rsidP="009E5261">
      <w:pPr>
        <w:pStyle w:val="NoSpacing"/>
        <w:rPr>
          <w:rFonts w:ascii="Arial" w:hAnsi="Arial" w:cs="Arial"/>
          <w:sz w:val="20"/>
          <w:szCs w:val="20"/>
        </w:rPr>
      </w:pPr>
      <w:r>
        <w:rPr>
          <w:rFonts w:ascii="Arial" w:hAnsi="Arial" w:cs="Arial"/>
          <w:sz w:val="20"/>
          <w:szCs w:val="20"/>
        </w:rPr>
        <w:lastRenderedPageBreak/>
        <w:t xml:space="preserve">In </w:t>
      </w:r>
      <w:r w:rsidR="00B60B2A">
        <w:rPr>
          <w:rFonts w:ascii="Arial" w:hAnsi="Arial" w:cs="Arial"/>
          <w:sz w:val="20"/>
          <w:szCs w:val="20"/>
        </w:rPr>
        <w:t xml:space="preserve">October </w:t>
      </w:r>
      <w:r w:rsidR="005D47A3">
        <w:rPr>
          <w:rFonts w:ascii="Arial" w:hAnsi="Arial" w:cs="Arial"/>
          <w:sz w:val="20"/>
          <w:szCs w:val="20"/>
        </w:rPr>
        <w:t xml:space="preserve">2022, fresh </w:t>
      </w:r>
      <w:r w:rsidR="00B60B2A">
        <w:rPr>
          <w:rFonts w:ascii="Arial" w:hAnsi="Arial" w:cs="Arial"/>
          <w:sz w:val="20"/>
          <w:szCs w:val="20"/>
        </w:rPr>
        <w:t xml:space="preserve">produce </w:t>
      </w:r>
      <w:r w:rsidR="005D47A3">
        <w:rPr>
          <w:rFonts w:ascii="Arial" w:hAnsi="Arial" w:cs="Arial"/>
          <w:sz w:val="20"/>
          <w:szCs w:val="20"/>
        </w:rPr>
        <w:t>added $</w:t>
      </w:r>
      <w:r w:rsidR="00EC7839">
        <w:rPr>
          <w:rFonts w:ascii="Arial" w:hAnsi="Arial" w:cs="Arial"/>
          <w:sz w:val="20"/>
          <w:szCs w:val="20"/>
        </w:rPr>
        <w:t>1</w:t>
      </w:r>
      <w:r w:rsidR="00B60B2A">
        <w:rPr>
          <w:rFonts w:ascii="Arial" w:hAnsi="Arial" w:cs="Arial"/>
          <w:sz w:val="20"/>
          <w:szCs w:val="20"/>
        </w:rPr>
        <w:t>65</w:t>
      </w:r>
      <w:r w:rsidR="005D47A3">
        <w:rPr>
          <w:rFonts w:ascii="Arial" w:hAnsi="Arial" w:cs="Arial"/>
          <w:sz w:val="20"/>
          <w:szCs w:val="20"/>
        </w:rPr>
        <w:t xml:space="preserve"> million in</w:t>
      </w:r>
      <w:r w:rsidR="00B60B2A">
        <w:rPr>
          <w:rFonts w:ascii="Arial" w:hAnsi="Arial" w:cs="Arial"/>
          <w:sz w:val="20"/>
          <w:szCs w:val="20"/>
        </w:rPr>
        <w:t xml:space="preserve"> additional dollars versus 2021</w:t>
      </w:r>
      <w:r>
        <w:rPr>
          <w:rFonts w:ascii="Arial" w:hAnsi="Arial" w:cs="Arial"/>
          <w:sz w:val="20"/>
          <w:szCs w:val="20"/>
        </w:rPr>
        <w:t xml:space="preserve">. </w:t>
      </w:r>
      <w:r w:rsidR="00DD28A9">
        <w:rPr>
          <w:rFonts w:ascii="Arial" w:hAnsi="Arial" w:cs="Arial"/>
          <w:sz w:val="20"/>
          <w:szCs w:val="20"/>
        </w:rPr>
        <w:t xml:space="preserve">Gains were achieved in many different ways. </w:t>
      </w:r>
      <w:r w:rsidR="005D47A3">
        <w:rPr>
          <w:rFonts w:ascii="Arial" w:hAnsi="Arial" w:cs="Arial"/>
          <w:sz w:val="20"/>
          <w:szCs w:val="20"/>
        </w:rPr>
        <w:t>Potatoes, onions</w:t>
      </w:r>
      <w:r w:rsidR="00B60B2A">
        <w:rPr>
          <w:rFonts w:ascii="Arial" w:hAnsi="Arial" w:cs="Arial"/>
          <w:sz w:val="20"/>
          <w:szCs w:val="20"/>
        </w:rPr>
        <w:t>, lettuce and cabbage</w:t>
      </w:r>
      <w:r w:rsidR="00EC7839">
        <w:rPr>
          <w:rFonts w:ascii="Arial" w:hAnsi="Arial" w:cs="Arial"/>
          <w:sz w:val="20"/>
          <w:szCs w:val="20"/>
        </w:rPr>
        <w:t xml:space="preserve"> </w:t>
      </w:r>
      <w:r w:rsidR="005D47A3">
        <w:rPr>
          <w:rFonts w:ascii="Arial" w:hAnsi="Arial" w:cs="Arial"/>
          <w:sz w:val="20"/>
          <w:szCs w:val="20"/>
        </w:rPr>
        <w:t xml:space="preserve">each </w:t>
      </w:r>
      <w:r w:rsidR="00B60B2A">
        <w:rPr>
          <w:rFonts w:ascii="Arial" w:hAnsi="Arial" w:cs="Arial"/>
          <w:sz w:val="20"/>
          <w:szCs w:val="20"/>
        </w:rPr>
        <w:t xml:space="preserve">double-digit inflation when comparing </w:t>
      </w:r>
      <w:r w:rsidR="005D47A3">
        <w:rPr>
          <w:rFonts w:ascii="Arial" w:hAnsi="Arial" w:cs="Arial"/>
          <w:sz w:val="20"/>
          <w:szCs w:val="20"/>
        </w:rPr>
        <w:t xml:space="preserve">the average price per pound </w:t>
      </w:r>
      <w:r w:rsidR="00B60B2A">
        <w:rPr>
          <w:rFonts w:ascii="Arial" w:hAnsi="Arial" w:cs="Arial"/>
          <w:sz w:val="20"/>
          <w:szCs w:val="20"/>
        </w:rPr>
        <w:t xml:space="preserve">to that in October </w:t>
      </w:r>
      <w:r w:rsidR="005D47A3">
        <w:rPr>
          <w:rFonts w:ascii="Arial" w:hAnsi="Arial" w:cs="Arial"/>
          <w:sz w:val="20"/>
          <w:szCs w:val="20"/>
        </w:rPr>
        <w:t xml:space="preserve">2021. </w:t>
      </w:r>
      <w:r w:rsidR="00B60B2A">
        <w:rPr>
          <w:rFonts w:ascii="Arial" w:hAnsi="Arial" w:cs="Arial"/>
          <w:sz w:val="20"/>
          <w:szCs w:val="20"/>
        </w:rPr>
        <w:t xml:space="preserve">Mandarins gained on strong demand and this is one of the very first reports in which berries did not feature in the top 10 in absolute dollar growth. </w:t>
      </w:r>
      <w:r w:rsidR="005D47A3">
        <w:rPr>
          <w:rFonts w:ascii="Arial" w:hAnsi="Arial" w:cs="Arial"/>
          <w:sz w:val="20"/>
          <w:szCs w:val="20"/>
        </w:rPr>
        <w:t xml:space="preserve"> </w:t>
      </w:r>
    </w:p>
    <w:p w14:paraId="64BA956D" w14:textId="77777777" w:rsidR="00470A5F" w:rsidRDefault="00470A5F" w:rsidP="009E5261">
      <w:pPr>
        <w:pStyle w:val="NoSpacing"/>
        <w:rPr>
          <w:rFonts w:ascii="Arial" w:hAnsi="Arial" w:cs="Arial"/>
          <w:sz w:val="10"/>
          <w:szCs w:val="10"/>
        </w:rPr>
      </w:pPr>
    </w:p>
    <w:p w14:paraId="65036843" w14:textId="77777777" w:rsidR="00470A5F" w:rsidRPr="00E62AA9" w:rsidRDefault="00470A5F" w:rsidP="009E5261">
      <w:pPr>
        <w:pStyle w:val="NoSpacing"/>
        <w:rPr>
          <w:rFonts w:ascii="Arial" w:hAnsi="Arial" w:cs="Arial"/>
          <w:sz w:val="10"/>
          <w:szCs w:val="10"/>
        </w:rPr>
      </w:pPr>
    </w:p>
    <w:tbl>
      <w:tblPr>
        <w:tblStyle w:val="LightShading-Accent5"/>
        <w:tblW w:w="10458" w:type="dxa"/>
        <w:tblBorders>
          <w:top w:val="none" w:sz="0" w:space="0" w:color="auto"/>
          <w:bottom w:val="none" w:sz="0" w:space="0" w:color="auto"/>
        </w:tblBorders>
        <w:tblLook w:val="04A0" w:firstRow="1" w:lastRow="0" w:firstColumn="1" w:lastColumn="0" w:noHBand="0" w:noVBand="1"/>
      </w:tblPr>
      <w:tblGrid>
        <w:gridCol w:w="3008"/>
        <w:gridCol w:w="1862"/>
        <w:gridCol w:w="1863"/>
        <w:gridCol w:w="1862"/>
        <w:gridCol w:w="600"/>
        <w:gridCol w:w="1263"/>
      </w:tblGrid>
      <w:tr w:rsidR="0087772C" w:rsidRPr="00764049" w14:paraId="6F319179" w14:textId="77777777" w:rsidTr="0087772C">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EC3C13C" w14:textId="0C5CFD05" w:rsidR="0087772C" w:rsidRPr="001A4F53" w:rsidRDefault="00E001A3" w:rsidP="00F103B9">
            <w:pPr>
              <w:pStyle w:val="NoSpacing"/>
              <w:rPr>
                <w:rFonts w:ascii="Arial" w:hAnsi="Arial" w:cs="Arial"/>
                <w:color w:val="FFFFFF" w:themeColor="background1"/>
                <w:sz w:val="18"/>
                <w:szCs w:val="18"/>
              </w:rPr>
            </w:pPr>
            <w:r>
              <w:rPr>
                <w:rFonts w:ascii="Arial" w:hAnsi="Arial" w:cs="Arial"/>
                <w:color w:val="FFFFFF" w:themeColor="background1"/>
                <w:sz w:val="18"/>
                <w:szCs w:val="18"/>
              </w:rPr>
              <w:t>October</w:t>
            </w:r>
            <w:r w:rsidR="000D3B17">
              <w:rPr>
                <w:rFonts w:ascii="Arial" w:hAnsi="Arial" w:cs="Arial"/>
                <w:color w:val="FFFFFF" w:themeColor="background1"/>
                <w:sz w:val="18"/>
                <w:szCs w:val="18"/>
              </w:rPr>
              <w:t xml:space="preserve"> </w:t>
            </w:r>
            <w:r w:rsidR="002C11A9">
              <w:rPr>
                <w:rFonts w:ascii="Arial" w:hAnsi="Arial" w:cs="Arial"/>
                <w:color w:val="FFFFFF" w:themeColor="background1"/>
                <w:sz w:val="18"/>
                <w:szCs w:val="18"/>
              </w:rPr>
              <w:t>2022</w:t>
            </w:r>
          </w:p>
        </w:tc>
        <w:tc>
          <w:tcPr>
            <w:tcW w:w="6187" w:type="dxa"/>
            <w:gridSpan w:val="4"/>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6D8EE0B" w14:textId="77777777" w:rsidR="0087772C" w:rsidRPr="001A4F53" w:rsidRDefault="0087772C" w:rsidP="002C11A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Versus comparable period</w:t>
            </w:r>
            <w:r w:rsidRPr="001A4F53">
              <w:rPr>
                <w:rFonts w:ascii="Arial" w:hAnsi="Arial" w:cs="Arial"/>
                <w:color w:val="FFFFFF" w:themeColor="background1"/>
                <w:sz w:val="18"/>
                <w:szCs w:val="18"/>
              </w:rPr>
              <w:t xml:space="preserve"> in 20</w:t>
            </w:r>
            <w:r>
              <w:rPr>
                <w:rFonts w:ascii="Arial" w:hAnsi="Arial" w:cs="Arial"/>
                <w:color w:val="FFFFFF" w:themeColor="background1"/>
                <w:sz w:val="18"/>
                <w:szCs w:val="18"/>
              </w:rPr>
              <w:t>2</w:t>
            </w:r>
            <w:r w:rsidR="002C11A9">
              <w:rPr>
                <w:rFonts w:ascii="Arial" w:hAnsi="Arial" w:cs="Arial"/>
                <w:color w:val="FFFFFF" w:themeColor="background1"/>
                <w:sz w:val="18"/>
                <w:szCs w:val="18"/>
              </w:rPr>
              <w:t>1</w:t>
            </w:r>
          </w:p>
        </w:tc>
        <w:tc>
          <w:tcPr>
            <w:tcW w:w="1263"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B30EE45" w14:textId="77777777" w:rsidR="0087772C" w:rsidRDefault="0087772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r>
      <w:tr w:rsidR="0087772C" w:rsidRPr="00764049" w14:paraId="74A228B9" w14:textId="77777777" w:rsidTr="0087772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shd w:val="clear" w:color="auto" w:fill="17365D" w:themeFill="text2" w:themeFillShade="BF"/>
            <w:vAlign w:val="center"/>
          </w:tcPr>
          <w:p w14:paraId="5BA6C8F0" w14:textId="77777777" w:rsidR="0087772C" w:rsidRPr="001A4F53" w:rsidRDefault="0087772C" w:rsidP="00F103B9">
            <w:pPr>
              <w:pStyle w:val="NoSpacing"/>
              <w:rPr>
                <w:rFonts w:ascii="Arial" w:hAnsi="Arial" w:cs="Arial"/>
                <w:color w:val="FFFFFF" w:themeColor="background1"/>
                <w:sz w:val="18"/>
                <w:szCs w:val="18"/>
              </w:rPr>
            </w:pPr>
            <w:r w:rsidRPr="001A4F53">
              <w:rPr>
                <w:rFonts w:ascii="Arial" w:hAnsi="Arial" w:cs="Arial"/>
                <w:color w:val="FFFFFF" w:themeColor="background1"/>
                <w:sz w:val="18"/>
                <w:szCs w:val="18"/>
              </w:rPr>
              <w:t xml:space="preserve">Top 10 produce items in absolute dollar growth </w:t>
            </w:r>
          </w:p>
        </w:tc>
        <w:tc>
          <w:tcPr>
            <w:tcW w:w="1862" w:type="dxa"/>
            <w:tcBorders>
              <w:left w:val="none" w:sz="0" w:space="0" w:color="auto"/>
              <w:right w:val="none" w:sz="0" w:space="0" w:color="auto"/>
            </w:tcBorders>
            <w:shd w:val="clear" w:color="auto" w:fill="17365D" w:themeFill="text2" w:themeFillShade="BF"/>
            <w:vAlign w:val="center"/>
          </w:tcPr>
          <w:p w14:paraId="2877944D" w14:textId="18931E02"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Absolute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 xml:space="preserve">dollar gain </w:t>
            </w:r>
          </w:p>
        </w:tc>
        <w:tc>
          <w:tcPr>
            <w:tcW w:w="1863" w:type="dxa"/>
            <w:tcBorders>
              <w:left w:val="none" w:sz="0" w:space="0" w:color="auto"/>
              <w:right w:val="none" w:sz="0" w:space="0" w:color="auto"/>
            </w:tcBorders>
            <w:shd w:val="clear" w:color="auto" w:fill="17365D" w:themeFill="text2" w:themeFillShade="BF"/>
            <w:vAlign w:val="center"/>
          </w:tcPr>
          <w:p w14:paraId="0E812425" w14:textId="6DA2C602"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Dollar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 xml:space="preserve">% </w:t>
            </w:r>
            <w:r>
              <w:rPr>
                <w:rFonts w:ascii="Arial" w:hAnsi="Arial" w:cs="Arial"/>
                <w:b/>
                <w:color w:val="FFFFFF" w:themeColor="background1"/>
                <w:sz w:val="18"/>
                <w:szCs w:val="18"/>
              </w:rPr>
              <w:t>growth</w:t>
            </w:r>
          </w:p>
        </w:tc>
        <w:tc>
          <w:tcPr>
            <w:tcW w:w="1862" w:type="dxa"/>
            <w:tcBorders>
              <w:left w:val="none" w:sz="0" w:space="0" w:color="auto"/>
              <w:right w:val="none" w:sz="0" w:space="0" w:color="auto"/>
            </w:tcBorders>
            <w:shd w:val="clear" w:color="auto" w:fill="17365D" w:themeFill="text2" w:themeFillShade="BF"/>
            <w:vAlign w:val="center"/>
          </w:tcPr>
          <w:p w14:paraId="0B544E93" w14:textId="5EF30020"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Total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dollar sales</w:t>
            </w:r>
          </w:p>
        </w:tc>
        <w:tc>
          <w:tcPr>
            <w:tcW w:w="1863" w:type="dxa"/>
            <w:gridSpan w:val="2"/>
            <w:tcBorders>
              <w:left w:val="none" w:sz="0" w:space="0" w:color="auto"/>
              <w:right w:val="none" w:sz="0" w:space="0" w:color="auto"/>
            </w:tcBorders>
            <w:shd w:val="clear" w:color="auto" w:fill="17365D" w:themeFill="text2" w:themeFillShade="BF"/>
          </w:tcPr>
          <w:p w14:paraId="3C571A8B" w14:textId="57CAFA7C" w:rsidR="0087772C" w:rsidRPr="001A4F53" w:rsidRDefault="00BE7DBD"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xml:space="preserve">Change </w:t>
            </w:r>
            <w:r w:rsidR="0087772C">
              <w:rPr>
                <w:rFonts w:ascii="Arial" w:hAnsi="Arial" w:cs="Arial"/>
                <w:b/>
                <w:color w:val="FFFFFF" w:themeColor="background1"/>
                <w:sz w:val="18"/>
                <w:szCs w:val="18"/>
              </w:rPr>
              <w:t>in price per pound</w:t>
            </w:r>
          </w:p>
        </w:tc>
      </w:tr>
      <w:tr w:rsidR="0087772C" w:rsidRPr="0039690E" w14:paraId="04F1D0AF" w14:textId="77777777" w:rsidTr="0087772C">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C01466F" w14:textId="1C4D48C2" w:rsidR="0087772C" w:rsidRPr="00AE33CD" w:rsidRDefault="00AE33CD" w:rsidP="000166DA">
            <w:pPr>
              <w:jc w:val="right"/>
              <w:rPr>
                <w:rFonts w:ascii="Arial" w:hAnsi="Arial" w:cs="Arial"/>
                <w:b w:val="0"/>
                <w:color w:val="215868" w:themeColor="accent5" w:themeShade="80"/>
                <w:sz w:val="18"/>
                <w:szCs w:val="18"/>
              </w:rPr>
            </w:pPr>
            <w:r w:rsidRPr="00AE33CD">
              <w:rPr>
                <w:rFonts w:ascii="Arial" w:hAnsi="Arial" w:cs="Arial"/>
                <w:b w:val="0"/>
                <w:color w:val="215868" w:themeColor="accent5" w:themeShade="80"/>
                <w:sz w:val="18"/>
                <w:szCs w:val="18"/>
              </w:rPr>
              <w:t>Potatoes</w:t>
            </w:r>
          </w:p>
        </w:tc>
        <w:tc>
          <w:tcPr>
            <w:tcW w:w="1862" w:type="dxa"/>
            <w:vAlign w:val="center"/>
          </w:tcPr>
          <w:p w14:paraId="27F7C24E" w14:textId="759FD2C7" w:rsidR="0087772C" w:rsidRPr="0039690E" w:rsidRDefault="002C11A9"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68</w:t>
            </w:r>
            <w:r w:rsidR="000D3B17">
              <w:rPr>
                <w:rFonts w:ascii="Arial" w:hAnsi="Arial" w:cs="Arial"/>
                <w:color w:val="215868" w:themeColor="accent5" w:themeShade="80"/>
                <w:sz w:val="18"/>
                <w:szCs w:val="18"/>
              </w:rPr>
              <w:t>M</w:t>
            </w:r>
          </w:p>
        </w:tc>
        <w:tc>
          <w:tcPr>
            <w:tcW w:w="1863" w:type="dxa"/>
            <w:vAlign w:val="center"/>
          </w:tcPr>
          <w:p w14:paraId="66E5E3BB" w14:textId="10988FB2"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21.6</w:t>
            </w:r>
            <w:r w:rsidRPr="0039690E">
              <w:rPr>
                <w:rFonts w:ascii="Arial" w:hAnsi="Arial" w:cs="Arial"/>
                <w:color w:val="215868" w:themeColor="accent5" w:themeShade="80"/>
                <w:sz w:val="18"/>
                <w:szCs w:val="18"/>
              </w:rPr>
              <w:t>%</w:t>
            </w:r>
          </w:p>
        </w:tc>
        <w:tc>
          <w:tcPr>
            <w:tcW w:w="1862" w:type="dxa"/>
            <w:vAlign w:val="center"/>
          </w:tcPr>
          <w:p w14:paraId="1C5E5C05" w14:textId="2FB3DB22"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382</w:t>
            </w:r>
            <w:r w:rsidR="00FD43CB">
              <w:rPr>
                <w:rFonts w:ascii="Arial" w:hAnsi="Arial" w:cs="Arial"/>
                <w:color w:val="215868" w:themeColor="accent5" w:themeShade="80"/>
                <w:sz w:val="18"/>
                <w:szCs w:val="18"/>
              </w:rPr>
              <w:t>M</w:t>
            </w:r>
          </w:p>
        </w:tc>
        <w:tc>
          <w:tcPr>
            <w:tcW w:w="1863" w:type="dxa"/>
            <w:gridSpan w:val="2"/>
          </w:tcPr>
          <w:p w14:paraId="6AFCF28C" w14:textId="06E3DE3C" w:rsidR="0087772C" w:rsidRPr="0039690E" w:rsidRDefault="000D3B17"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23.2</w:t>
            </w:r>
            <w:r w:rsidR="0087772C">
              <w:rPr>
                <w:rFonts w:ascii="Arial" w:hAnsi="Arial" w:cs="Arial"/>
                <w:color w:val="215868" w:themeColor="accent5" w:themeShade="80"/>
                <w:sz w:val="18"/>
                <w:szCs w:val="18"/>
              </w:rPr>
              <w:t>%</w:t>
            </w:r>
          </w:p>
        </w:tc>
      </w:tr>
      <w:tr w:rsidR="00025202" w:rsidRPr="0039690E" w14:paraId="43381836" w14:textId="77777777" w:rsidTr="00951B0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68569A2" w14:textId="3D26C780" w:rsidR="00025202" w:rsidRPr="00AE33CD" w:rsidRDefault="00AE33CD" w:rsidP="00025202">
            <w:pPr>
              <w:jc w:val="right"/>
              <w:rPr>
                <w:rFonts w:ascii="Arial" w:hAnsi="Arial" w:cs="Arial"/>
                <w:b w:val="0"/>
                <w:color w:val="215868" w:themeColor="accent5" w:themeShade="80"/>
                <w:sz w:val="18"/>
                <w:szCs w:val="18"/>
              </w:rPr>
            </w:pPr>
            <w:r w:rsidRPr="00AE33CD">
              <w:rPr>
                <w:rFonts w:ascii="Arial" w:hAnsi="Arial" w:cs="Arial"/>
                <w:b w:val="0"/>
                <w:color w:val="215868" w:themeColor="accent5" w:themeShade="80"/>
                <w:sz w:val="18"/>
                <w:szCs w:val="18"/>
              </w:rPr>
              <w:t>Onions</w:t>
            </w:r>
          </w:p>
        </w:tc>
        <w:tc>
          <w:tcPr>
            <w:tcW w:w="1862" w:type="dxa"/>
          </w:tcPr>
          <w:p w14:paraId="473224CC" w14:textId="5C62BA3E"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46</w:t>
            </w:r>
            <w:r w:rsidRPr="00B1671F">
              <w:rPr>
                <w:rFonts w:ascii="Arial" w:hAnsi="Arial" w:cs="Arial"/>
                <w:color w:val="215868" w:themeColor="accent5" w:themeShade="80"/>
                <w:sz w:val="18"/>
                <w:szCs w:val="18"/>
              </w:rPr>
              <w:t>M</w:t>
            </w:r>
          </w:p>
        </w:tc>
        <w:tc>
          <w:tcPr>
            <w:tcW w:w="1863" w:type="dxa"/>
          </w:tcPr>
          <w:p w14:paraId="69BA81BF" w14:textId="3FEC9A0D"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20.0</w:t>
            </w:r>
            <w:r w:rsidRPr="009E037C">
              <w:rPr>
                <w:rFonts w:ascii="Arial" w:hAnsi="Arial" w:cs="Arial"/>
                <w:color w:val="215868" w:themeColor="accent5" w:themeShade="80"/>
                <w:sz w:val="18"/>
                <w:szCs w:val="18"/>
              </w:rPr>
              <w:t>%</w:t>
            </w:r>
          </w:p>
        </w:tc>
        <w:tc>
          <w:tcPr>
            <w:tcW w:w="1862" w:type="dxa"/>
          </w:tcPr>
          <w:p w14:paraId="33105BD9" w14:textId="49E16F37"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275</w:t>
            </w:r>
            <w:r w:rsidR="00FD43CB">
              <w:rPr>
                <w:rFonts w:ascii="Arial" w:hAnsi="Arial" w:cs="Arial"/>
                <w:color w:val="215868" w:themeColor="accent5" w:themeShade="80"/>
                <w:sz w:val="18"/>
                <w:szCs w:val="18"/>
              </w:rPr>
              <w:t>M</w:t>
            </w:r>
          </w:p>
        </w:tc>
        <w:tc>
          <w:tcPr>
            <w:tcW w:w="1863" w:type="dxa"/>
            <w:gridSpan w:val="2"/>
          </w:tcPr>
          <w:p w14:paraId="15A0570C" w14:textId="083EDB83"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19.2</w:t>
            </w:r>
            <w:r>
              <w:rPr>
                <w:rFonts w:ascii="Arial" w:hAnsi="Arial" w:cs="Arial"/>
                <w:color w:val="215868" w:themeColor="accent5" w:themeShade="80"/>
                <w:sz w:val="18"/>
                <w:szCs w:val="18"/>
              </w:rPr>
              <w:t>%</w:t>
            </w:r>
          </w:p>
        </w:tc>
      </w:tr>
      <w:tr w:rsidR="00025202" w:rsidRPr="0039690E" w14:paraId="75511BE8" w14:textId="77777777" w:rsidTr="00951B01">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7DB301F9" w14:textId="58584B47" w:rsidR="00025202" w:rsidRPr="00AE33CD" w:rsidRDefault="00B60B2A"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Lettuce</w:t>
            </w:r>
          </w:p>
        </w:tc>
        <w:tc>
          <w:tcPr>
            <w:tcW w:w="1862" w:type="dxa"/>
          </w:tcPr>
          <w:p w14:paraId="575F9CA6" w14:textId="71369E38" w:rsidR="00025202" w:rsidRDefault="00E277C6"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31</w:t>
            </w:r>
            <w:r w:rsidR="00025202" w:rsidRPr="00B1671F">
              <w:rPr>
                <w:rFonts w:ascii="Arial" w:hAnsi="Arial" w:cs="Arial"/>
                <w:color w:val="215868" w:themeColor="accent5" w:themeShade="80"/>
                <w:sz w:val="18"/>
                <w:szCs w:val="18"/>
              </w:rPr>
              <w:t>M</w:t>
            </w:r>
          </w:p>
        </w:tc>
        <w:tc>
          <w:tcPr>
            <w:tcW w:w="1863" w:type="dxa"/>
          </w:tcPr>
          <w:p w14:paraId="0A097B6D" w14:textId="5A6B13B6"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12.3</w:t>
            </w:r>
            <w:r w:rsidRPr="009E037C">
              <w:rPr>
                <w:rFonts w:ascii="Arial" w:hAnsi="Arial" w:cs="Arial"/>
                <w:color w:val="215868" w:themeColor="accent5" w:themeShade="80"/>
                <w:sz w:val="18"/>
                <w:szCs w:val="18"/>
              </w:rPr>
              <w:t>%</w:t>
            </w:r>
          </w:p>
        </w:tc>
        <w:tc>
          <w:tcPr>
            <w:tcW w:w="1862" w:type="dxa"/>
          </w:tcPr>
          <w:p w14:paraId="28D0C663" w14:textId="2ABF4615"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284</w:t>
            </w:r>
            <w:r w:rsidRPr="00FC3E4A">
              <w:rPr>
                <w:rFonts w:ascii="Arial" w:hAnsi="Arial" w:cs="Arial"/>
                <w:color w:val="215868" w:themeColor="accent5" w:themeShade="80"/>
                <w:sz w:val="18"/>
                <w:szCs w:val="18"/>
              </w:rPr>
              <w:t>M</w:t>
            </w:r>
          </w:p>
        </w:tc>
        <w:tc>
          <w:tcPr>
            <w:tcW w:w="1863" w:type="dxa"/>
            <w:gridSpan w:val="2"/>
          </w:tcPr>
          <w:p w14:paraId="6C5789DF" w14:textId="40889518"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17.0</w:t>
            </w:r>
            <w:r>
              <w:rPr>
                <w:rFonts w:ascii="Arial" w:hAnsi="Arial" w:cs="Arial"/>
                <w:color w:val="215868" w:themeColor="accent5" w:themeShade="80"/>
                <w:sz w:val="18"/>
                <w:szCs w:val="18"/>
              </w:rPr>
              <w:t>%</w:t>
            </w:r>
          </w:p>
        </w:tc>
      </w:tr>
      <w:tr w:rsidR="00025202" w:rsidRPr="0039690E" w14:paraId="1A21AA15" w14:textId="77777777" w:rsidTr="00951B0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44C84FAA" w14:textId="205087BE" w:rsidR="00B175F0" w:rsidRPr="00AE33CD" w:rsidRDefault="00B60B2A" w:rsidP="00AE33C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Mandarins</w:t>
            </w:r>
          </w:p>
        </w:tc>
        <w:tc>
          <w:tcPr>
            <w:tcW w:w="1862" w:type="dxa"/>
          </w:tcPr>
          <w:p w14:paraId="53A4FBF5" w14:textId="33B7F7AE"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14</w:t>
            </w:r>
            <w:r w:rsidRPr="00B1671F">
              <w:rPr>
                <w:rFonts w:ascii="Arial" w:hAnsi="Arial" w:cs="Arial"/>
                <w:color w:val="215868" w:themeColor="accent5" w:themeShade="80"/>
                <w:sz w:val="18"/>
                <w:szCs w:val="18"/>
              </w:rPr>
              <w:t>M</w:t>
            </w:r>
          </w:p>
        </w:tc>
        <w:tc>
          <w:tcPr>
            <w:tcW w:w="1863" w:type="dxa"/>
          </w:tcPr>
          <w:p w14:paraId="7B62BF9D" w14:textId="3F823A55"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9.4</w:t>
            </w:r>
            <w:r w:rsidRPr="009E037C">
              <w:rPr>
                <w:rFonts w:ascii="Arial" w:hAnsi="Arial" w:cs="Arial"/>
                <w:color w:val="215868" w:themeColor="accent5" w:themeShade="80"/>
                <w:sz w:val="18"/>
                <w:szCs w:val="18"/>
              </w:rPr>
              <w:t>%</w:t>
            </w:r>
          </w:p>
        </w:tc>
        <w:tc>
          <w:tcPr>
            <w:tcW w:w="1862" w:type="dxa"/>
          </w:tcPr>
          <w:p w14:paraId="165DF388" w14:textId="6FFCD4AC"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162</w:t>
            </w:r>
            <w:r w:rsidRPr="00FC3E4A">
              <w:rPr>
                <w:rFonts w:ascii="Arial" w:hAnsi="Arial" w:cs="Arial"/>
                <w:color w:val="215868" w:themeColor="accent5" w:themeShade="80"/>
                <w:sz w:val="18"/>
                <w:szCs w:val="18"/>
              </w:rPr>
              <w:t>M</w:t>
            </w:r>
          </w:p>
        </w:tc>
        <w:tc>
          <w:tcPr>
            <w:tcW w:w="1863" w:type="dxa"/>
            <w:gridSpan w:val="2"/>
          </w:tcPr>
          <w:p w14:paraId="2D5467DF" w14:textId="2C889BBF" w:rsidR="00025202" w:rsidRDefault="00384436"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0.2</w:t>
            </w:r>
            <w:r w:rsidR="00025202">
              <w:rPr>
                <w:rFonts w:ascii="Arial" w:hAnsi="Arial" w:cs="Arial"/>
                <w:color w:val="215868" w:themeColor="accent5" w:themeShade="80"/>
                <w:sz w:val="18"/>
                <w:szCs w:val="18"/>
              </w:rPr>
              <w:t>%</w:t>
            </w:r>
          </w:p>
        </w:tc>
      </w:tr>
      <w:tr w:rsidR="00025202" w:rsidRPr="0039690E" w14:paraId="75397FB3" w14:textId="77777777" w:rsidTr="00951B01">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4BDF8BBC" w14:textId="39B63D2B" w:rsidR="00025202" w:rsidRPr="00AE33CD" w:rsidRDefault="00B60B2A"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Bananas</w:t>
            </w:r>
          </w:p>
        </w:tc>
        <w:tc>
          <w:tcPr>
            <w:tcW w:w="1862" w:type="dxa"/>
          </w:tcPr>
          <w:p w14:paraId="5A00940C" w14:textId="71C013D6"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12</w:t>
            </w:r>
            <w:r w:rsidRPr="00B1671F">
              <w:rPr>
                <w:rFonts w:ascii="Arial" w:hAnsi="Arial" w:cs="Arial"/>
                <w:color w:val="215868" w:themeColor="accent5" w:themeShade="80"/>
                <w:sz w:val="18"/>
                <w:szCs w:val="18"/>
              </w:rPr>
              <w:t>M</w:t>
            </w:r>
          </w:p>
        </w:tc>
        <w:tc>
          <w:tcPr>
            <w:tcW w:w="1863" w:type="dxa"/>
          </w:tcPr>
          <w:p w14:paraId="633C67A6" w14:textId="5EF66EC5"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4.1</w:t>
            </w:r>
            <w:r w:rsidRPr="009E037C">
              <w:rPr>
                <w:rFonts w:ascii="Arial" w:hAnsi="Arial" w:cs="Arial"/>
                <w:color w:val="215868" w:themeColor="accent5" w:themeShade="80"/>
                <w:sz w:val="18"/>
                <w:szCs w:val="18"/>
              </w:rPr>
              <w:t>%</w:t>
            </w:r>
          </w:p>
        </w:tc>
        <w:tc>
          <w:tcPr>
            <w:tcW w:w="1862" w:type="dxa"/>
          </w:tcPr>
          <w:p w14:paraId="1F613C99" w14:textId="72E14AB8"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312</w:t>
            </w:r>
            <w:r w:rsidRPr="00FC3E4A">
              <w:rPr>
                <w:rFonts w:ascii="Arial" w:hAnsi="Arial" w:cs="Arial"/>
                <w:color w:val="215868" w:themeColor="accent5" w:themeShade="80"/>
                <w:sz w:val="18"/>
                <w:szCs w:val="18"/>
              </w:rPr>
              <w:t>M</w:t>
            </w:r>
          </w:p>
        </w:tc>
        <w:tc>
          <w:tcPr>
            <w:tcW w:w="1863" w:type="dxa"/>
            <w:gridSpan w:val="2"/>
          </w:tcPr>
          <w:p w14:paraId="705E85A2" w14:textId="7A889A51"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5.1</w:t>
            </w:r>
            <w:r>
              <w:rPr>
                <w:rFonts w:ascii="Arial" w:hAnsi="Arial" w:cs="Arial"/>
                <w:color w:val="215868" w:themeColor="accent5" w:themeShade="80"/>
                <w:sz w:val="18"/>
                <w:szCs w:val="18"/>
              </w:rPr>
              <w:t>%</w:t>
            </w:r>
          </w:p>
        </w:tc>
      </w:tr>
      <w:tr w:rsidR="00025202" w:rsidRPr="0039690E" w14:paraId="60EECAA3" w14:textId="77777777" w:rsidTr="00951B0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vAlign w:val="center"/>
          </w:tcPr>
          <w:p w14:paraId="763F33C2" w14:textId="0B658863" w:rsidR="00025202" w:rsidRPr="00AE33CD" w:rsidRDefault="00B60B2A"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Cucumbers</w:t>
            </w:r>
          </w:p>
        </w:tc>
        <w:tc>
          <w:tcPr>
            <w:tcW w:w="1862" w:type="dxa"/>
            <w:tcBorders>
              <w:left w:val="none" w:sz="0" w:space="0" w:color="auto"/>
              <w:right w:val="none" w:sz="0" w:space="0" w:color="auto"/>
            </w:tcBorders>
          </w:tcPr>
          <w:p w14:paraId="71B192EF" w14:textId="747F1E02"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12</w:t>
            </w:r>
            <w:r w:rsidRPr="00B1671F">
              <w:rPr>
                <w:rFonts w:ascii="Arial" w:hAnsi="Arial" w:cs="Arial"/>
                <w:color w:val="215868" w:themeColor="accent5" w:themeShade="80"/>
                <w:sz w:val="18"/>
                <w:szCs w:val="18"/>
              </w:rPr>
              <w:t>M</w:t>
            </w:r>
          </w:p>
        </w:tc>
        <w:tc>
          <w:tcPr>
            <w:tcW w:w="1863" w:type="dxa"/>
            <w:tcBorders>
              <w:left w:val="none" w:sz="0" w:space="0" w:color="auto"/>
              <w:right w:val="none" w:sz="0" w:space="0" w:color="auto"/>
            </w:tcBorders>
          </w:tcPr>
          <w:p w14:paraId="445EC599" w14:textId="433A70D6"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9.7</w:t>
            </w:r>
            <w:r w:rsidRPr="009E037C">
              <w:rPr>
                <w:rFonts w:ascii="Arial" w:hAnsi="Arial" w:cs="Arial"/>
                <w:color w:val="215868" w:themeColor="accent5" w:themeShade="80"/>
                <w:sz w:val="18"/>
                <w:szCs w:val="18"/>
              </w:rPr>
              <w:t>%</w:t>
            </w:r>
          </w:p>
        </w:tc>
        <w:tc>
          <w:tcPr>
            <w:tcW w:w="1862" w:type="dxa"/>
            <w:tcBorders>
              <w:left w:val="none" w:sz="0" w:space="0" w:color="auto"/>
              <w:right w:val="none" w:sz="0" w:space="0" w:color="auto"/>
            </w:tcBorders>
          </w:tcPr>
          <w:p w14:paraId="02CF5248" w14:textId="4C02BF88"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130</w:t>
            </w:r>
            <w:r w:rsidRPr="00FC3E4A">
              <w:rPr>
                <w:rFonts w:ascii="Arial" w:hAnsi="Arial" w:cs="Arial"/>
                <w:color w:val="215868" w:themeColor="accent5" w:themeShade="80"/>
                <w:sz w:val="18"/>
                <w:szCs w:val="18"/>
              </w:rPr>
              <w:t>M</w:t>
            </w:r>
          </w:p>
        </w:tc>
        <w:tc>
          <w:tcPr>
            <w:tcW w:w="1863" w:type="dxa"/>
            <w:gridSpan w:val="2"/>
            <w:tcBorders>
              <w:left w:val="none" w:sz="0" w:space="0" w:color="auto"/>
              <w:right w:val="none" w:sz="0" w:space="0" w:color="auto"/>
            </w:tcBorders>
          </w:tcPr>
          <w:p w14:paraId="66944382" w14:textId="3BB065B8"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8.4</w:t>
            </w:r>
            <w:r>
              <w:rPr>
                <w:rFonts w:ascii="Arial" w:hAnsi="Arial" w:cs="Arial"/>
                <w:color w:val="215868" w:themeColor="accent5" w:themeShade="80"/>
                <w:sz w:val="18"/>
                <w:szCs w:val="18"/>
              </w:rPr>
              <w:t>%</w:t>
            </w:r>
          </w:p>
        </w:tc>
      </w:tr>
      <w:tr w:rsidR="00025202" w:rsidRPr="0039690E" w14:paraId="702F2F7B" w14:textId="77777777" w:rsidTr="00951B01">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70FE71CA" w14:textId="4F9E5581" w:rsidR="00025202" w:rsidRPr="00AE33CD" w:rsidRDefault="00B60B2A"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Peppers</w:t>
            </w:r>
          </w:p>
        </w:tc>
        <w:tc>
          <w:tcPr>
            <w:tcW w:w="1862" w:type="dxa"/>
          </w:tcPr>
          <w:p w14:paraId="6C6039DB" w14:textId="4BAF24D8"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FD43CB">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8</w:t>
            </w:r>
            <w:r w:rsidRPr="00B1671F">
              <w:rPr>
                <w:rFonts w:ascii="Arial" w:hAnsi="Arial" w:cs="Arial"/>
                <w:color w:val="215868" w:themeColor="accent5" w:themeShade="80"/>
                <w:sz w:val="18"/>
                <w:szCs w:val="18"/>
              </w:rPr>
              <w:t>M</w:t>
            </w:r>
          </w:p>
        </w:tc>
        <w:tc>
          <w:tcPr>
            <w:tcW w:w="1863" w:type="dxa"/>
          </w:tcPr>
          <w:p w14:paraId="429880EB" w14:textId="0A207E0C"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3.5</w:t>
            </w:r>
            <w:r w:rsidRPr="009E037C">
              <w:rPr>
                <w:rFonts w:ascii="Arial" w:hAnsi="Arial" w:cs="Arial"/>
                <w:color w:val="215868" w:themeColor="accent5" w:themeShade="80"/>
                <w:sz w:val="18"/>
                <w:szCs w:val="18"/>
              </w:rPr>
              <w:t>%</w:t>
            </w:r>
          </w:p>
        </w:tc>
        <w:tc>
          <w:tcPr>
            <w:tcW w:w="1862" w:type="dxa"/>
          </w:tcPr>
          <w:p w14:paraId="6F9682AC" w14:textId="52949C2D"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229</w:t>
            </w:r>
            <w:r w:rsidRPr="00FC3E4A">
              <w:rPr>
                <w:rFonts w:ascii="Arial" w:hAnsi="Arial" w:cs="Arial"/>
                <w:color w:val="215868" w:themeColor="accent5" w:themeShade="80"/>
                <w:sz w:val="18"/>
                <w:szCs w:val="18"/>
              </w:rPr>
              <w:t>M</w:t>
            </w:r>
          </w:p>
        </w:tc>
        <w:tc>
          <w:tcPr>
            <w:tcW w:w="1863" w:type="dxa"/>
            <w:gridSpan w:val="2"/>
          </w:tcPr>
          <w:p w14:paraId="7C1FEF60" w14:textId="3A7BD410"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8.0</w:t>
            </w:r>
            <w:r>
              <w:rPr>
                <w:rFonts w:ascii="Arial" w:hAnsi="Arial" w:cs="Arial"/>
                <w:color w:val="215868" w:themeColor="accent5" w:themeShade="80"/>
                <w:sz w:val="18"/>
                <w:szCs w:val="18"/>
              </w:rPr>
              <w:t>%</w:t>
            </w:r>
          </w:p>
        </w:tc>
      </w:tr>
      <w:tr w:rsidR="00025202" w:rsidRPr="0039690E" w14:paraId="5460D770" w14:textId="77777777" w:rsidTr="00951B0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53975AE0" w14:textId="126BC211" w:rsidR="00025202" w:rsidRPr="00AE33CD" w:rsidRDefault="00B60B2A"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Tomatoes</w:t>
            </w:r>
          </w:p>
        </w:tc>
        <w:tc>
          <w:tcPr>
            <w:tcW w:w="1862" w:type="dxa"/>
          </w:tcPr>
          <w:p w14:paraId="708615DE" w14:textId="19253E86"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6</w:t>
            </w:r>
            <w:r w:rsidRPr="00B1671F">
              <w:rPr>
                <w:rFonts w:ascii="Arial" w:hAnsi="Arial" w:cs="Arial"/>
                <w:color w:val="215868" w:themeColor="accent5" w:themeShade="80"/>
                <w:sz w:val="18"/>
                <w:szCs w:val="18"/>
              </w:rPr>
              <w:t>M</w:t>
            </w:r>
          </w:p>
        </w:tc>
        <w:tc>
          <w:tcPr>
            <w:tcW w:w="1863" w:type="dxa"/>
          </w:tcPr>
          <w:p w14:paraId="6301E553" w14:textId="57CFBBCB"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1.9</w:t>
            </w:r>
            <w:r w:rsidRPr="009E037C">
              <w:rPr>
                <w:rFonts w:ascii="Arial" w:hAnsi="Arial" w:cs="Arial"/>
                <w:color w:val="215868" w:themeColor="accent5" w:themeShade="80"/>
                <w:sz w:val="18"/>
                <w:szCs w:val="18"/>
              </w:rPr>
              <w:t>%</w:t>
            </w:r>
          </w:p>
        </w:tc>
        <w:tc>
          <w:tcPr>
            <w:tcW w:w="1862" w:type="dxa"/>
          </w:tcPr>
          <w:p w14:paraId="5AC78EC5" w14:textId="7B6479BC"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343</w:t>
            </w:r>
            <w:r w:rsidRPr="00FC3E4A">
              <w:rPr>
                <w:rFonts w:ascii="Arial" w:hAnsi="Arial" w:cs="Arial"/>
                <w:color w:val="215868" w:themeColor="accent5" w:themeShade="80"/>
                <w:sz w:val="18"/>
                <w:szCs w:val="18"/>
              </w:rPr>
              <w:t>M</w:t>
            </w:r>
          </w:p>
        </w:tc>
        <w:tc>
          <w:tcPr>
            <w:tcW w:w="1863" w:type="dxa"/>
            <w:gridSpan w:val="2"/>
          </w:tcPr>
          <w:p w14:paraId="34BD11CE" w14:textId="510957BE" w:rsidR="00025202" w:rsidRDefault="00FD43CB"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0.7</w:t>
            </w:r>
            <w:r w:rsidR="00025202">
              <w:rPr>
                <w:rFonts w:ascii="Arial" w:hAnsi="Arial" w:cs="Arial"/>
                <w:color w:val="215868" w:themeColor="accent5" w:themeShade="80"/>
                <w:sz w:val="18"/>
                <w:szCs w:val="18"/>
              </w:rPr>
              <w:t>%</w:t>
            </w:r>
          </w:p>
        </w:tc>
      </w:tr>
      <w:tr w:rsidR="00025202" w:rsidRPr="0039690E" w14:paraId="796068CA" w14:textId="77777777" w:rsidTr="00951B01">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2235C818" w14:textId="3A087BEB" w:rsidR="00025202" w:rsidRPr="00AE33CD" w:rsidRDefault="00B60B2A"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Garlic</w:t>
            </w:r>
          </w:p>
        </w:tc>
        <w:tc>
          <w:tcPr>
            <w:tcW w:w="1862" w:type="dxa"/>
          </w:tcPr>
          <w:p w14:paraId="044A037C" w14:textId="44DC5C2B"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5</w:t>
            </w:r>
            <w:r w:rsidRPr="00B1671F">
              <w:rPr>
                <w:rFonts w:ascii="Arial" w:hAnsi="Arial" w:cs="Arial"/>
                <w:color w:val="215868" w:themeColor="accent5" w:themeShade="80"/>
                <w:sz w:val="18"/>
                <w:szCs w:val="18"/>
              </w:rPr>
              <w:t>M</w:t>
            </w:r>
          </w:p>
        </w:tc>
        <w:tc>
          <w:tcPr>
            <w:tcW w:w="1863" w:type="dxa"/>
          </w:tcPr>
          <w:p w14:paraId="26745975" w14:textId="6B4A8E11"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15.7</w:t>
            </w:r>
            <w:r w:rsidRPr="009E037C">
              <w:rPr>
                <w:rFonts w:ascii="Arial" w:hAnsi="Arial" w:cs="Arial"/>
                <w:color w:val="215868" w:themeColor="accent5" w:themeShade="80"/>
                <w:sz w:val="18"/>
                <w:szCs w:val="18"/>
              </w:rPr>
              <w:t>%</w:t>
            </w:r>
          </w:p>
        </w:tc>
        <w:tc>
          <w:tcPr>
            <w:tcW w:w="1862" w:type="dxa"/>
          </w:tcPr>
          <w:p w14:paraId="589893D3" w14:textId="69E6937D"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39</w:t>
            </w:r>
            <w:r w:rsidRPr="00FC3E4A">
              <w:rPr>
                <w:rFonts w:ascii="Arial" w:hAnsi="Arial" w:cs="Arial"/>
                <w:color w:val="215868" w:themeColor="accent5" w:themeShade="80"/>
                <w:sz w:val="18"/>
                <w:szCs w:val="18"/>
              </w:rPr>
              <w:t>M</w:t>
            </w:r>
          </w:p>
        </w:tc>
        <w:tc>
          <w:tcPr>
            <w:tcW w:w="1863" w:type="dxa"/>
            <w:gridSpan w:val="2"/>
          </w:tcPr>
          <w:p w14:paraId="706BF9F0" w14:textId="37AE0C2F"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7.7</w:t>
            </w:r>
            <w:r>
              <w:rPr>
                <w:rFonts w:ascii="Arial" w:hAnsi="Arial" w:cs="Arial"/>
                <w:color w:val="215868" w:themeColor="accent5" w:themeShade="80"/>
                <w:sz w:val="18"/>
                <w:szCs w:val="18"/>
              </w:rPr>
              <w:t>%</w:t>
            </w:r>
          </w:p>
        </w:tc>
      </w:tr>
      <w:tr w:rsidR="00025202" w:rsidRPr="0039690E" w14:paraId="461D5732" w14:textId="77777777" w:rsidTr="00951B0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2A11049" w14:textId="345C4CD0" w:rsidR="00025202" w:rsidRPr="00AE33CD" w:rsidRDefault="00B60B2A"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Cabbage</w:t>
            </w:r>
          </w:p>
        </w:tc>
        <w:tc>
          <w:tcPr>
            <w:tcW w:w="1862" w:type="dxa"/>
          </w:tcPr>
          <w:p w14:paraId="77FA8095" w14:textId="54C8AE05"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5</w:t>
            </w:r>
            <w:r w:rsidRPr="00B1671F">
              <w:rPr>
                <w:rFonts w:ascii="Arial" w:hAnsi="Arial" w:cs="Arial"/>
                <w:color w:val="215868" w:themeColor="accent5" w:themeShade="80"/>
                <w:sz w:val="18"/>
                <w:szCs w:val="18"/>
              </w:rPr>
              <w:t>M</w:t>
            </w:r>
          </w:p>
        </w:tc>
        <w:tc>
          <w:tcPr>
            <w:tcW w:w="1863" w:type="dxa"/>
          </w:tcPr>
          <w:p w14:paraId="6023B995" w14:textId="3D50554B"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11.2</w:t>
            </w:r>
            <w:r w:rsidRPr="009E037C">
              <w:rPr>
                <w:rFonts w:ascii="Arial" w:hAnsi="Arial" w:cs="Arial"/>
                <w:color w:val="215868" w:themeColor="accent5" w:themeShade="80"/>
                <w:sz w:val="18"/>
                <w:szCs w:val="18"/>
              </w:rPr>
              <w:t>%</w:t>
            </w:r>
          </w:p>
        </w:tc>
        <w:tc>
          <w:tcPr>
            <w:tcW w:w="1862" w:type="dxa"/>
          </w:tcPr>
          <w:p w14:paraId="559377CC" w14:textId="36F56A1E"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46</w:t>
            </w:r>
            <w:r w:rsidRPr="00FC3E4A">
              <w:rPr>
                <w:rFonts w:ascii="Arial" w:hAnsi="Arial" w:cs="Arial"/>
                <w:color w:val="215868" w:themeColor="accent5" w:themeShade="80"/>
                <w:sz w:val="18"/>
                <w:szCs w:val="18"/>
              </w:rPr>
              <w:t>M</w:t>
            </w:r>
          </w:p>
        </w:tc>
        <w:tc>
          <w:tcPr>
            <w:tcW w:w="1863" w:type="dxa"/>
            <w:gridSpan w:val="2"/>
          </w:tcPr>
          <w:p w14:paraId="1567B1D1" w14:textId="4AB294FB"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B60B2A">
              <w:rPr>
                <w:rFonts w:ascii="Arial" w:hAnsi="Arial" w:cs="Arial"/>
                <w:color w:val="215868" w:themeColor="accent5" w:themeShade="80"/>
                <w:sz w:val="18"/>
                <w:szCs w:val="18"/>
              </w:rPr>
              <w:t>10.3</w:t>
            </w:r>
            <w:r>
              <w:rPr>
                <w:rFonts w:ascii="Arial" w:hAnsi="Arial" w:cs="Arial"/>
                <w:color w:val="215868" w:themeColor="accent5" w:themeShade="80"/>
                <w:sz w:val="18"/>
                <w:szCs w:val="18"/>
              </w:rPr>
              <w:t>%</w:t>
            </w:r>
          </w:p>
        </w:tc>
      </w:tr>
    </w:tbl>
    <w:p w14:paraId="6EA702CF" w14:textId="77777777" w:rsidR="009E5261" w:rsidRPr="00E62AA9" w:rsidRDefault="009E5261" w:rsidP="009E5261">
      <w:pPr>
        <w:pStyle w:val="NoSpacing"/>
        <w:rPr>
          <w:rFonts w:ascii="Arial" w:hAnsi="Arial" w:cs="Arial"/>
          <w:sz w:val="6"/>
          <w:szCs w:val="6"/>
        </w:rPr>
      </w:pPr>
    </w:p>
    <w:p w14:paraId="1823C3C0" w14:textId="77777777" w:rsidR="00D97697" w:rsidRDefault="009E5261" w:rsidP="001024F6">
      <w:pPr>
        <w:pStyle w:val="NoSpacing"/>
        <w:rPr>
          <w:rFonts w:ascii="Arial" w:hAnsi="Arial" w:cs="Arial"/>
          <w:b/>
          <w:color w:val="595959" w:themeColor="text1" w:themeTint="A6"/>
          <w:sz w:val="24"/>
          <w:szCs w:val="24"/>
        </w:rPr>
      </w:pPr>
      <w:r w:rsidRPr="00B35CE9">
        <w:rPr>
          <w:rFonts w:ascii="Arial" w:hAnsi="Arial" w:cs="Arial"/>
          <w:sz w:val="16"/>
          <w:szCs w:val="16"/>
        </w:rPr>
        <w:t>Source</w:t>
      </w:r>
      <w:r>
        <w:rPr>
          <w:rFonts w:ascii="Arial" w:hAnsi="Arial" w:cs="Arial"/>
          <w:sz w:val="16"/>
          <w:szCs w:val="16"/>
        </w:rPr>
        <w:t>: IRI Integrated Fresh, Total U.S., MULO</w:t>
      </w:r>
    </w:p>
    <w:p w14:paraId="56F0416D" w14:textId="27998812" w:rsidR="00135BE7" w:rsidRDefault="00135BE7" w:rsidP="001024F6">
      <w:pPr>
        <w:pStyle w:val="NoSpacing"/>
        <w:rPr>
          <w:rFonts w:ascii="Arial" w:hAnsi="Arial" w:cs="Arial"/>
          <w:b/>
          <w:color w:val="595959" w:themeColor="text1" w:themeTint="A6"/>
          <w:sz w:val="24"/>
          <w:szCs w:val="24"/>
        </w:rPr>
      </w:pPr>
    </w:p>
    <w:p w14:paraId="7B04BD45" w14:textId="3CE5CCD8" w:rsidR="001024F6" w:rsidRPr="009172A3" w:rsidRDefault="004D26B3" w:rsidP="001024F6">
      <w:pPr>
        <w:pStyle w:val="NoSpacing"/>
        <w:rPr>
          <w:rFonts w:ascii="Arial" w:hAnsi="Arial" w:cs="Arial"/>
          <w:b/>
          <w:color w:val="595959" w:themeColor="text1" w:themeTint="A6"/>
          <w:sz w:val="24"/>
          <w:szCs w:val="24"/>
        </w:rPr>
      </w:pPr>
      <w:bookmarkStart w:id="6" w:name="_Hlk113867556"/>
      <w:r>
        <w:rPr>
          <w:rFonts w:ascii="Arial" w:hAnsi="Arial" w:cs="Arial"/>
          <w:b/>
          <w:color w:val="595959" w:themeColor="text1" w:themeTint="A6"/>
          <w:sz w:val="24"/>
          <w:szCs w:val="24"/>
        </w:rPr>
        <w:t xml:space="preserve">Perishables </w:t>
      </w:r>
      <w:r w:rsidR="001024F6">
        <w:rPr>
          <w:rFonts w:ascii="Arial" w:hAnsi="Arial" w:cs="Arial"/>
          <w:b/>
          <w:color w:val="595959" w:themeColor="text1" w:themeTint="A6"/>
          <w:sz w:val="24"/>
          <w:szCs w:val="24"/>
        </w:rPr>
        <w:t>P</w:t>
      </w:r>
      <w:r w:rsidR="001024F6" w:rsidRPr="009172A3">
        <w:rPr>
          <w:rFonts w:ascii="Arial" w:hAnsi="Arial" w:cs="Arial"/>
          <w:b/>
          <w:color w:val="595959" w:themeColor="text1" w:themeTint="A6"/>
          <w:sz w:val="24"/>
          <w:szCs w:val="24"/>
        </w:rPr>
        <w:t>erformance</w:t>
      </w:r>
    </w:p>
    <w:p w14:paraId="4C083BE9" w14:textId="4A47062D" w:rsidR="00843888" w:rsidRDefault="00C50137" w:rsidP="001024F6">
      <w:pPr>
        <w:pStyle w:val="NoSpacing"/>
        <w:rPr>
          <w:rFonts w:ascii="Arial" w:hAnsi="Arial" w:cs="Arial"/>
          <w:sz w:val="20"/>
          <w:szCs w:val="20"/>
        </w:rPr>
      </w:pPr>
      <w:r>
        <w:rPr>
          <w:rFonts w:ascii="Arial" w:hAnsi="Arial" w:cs="Arial"/>
          <w:sz w:val="20"/>
          <w:szCs w:val="20"/>
        </w:rPr>
        <w:t>The smallest of the fresh departments, seafood, continue</w:t>
      </w:r>
      <w:r w:rsidR="00BD731C">
        <w:rPr>
          <w:rFonts w:ascii="Arial" w:hAnsi="Arial" w:cs="Arial"/>
          <w:sz w:val="20"/>
          <w:szCs w:val="20"/>
        </w:rPr>
        <w:t>d</w:t>
      </w:r>
      <w:r>
        <w:rPr>
          <w:rFonts w:ascii="Arial" w:hAnsi="Arial" w:cs="Arial"/>
          <w:sz w:val="20"/>
          <w:szCs w:val="20"/>
        </w:rPr>
        <w:t xml:space="preserve"> to experience substantial dollar and unit pressure</w:t>
      </w:r>
      <w:r w:rsidR="0086350E">
        <w:rPr>
          <w:rFonts w:ascii="Arial" w:hAnsi="Arial" w:cs="Arial"/>
          <w:sz w:val="20"/>
          <w:szCs w:val="20"/>
        </w:rPr>
        <w:t xml:space="preserve"> in </w:t>
      </w:r>
      <w:r w:rsidR="005D53FF">
        <w:rPr>
          <w:rFonts w:ascii="Arial" w:hAnsi="Arial" w:cs="Arial"/>
          <w:sz w:val="20"/>
          <w:szCs w:val="20"/>
        </w:rPr>
        <w:t xml:space="preserve">October </w:t>
      </w:r>
      <w:r w:rsidR="0086350E">
        <w:rPr>
          <w:rFonts w:ascii="Arial" w:hAnsi="Arial" w:cs="Arial"/>
          <w:sz w:val="20"/>
          <w:szCs w:val="20"/>
        </w:rPr>
        <w:t>2022</w:t>
      </w:r>
      <w:r>
        <w:rPr>
          <w:rFonts w:ascii="Arial" w:hAnsi="Arial" w:cs="Arial"/>
          <w:sz w:val="20"/>
          <w:szCs w:val="20"/>
        </w:rPr>
        <w:t xml:space="preserve">. </w:t>
      </w:r>
      <w:r w:rsidR="00BD731C">
        <w:rPr>
          <w:rFonts w:ascii="Arial" w:hAnsi="Arial" w:cs="Arial"/>
          <w:sz w:val="20"/>
          <w:szCs w:val="20"/>
        </w:rPr>
        <w:t xml:space="preserve">The unit performance for the other areas improved notably </w:t>
      </w:r>
      <w:r w:rsidR="002A2D80">
        <w:rPr>
          <w:rFonts w:ascii="Arial" w:hAnsi="Arial" w:cs="Arial"/>
          <w:sz w:val="20"/>
          <w:szCs w:val="20"/>
        </w:rPr>
        <w:t xml:space="preserve">versus </w:t>
      </w:r>
      <w:r w:rsidR="005D53FF">
        <w:rPr>
          <w:rFonts w:ascii="Arial" w:hAnsi="Arial" w:cs="Arial"/>
          <w:sz w:val="20"/>
          <w:szCs w:val="20"/>
        </w:rPr>
        <w:t xml:space="preserve">September </w:t>
      </w:r>
      <w:r w:rsidR="002A2D80">
        <w:rPr>
          <w:rFonts w:ascii="Arial" w:hAnsi="Arial" w:cs="Arial"/>
          <w:sz w:val="20"/>
          <w:szCs w:val="20"/>
        </w:rPr>
        <w:t>but remained down year-on-year across the board</w:t>
      </w:r>
      <w:r w:rsidR="0086350E">
        <w:rPr>
          <w:rFonts w:ascii="Arial" w:hAnsi="Arial" w:cs="Arial"/>
          <w:sz w:val="20"/>
          <w:szCs w:val="20"/>
        </w:rPr>
        <w:t xml:space="preserve">. </w:t>
      </w:r>
    </w:p>
    <w:p w14:paraId="3E11D801" w14:textId="77777777" w:rsidR="00105554" w:rsidRDefault="00105554" w:rsidP="001024F6">
      <w:pPr>
        <w:pStyle w:val="NoSpacing"/>
        <w:rPr>
          <w:rFonts w:ascii="Arial" w:hAnsi="Arial" w:cs="Arial"/>
          <w:sz w:val="20"/>
          <w:szCs w:val="20"/>
        </w:rPr>
      </w:pPr>
    </w:p>
    <w:tbl>
      <w:tblPr>
        <w:tblStyle w:val="ListTable6Colorful-Accent5"/>
        <w:tblW w:w="10890" w:type="dxa"/>
        <w:tblBorders>
          <w:top w:val="none" w:sz="0" w:space="0" w:color="auto"/>
          <w:bottom w:val="none" w:sz="0" w:space="0" w:color="auto"/>
        </w:tblBorders>
        <w:tblLayout w:type="fixed"/>
        <w:tblLook w:val="04A0" w:firstRow="1" w:lastRow="0" w:firstColumn="1" w:lastColumn="0" w:noHBand="0" w:noVBand="1"/>
      </w:tblPr>
      <w:tblGrid>
        <w:gridCol w:w="2070"/>
        <w:gridCol w:w="1102"/>
        <w:gridCol w:w="1103"/>
        <w:gridCol w:w="1102"/>
        <w:gridCol w:w="1103"/>
        <w:gridCol w:w="1102"/>
        <w:gridCol w:w="1103"/>
        <w:gridCol w:w="1102"/>
        <w:gridCol w:w="1103"/>
      </w:tblGrid>
      <w:tr w:rsidR="000D3B17" w:rsidRPr="00843888" w14:paraId="48E8DBE1" w14:textId="77777777" w:rsidTr="00B51D8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0" w:type="dxa"/>
            <w:tcBorders>
              <w:bottom w:val="none" w:sz="0" w:space="0" w:color="auto"/>
            </w:tcBorders>
            <w:shd w:val="clear" w:color="auto" w:fill="17365D" w:themeFill="text2" w:themeFillShade="BF"/>
            <w:noWrap/>
            <w:hideMark/>
          </w:tcPr>
          <w:p w14:paraId="37718F62" w14:textId="5B9257FF" w:rsidR="00843888" w:rsidRPr="00843888" w:rsidRDefault="00E001A3" w:rsidP="00951B01">
            <w:pPr>
              <w:rPr>
                <w:rFonts w:ascii="Arial" w:eastAsia="Times New Roman" w:hAnsi="Arial" w:cs="Arial"/>
                <w:color w:val="FFFFFF" w:themeColor="background1"/>
                <w:sz w:val="18"/>
                <w:szCs w:val="18"/>
              </w:rPr>
            </w:pPr>
            <w:r>
              <w:rPr>
                <w:rFonts w:ascii="Arial" w:eastAsia="Times New Roman" w:hAnsi="Arial" w:cs="Arial"/>
                <w:color w:val="FFFFFF" w:themeColor="background1"/>
                <w:sz w:val="18"/>
                <w:szCs w:val="18"/>
              </w:rPr>
              <w:t>October</w:t>
            </w:r>
            <w:r w:rsidR="00DA261B">
              <w:rPr>
                <w:rFonts w:ascii="Arial" w:eastAsia="Times New Roman" w:hAnsi="Arial" w:cs="Arial"/>
                <w:color w:val="FFFFFF" w:themeColor="background1"/>
                <w:sz w:val="18"/>
                <w:szCs w:val="18"/>
              </w:rPr>
              <w:t xml:space="preserve"> 2022</w:t>
            </w:r>
          </w:p>
        </w:tc>
        <w:tc>
          <w:tcPr>
            <w:tcW w:w="1102" w:type="dxa"/>
            <w:tcBorders>
              <w:bottom w:val="none" w:sz="0" w:space="0" w:color="auto"/>
            </w:tcBorders>
            <w:shd w:val="clear" w:color="auto" w:fill="17365D" w:themeFill="text2" w:themeFillShade="BF"/>
            <w:noWrap/>
            <w:hideMark/>
          </w:tcPr>
          <w:p w14:paraId="1A966777" w14:textId="71667261"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 xml:space="preserve">$ </w:t>
            </w:r>
            <w:r w:rsidR="00DD7A16">
              <w:rPr>
                <w:rFonts w:ascii="Arial" w:eastAsia="Times New Roman" w:hAnsi="Arial" w:cs="Arial"/>
                <w:sz w:val="18"/>
                <w:szCs w:val="18"/>
              </w:rPr>
              <w:br/>
            </w:r>
            <w:r w:rsidRPr="00843888">
              <w:rPr>
                <w:rFonts w:ascii="Arial" w:eastAsia="Times New Roman" w:hAnsi="Arial" w:cs="Arial"/>
                <w:color w:val="FFFFFF" w:themeColor="background1"/>
                <w:sz w:val="18"/>
                <w:szCs w:val="18"/>
              </w:rPr>
              <w:t>sales</w:t>
            </w:r>
          </w:p>
        </w:tc>
        <w:tc>
          <w:tcPr>
            <w:tcW w:w="1103" w:type="dxa"/>
            <w:tcBorders>
              <w:bottom w:val="none" w:sz="0" w:space="0" w:color="auto"/>
            </w:tcBorders>
            <w:shd w:val="clear" w:color="auto" w:fill="17365D" w:themeFill="text2" w:themeFillShade="BF"/>
            <w:noWrap/>
            <w:hideMark/>
          </w:tcPr>
          <w:p w14:paraId="170BF0F0"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YA</w:t>
            </w:r>
          </w:p>
        </w:tc>
        <w:tc>
          <w:tcPr>
            <w:tcW w:w="1102" w:type="dxa"/>
            <w:tcBorders>
              <w:bottom w:val="none" w:sz="0" w:space="0" w:color="auto"/>
            </w:tcBorders>
            <w:shd w:val="clear" w:color="auto" w:fill="17365D" w:themeFill="text2" w:themeFillShade="BF"/>
            <w:noWrap/>
            <w:hideMark/>
          </w:tcPr>
          <w:p w14:paraId="4026DD36"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2YA</w:t>
            </w:r>
          </w:p>
        </w:tc>
        <w:tc>
          <w:tcPr>
            <w:tcW w:w="1103" w:type="dxa"/>
            <w:tcBorders>
              <w:bottom w:val="none" w:sz="0" w:space="0" w:color="auto"/>
            </w:tcBorders>
            <w:shd w:val="clear" w:color="auto" w:fill="17365D" w:themeFill="text2" w:themeFillShade="BF"/>
            <w:noWrap/>
            <w:hideMark/>
          </w:tcPr>
          <w:p w14:paraId="2E013909"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3YA</w:t>
            </w:r>
          </w:p>
        </w:tc>
        <w:tc>
          <w:tcPr>
            <w:tcW w:w="1102" w:type="dxa"/>
            <w:tcBorders>
              <w:bottom w:val="none" w:sz="0" w:space="0" w:color="auto"/>
            </w:tcBorders>
            <w:shd w:val="clear" w:color="auto" w:fill="17365D" w:themeFill="text2" w:themeFillShade="BF"/>
            <w:noWrap/>
            <w:hideMark/>
          </w:tcPr>
          <w:p w14:paraId="7FF5CEA1" w14:textId="023EE176"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 xml:space="preserve">Unit </w:t>
            </w:r>
            <w:r w:rsidR="00DD7A16">
              <w:rPr>
                <w:rFonts w:ascii="Arial" w:eastAsia="Times New Roman" w:hAnsi="Arial" w:cs="Arial"/>
                <w:sz w:val="18"/>
                <w:szCs w:val="18"/>
              </w:rPr>
              <w:br/>
            </w:r>
            <w:r w:rsidRPr="00843888">
              <w:rPr>
                <w:rFonts w:ascii="Arial" w:eastAsia="Times New Roman" w:hAnsi="Arial" w:cs="Arial"/>
                <w:color w:val="FFFFFF" w:themeColor="background1"/>
                <w:sz w:val="18"/>
                <w:szCs w:val="18"/>
              </w:rPr>
              <w:t>sales</w:t>
            </w:r>
          </w:p>
        </w:tc>
        <w:tc>
          <w:tcPr>
            <w:tcW w:w="1103" w:type="dxa"/>
            <w:tcBorders>
              <w:bottom w:val="none" w:sz="0" w:space="0" w:color="auto"/>
            </w:tcBorders>
            <w:shd w:val="clear" w:color="auto" w:fill="17365D" w:themeFill="text2" w:themeFillShade="BF"/>
            <w:noWrap/>
            <w:hideMark/>
          </w:tcPr>
          <w:p w14:paraId="1404F7D1"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YA</w:t>
            </w:r>
          </w:p>
        </w:tc>
        <w:tc>
          <w:tcPr>
            <w:tcW w:w="1102" w:type="dxa"/>
            <w:tcBorders>
              <w:bottom w:val="none" w:sz="0" w:space="0" w:color="auto"/>
            </w:tcBorders>
            <w:shd w:val="clear" w:color="auto" w:fill="17365D" w:themeFill="text2" w:themeFillShade="BF"/>
            <w:noWrap/>
            <w:hideMark/>
          </w:tcPr>
          <w:p w14:paraId="1DA3D42F"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2YA</w:t>
            </w:r>
          </w:p>
        </w:tc>
        <w:tc>
          <w:tcPr>
            <w:tcW w:w="1103" w:type="dxa"/>
            <w:tcBorders>
              <w:bottom w:val="none" w:sz="0" w:space="0" w:color="auto"/>
            </w:tcBorders>
            <w:shd w:val="clear" w:color="auto" w:fill="17365D" w:themeFill="text2" w:themeFillShade="BF"/>
            <w:noWrap/>
            <w:hideMark/>
          </w:tcPr>
          <w:p w14:paraId="310FDEF3"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3YA</w:t>
            </w:r>
          </w:p>
        </w:tc>
      </w:tr>
      <w:tr w:rsidR="00801F65" w:rsidRPr="00843888" w14:paraId="5C74590E" w14:textId="77777777" w:rsidTr="00B51D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310D5A9F" w14:textId="42C25D5B" w:rsidR="00801F65" w:rsidRPr="00843888" w:rsidRDefault="00801F65" w:rsidP="00801F65">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Bakery</w:t>
            </w:r>
          </w:p>
        </w:tc>
        <w:tc>
          <w:tcPr>
            <w:tcW w:w="1102" w:type="dxa"/>
            <w:noWrap/>
            <w:vAlign w:val="bottom"/>
            <w:hideMark/>
          </w:tcPr>
          <w:p w14:paraId="685A5CFA" w14:textId="7D422BDE" w:rsidR="00801F65" w:rsidRPr="00DA261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4.0</w:t>
            </w:r>
            <w:r>
              <w:rPr>
                <w:rFonts w:ascii="Arial" w:hAnsi="Arial" w:cs="Arial"/>
                <w:color w:val="215868" w:themeColor="accent5" w:themeShade="80"/>
                <w:sz w:val="18"/>
                <w:szCs w:val="18"/>
              </w:rPr>
              <w:t>B</w:t>
            </w:r>
          </w:p>
        </w:tc>
        <w:tc>
          <w:tcPr>
            <w:tcW w:w="1103" w:type="dxa"/>
            <w:noWrap/>
            <w:vAlign w:val="bottom"/>
            <w:hideMark/>
          </w:tcPr>
          <w:p w14:paraId="6DADCD24" w14:textId="6961FC3E"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13.7</w:t>
            </w:r>
            <w:r w:rsidR="00801F65" w:rsidRPr="00DA261B">
              <w:rPr>
                <w:rFonts w:ascii="Arial" w:hAnsi="Arial" w:cs="Arial"/>
                <w:color w:val="215868" w:themeColor="accent5" w:themeShade="80"/>
                <w:sz w:val="18"/>
                <w:szCs w:val="18"/>
              </w:rPr>
              <w:t>%</w:t>
            </w:r>
          </w:p>
        </w:tc>
        <w:tc>
          <w:tcPr>
            <w:tcW w:w="1102" w:type="dxa"/>
            <w:noWrap/>
            <w:vAlign w:val="bottom"/>
            <w:hideMark/>
          </w:tcPr>
          <w:p w14:paraId="3FA3D49D" w14:textId="19B5241E"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22.0</w:t>
            </w:r>
            <w:r w:rsidR="00801F65" w:rsidRPr="00DA261B">
              <w:rPr>
                <w:rFonts w:ascii="Arial" w:hAnsi="Arial" w:cs="Arial"/>
                <w:color w:val="215868" w:themeColor="accent5" w:themeShade="80"/>
                <w:sz w:val="18"/>
                <w:szCs w:val="18"/>
              </w:rPr>
              <w:t>%</w:t>
            </w:r>
          </w:p>
        </w:tc>
        <w:tc>
          <w:tcPr>
            <w:tcW w:w="1103" w:type="dxa"/>
            <w:noWrap/>
            <w:vAlign w:val="bottom"/>
            <w:hideMark/>
          </w:tcPr>
          <w:p w14:paraId="0B2072AA" w14:textId="74E24A49"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29.2</w:t>
            </w:r>
            <w:r w:rsidR="00801F65" w:rsidRPr="00DA261B">
              <w:rPr>
                <w:rFonts w:ascii="Arial" w:hAnsi="Arial" w:cs="Arial"/>
                <w:color w:val="215868" w:themeColor="accent5" w:themeShade="80"/>
                <w:sz w:val="18"/>
                <w:szCs w:val="18"/>
              </w:rPr>
              <w:t>%</w:t>
            </w:r>
          </w:p>
        </w:tc>
        <w:tc>
          <w:tcPr>
            <w:tcW w:w="1102" w:type="dxa"/>
            <w:noWrap/>
            <w:vAlign w:val="bottom"/>
            <w:hideMark/>
          </w:tcPr>
          <w:p w14:paraId="76DB9F3F" w14:textId="559F396F" w:rsidR="00801F65" w:rsidRPr="00DA261B" w:rsidRDefault="005D53FF"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1.1</w:t>
            </w:r>
            <w:r w:rsidR="00BD731C">
              <w:rPr>
                <w:rFonts w:ascii="Arial" w:hAnsi="Arial" w:cs="Arial"/>
                <w:color w:val="215868" w:themeColor="accent5" w:themeShade="80"/>
                <w:sz w:val="18"/>
                <w:szCs w:val="18"/>
              </w:rPr>
              <w:t>M</w:t>
            </w:r>
          </w:p>
        </w:tc>
        <w:tc>
          <w:tcPr>
            <w:tcW w:w="1103" w:type="dxa"/>
            <w:noWrap/>
            <w:vAlign w:val="center"/>
            <w:hideMark/>
          </w:tcPr>
          <w:p w14:paraId="62793CA1" w14:textId="02FC6B64" w:rsidR="00801F65" w:rsidRPr="00FC21E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1.7</w:t>
            </w:r>
            <w:r w:rsidRPr="00FC21EB">
              <w:rPr>
                <w:rFonts w:ascii="Arial" w:hAnsi="Arial" w:cs="Arial"/>
                <w:color w:val="215868" w:themeColor="accent5" w:themeShade="80"/>
                <w:sz w:val="18"/>
                <w:szCs w:val="18"/>
              </w:rPr>
              <w:t>%</w:t>
            </w:r>
          </w:p>
        </w:tc>
        <w:tc>
          <w:tcPr>
            <w:tcW w:w="1102" w:type="dxa"/>
            <w:noWrap/>
            <w:vAlign w:val="center"/>
            <w:hideMark/>
          </w:tcPr>
          <w:p w14:paraId="6017D95C" w14:textId="2E5772BC" w:rsidR="00801F65" w:rsidRPr="00FC21E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1.5</w:t>
            </w:r>
            <w:r w:rsidRPr="00FC21EB">
              <w:rPr>
                <w:rFonts w:ascii="Arial" w:hAnsi="Arial" w:cs="Arial"/>
                <w:color w:val="215868" w:themeColor="accent5" w:themeShade="80"/>
                <w:sz w:val="18"/>
                <w:szCs w:val="18"/>
              </w:rPr>
              <w:t>%</w:t>
            </w:r>
          </w:p>
        </w:tc>
        <w:tc>
          <w:tcPr>
            <w:tcW w:w="1103" w:type="dxa"/>
            <w:noWrap/>
            <w:vAlign w:val="center"/>
            <w:hideMark/>
          </w:tcPr>
          <w:p w14:paraId="0DFA7558" w14:textId="212D68FE" w:rsidR="00801F65" w:rsidRPr="00FC21E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4.3</w:t>
            </w:r>
            <w:r w:rsidRPr="00FC21EB">
              <w:rPr>
                <w:rFonts w:ascii="Arial" w:hAnsi="Arial" w:cs="Arial"/>
                <w:color w:val="215868" w:themeColor="accent5" w:themeShade="80"/>
                <w:sz w:val="18"/>
                <w:szCs w:val="18"/>
              </w:rPr>
              <w:t>%</w:t>
            </w:r>
          </w:p>
        </w:tc>
      </w:tr>
      <w:tr w:rsidR="00801F65" w:rsidRPr="00843888" w14:paraId="709C5EF3" w14:textId="77777777" w:rsidTr="00B51D86">
        <w:trPr>
          <w:trHeight w:val="2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76894EBE" w14:textId="1D22D040" w:rsidR="00801F65" w:rsidRPr="00843888" w:rsidRDefault="00801F65" w:rsidP="00801F65">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Deli</w:t>
            </w:r>
          </w:p>
        </w:tc>
        <w:tc>
          <w:tcPr>
            <w:tcW w:w="1102" w:type="dxa"/>
            <w:noWrap/>
            <w:vAlign w:val="bottom"/>
            <w:hideMark/>
          </w:tcPr>
          <w:p w14:paraId="0C9EB501" w14:textId="51052DC9" w:rsidR="00801F65" w:rsidRPr="00DA261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4.3</w:t>
            </w:r>
            <w:r>
              <w:rPr>
                <w:rFonts w:ascii="Arial" w:hAnsi="Arial" w:cs="Arial"/>
                <w:color w:val="215868" w:themeColor="accent5" w:themeShade="80"/>
                <w:sz w:val="18"/>
                <w:szCs w:val="18"/>
              </w:rPr>
              <w:t>B</w:t>
            </w:r>
          </w:p>
        </w:tc>
        <w:tc>
          <w:tcPr>
            <w:tcW w:w="1103" w:type="dxa"/>
            <w:noWrap/>
            <w:vAlign w:val="bottom"/>
            <w:hideMark/>
          </w:tcPr>
          <w:p w14:paraId="3F92A315" w14:textId="738E8E5E" w:rsidR="00801F65" w:rsidRPr="00DA261B" w:rsidRDefault="00E277C6"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7.6</w:t>
            </w:r>
            <w:r w:rsidR="00801F65" w:rsidRPr="00DA261B">
              <w:rPr>
                <w:rFonts w:ascii="Arial" w:hAnsi="Arial" w:cs="Arial"/>
                <w:color w:val="215868" w:themeColor="accent5" w:themeShade="80"/>
                <w:sz w:val="18"/>
                <w:szCs w:val="18"/>
              </w:rPr>
              <w:t>%</w:t>
            </w:r>
          </w:p>
        </w:tc>
        <w:tc>
          <w:tcPr>
            <w:tcW w:w="1102" w:type="dxa"/>
            <w:noWrap/>
            <w:vAlign w:val="bottom"/>
            <w:hideMark/>
          </w:tcPr>
          <w:p w14:paraId="77872D8C" w14:textId="414F2BBC" w:rsidR="00801F65" w:rsidRPr="00DA261B" w:rsidRDefault="00E277C6"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20.5</w:t>
            </w:r>
            <w:r w:rsidR="00801F65" w:rsidRPr="00DA261B">
              <w:rPr>
                <w:rFonts w:ascii="Arial" w:hAnsi="Arial" w:cs="Arial"/>
                <w:color w:val="215868" w:themeColor="accent5" w:themeShade="80"/>
                <w:sz w:val="18"/>
                <w:szCs w:val="18"/>
              </w:rPr>
              <w:t>%</w:t>
            </w:r>
          </w:p>
        </w:tc>
        <w:tc>
          <w:tcPr>
            <w:tcW w:w="1103" w:type="dxa"/>
            <w:noWrap/>
            <w:vAlign w:val="bottom"/>
            <w:hideMark/>
          </w:tcPr>
          <w:p w14:paraId="17EB5AA8" w14:textId="36855198" w:rsidR="00801F65" w:rsidRPr="00DA261B" w:rsidRDefault="00E277C6"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24.5</w:t>
            </w:r>
            <w:r w:rsidR="00801F65" w:rsidRPr="00DA261B">
              <w:rPr>
                <w:rFonts w:ascii="Arial" w:hAnsi="Arial" w:cs="Arial"/>
                <w:color w:val="215868" w:themeColor="accent5" w:themeShade="80"/>
                <w:sz w:val="18"/>
                <w:szCs w:val="18"/>
              </w:rPr>
              <w:t>%</w:t>
            </w:r>
          </w:p>
        </w:tc>
        <w:tc>
          <w:tcPr>
            <w:tcW w:w="1102" w:type="dxa"/>
            <w:noWrap/>
            <w:vAlign w:val="bottom"/>
            <w:hideMark/>
          </w:tcPr>
          <w:p w14:paraId="3B01B02E" w14:textId="6EC545D9" w:rsidR="00801F65" w:rsidRPr="00DA261B" w:rsidRDefault="005D53FF"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724</w:t>
            </w:r>
            <w:r w:rsidR="00801F65">
              <w:rPr>
                <w:rFonts w:ascii="Arial" w:hAnsi="Arial" w:cs="Arial"/>
                <w:color w:val="215868" w:themeColor="accent5" w:themeShade="80"/>
                <w:sz w:val="18"/>
                <w:szCs w:val="18"/>
              </w:rPr>
              <w:t>M</w:t>
            </w:r>
          </w:p>
        </w:tc>
        <w:tc>
          <w:tcPr>
            <w:tcW w:w="1103" w:type="dxa"/>
            <w:noWrap/>
            <w:vAlign w:val="center"/>
            <w:hideMark/>
          </w:tcPr>
          <w:p w14:paraId="4AD0A3AF" w14:textId="52DCE663" w:rsidR="00801F65" w:rsidRPr="00FC21E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4.2</w:t>
            </w:r>
            <w:r w:rsidRPr="00FC21EB">
              <w:rPr>
                <w:rFonts w:ascii="Arial" w:hAnsi="Arial" w:cs="Arial"/>
                <w:color w:val="215868" w:themeColor="accent5" w:themeShade="80"/>
                <w:sz w:val="18"/>
                <w:szCs w:val="18"/>
              </w:rPr>
              <w:t>%</w:t>
            </w:r>
          </w:p>
        </w:tc>
        <w:tc>
          <w:tcPr>
            <w:tcW w:w="1102" w:type="dxa"/>
            <w:noWrap/>
            <w:vAlign w:val="center"/>
            <w:hideMark/>
          </w:tcPr>
          <w:p w14:paraId="41245BA6" w14:textId="760EE881" w:rsidR="00801F65" w:rsidRPr="00FC21E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0.6</w:t>
            </w:r>
            <w:r w:rsidRPr="00FC21EB">
              <w:rPr>
                <w:rFonts w:ascii="Arial" w:hAnsi="Arial" w:cs="Arial"/>
                <w:color w:val="215868" w:themeColor="accent5" w:themeShade="80"/>
                <w:sz w:val="18"/>
                <w:szCs w:val="18"/>
              </w:rPr>
              <w:t>%</w:t>
            </w:r>
          </w:p>
        </w:tc>
        <w:tc>
          <w:tcPr>
            <w:tcW w:w="1103" w:type="dxa"/>
            <w:noWrap/>
            <w:vAlign w:val="center"/>
            <w:hideMark/>
          </w:tcPr>
          <w:p w14:paraId="2ADCB870" w14:textId="3855F9BF" w:rsidR="00801F65" w:rsidRPr="00FC21E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2.3</w:t>
            </w:r>
            <w:r w:rsidRPr="00FC21EB">
              <w:rPr>
                <w:rFonts w:ascii="Arial" w:hAnsi="Arial" w:cs="Arial"/>
                <w:color w:val="215868" w:themeColor="accent5" w:themeShade="80"/>
                <w:sz w:val="18"/>
                <w:szCs w:val="18"/>
              </w:rPr>
              <w:t>%</w:t>
            </w:r>
          </w:p>
        </w:tc>
      </w:tr>
      <w:tr w:rsidR="00801F65" w:rsidRPr="00843888" w14:paraId="2D346A6A" w14:textId="77777777" w:rsidTr="00B51D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39F38E4F" w14:textId="0838BD41" w:rsidR="00801F65" w:rsidRPr="00843888" w:rsidRDefault="00801F65" w:rsidP="00801F65">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Meat</w:t>
            </w:r>
          </w:p>
        </w:tc>
        <w:tc>
          <w:tcPr>
            <w:tcW w:w="1102" w:type="dxa"/>
            <w:noWrap/>
            <w:vAlign w:val="bottom"/>
            <w:hideMark/>
          </w:tcPr>
          <w:p w14:paraId="4FA73441" w14:textId="2F6ABD77" w:rsidR="00801F65" w:rsidRPr="00DA261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8.1</w:t>
            </w:r>
            <w:r>
              <w:rPr>
                <w:rFonts w:ascii="Arial" w:hAnsi="Arial" w:cs="Arial"/>
                <w:color w:val="215868" w:themeColor="accent5" w:themeShade="80"/>
                <w:sz w:val="18"/>
                <w:szCs w:val="18"/>
              </w:rPr>
              <w:t>B</w:t>
            </w:r>
          </w:p>
        </w:tc>
        <w:tc>
          <w:tcPr>
            <w:tcW w:w="1103" w:type="dxa"/>
            <w:noWrap/>
            <w:vAlign w:val="bottom"/>
            <w:hideMark/>
          </w:tcPr>
          <w:p w14:paraId="5C8C8D5C" w14:textId="164F2073"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2.5</w:t>
            </w:r>
            <w:r w:rsidR="00801F65" w:rsidRPr="00DA261B">
              <w:rPr>
                <w:rFonts w:ascii="Arial" w:hAnsi="Arial" w:cs="Arial"/>
                <w:color w:val="215868" w:themeColor="accent5" w:themeShade="80"/>
                <w:sz w:val="18"/>
                <w:szCs w:val="18"/>
              </w:rPr>
              <w:t>%</w:t>
            </w:r>
          </w:p>
        </w:tc>
        <w:tc>
          <w:tcPr>
            <w:tcW w:w="1102" w:type="dxa"/>
            <w:noWrap/>
            <w:vAlign w:val="bottom"/>
            <w:hideMark/>
          </w:tcPr>
          <w:p w14:paraId="1717E3E8" w14:textId="455BF763"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10.3</w:t>
            </w:r>
            <w:r w:rsidR="00801F65" w:rsidRPr="00DA261B">
              <w:rPr>
                <w:rFonts w:ascii="Arial" w:hAnsi="Arial" w:cs="Arial"/>
                <w:color w:val="215868" w:themeColor="accent5" w:themeShade="80"/>
                <w:sz w:val="18"/>
                <w:szCs w:val="18"/>
              </w:rPr>
              <w:t>%</w:t>
            </w:r>
          </w:p>
        </w:tc>
        <w:tc>
          <w:tcPr>
            <w:tcW w:w="1103" w:type="dxa"/>
            <w:noWrap/>
            <w:vAlign w:val="bottom"/>
            <w:hideMark/>
          </w:tcPr>
          <w:p w14:paraId="0A8EFAD3" w14:textId="7B7AEB46"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25.9</w:t>
            </w:r>
            <w:r w:rsidR="00801F65" w:rsidRPr="00DA261B">
              <w:rPr>
                <w:rFonts w:ascii="Arial" w:hAnsi="Arial" w:cs="Arial"/>
                <w:color w:val="215868" w:themeColor="accent5" w:themeShade="80"/>
                <w:sz w:val="18"/>
                <w:szCs w:val="18"/>
              </w:rPr>
              <w:t>%</w:t>
            </w:r>
          </w:p>
        </w:tc>
        <w:tc>
          <w:tcPr>
            <w:tcW w:w="1102" w:type="dxa"/>
            <w:noWrap/>
            <w:vAlign w:val="bottom"/>
            <w:hideMark/>
          </w:tcPr>
          <w:p w14:paraId="2A392554" w14:textId="130E32AD" w:rsidR="00801F65" w:rsidRPr="00DA261B" w:rsidRDefault="005D53FF"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1.3</w:t>
            </w:r>
            <w:r w:rsidR="00801F65">
              <w:rPr>
                <w:rFonts w:ascii="Arial" w:hAnsi="Arial" w:cs="Arial"/>
                <w:color w:val="215868" w:themeColor="accent5" w:themeShade="80"/>
                <w:sz w:val="18"/>
                <w:szCs w:val="18"/>
              </w:rPr>
              <w:t>B</w:t>
            </w:r>
          </w:p>
        </w:tc>
        <w:tc>
          <w:tcPr>
            <w:tcW w:w="1103" w:type="dxa"/>
            <w:noWrap/>
            <w:vAlign w:val="center"/>
            <w:hideMark/>
          </w:tcPr>
          <w:p w14:paraId="6D59D597" w14:textId="3C8D3FB8" w:rsidR="00801F65" w:rsidRPr="00FC21E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2.4</w:t>
            </w:r>
            <w:r w:rsidRPr="00FC21EB">
              <w:rPr>
                <w:rFonts w:ascii="Arial" w:hAnsi="Arial" w:cs="Arial"/>
                <w:color w:val="215868" w:themeColor="accent5" w:themeShade="80"/>
                <w:sz w:val="18"/>
                <w:szCs w:val="18"/>
              </w:rPr>
              <w:t>%</w:t>
            </w:r>
          </w:p>
        </w:tc>
        <w:tc>
          <w:tcPr>
            <w:tcW w:w="1102" w:type="dxa"/>
            <w:noWrap/>
            <w:vAlign w:val="center"/>
            <w:hideMark/>
          </w:tcPr>
          <w:p w14:paraId="2A63E609" w14:textId="1EFB9392" w:rsidR="00801F65" w:rsidRPr="00FC21E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7.1</w:t>
            </w:r>
            <w:r w:rsidRPr="00FC21EB">
              <w:rPr>
                <w:rFonts w:ascii="Arial" w:hAnsi="Arial" w:cs="Arial"/>
                <w:color w:val="215868" w:themeColor="accent5" w:themeShade="80"/>
                <w:sz w:val="18"/>
                <w:szCs w:val="18"/>
              </w:rPr>
              <w:t>%</w:t>
            </w:r>
          </w:p>
        </w:tc>
        <w:tc>
          <w:tcPr>
            <w:tcW w:w="1103" w:type="dxa"/>
            <w:noWrap/>
            <w:vAlign w:val="center"/>
            <w:hideMark/>
          </w:tcPr>
          <w:p w14:paraId="557CBB90" w14:textId="3D595EA1" w:rsidR="00801F65" w:rsidRPr="00FC21EB" w:rsidRDefault="005D53FF"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-0.7</w:t>
            </w:r>
            <w:r w:rsidR="00801F65" w:rsidRPr="00FC21EB">
              <w:rPr>
                <w:rFonts w:ascii="Arial" w:hAnsi="Arial" w:cs="Arial"/>
                <w:color w:val="215868" w:themeColor="accent5" w:themeShade="80"/>
                <w:sz w:val="18"/>
                <w:szCs w:val="18"/>
              </w:rPr>
              <w:t>%</w:t>
            </w:r>
          </w:p>
        </w:tc>
      </w:tr>
      <w:tr w:rsidR="00801F65" w:rsidRPr="00843888" w14:paraId="6498DF04" w14:textId="77777777" w:rsidTr="00B51D86">
        <w:trPr>
          <w:trHeight w:val="2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4EE33BF3" w14:textId="3DA97AE8" w:rsidR="00801F65" w:rsidRPr="00843888" w:rsidRDefault="00801F65" w:rsidP="00801F65">
            <w:pPr>
              <w:rPr>
                <w:rFonts w:ascii="Arial" w:eastAsia="Times New Roman" w:hAnsi="Arial" w:cs="Arial"/>
                <w:b w:val="0"/>
                <w:bCs w:val="0"/>
                <w:color w:val="215868" w:themeColor="accent5" w:themeShade="80"/>
                <w:sz w:val="18"/>
                <w:szCs w:val="18"/>
              </w:rPr>
            </w:pPr>
            <w:r w:rsidRPr="00843888">
              <w:rPr>
                <w:rFonts w:ascii="Arial" w:eastAsia="Times New Roman" w:hAnsi="Arial" w:cs="Arial"/>
                <w:b w:val="0"/>
                <w:bCs w:val="0"/>
                <w:color w:val="215868" w:themeColor="accent5" w:themeShade="80"/>
                <w:sz w:val="18"/>
                <w:szCs w:val="18"/>
              </w:rPr>
              <w:t>P</w:t>
            </w:r>
            <w:r w:rsidRPr="00DD7A16">
              <w:rPr>
                <w:rFonts w:ascii="Arial" w:eastAsia="Times New Roman" w:hAnsi="Arial" w:cs="Arial"/>
                <w:b w:val="0"/>
                <w:bCs w:val="0"/>
                <w:color w:val="215868" w:themeColor="accent5" w:themeShade="80"/>
                <w:sz w:val="18"/>
                <w:szCs w:val="18"/>
              </w:rPr>
              <w:t>roduce</w:t>
            </w:r>
          </w:p>
        </w:tc>
        <w:tc>
          <w:tcPr>
            <w:tcW w:w="1102" w:type="dxa"/>
            <w:noWrap/>
            <w:vAlign w:val="bottom"/>
            <w:hideMark/>
          </w:tcPr>
          <w:p w14:paraId="7E7FB224" w14:textId="2B242242" w:rsidR="00801F65" w:rsidRPr="00DA261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6.8</w:t>
            </w:r>
            <w:r>
              <w:rPr>
                <w:rFonts w:ascii="Arial" w:hAnsi="Arial" w:cs="Arial"/>
                <w:color w:val="215868" w:themeColor="accent5" w:themeShade="80"/>
                <w:sz w:val="18"/>
                <w:szCs w:val="18"/>
              </w:rPr>
              <w:t>B</w:t>
            </w:r>
          </w:p>
        </w:tc>
        <w:tc>
          <w:tcPr>
            <w:tcW w:w="1103" w:type="dxa"/>
            <w:noWrap/>
            <w:vAlign w:val="bottom"/>
            <w:hideMark/>
          </w:tcPr>
          <w:p w14:paraId="03E1F941" w14:textId="6DDC42C0" w:rsidR="00801F65" w:rsidRPr="00DA261B" w:rsidRDefault="00E277C6"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2.5</w:t>
            </w:r>
            <w:r w:rsidR="00801F65" w:rsidRPr="00DA261B">
              <w:rPr>
                <w:rFonts w:ascii="Arial" w:hAnsi="Arial" w:cs="Arial"/>
                <w:color w:val="215868" w:themeColor="accent5" w:themeShade="80"/>
                <w:sz w:val="18"/>
                <w:szCs w:val="18"/>
              </w:rPr>
              <w:t>%</w:t>
            </w:r>
          </w:p>
        </w:tc>
        <w:tc>
          <w:tcPr>
            <w:tcW w:w="1102" w:type="dxa"/>
            <w:noWrap/>
            <w:vAlign w:val="bottom"/>
            <w:hideMark/>
          </w:tcPr>
          <w:p w14:paraId="0F23F4EE" w14:textId="19028822" w:rsidR="00801F65" w:rsidRPr="00DA261B" w:rsidRDefault="00E277C6"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7.1</w:t>
            </w:r>
            <w:r w:rsidR="00801F65" w:rsidRPr="00DA261B">
              <w:rPr>
                <w:rFonts w:ascii="Arial" w:hAnsi="Arial" w:cs="Arial"/>
                <w:color w:val="215868" w:themeColor="accent5" w:themeShade="80"/>
                <w:sz w:val="18"/>
                <w:szCs w:val="18"/>
              </w:rPr>
              <w:t>%</w:t>
            </w:r>
          </w:p>
        </w:tc>
        <w:tc>
          <w:tcPr>
            <w:tcW w:w="1103" w:type="dxa"/>
            <w:noWrap/>
            <w:vAlign w:val="bottom"/>
            <w:hideMark/>
          </w:tcPr>
          <w:p w14:paraId="7177F86B" w14:textId="2A00F666" w:rsidR="00801F65" w:rsidRPr="00DA261B" w:rsidRDefault="00E277C6"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19.6</w:t>
            </w:r>
            <w:r w:rsidR="00801F65" w:rsidRPr="00DA261B">
              <w:rPr>
                <w:rFonts w:ascii="Arial" w:hAnsi="Arial" w:cs="Arial"/>
                <w:color w:val="215868" w:themeColor="accent5" w:themeShade="80"/>
                <w:sz w:val="18"/>
                <w:szCs w:val="18"/>
              </w:rPr>
              <w:t>%</w:t>
            </w:r>
          </w:p>
        </w:tc>
        <w:tc>
          <w:tcPr>
            <w:tcW w:w="1102" w:type="dxa"/>
            <w:noWrap/>
            <w:vAlign w:val="bottom"/>
            <w:hideMark/>
          </w:tcPr>
          <w:p w14:paraId="22821649" w14:textId="5F3F9564" w:rsidR="00801F65" w:rsidRPr="00DA261B" w:rsidRDefault="005D53FF"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2.6</w:t>
            </w:r>
            <w:r w:rsidR="00801F65">
              <w:rPr>
                <w:rFonts w:ascii="Arial" w:hAnsi="Arial" w:cs="Arial"/>
                <w:color w:val="215868" w:themeColor="accent5" w:themeShade="80"/>
                <w:sz w:val="18"/>
                <w:szCs w:val="18"/>
              </w:rPr>
              <w:t>B</w:t>
            </w:r>
          </w:p>
        </w:tc>
        <w:tc>
          <w:tcPr>
            <w:tcW w:w="1103" w:type="dxa"/>
            <w:noWrap/>
            <w:vAlign w:val="center"/>
            <w:hideMark/>
          </w:tcPr>
          <w:p w14:paraId="739DBA45" w14:textId="3647C123" w:rsidR="00801F65" w:rsidRPr="00FC21E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2.7</w:t>
            </w:r>
            <w:r w:rsidRPr="00FC21EB">
              <w:rPr>
                <w:rFonts w:ascii="Arial" w:hAnsi="Arial" w:cs="Arial"/>
                <w:color w:val="215868" w:themeColor="accent5" w:themeShade="80"/>
                <w:sz w:val="18"/>
                <w:szCs w:val="18"/>
              </w:rPr>
              <w:t>%</w:t>
            </w:r>
          </w:p>
        </w:tc>
        <w:tc>
          <w:tcPr>
            <w:tcW w:w="1102" w:type="dxa"/>
            <w:noWrap/>
            <w:vAlign w:val="center"/>
            <w:hideMark/>
          </w:tcPr>
          <w:p w14:paraId="04FFDB69" w14:textId="0C37748C" w:rsidR="00801F65" w:rsidRPr="00FC21E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5.5</w:t>
            </w:r>
            <w:r w:rsidRPr="00FC21EB">
              <w:rPr>
                <w:rFonts w:ascii="Arial" w:hAnsi="Arial" w:cs="Arial"/>
                <w:color w:val="215868" w:themeColor="accent5" w:themeShade="80"/>
                <w:sz w:val="18"/>
                <w:szCs w:val="18"/>
              </w:rPr>
              <w:t>%</w:t>
            </w:r>
          </w:p>
        </w:tc>
        <w:tc>
          <w:tcPr>
            <w:tcW w:w="1103" w:type="dxa"/>
            <w:noWrap/>
            <w:vAlign w:val="center"/>
            <w:hideMark/>
          </w:tcPr>
          <w:p w14:paraId="669105D0" w14:textId="131E0ED2" w:rsidR="00801F65" w:rsidRPr="00FC21E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4.2</w:t>
            </w:r>
            <w:r w:rsidRPr="00FC21EB">
              <w:rPr>
                <w:rFonts w:ascii="Arial" w:hAnsi="Arial" w:cs="Arial"/>
                <w:color w:val="215868" w:themeColor="accent5" w:themeShade="80"/>
                <w:sz w:val="18"/>
                <w:szCs w:val="18"/>
              </w:rPr>
              <w:t>%</w:t>
            </w:r>
          </w:p>
        </w:tc>
      </w:tr>
      <w:tr w:rsidR="00801F65" w:rsidRPr="00843888" w14:paraId="2B5665AE" w14:textId="77777777" w:rsidTr="00B51D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57B09037" w14:textId="342BE891" w:rsidR="00801F65" w:rsidRPr="00843888" w:rsidRDefault="00801F65" w:rsidP="00801F65">
            <w:pPr>
              <w:rPr>
                <w:rFonts w:ascii="Arial" w:eastAsia="Times New Roman" w:hAnsi="Arial" w:cs="Arial"/>
                <w:b w:val="0"/>
                <w:bCs w:val="0"/>
                <w:color w:val="215868" w:themeColor="accent5" w:themeShade="80"/>
                <w:sz w:val="18"/>
                <w:szCs w:val="18"/>
              </w:rPr>
            </w:pPr>
            <w:r w:rsidRPr="00843888">
              <w:rPr>
                <w:rFonts w:ascii="Arial" w:eastAsia="Times New Roman" w:hAnsi="Arial" w:cs="Arial"/>
                <w:b w:val="0"/>
                <w:bCs w:val="0"/>
                <w:color w:val="215868" w:themeColor="accent5" w:themeShade="80"/>
                <w:sz w:val="18"/>
                <w:szCs w:val="18"/>
              </w:rPr>
              <w:t>R</w:t>
            </w:r>
            <w:r w:rsidRPr="00DD7A16">
              <w:rPr>
                <w:rFonts w:ascii="Arial" w:eastAsia="Times New Roman" w:hAnsi="Arial" w:cs="Arial"/>
                <w:b w:val="0"/>
                <w:bCs w:val="0"/>
                <w:color w:val="215868" w:themeColor="accent5" w:themeShade="80"/>
                <w:sz w:val="18"/>
                <w:szCs w:val="18"/>
              </w:rPr>
              <w:t>efrigerated</w:t>
            </w:r>
          </w:p>
        </w:tc>
        <w:tc>
          <w:tcPr>
            <w:tcW w:w="1102" w:type="dxa"/>
            <w:noWrap/>
            <w:vAlign w:val="bottom"/>
            <w:hideMark/>
          </w:tcPr>
          <w:p w14:paraId="2B99802C" w14:textId="0A612A2A" w:rsidR="00801F65" w:rsidRPr="00DA261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8.3</w:t>
            </w:r>
            <w:r>
              <w:rPr>
                <w:rFonts w:ascii="Arial" w:hAnsi="Arial" w:cs="Arial"/>
                <w:color w:val="215868" w:themeColor="accent5" w:themeShade="80"/>
                <w:sz w:val="18"/>
                <w:szCs w:val="18"/>
              </w:rPr>
              <w:t>B</w:t>
            </w:r>
          </w:p>
        </w:tc>
        <w:tc>
          <w:tcPr>
            <w:tcW w:w="1103" w:type="dxa"/>
            <w:noWrap/>
            <w:vAlign w:val="bottom"/>
            <w:hideMark/>
          </w:tcPr>
          <w:p w14:paraId="3AD6EAEE" w14:textId="58B8255C"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18.1</w:t>
            </w:r>
            <w:r w:rsidR="00801F65" w:rsidRPr="00DA261B">
              <w:rPr>
                <w:rFonts w:ascii="Arial" w:hAnsi="Arial" w:cs="Arial"/>
                <w:color w:val="215868" w:themeColor="accent5" w:themeShade="80"/>
                <w:sz w:val="18"/>
                <w:szCs w:val="18"/>
              </w:rPr>
              <w:t>%</w:t>
            </w:r>
          </w:p>
        </w:tc>
        <w:tc>
          <w:tcPr>
            <w:tcW w:w="1102" w:type="dxa"/>
            <w:noWrap/>
            <w:vAlign w:val="bottom"/>
            <w:hideMark/>
          </w:tcPr>
          <w:p w14:paraId="61FF8938" w14:textId="629C6144"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20.3</w:t>
            </w:r>
            <w:r w:rsidR="00801F65" w:rsidRPr="00DA261B">
              <w:rPr>
                <w:rFonts w:ascii="Arial" w:hAnsi="Arial" w:cs="Arial"/>
                <w:color w:val="215868" w:themeColor="accent5" w:themeShade="80"/>
                <w:sz w:val="18"/>
                <w:szCs w:val="18"/>
              </w:rPr>
              <w:t>%</w:t>
            </w:r>
          </w:p>
        </w:tc>
        <w:tc>
          <w:tcPr>
            <w:tcW w:w="1103" w:type="dxa"/>
            <w:noWrap/>
            <w:vAlign w:val="bottom"/>
            <w:hideMark/>
          </w:tcPr>
          <w:p w14:paraId="2340249A" w14:textId="439E175A" w:rsidR="00801F65" w:rsidRPr="00DA261B" w:rsidRDefault="00E277C6"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33.3</w:t>
            </w:r>
            <w:r w:rsidR="00801F65" w:rsidRPr="00DA261B">
              <w:rPr>
                <w:rFonts w:ascii="Arial" w:hAnsi="Arial" w:cs="Arial"/>
                <w:color w:val="215868" w:themeColor="accent5" w:themeShade="80"/>
                <w:sz w:val="18"/>
                <w:szCs w:val="18"/>
              </w:rPr>
              <w:t>%</w:t>
            </w:r>
          </w:p>
        </w:tc>
        <w:tc>
          <w:tcPr>
            <w:tcW w:w="1102" w:type="dxa"/>
            <w:noWrap/>
            <w:vAlign w:val="bottom"/>
            <w:hideMark/>
          </w:tcPr>
          <w:p w14:paraId="6EC8FA10" w14:textId="35A66136" w:rsidR="00801F65" w:rsidRPr="00DA261B" w:rsidRDefault="005D53FF"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2.3</w:t>
            </w:r>
            <w:r w:rsidR="00801F65">
              <w:rPr>
                <w:rFonts w:ascii="Arial" w:hAnsi="Arial" w:cs="Arial"/>
                <w:color w:val="215868" w:themeColor="accent5" w:themeShade="80"/>
                <w:sz w:val="18"/>
                <w:szCs w:val="18"/>
              </w:rPr>
              <w:t>B</w:t>
            </w:r>
          </w:p>
        </w:tc>
        <w:tc>
          <w:tcPr>
            <w:tcW w:w="1103" w:type="dxa"/>
            <w:noWrap/>
            <w:vAlign w:val="center"/>
            <w:hideMark/>
          </w:tcPr>
          <w:p w14:paraId="2F2E3B03" w14:textId="324C86C5" w:rsidR="00801F65" w:rsidRPr="00FC21E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3.1</w:t>
            </w:r>
            <w:r w:rsidRPr="00FC21EB">
              <w:rPr>
                <w:rFonts w:ascii="Arial" w:hAnsi="Arial" w:cs="Arial"/>
                <w:color w:val="215868" w:themeColor="accent5" w:themeShade="80"/>
                <w:sz w:val="18"/>
                <w:szCs w:val="18"/>
              </w:rPr>
              <w:t>%</w:t>
            </w:r>
          </w:p>
        </w:tc>
        <w:tc>
          <w:tcPr>
            <w:tcW w:w="1102" w:type="dxa"/>
            <w:noWrap/>
            <w:vAlign w:val="center"/>
            <w:hideMark/>
          </w:tcPr>
          <w:p w14:paraId="1B9ABE08" w14:textId="21C9B883" w:rsidR="00801F65" w:rsidRPr="00FC21EB" w:rsidRDefault="00801F65"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5.6</w:t>
            </w:r>
            <w:r w:rsidRPr="00FC21EB">
              <w:rPr>
                <w:rFonts w:ascii="Arial" w:hAnsi="Arial" w:cs="Arial"/>
                <w:color w:val="215868" w:themeColor="accent5" w:themeShade="80"/>
                <w:sz w:val="18"/>
                <w:szCs w:val="18"/>
              </w:rPr>
              <w:t>%</w:t>
            </w:r>
          </w:p>
        </w:tc>
        <w:tc>
          <w:tcPr>
            <w:tcW w:w="1103" w:type="dxa"/>
            <w:noWrap/>
            <w:vAlign w:val="center"/>
            <w:hideMark/>
          </w:tcPr>
          <w:p w14:paraId="1A78E784" w14:textId="39824C48" w:rsidR="00801F65" w:rsidRPr="00FC21EB" w:rsidRDefault="005D53FF" w:rsidP="00801F6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-0.8</w:t>
            </w:r>
            <w:r w:rsidR="00801F65" w:rsidRPr="00FC21EB">
              <w:rPr>
                <w:rFonts w:ascii="Arial" w:hAnsi="Arial" w:cs="Arial"/>
                <w:color w:val="215868" w:themeColor="accent5" w:themeShade="80"/>
                <w:sz w:val="18"/>
                <w:szCs w:val="18"/>
              </w:rPr>
              <w:t>%</w:t>
            </w:r>
          </w:p>
        </w:tc>
      </w:tr>
      <w:tr w:rsidR="00801F65" w:rsidRPr="00843888" w14:paraId="119F1DC4" w14:textId="77777777" w:rsidTr="00B51D86">
        <w:trPr>
          <w:trHeight w:val="2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2C879CED" w14:textId="26C5472A" w:rsidR="00801F65" w:rsidRPr="00843888" w:rsidRDefault="00801F65" w:rsidP="00801F65">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Seafood</w:t>
            </w:r>
          </w:p>
        </w:tc>
        <w:tc>
          <w:tcPr>
            <w:tcW w:w="1102" w:type="dxa"/>
            <w:noWrap/>
            <w:vAlign w:val="bottom"/>
            <w:hideMark/>
          </w:tcPr>
          <w:p w14:paraId="699C0C55" w14:textId="5A4DC224" w:rsidR="00801F65" w:rsidRPr="00DA261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570</w:t>
            </w:r>
            <w:r>
              <w:rPr>
                <w:rFonts w:ascii="Arial" w:hAnsi="Arial" w:cs="Arial"/>
                <w:color w:val="215868" w:themeColor="accent5" w:themeShade="80"/>
                <w:sz w:val="18"/>
                <w:szCs w:val="18"/>
              </w:rPr>
              <w:t>M</w:t>
            </w:r>
          </w:p>
        </w:tc>
        <w:tc>
          <w:tcPr>
            <w:tcW w:w="1103" w:type="dxa"/>
            <w:noWrap/>
            <w:vAlign w:val="bottom"/>
            <w:hideMark/>
          </w:tcPr>
          <w:p w14:paraId="229209B9" w14:textId="11A3A0DF" w:rsidR="00801F65" w:rsidRPr="00DA261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3.4</w:t>
            </w:r>
            <w:r w:rsidRPr="00DA261B">
              <w:rPr>
                <w:rFonts w:ascii="Arial" w:hAnsi="Arial" w:cs="Arial"/>
                <w:color w:val="215868" w:themeColor="accent5" w:themeShade="80"/>
                <w:sz w:val="18"/>
                <w:szCs w:val="18"/>
              </w:rPr>
              <w:t>%</w:t>
            </w:r>
          </w:p>
        </w:tc>
        <w:tc>
          <w:tcPr>
            <w:tcW w:w="1102" w:type="dxa"/>
            <w:noWrap/>
            <w:vAlign w:val="bottom"/>
            <w:hideMark/>
          </w:tcPr>
          <w:p w14:paraId="578BC6D0" w14:textId="1E7AD6D1" w:rsidR="00801F65" w:rsidRPr="00DA261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2.9</w:t>
            </w:r>
            <w:r w:rsidRPr="00DA261B">
              <w:rPr>
                <w:rFonts w:ascii="Arial" w:hAnsi="Arial" w:cs="Arial"/>
                <w:color w:val="215868" w:themeColor="accent5" w:themeShade="80"/>
                <w:sz w:val="18"/>
                <w:szCs w:val="18"/>
              </w:rPr>
              <w:t>%</w:t>
            </w:r>
          </w:p>
        </w:tc>
        <w:tc>
          <w:tcPr>
            <w:tcW w:w="1103" w:type="dxa"/>
            <w:noWrap/>
            <w:vAlign w:val="bottom"/>
            <w:hideMark/>
          </w:tcPr>
          <w:p w14:paraId="2856F3C7" w14:textId="4666A978" w:rsidR="00801F65" w:rsidRPr="00DA261B" w:rsidRDefault="00E277C6"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26.4</w:t>
            </w:r>
            <w:r w:rsidR="00801F65" w:rsidRPr="00DA261B">
              <w:rPr>
                <w:rFonts w:ascii="Arial" w:hAnsi="Arial" w:cs="Arial"/>
                <w:color w:val="215868" w:themeColor="accent5" w:themeShade="80"/>
                <w:sz w:val="18"/>
                <w:szCs w:val="18"/>
              </w:rPr>
              <w:t>%</w:t>
            </w:r>
          </w:p>
        </w:tc>
        <w:tc>
          <w:tcPr>
            <w:tcW w:w="1102" w:type="dxa"/>
            <w:noWrap/>
            <w:vAlign w:val="bottom"/>
            <w:hideMark/>
          </w:tcPr>
          <w:p w14:paraId="2AD2E772" w14:textId="60F5D93A" w:rsidR="00801F65" w:rsidRPr="00DA261B" w:rsidRDefault="005D53FF"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64</w:t>
            </w:r>
            <w:r w:rsidR="00801F65">
              <w:rPr>
                <w:rFonts w:ascii="Arial" w:hAnsi="Arial" w:cs="Arial"/>
                <w:color w:val="215868" w:themeColor="accent5" w:themeShade="80"/>
                <w:sz w:val="18"/>
                <w:szCs w:val="18"/>
              </w:rPr>
              <w:t>M</w:t>
            </w:r>
          </w:p>
        </w:tc>
        <w:tc>
          <w:tcPr>
            <w:tcW w:w="1103" w:type="dxa"/>
            <w:noWrap/>
            <w:vAlign w:val="center"/>
            <w:hideMark/>
          </w:tcPr>
          <w:p w14:paraId="7805C532" w14:textId="7B085A62" w:rsidR="00801F65" w:rsidRPr="00FC21E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7.3</w:t>
            </w:r>
            <w:r w:rsidRPr="00FC21EB">
              <w:rPr>
                <w:rFonts w:ascii="Arial" w:hAnsi="Arial" w:cs="Arial"/>
                <w:color w:val="215868" w:themeColor="accent5" w:themeShade="80"/>
                <w:sz w:val="18"/>
                <w:szCs w:val="18"/>
              </w:rPr>
              <w:t>%</w:t>
            </w:r>
          </w:p>
        </w:tc>
        <w:tc>
          <w:tcPr>
            <w:tcW w:w="1102" w:type="dxa"/>
            <w:noWrap/>
            <w:vAlign w:val="center"/>
            <w:hideMark/>
          </w:tcPr>
          <w:p w14:paraId="106B05A1" w14:textId="7714C642" w:rsidR="00801F65" w:rsidRPr="00FC21EB" w:rsidRDefault="00801F65"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17.9</w:t>
            </w:r>
            <w:r w:rsidRPr="00FC21EB">
              <w:rPr>
                <w:rFonts w:ascii="Arial" w:hAnsi="Arial" w:cs="Arial"/>
                <w:color w:val="215868" w:themeColor="accent5" w:themeShade="80"/>
                <w:sz w:val="18"/>
                <w:szCs w:val="18"/>
              </w:rPr>
              <w:t>%</w:t>
            </w:r>
          </w:p>
        </w:tc>
        <w:tc>
          <w:tcPr>
            <w:tcW w:w="1103" w:type="dxa"/>
            <w:noWrap/>
            <w:vAlign w:val="center"/>
            <w:hideMark/>
          </w:tcPr>
          <w:p w14:paraId="74C3ABB4" w14:textId="4BD98E00" w:rsidR="00801F65" w:rsidRPr="00FC21EB" w:rsidRDefault="00FD43CB" w:rsidP="00801F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5D53FF">
              <w:rPr>
                <w:rFonts w:ascii="Arial" w:hAnsi="Arial" w:cs="Arial"/>
                <w:color w:val="215868" w:themeColor="accent5" w:themeShade="80"/>
                <w:sz w:val="18"/>
                <w:szCs w:val="18"/>
              </w:rPr>
              <w:t>2.1</w:t>
            </w:r>
            <w:r w:rsidR="00801F65" w:rsidRPr="00FC21EB">
              <w:rPr>
                <w:rFonts w:ascii="Arial" w:hAnsi="Arial" w:cs="Arial"/>
                <w:color w:val="215868" w:themeColor="accent5" w:themeShade="80"/>
                <w:sz w:val="18"/>
                <w:szCs w:val="18"/>
              </w:rPr>
              <w:t>%</w:t>
            </w:r>
          </w:p>
        </w:tc>
      </w:tr>
    </w:tbl>
    <w:p w14:paraId="2D9AB8C7" w14:textId="7DF9C0CD" w:rsidR="00D66F5A" w:rsidRPr="00D66F5A" w:rsidRDefault="00D66F5A" w:rsidP="001024F6">
      <w:pPr>
        <w:pStyle w:val="NoSpacing"/>
        <w:rPr>
          <w:noProof/>
          <w:sz w:val="10"/>
          <w:szCs w:val="10"/>
        </w:rPr>
      </w:pPr>
    </w:p>
    <w:p w14:paraId="23AF6DF5" w14:textId="7ADDE019" w:rsidR="001024F6" w:rsidRDefault="001024F6" w:rsidP="001024F6">
      <w:pPr>
        <w:pStyle w:val="NoSpacing"/>
        <w:rPr>
          <w:rFonts w:ascii="Arial" w:hAnsi="Arial" w:cs="Arial"/>
          <w:sz w:val="16"/>
          <w:szCs w:val="16"/>
        </w:rPr>
      </w:pPr>
      <w:r w:rsidRPr="00764049">
        <w:rPr>
          <w:rFonts w:ascii="Arial" w:hAnsi="Arial" w:cs="Arial"/>
          <w:sz w:val="16"/>
          <w:szCs w:val="16"/>
        </w:rPr>
        <w:t>Source: IRI</w:t>
      </w:r>
      <w:r>
        <w:rPr>
          <w:rFonts w:ascii="Arial" w:hAnsi="Arial" w:cs="Arial"/>
          <w:sz w:val="16"/>
          <w:szCs w:val="16"/>
        </w:rPr>
        <w:t xml:space="preserve"> Integrated Fresh,</w:t>
      </w:r>
      <w:r w:rsidRPr="00764049">
        <w:rPr>
          <w:rFonts w:ascii="Arial" w:hAnsi="Arial" w:cs="Arial"/>
          <w:sz w:val="16"/>
          <w:szCs w:val="16"/>
        </w:rPr>
        <w:t xml:space="preserve"> Total U.S., MULO, </w:t>
      </w:r>
      <w:r>
        <w:rPr>
          <w:rFonts w:ascii="Arial" w:hAnsi="Arial" w:cs="Arial"/>
          <w:sz w:val="16"/>
          <w:szCs w:val="16"/>
        </w:rPr>
        <w:t>fixed and random weight items combined into department views</w:t>
      </w:r>
    </w:p>
    <w:bookmarkEnd w:id="6"/>
    <w:p w14:paraId="2CEB1F70" w14:textId="77777777" w:rsidR="00102502" w:rsidRPr="00764049" w:rsidRDefault="00102502" w:rsidP="001024F6">
      <w:pPr>
        <w:pStyle w:val="NoSpacing"/>
        <w:rPr>
          <w:rFonts w:ascii="Arial" w:hAnsi="Arial" w:cs="Arial"/>
          <w:sz w:val="16"/>
          <w:szCs w:val="16"/>
        </w:rPr>
      </w:pPr>
    </w:p>
    <w:p w14:paraId="1C1A044E" w14:textId="77777777" w:rsidR="00357E26" w:rsidRPr="00D66F5A" w:rsidRDefault="00357E26" w:rsidP="00563A06">
      <w:pPr>
        <w:pStyle w:val="NoSpacing"/>
        <w:rPr>
          <w:rFonts w:ascii="Arial" w:hAnsi="Arial" w:cs="Arial"/>
          <w:b/>
          <w:color w:val="595959" w:themeColor="text1" w:themeTint="A6"/>
          <w:sz w:val="28"/>
          <w:szCs w:val="28"/>
        </w:rPr>
      </w:pPr>
      <w:bookmarkStart w:id="7" w:name="_Hlk76989410"/>
    </w:p>
    <w:p w14:paraId="2D6DC3FE" w14:textId="77777777" w:rsidR="009D3AE5" w:rsidRPr="00706DE2" w:rsidRDefault="009D3AE5" w:rsidP="009D3AE5">
      <w:pPr>
        <w:pStyle w:val="NoSpacing"/>
        <w:rPr>
          <w:rFonts w:ascii="Arial" w:hAnsi="Arial" w:cs="Arial"/>
          <w:b/>
          <w:color w:val="595959" w:themeColor="text1" w:themeTint="A6"/>
          <w:sz w:val="24"/>
          <w:szCs w:val="24"/>
        </w:rPr>
      </w:pPr>
      <w:bookmarkStart w:id="8" w:name="_Hlk113873945"/>
      <w:bookmarkStart w:id="9" w:name="_Hlk79236872"/>
      <w:bookmarkEnd w:id="7"/>
      <w:r w:rsidRPr="00706DE2">
        <w:rPr>
          <w:rFonts w:ascii="Arial" w:hAnsi="Arial" w:cs="Arial"/>
          <w:b/>
          <w:color w:val="595959" w:themeColor="text1" w:themeTint="A6"/>
          <w:sz w:val="24"/>
          <w:szCs w:val="24"/>
        </w:rPr>
        <w:t xml:space="preserve">What’s </w:t>
      </w:r>
      <w:r>
        <w:rPr>
          <w:rFonts w:ascii="Arial" w:hAnsi="Arial" w:cs="Arial"/>
          <w:b/>
          <w:color w:val="595959" w:themeColor="text1" w:themeTint="A6"/>
          <w:sz w:val="24"/>
          <w:szCs w:val="24"/>
        </w:rPr>
        <w:t>N</w:t>
      </w:r>
      <w:r w:rsidRPr="00706DE2">
        <w:rPr>
          <w:rFonts w:ascii="Arial" w:hAnsi="Arial" w:cs="Arial"/>
          <w:b/>
          <w:color w:val="595959" w:themeColor="text1" w:themeTint="A6"/>
          <w:sz w:val="24"/>
          <w:szCs w:val="24"/>
        </w:rPr>
        <w:t xml:space="preserve">ext? </w:t>
      </w:r>
    </w:p>
    <w:p w14:paraId="526CC8ED" w14:textId="77777777" w:rsidR="005D53FF" w:rsidRDefault="005D53FF" w:rsidP="005D53FF">
      <w:pPr>
        <w:pStyle w:val="NoSpacing"/>
        <w:rPr>
          <w:rFonts w:ascii="Arial" w:hAnsi="Arial" w:cs="Arial"/>
          <w:color w:val="000000" w:themeColor="text1"/>
          <w:sz w:val="20"/>
          <w:szCs w:val="20"/>
        </w:rPr>
      </w:pPr>
      <w:bookmarkStart w:id="10" w:name="_Hlk119003634"/>
      <w:bookmarkEnd w:id="8"/>
      <w:r>
        <w:rPr>
          <w:rFonts w:ascii="Arial" w:hAnsi="Arial" w:cs="Arial"/>
          <w:color w:val="000000" w:themeColor="text1"/>
          <w:sz w:val="20"/>
          <w:szCs w:val="20"/>
        </w:rPr>
        <w:t>The holiday season is around the corner and consumers are split between being excited to have something to celebrate and pulling back on spending given the reduction in purchasing power.</w:t>
      </w:r>
    </w:p>
    <w:p w14:paraId="326506C3" w14:textId="77777777" w:rsidR="005D53FF" w:rsidRDefault="005D53FF" w:rsidP="005D53FF">
      <w:pPr>
        <w:pStyle w:val="NoSpacing"/>
        <w:rPr>
          <w:rFonts w:ascii="Arial" w:hAnsi="Arial" w:cs="Arial"/>
          <w:color w:val="000000" w:themeColor="text1"/>
          <w:sz w:val="20"/>
          <w:szCs w:val="20"/>
        </w:rPr>
      </w:pPr>
    </w:p>
    <w:p w14:paraId="68C1386F" w14:textId="77777777" w:rsidR="005D53FF" w:rsidRDefault="005D53FF" w:rsidP="005D53FF">
      <w:pPr>
        <w:pStyle w:val="NoSpacing"/>
        <w:rPr>
          <w:rFonts w:ascii="Arial" w:hAnsi="Arial" w:cs="Arial"/>
          <w:color w:val="000000" w:themeColor="text1"/>
          <w:sz w:val="20"/>
          <w:szCs w:val="20"/>
        </w:rPr>
      </w:pPr>
      <w:r w:rsidRPr="00E440BC">
        <w:rPr>
          <w:rFonts w:ascii="Arial" w:hAnsi="Arial" w:cs="Arial"/>
          <w:color w:val="000000" w:themeColor="text1"/>
          <w:sz w:val="20"/>
          <w:szCs w:val="20"/>
        </w:rPr>
        <w:t>For instance, thinking about Thanksgiving, 32% feel the same as last year, 20% look forward to having something to</w:t>
      </w:r>
      <w:r>
        <w:rPr>
          <w:rFonts w:ascii="Arial" w:hAnsi="Arial" w:cs="Arial"/>
          <w:color w:val="000000" w:themeColor="text1"/>
          <w:sz w:val="20"/>
          <w:szCs w:val="20"/>
        </w:rPr>
        <w:t xml:space="preserve"> celebrate after a stressful year, 17% are worried about being able to afford the type of celebration they usually have because of inflation and 5% do not plan to celebrate at all. Among celebrants, hosting or attending a meal with extended family or friends is the most popular plan (35%), followed by preparing a special meal for the household (31%). </w:t>
      </w:r>
    </w:p>
    <w:p w14:paraId="579EF31C" w14:textId="77777777" w:rsidR="005D53FF" w:rsidRDefault="005D53FF" w:rsidP="005D53FF">
      <w:pPr>
        <w:pStyle w:val="NoSpacing"/>
        <w:rPr>
          <w:rFonts w:ascii="Arial" w:hAnsi="Arial" w:cs="Arial"/>
          <w:color w:val="000000" w:themeColor="text1"/>
          <w:sz w:val="20"/>
          <w:szCs w:val="20"/>
        </w:rPr>
      </w:pPr>
    </w:p>
    <w:p w14:paraId="07E14B86" w14:textId="77777777" w:rsidR="005D53FF" w:rsidRDefault="005D53FF" w:rsidP="005D53FF">
      <w:pPr>
        <w:pStyle w:val="NoSpacing"/>
        <w:rPr>
          <w:rFonts w:ascii="Arial" w:hAnsi="Arial" w:cs="Arial"/>
          <w:color w:val="000000" w:themeColor="text1"/>
          <w:sz w:val="20"/>
          <w:szCs w:val="20"/>
        </w:rPr>
      </w:pPr>
      <w:r>
        <w:rPr>
          <w:rFonts w:ascii="Arial" w:hAnsi="Arial" w:cs="Arial"/>
          <w:color w:val="000000" w:themeColor="text1"/>
          <w:sz w:val="20"/>
          <w:szCs w:val="20"/>
        </w:rPr>
        <w:t xml:space="preserve">The numbers of Christmas, New Year’s, etc. are similar, with dinner plans for the household or an extended group being the most common way to celebrate. </w:t>
      </w:r>
    </w:p>
    <w:bookmarkEnd w:id="10"/>
    <w:p w14:paraId="306311E8" w14:textId="77777777" w:rsidR="00747760" w:rsidRDefault="00747760" w:rsidP="00BB3A5E">
      <w:pPr>
        <w:spacing w:after="0" w:line="240" w:lineRule="auto"/>
        <w:rPr>
          <w:rFonts w:ascii="Arial" w:hAnsi="Arial" w:cs="Arial"/>
          <w:sz w:val="20"/>
          <w:szCs w:val="20"/>
        </w:rPr>
      </w:pPr>
    </w:p>
    <w:p w14:paraId="1F16FBDB" w14:textId="4266B4E4" w:rsidR="001E19ED" w:rsidRDefault="001E19ED" w:rsidP="00BB3A5E">
      <w:pPr>
        <w:spacing w:after="0" w:line="240" w:lineRule="auto"/>
        <w:rPr>
          <w:rFonts w:ascii="Arial" w:hAnsi="Arial" w:cs="Arial"/>
          <w:sz w:val="20"/>
          <w:szCs w:val="20"/>
        </w:rPr>
      </w:pPr>
      <w:r w:rsidRPr="00BB3A5E">
        <w:rPr>
          <w:rFonts w:ascii="Arial" w:hAnsi="Arial" w:cs="Arial"/>
          <w:sz w:val="20"/>
          <w:szCs w:val="20"/>
        </w:rPr>
        <w:t>The next report, covering</w:t>
      </w:r>
      <w:r w:rsidR="005D53FF">
        <w:rPr>
          <w:rFonts w:ascii="Arial" w:hAnsi="Arial" w:cs="Arial"/>
          <w:sz w:val="20"/>
          <w:szCs w:val="20"/>
        </w:rPr>
        <w:t xml:space="preserve"> November</w:t>
      </w:r>
      <w:r w:rsidR="000C73F6" w:rsidRPr="00BB3A5E">
        <w:rPr>
          <w:rFonts w:ascii="Arial" w:hAnsi="Arial" w:cs="Arial"/>
          <w:sz w:val="20"/>
          <w:szCs w:val="20"/>
        </w:rPr>
        <w:t>,</w:t>
      </w:r>
      <w:r w:rsidRPr="00BB3A5E">
        <w:rPr>
          <w:rFonts w:ascii="Arial" w:hAnsi="Arial" w:cs="Arial"/>
          <w:sz w:val="20"/>
          <w:szCs w:val="20"/>
        </w:rPr>
        <w:t xml:space="preserve"> will be released in mid-</w:t>
      </w:r>
      <w:r w:rsidR="005D53FF">
        <w:rPr>
          <w:rFonts w:ascii="Arial" w:hAnsi="Arial" w:cs="Arial"/>
          <w:sz w:val="20"/>
          <w:szCs w:val="20"/>
        </w:rPr>
        <w:t>December</w:t>
      </w:r>
      <w:r w:rsidRPr="00BB3A5E">
        <w:rPr>
          <w:rFonts w:ascii="Arial" w:hAnsi="Arial" w:cs="Arial"/>
          <w:sz w:val="20"/>
          <w:szCs w:val="20"/>
        </w:rPr>
        <w:t xml:space="preserve">. </w:t>
      </w:r>
      <w:r w:rsidR="00834DC2" w:rsidRPr="00BB3A5E">
        <w:rPr>
          <w:rFonts w:ascii="Arial" w:hAnsi="Arial" w:cs="Arial"/>
          <w:sz w:val="20"/>
          <w:szCs w:val="20"/>
        </w:rPr>
        <w:t>In addition to the data provided here, the IFPA also now offers InSite – an online interactive data set covering both produce and floral performance as well as a look at the 2021 consumer sentiment surveys.</w:t>
      </w:r>
      <w:r w:rsidR="009E4189" w:rsidRPr="00BB3A5E">
        <w:rPr>
          <w:rFonts w:ascii="Arial" w:hAnsi="Arial" w:cs="Arial"/>
          <w:sz w:val="20"/>
          <w:szCs w:val="20"/>
        </w:rPr>
        <w:t xml:space="preserve"> Start your free trial today! See </w:t>
      </w:r>
      <w:hyperlink r:id="rId15" w:history="1">
        <w:r w:rsidR="009E4189" w:rsidRPr="00BB3A5E">
          <w:rPr>
            <w:rStyle w:val="Hyperlink"/>
            <w:rFonts w:ascii="Arial" w:hAnsi="Arial" w:cs="Arial"/>
            <w:sz w:val="20"/>
            <w:szCs w:val="20"/>
          </w:rPr>
          <w:t>www.freshproduce.com/insite</w:t>
        </w:r>
      </w:hyperlink>
      <w:r w:rsidR="009E4189" w:rsidRPr="00BB3A5E">
        <w:rPr>
          <w:rFonts w:ascii="Arial" w:hAnsi="Arial" w:cs="Arial"/>
          <w:sz w:val="20"/>
          <w:szCs w:val="20"/>
        </w:rPr>
        <w:t xml:space="preserve"> for more detail. </w:t>
      </w:r>
      <w:r w:rsidRPr="00BB3A5E">
        <w:rPr>
          <w:rFonts w:ascii="Arial" w:hAnsi="Arial" w:cs="Arial"/>
          <w:sz w:val="20"/>
          <w:szCs w:val="20"/>
        </w:rPr>
        <w:t xml:space="preserve">We </w:t>
      </w:r>
      <w:r w:rsidR="00834DC2" w:rsidRPr="00BB3A5E">
        <w:rPr>
          <w:rFonts w:ascii="Arial" w:hAnsi="Arial" w:cs="Arial"/>
          <w:sz w:val="20"/>
          <w:szCs w:val="20"/>
        </w:rPr>
        <w:t xml:space="preserve">also </w:t>
      </w:r>
      <w:r w:rsidRPr="00BB3A5E">
        <w:rPr>
          <w:rFonts w:ascii="Arial" w:hAnsi="Arial" w:cs="Arial"/>
          <w:sz w:val="20"/>
          <w:szCs w:val="20"/>
        </w:rPr>
        <w:t xml:space="preserve">encourage you to contact Joe Watson, </w:t>
      </w:r>
      <w:r w:rsidR="003D37B7" w:rsidRPr="00BB3A5E">
        <w:rPr>
          <w:rFonts w:ascii="Arial" w:hAnsi="Arial" w:cs="Arial"/>
          <w:sz w:val="20"/>
          <w:szCs w:val="20"/>
        </w:rPr>
        <w:t>IFPA</w:t>
      </w:r>
      <w:r w:rsidRPr="00BB3A5E">
        <w:rPr>
          <w:rFonts w:ascii="Arial" w:hAnsi="Arial" w:cs="Arial"/>
          <w:sz w:val="20"/>
          <w:szCs w:val="20"/>
        </w:rPr>
        <w:t xml:space="preserve">’s </w:t>
      </w:r>
      <w:r w:rsidR="0045675D" w:rsidRPr="00BB3A5E">
        <w:rPr>
          <w:rFonts w:ascii="Arial" w:hAnsi="Arial" w:cs="Arial"/>
          <w:sz w:val="20"/>
          <w:szCs w:val="20"/>
        </w:rPr>
        <w:t>V</w:t>
      </w:r>
      <w:r w:rsidR="00086061" w:rsidRPr="00BB3A5E">
        <w:rPr>
          <w:rFonts w:ascii="Arial" w:hAnsi="Arial" w:cs="Arial"/>
          <w:sz w:val="20"/>
          <w:szCs w:val="20"/>
        </w:rPr>
        <w:t>P,</w:t>
      </w:r>
      <w:r w:rsidR="0045675D" w:rsidRPr="00BB3A5E">
        <w:rPr>
          <w:rFonts w:ascii="Arial" w:hAnsi="Arial" w:cs="Arial"/>
          <w:sz w:val="20"/>
          <w:szCs w:val="20"/>
        </w:rPr>
        <w:t xml:space="preserve"> Retail, Foodservice and Wholesale</w:t>
      </w:r>
      <w:r w:rsidRPr="00BB3A5E">
        <w:rPr>
          <w:rFonts w:ascii="Arial" w:hAnsi="Arial" w:cs="Arial"/>
          <w:sz w:val="20"/>
          <w:szCs w:val="20"/>
        </w:rPr>
        <w:t xml:space="preserve">, at </w:t>
      </w:r>
      <w:hyperlink r:id="rId16" w:history="1">
        <w:r w:rsidR="0045675D" w:rsidRPr="00BB3A5E">
          <w:rPr>
            <w:rStyle w:val="Hyperlink"/>
            <w:rFonts w:ascii="Arial" w:hAnsi="Arial" w:cs="Arial"/>
            <w:sz w:val="20"/>
            <w:szCs w:val="20"/>
          </w:rPr>
          <w:t>jwatson@freshproduce.com</w:t>
        </w:r>
      </w:hyperlink>
      <w:r w:rsidRPr="00BB3A5E">
        <w:rPr>
          <w:rFonts w:ascii="Arial" w:hAnsi="Arial" w:cs="Arial"/>
          <w:sz w:val="20"/>
          <w:szCs w:val="20"/>
        </w:rPr>
        <w:t xml:space="preserve"> with any questions or concerns. Please recognize the continued dedication of the entire grocery and produce supply chains, from farm to retailer. #produce #joyoffresh #SupermarketSuperHeroes.</w:t>
      </w:r>
    </w:p>
    <w:p w14:paraId="0B4B458C" w14:textId="6E33A5E6" w:rsidR="002E42E2" w:rsidRDefault="002E42E2" w:rsidP="00BB3A5E">
      <w:pPr>
        <w:spacing w:after="0" w:line="240" w:lineRule="auto"/>
        <w:rPr>
          <w:rFonts w:ascii="Arial" w:hAnsi="Arial" w:cs="Arial"/>
          <w:sz w:val="20"/>
          <w:szCs w:val="20"/>
        </w:rPr>
      </w:pPr>
    </w:p>
    <w:p w14:paraId="4E7067EF" w14:textId="77777777" w:rsidR="002E42E2" w:rsidRPr="00BB3A5E" w:rsidRDefault="002E42E2" w:rsidP="00BB3A5E">
      <w:pPr>
        <w:spacing w:after="0" w:line="240" w:lineRule="auto"/>
        <w:rPr>
          <w:rFonts w:ascii="Arial" w:hAnsi="Arial" w:cs="Arial"/>
          <w:sz w:val="20"/>
          <w:szCs w:val="20"/>
        </w:rPr>
      </w:pPr>
    </w:p>
    <w:bookmarkEnd w:id="9"/>
    <w:p w14:paraId="72F121CA" w14:textId="77777777" w:rsidR="00703BB8" w:rsidRDefault="00703BB8" w:rsidP="00703BB8">
      <w:pPr>
        <w:pStyle w:val="NoSpacing"/>
        <w:rPr>
          <w:rFonts w:ascii="Arial" w:hAnsi="Arial" w:cs="Arial"/>
          <w:b/>
          <w:sz w:val="20"/>
          <w:szCs w:val="20"/>
        </w:rPr>
      </w:pPr>
      <w:r>
        <w:rPr>
          <w:rFonts w:ascii="Arial" w:hAnsi="Arial" w:cs="Arial"/>
          <w:b/>
          <w:sz w:val="20"/>
          <w:szCs w:val="20"/>
        </w:rPr>
        <w:t xml:space="preserve">Date ranges: </w:t>
      </w:r>
    </w:p>
    <w:p w14:paraId="27AA4416" w14:textId="77777777" w:rsidR="00703BB8" w:rsidRDefault="00703BB8" w:rsidP="00703BB8">
      <w:pPr>
        <w:pStyle w:val="NoSpacing"/>
        <w:rPr>
          <w:rFonts w:ascii="Arial" w:hAnsi="Arial" w:cs="Arial"/>
          <w:sz w:val="20"/>
          <w:szCs w:val="20"/>
        </w:rPr>
      </w:pPr>
      <w:r>
        <w:rPr>
          <w:rFonts w:ascii="Arial" w:hAnsi="Arial" w:cs="Arial"/>
          <w:sz w:val="20"/>
          <w:szCs w:val="20"/>
        </w:rPr>
        <w:lastRenderedPageBreak/>
        <w:t>2019: 52 weeks ending 12/28/2019</w:t>
      </w:r>
    </w:p>
    <w:p w14:paraId="4A02C3A7" w14:textId="77777777" w:rsidR="00703BB8" w:rsidRDefault="00703BB8" w:rsidP="00703BB8">
      <w:pPr>
        <w:pStyle w:val="NoSpacing"/>
        <w:rPr>
          <w:rFonts w:ascii="Arial" w:hAnsi="Arial" w:cs="Arial"/>
          <w:sz w:val="20"/>
          <w:szCs w:val="20"/>
        </w:rPr>
      </w:pPr>
      <w:r>
        <w:rPr>
          <w:rFonts w:ascii="Arial" w:hAnsi="Arial" w:cs="Arial"/>
          <w:sz w:val="20"/>
          <w:szCs w:val="20"/>
        </w:rPr>
        <w:t>2020: 52 weeks ending 12/27/2020</w:t>
      </w:r>
    </w:p>
    <w:p w14:paraId="6718B854" w14:textId="77777777" w:rsidR="00703BB8" w:rsidRDefault="00703BB8" w:rsidP="00703BB8">
      <w:pPr>
        <w:pStyle w:val="NoSpacing"/>
        <w:rPr>
          <w:rFonts w:ascii="Arial" w:hAnsi="Arial" w:cs="Arial"/>
          <w:sz w:val="20"/>
          <w:szCs w:val="20"/>
        </w:rPr>
      </w:pPr>
      <w:r>
        <w:rPr>
          <w:rFonts w:ascii="Arial" w:hAnsi="Arial" w:cs="Arial"/>
          <w:sz w:val="20"/>
          <w:szCs w:val="20"/>
        </w:rPr>
        <w:t>Q1 2021: 13 weeks ending 3/28/2021</w:t>
      </w:r>
    </w:p>
    <w:p w14:paraId="3A64667A" w14:textId="77777777" w:rsidR="00703BB8" w:rsidRDefault="00703BB8" w:rsidP="00703BB8">
      <w:pPr>
        <w:pStyle w:val="NoSpacing"/>
        <w:rPr>
          <w:rFonts w:ascii="Arial" w:hAnsi="Arial" w:cs="Arial"/>
          <w:sz w:val="20"/>
          <w:szCs w:val="20"/>
        </w:rPr>
      </w:pPr>
      <w:r>
        <w:rPr>
          <w:rFonts w:ascii="Arial" w:hAnsi="Arial" w:cs="Arial"/>
          <w:sz w:val="20"/>
          <w:szCs w:val="20"/>
        </w:rPr>
        <w:t>Q2 2021: 13 weeks ending 6/27/2021</w:t>
      </w:r>
    </w:p>
    <w:p w14:paraId="38BC28BE" w14:textId="77777777" w:rsidR="00703BB8" w:rsidRDefault="00703BB8" w:rsidP="00703BB8">
      <w:pPr>
        <w:pStyle w:val="NoSpacing"/>
        <w:rPr>
          <w:rFonts w:ascii="Arial" w:hAnsi="Arial" w:cs="Arial"/>
          <w:sz w:val="20"/>
          <w:szCs w:val="20"/>
        </w:rPr>
      </w:pPr>
      <w:r>
        <w:rPr>
          <w:rFonts w:ascii="Arial" w:hAnsi="Arial" w:cs="Arial"/>
          <w:sz w:val="20"/>
          <w:szCs w:val="20"/>
        </w:rPr>
        <w:t>Q3 2021: 13 weeks ending 9/26/2021</w:t>
      </w:r>
    </w:p>
    <w:p w14:paraId="2573D35F" w14:textId="77777777" w:rsidR="00703BB8" w:rsidRDefault="00703BB8" w:rsidP="00703BB8">
      <w:pPr>
        <w:pStyle w:val="NoSpacing"/>
        <w:rPr>
          <w:rFonts w:ascii="Arial" w:hAnsi="Arial" w:cs="Arial"/>
          <w:sz w:val="20"/>
          <w:szCs w:val="20"/>
        </w:rPr>
      </w:pPr>
      <w:r>
        <w:rPr>
          <w:rFonts w:ascii="Arial" w:hAnsi="Arial" w:cs="Arial"/>
          <w:sz w:val="20"/>
          <w:szCs w:val="20"/>
        </w:rPr>
        <w:t>Q4 2021: 13 weeks ending 12/26/2021</w:t>
      </w:r>
    </w:p>
    <w:p w14:paraId="6780AEE3" w14:textId="77777777" w:rsidR="00703BB8" w:rsidRDefault="00703BB8" w:rsidP="00703BB8">
      <w:pPr>
        <w:pStyle w:val="NoSpacing"/>
        <w:rPr>
          <w:rFonts w:ascii="Arial" w:hAnsi="Arial" w:cs="Arial"/>
          <w:sz w:val="20"/>
          <w:szCs w:val="20"/>
        </w:rPr>
      </w:pPr>
      <w:r>
        <w:rPr>
          <w:rFonts w:ascii="Arial" w:hAnsi="Arial" w:cs="Arial"/>
          <w:sz w:val="20"/>
          <w:szCs w:val="20"/>
        </w:rPr>
        <w:t>Q1 2022: 13 weeks ending 3/27/2022</w:t>
      </w:r>
    </w:p>
    <w:p w14:paraId="4EC23054" w14:textId="58315142" w:rsidR="00703BB8" w:rsidRDefault="00B51D86" w:rsidP="00703BB8">
      <w:pPr>
        <w:pStyle w:val="NoSpacing"/>
        <w:rPr>
          <w:rFonts w:ascii="Arial" w:hAnsi="Arial" w:cs="Arial"/>
          <w:sz w:val="20"/>
          <w:szCs w:val="20"/>
        </w:rPr>
      </w:pPr>
      <w:r>
        <w:rPr>
          <w:rFonts w:ascii="Arial" w:hAnsi="Arial" w:cs="Arial"/>
          <w:sz w:val="20"/>
          <w:szCs w:val="20"/>
        </w:rPr>
        <w:t xml:space="preserve">Q2 2022: </w:t>
      </w:r>
      <w:r w:rsidR="00703BB8">
        <w:rPr>
          <w:rFonts w:ascii="Arial" w:hAnsi="Arial" w:cs="Arial"/>
          <w:sz w:val="20"/>
          <w:szCs w:val="20"/>
        </w:rPr>
        <w:t>13 weeks ending 6/26/2022</w:t>
      </w:r>
    </w:p>
    <w:p w14:paraId="7BD18661" w14:textId="782F4BEB" w:rsidR="00E277C6" w:rsidRDefault="00E277C6" w:rsidP="00703BB8">
      <w:pPr>
        <w:pStyle w:val="NoSpacing"/>
        <w:rPr>
          <w:rFonts w:ascii="Arial" w:hAnsi="Arial" w:cs="Arial"/>
          <w:sz w:val="20"/>
          <w:szCs w:val="20"/>
        </w:rPr>
      </w:pPr>
      <w:r>
        <w:rPr>
          <w:rFonts w:ascii="Arial" w:hAnsi="Arial" w:cs="Arial"/>
          <w:sz w:val="20"/>
          <w:szCs w:val="20"/>
        </w:rPr>
        <w:t>Q3 2022: 13 weeks ending 9/25/2022</w:t>
      </w:r>
    </w:p>
    <w:p w14:paraId="0AC4D5A5" w14:textId="4C1279A5" w:rsidR="00703BB8" w:rsidRDefault="00E277C6" w:rsidP="00703BB8">
      <w:pPr>
        <w:pStyle w:val="NoSpacing"/>
        <w:rPr>
          <w:rFonts w:ascii="Arial" w:hAnsi="Arial" w:cs="Arial"/>
          <w:sz w:val="20"/>
          <w:szCs w:val="20"/>
        </w:rPr>
      </w:pPr>
      <w:r>
        <w:rPr>
          <w:rFonts w:ascii="Arial" w:hAnsi="Arial" w:cs="Arial"/>
          <w:sz w:val="20"/>
          <w:szCs w:val="20"/>
        </w:rPr>
        <w:t>September 2022: 4 weeks ending 9/25</w:t>
      </w:r>
      <w:r w:rsidR="00703BB8">
        <w:rPr>
          <w:rFonts w:ascii="Arial" w:hAnsi="Arial" w:cs="Arial"/>
          <w:sz w:val="20"/>
          <w:szCs w:val="20"/>
        </w:rPr>
        <w:t>/2022</w:t>
      </w:r>
    </w:p>
    <w:p w14:paraId="7343FCEB" w14:textId="7D705E04" w:rsidR="00C826C2" w:rsidRDefault="00D3790D" w:rsidP="0003032A">
      <w:pPr>
        <w:pStyle w:val="NoSpacing"/>
        <w:rPr>
          <w:rFonts w:ascii="Arial" w:hAnsi="Arial" w:cs="Arial"/>
          <w:sz w:val="20"/>
          <w:szCs w:val="20"/>
        </w:rPr>
      </w:pPr>
      <w:r>
        <w:rPr>
          <w:rFonts w:ascii="Arial" w:hAnsi="Arial" w:cs="Arial"/>
          <w:sz w:val="20"/>
          <w:szCs w:val="20"/>
        </w:rPr>
        <w:t>October 2022: 5 weeks ending 10/30/2022</w:t>
      </w:r>
    </w:p>
    <w:p w14:paraId="0A2FAD67" w14:textId="77777777" w:rsidR="005D53FF" w:rsidRPr="00D42D94" w:rsidRDefault="005D53FF" w:rsidP="005D53FF">
      <w:pPr>
        <w:pStyle w:val="NoSpacing"/>
        <w:rPr>
          <w:rFonts w:ascii="Arial" w:hAnsi="Arial" w:cs="Arial"/>
          <w:sz w:val="20"/>
          <w:szCs w:val="20"/>
        </w:rPr>
      </w:pPr>
      <w:r>
        <w:rPr>
          <w:rFonts w:ascii="Arial" w:hAnsi="Arial" w:cs="Arial"/>
          <w:sz w:val="20"/>
          <w:szCs w:val="20"/>
        </w:rPr>
        <w:br/>
        <w:t xml:space="preserve">Note: The October data reflects a substantial data restatement across all areas of the store. 2019-Q3 2022 reflect the prior data universe. </w:t>
      </w:r>
    </w:p>
    <w:p w14:paraId="5AD3CB6B" w14:textId="77777777" w:rsidR="005D53FF" w:rsidRPr="008A6A7C" w:rsidRDefault="005D53FF" w:rsidP="0003032A">
      <w:pPr>
        <w:pStyle w:val="NoSpacing"/>
        <w:rPr>
          <w:rFonts w:ascii="Arial" w:hAnsi="Arial" w:cs="Arial"/>
          <w:sz w:val="20"/>
          <w:szCs w:val="20"/>
        </w:rPr>
      </w:pPr>
    </w:p>
    <w:sectPr w:rsidR="005D53FF" w:rsidRPr="008A6A7C" w:rsidSect="009172A3">
      <w:headerReference w:type="default" r:id="rId17"/>
      <w:footerReference w:type="default" r:id="rId18"/>
      <w:pgSz w:w="12240" w:h="15840"/>
      <w:pgMar w:top="1276" w:right="758"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9601" w14:textId="77777777" w:rsidR="00E33990" w:rsidRDefault="00E33990" w:rsidP="007E1D2E">
      <w:pPr>
        <w:spacing w:after="0" w:line="240" w:lineRule="auto"/>
      </w:pPr>
      <w:r>
        <w:separator/>
      </w:r>
    </w:p>
  </w:endnote>
  <w:endnote w:type="continuationSeparator" w:id="0">
    <w:p w14:paraId="566DD890" w14:textId="77777777" w:rsidR="00E33990" w:rsidRDefault="00E33990" w:rsidP="007E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6B01" w14:textId="23468BA2" w:rsidR="00811C9C" w:rsidRPr="001C4C48" w:rsidRDefault="00811C9C" w:rsidP="009172A3">
    <w:pPr>
      <w:spacing w:before="68" w:after="71" w:line="210" w:lineRule="atLeast"/>
      <w:rPr>
        <w:rFonts w:ascii="Verdana" w:hAnsi="Verdana" w:cs="Times New Roman"/>
        <w:color w:val="000000" w:themeColor="text1"/>
        <w:sz w:val="14"/>
        <w:szCs w:val="14"/>
      </w:rPr>
    </w:pPr>
    <w:r>
      <w:rPr>
        <w:rFonts w:ascii="Verdana" w:hAnsi="Verdana" w:cs="Times New Roman"/>
        <w:b/>
        <w:bCs/>
        <w:noProof/>
        <w:color w:val="000000" w:themeColor="text1"/>
        <w:sz w:val="14"/>
        <w:szCs w:val="14"/>
        <w:lang w:val="nl-NL" w:eastAsia="nl-NL"/>
      </w:rPr>
      <mc:AlternateContent>
        <mc:Choice Requires="wps">
          <w:drawing>
            <wp:anchor distT="0" distB="0" distL="114300" distR="114300" simplePos="0" relativeHeight="251658240" behindDoc="0" locked="0" layoutInCell="1" allowOverlap="1" wp14:anchorId="091F28F7" wp14:editId="114F1E35">
              <wp:simplePos x="0" y="0"/>
              <wp:positionH relativeFrom="page">
                <wp:posOffset>457200</wp:posOffset>
              </wp:positionH>
              <wp:positionV relativeFrom="paragraph">
                <wp:posOffset>148590</wp:posOffset>
              </wp:positionV>
              <wp:extent cx="6858000" cy="20320"/>
              <wp:effectExtent l="0" t="0" r="0" b="177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2032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34EA9"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pt,11.7pt" to="8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" strokecolor="#4f81bd [3204]">
              <o:lock v:ext="edit" shapetype="f"/>
              <w10:wrap anchorx="page"/>
            </v:line>
          </w:pict>
        </mc:Fallback>
      </mc:AlternateContent>
    </w:r>
  </w:p>
  <w:p w14:paraId="280BF8AE" w14:textId="110F4C1E" w:rsidR="00811C9C" w:rsidRPr="00030F05" w:rsidRDefault="00811C9C" w:rsidP="009172A3">
    <w:pPr>
      <w:pStyle w:val="NoSpacing"/>
      <w:rPr>
        <w:sz w:val="16"/>
      </w:rPr>
    </w:pPr>
    <w:r>
      <w:rPr>
        <w:noProof/>
        <w:sz w:val="16"/>
        <w:lang w:val="nl-NL" w:eastAsia="nl-NL"/>
      </w:rPr>
      <mc:AlternateContent>
        <mc:Choice Requires="wps">
          <w:drawing>
            <wp:anchor distT="0" distB="0" distL="114300" distR="114300" simplePos="0" relativeHeight="251659264" behindDoc="0" locked="0" layoutInCell="1" allowOverlap="1" wp14:anchorId="0B734F52" wp14:editId="71F2F78A">
              <wp:simplePos x="0" y="0"/>
              <wp:positionH relativeFrom="page">
                <wp:posOffset>5035550</wp:posOffset>
              </wp:positionH>
              <wp:positionV relativeFrom="page">
                <wp:posOffset>9556750</wp:posOffset>
              </wp:positionV>
              <wp:extent cx="2359025" cy="3473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025"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E1C4D" w14:textId="77777777" w:rsidR="00811C9C" w:rsidRPr="002E71F7" w:rsidRDefault="00811C9C"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4F52" id="_x0000_t202" coordsize="21600,21600" o:spt="202" path="m,l,21600r21600,l21600,xe">
              <v:stroke joinstyle="miter"/>
              <v:path gradientshapeok="t" o:connecttype="rect"/>
            </v:shapetype>
            <v:shape id="Text Box 3" o:spid="_x0000_s1027" type="#_x0000_t202" style="position:absolute;margin-left:396.5pt;margin-top:752.5pt;width:185.75pt;height:2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" filled="f" stroked="f">
              <v:textbox>
                <w:txbxContent>
                  <w:p w14:paraId="620E1C4D" w14:textId="77777777" w:rsidR="00811C9C" w:rsidRPr="002E71F7" w:rsidRDefault="00811C9C"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v:textbox>
              <w10:wrap anchorx="page" anchory="page"/>
            </v:shape>
          </w:pict>
        </mc:Fallback>
      </mc:AlternateContent>
    </w:r>
    <w:r w:rsidRPr="00030F05">
      <w:rPr>
        <w:sz w:val="16"/>
      </w:rPr>
      <w:t>Need more information?</w:t>
    </w:r>
    <w:r w:rsidRPr="00030F05">
      <w:rPr>
        <w:sz w:val="16"/>
      </w:rPr>
      <w:br/>
    </w:r>
    <w:r>
      <w:rPr>
        <w:sz w:val="16"/>
      </w:rPr>
      <w:t>freshfoods@iriworldwide.com</w:t>
    </w:r>
    <w:r>
      <w:rPr>
        <w:sz w:val="16"/>
      </w:rPr>
      <w:tab/>
    </w:r>
    <w:r>
      <w:rPr>
        <w:sz w:val="16"/>
      </w:rPr>
      <w:tab/>
    </w:r>
    <w:r>
      <w:rPr>
        <w:sz w:val="16"/>
      </w:rPr>
      <w:tab/>
      <w:t>210 Analytics</w:t>
    </w:r>
  </w:p>
  <w:p w14:paraId="6E4FF3AA" w14:textId="61144657" w:rsidR="00811C9C" w:rsidRPr="00030F05" w:rsidRDefault="00811C9C" w:rsidP="009172A3">
    <w:pPr>
      <w:pStyle w:val="NoSpacing"/>
      <w:rPr>
        <w:sz w:val="16"/>
      </w:rPr>
    </w:pPr>
    <w:r>
      <w:rPr>
        <w:sz w:val="16"/>
      </w:rPr>
      <w:t>FreshProduce@iriworldwide.com</w:t>
    </w:r>
    <w:r>
      <w:rPr>
        <w:sz w:val="16"/>
      </w:rPr>
      <w:tab/>
    </w:r>
    <w:r>
      <w:rPr>
        <w:sz w:val="16"/>
      </w:rPr>
      <w:tab/>
      <w:t>aroerink@210analytics.com</w:t>
    </w:r>
  </w:p>
  <w:p w14:paraId="0C43B367" w14:textId="77777777" w:rsidR="00811C9C" w:rsidRDefault="00811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46E0" w14:textId="77777777" w:rsidR="00E33990" w:rsidRDefault="00E33990" w:rsidP="007E1D2E">
      <w:pPr>
        <w:spacing w:after="0" w:line="240" w:lineRule="auto"/>
      </w:pPr>
      <w:r>
        <w:separator/>
      </w:r>
    </w:p>
  </w:footnote>
  <w:footnote w:type="continuationSeparator" w:id="0">
    <w:p w14:paraId="4BE4EB0C" w14:textId="77777777" w:rsidR="00E33990" w:rsidRDefault="00E33990" w:rsidP="007E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63C2" w14:textId="77777777" w:rsidR="00811C9C" w:rsidRDefault="00811C9C">
    <w:pPr>
      <w:pStyle w:val="Header"/>
    </w:pPr>
    <w:r w:rsidRPr="00030F05">
      <w:rPr>
        <w:noProof/>
        <w:lang w:val="nl-NL" w:eastAsia="nl-NL"/>
      </w:rPr>
      <w:drawing>
        <wp:anchor distT="0" distB="0" distL="114300" distR="114300" simplePos="0" relativeHeight="251657216" behindDoc="1" locked="1" layoutInCell="1" allowOverlap="1" wp14:anchorId="1C9A4F7D" wp14:editId="66E82C26">
          <wp:simplePos x="0" y="0"/>
          <wp:positionH relativeFrom="page">
            <wp:posOffset>1521847</wp:posOffset>
          </wp:positionH>
          <wp:positionV relativeFrom="page">
            <wp:posOffset>0</wp:posOffset>
          </wp:positionV>
          <wp:extent cx="6270431" cy="787179"/>
          <wp:effectExtent l="19050" t="0" r="0" b="0"/>
          <wp:wrapNone/>
          <wp:docPr id="1" name="Picture 1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rcRect b="28448"/>
                  <a:stretch>
                    <a:fillRect/>
                  </a:stretch>
                </pic:blipFill>
                <pic:spPr>
                  <a:xfrm>
                    <a:off x="0" y="0"/>
                    <a:ext cx="6267450" cy="790575"/>
                  </a:xfrm>
                  <a:prstGeom prst="rect">
                    <a:avLst/>
                  </a:prstGeom>
                </pic:spPr>
              </pic:pic>
            </a:graphicData>
          </a:graphic>
        </wp:anchor>
      </w:drawing>
    </w:r>
    <w:r w:rsidRPr="00030F05">
      <w:rPr>
        <w:noProof/>
        <w:lang w:val="nl-NL" w:eastAsia="nl-NL"/>
      </w:rPr>
      <w:drawing>
        <wp:anchor distT="0" distB="0" distL="114300" distR="114300" simplePos="0" relativeHeight="251656192" behindDoc="0" locked="1" layoutInCell="1" allowOverlap="1" wp14:anchorId="73F2A16B" wp14:editId="3E276A20">
          <wp:simplePos x="0" y="0"/>
          <wp:positionH relativeFrom="page">
            <wp:posOffset>-55659</wp:posOffset>
          </wp:positionH>
          <wp:positionV relativeFrom="page">
            <wp:posOffset>0</wp:posOffset>
          </wp:positionV>
          <wp:extent cx="7903596" cy="289450"/>
          <wp:effectExtent l="0" t="0" r="0" b="1270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jpg"/>
                  <pic:cNvPicPr/>
                </pic:nvPicPr>
                <pic:blipFill rotWithShape="1">
                  <a:blip r:embed="rId2">
                    <a:extLst>
                      <a:ext uri="{28A0092B-C50C-407E-A947-70E740481C1C}">
                        <a14:useLocalDpi xmlns:a14="http://schemas.microsoft.com/office/drawing/2010/main"/>
                      </a:ext>
                    </a:extLst>
                  </a:blip>
                  <a:srcRect/>
                  <a:stretch/>
                </pic:blipFill>
                <pic:spPr bwMode="auto">
                  <a:xfrm>
                    <a:off x="0" y="0"/>
                    <a:ext cx="7909560" cy="2921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EE0"/>
    <w:multiLevelType w:val="hybridMultilevel"/>
    <w:tmpl w:val="A684B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75C90"/>
    <w:multiLevelType w:val="hybridMultilevel"/>
    <w:tmpl w:val="752ED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040D6"/>
    <w:multiLevelType w:val="hybridMultilevel"/>
    <w:tmpl w:val="11A0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C302F0"/>
    <w:multiLevelType w:val="hybridMultilevel"/>
    <w:tmpl w:val="E13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B60CD"/>
    <w:multiLevelType w:val="hybridMultilevel"/>
    <w:tmpl w:val="ABEA9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A0879"/>
    <w:multiLevelType w:val="hybridMultilevel"/>
    <w:tmpl w:val="69A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50D42"/>
    <w:multiLevelType w:val="hybridMultilevel"/>
    <w:tmpl w:val="8F8C6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4D3521"/>
    <w:multiLevelType w:val="hybridMultilevel"/>
    <w:tmpl w:val="467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225"/>
    <w:multiLevelType w:val="hybridMultilevel"/>
    <w:tmpl w:val="52A604A8"/>
    <w:lvl w:ilvl="0" w:tplc="AAAC1FB8">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C3B04"/>
    <w:multiLevelType w:val="hybridMultilevel"/>
    <w:tmpl w:val="7F3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E81402"/>
    <w:multiLevelType w:val="hybridMultilevel"/>
    <w:tmpl w:val="870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A15C7"/>
    <w:multiLevelType w:val="hybridMultilevel"/>
    <w:tmpl w:val="38A4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97A99"/>
    <w:multiLevelType w:val="hybridMultilevel"/>
    <w:tmpl w:val="1E2CD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924DE6"/>
    <w:multiLevelType w:val="hybridMultilevel"/>
    <w:tmpl w:val="649E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5042CF"/>
    <w:multiLevelType w:val="hybridMultilevel"/>
    <w:tmpl w:val="A328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A776B4"/>
    <w:multiLevelType w:val="hybridMultilevel"/>
    <w:tmpl w:val="36E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F24BB"/>
    <w:multiLevelType w:val="hybridMultilevel"/>
    <w:tmpl w:val="A492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A064A1"/>
    <w:multiLevelType w:val="hybridMultilevel"/>
    <w:tmpl w:val="86840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5869AC"/>
    <w:multiLevelType w:val="hybridMultilevel"/>
    <w:tmpl w:val="87902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9867E9"/>
    <w:multiLevelType w:val="hybridMultilevel"/>
    <w:tmpl w:val="4846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C67E98"/>
    <w:multiLevelType w:val="hybridMultilevel"/>
    <w:tmpl w:val="A46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31247"/>
    <w:multiLevelType w:val="hybridMultilevel"/>
    <w:tmpl w:val="A3E0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39032F"/>
    <w:multiLevelType w:val="hybridMultilevel"/>
    <w:tmpl w:val="8668B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7A61B6"/>
    <w:multiLevelType w:val="hybridMultilevel"/>
    <w:tmpl w:val="8508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E87EF7"/>
    <w:multiLevelType w:val="hybridMultilevel"/>
    <w:tmpl w:val="3FB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5D18DB"/>
    <w:multiLevelType w:val="hybridMultilevel"/>
    <w:tmpl w:val="C2640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034E9D"/>
    <w:multiLevelType w:val="hybridMultilevel"/>
    <w:tmpl w:val="B81ED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464BB5"/>
    <w:multiLevelType w:val="hybridMultilevel"/>
    <w:tmpl w:val="53684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691A86"/>
    <w:multiLevelType w:val="hybridMultilevel"/>
    <w:tmpl w:val="D81C5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CED5576"/>
    <w:multiLevelType w:val="hybridMultilevel"/>
    <w:tmpl w:val="64E2B4B6"/>
    <w:lvl w:ilvl="0" w:tplc="D1F2BFB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D75C21"/>
    <w:multiLevelType w:val="hybridMultilevel"/>
    <w:tmpl w:val="39305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87160305">
    <w:abstractNumId w:val="27"/>
  </w:num>
  <w:num w:numId="2" w16cid:durableId="951285918">
    <w:abstractNumId w:val="7"/>
  </w:num>
  <w:num w:numId="3" w16cid:durableId="871457363">
    <w:abstractNumId w:val="25"/>
  </w:num>
  <w:num w:numId="4" w16cid:durableId="773592383">
    <w:abstractNumId w:val="26"/>
  </w:num>
  <w:num w:numId="5" w16cid:durableId="937181841">
    <w:abstractNumId w:val="29"/>
  </w:num>
  <w:num w:numId="6" w16cid:durableId="1005598887">
    <w:abstractNumId w:val="3"/>
  </w:num>
  <w:num w:numId="7" w16cid:durableId="407390879">
    <w:abstractNumId w:val="11"/>
  </w:num>
  <w:num w:numId="8" w16cid:durableId="1424649394">
    <w:abstractNumId w:val="13"/>
  </w:num>
  <w:num w:numId="9" w16cid:durableId="914632517">
    <w:abstractNumId w:val="24"/>
  </w:num>
  <w:num w:numId="10" w16cid:durableId="271397918">
    <w:abstractNumId w:val="21"/>
  </w:num>
  <w:num w:numId="11" w16cid:durableId="1174108297">
    <w:abstractNumId w:val="14"/>
  </w:num>
  <w:num w:numId="12" w16cid:durableId="1551763178">
    <w:abstractNumId w:val="5"/>
  </w:num>
  <w:num w:numId="13" w16cid:durableId="25370737">
    <w:abstractNumId w:val="2"/>
  </w:num>
  <w:num w:numId="14" w16cid:durableId="1751653377">
    <w:abstractNumId w:val="1"/>
  </w:num>
  <w:num w:numId="15" w16cid:durableId="2052607378">
    <w:abstractNumId w:val="16"/>
  </w:num>
  <w:num w:numId="16" w16cid:durableId="1461143503">
    <w:abstractNumId w:val="23"/>
  </w:num>
  <w:num w:numId="17" w16cid:durableId="40525174">
    <w:abstractNumId w:val="8"/>
  </w:num>
  <w:num w:numId="18" w16cid:durableId="1145396868">
    <w:abstractNumId w:val="30"/>
  </w:num>
  <w:num w:numId="19" w16cid:durableId="1205023961">
    <w:abstractNumId w:val="6"/>
  </w:num>
  <w:num w:numId="20" w16cid:durableId="1652323301">
    <w:abstractNumId w:val="18"/>
  </w:num>
  <w:num w:numId="21" w16cid:durableId="992297673">
    <w:abstractNumId w:val="4"/>
  </w:num>
  <w:num w:numId="22" w16cid:durableId="1760757111">
    <w:abstractNumId w:val="12"/>
  </w:num>
  <w:num w:numId="23" w16cid:durableId="1683359768">
    <w:abstractNumId w:val="19"/>
  </w:num>
  <w:num w:numId="24" w16cid:durableId="968046259">
    <w:abstractNumId w:val="22"/>
  </w:num>
  <w:num w:numId="25" w16cid:durableId="1373072673">
    <w:abstractNumId w:val="10"/>
  </w:num>
  <w:num w:numId="26" w16cid:durableId="546793406">
    <w:abstractNumId w:val="9"/>
  </w:num>
  <w:num w:numId="27" w16cid:durableId="93863649">
    <w:abstractNumId w:val="20"/>
  </w:num>
  <w:num w:numId="28" w16cid:durableId="1195265150">
    <w:abstractNumId w:val="22"/>
  </w:num>
  <w:num w:numId="29" w16cid:durableId="240675485">
    <w:abstractNumId w:val="15"/>
  </w:num>
  <w:num w:numId="30" w16cid:durableId="474218824">
    <w:abstractNumId w:val="17"/>
  </w:num>
  <w:num w:numId="31" w16cid:durableId="1589340558">
    <w:abstractNumId w:val="0"/>
  </w:num>
  <w:num w:numId="32" w16cid:durableId="89073236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2D"/>
    <w:rsid w:val="00000581"/>
    <w:rsid w:val="0000075A"/>
    <w:rsid w:val="0000248F"/>
    <w:rsid w:val="00003384"/>
    <w:rsid w:val="00007A72"/>
    <w:rsid w:val="00010D51"/>
    <w:rsid w:val="0001120A"/>
    <w:rsid w:val="000117EF"/>
    <w:rsid w:val="00012355"/>
    <w:rsid w:val="00013787"/>
    <w:rsid w:val="000166DA"/>
    <w:rsid w:val="00017BCE"/>
    <w:rsid w:val="00017F7D"/>
    <w:rsid w:val="00020882"/>
    <w:rsid w:val="00022AE5"/>
    <w:rsid w:val="00022DA3"/>
    <w:rsid w:val="00023C8F"/>
    <w:rsid w:val="00024B5F"/>
    <w:rsid w:val="00025202"/>
    <w:rsid w:val="000263ED"/>
    <w:rsid w:val="00027658"/>
    <w:rsid w:val="0003032A"/>
    <w:rsid w:val="0003459A"/>
    <w:rsid w:val="00034C1B"/>
    <w:rsid w:val="00036105"/>
    <w:rsid w:val="000369B9"/>
    <w:rsid w:val="00036B2C"/>
    <w:rsid w:val="000375AF"/>
    <w:rsid w:val="000377D1"/>
    <w:rsid w:val="00042FD2"/>
    <w:rsid w:val="000439A5"/>
    <w:rsid w:val="00043B43"/>
    <w:rsid w:val="00050514"/>
    <w:rsid w:val="0005157F"/>
    <w:rsid w:val="00051887"/>
    <w:rsid w:val="000526EA"/>
    <w:rsid w:val="00052CF6"/>
    <w:rsid w:val="000538C0"/>
    <w:rsid w:val="00053F8C"/>
    <w:rsid w:val="000544E1"/>
    <w:rsid w:val="000545C1"/>
    <w:rsid w:val="0005496E"/>
    <w:rsid w:val="000554A9"/>
    <w:rsid w:val="00055F57"/>
    <w:rsid w:val="00057ED6"/>
    <w:rsid w:val="000607BB"/>
    <w:rsid w:val="00060A46"/>
    <w:rsid w:val="00061697"/>
    <w:rsid w:val="00061736"/>
    <w:rsid w:val="00062D68"/>
    <w:rsid w:val="00064FBD"/>
    <w:rsid w:val="000658F7"/>
    <w:rsid w:val="0006645D"/>
    <w:rsid w:val="000670BC"/>
    <w:rsid w:val="00070D2B"/>
    <w:rsid w:val="00070E17"/>
    <w:rsid w:val="00071A3E"/>
    <w:rsid w:val="00073676"/>
    <w:rsid w:val="00080BAE"/>
    <w:rsid w:val="000811E7"/>
    <w:rsid w:val="000833C6"/>
    <w:rsid w:val="00083DB0"/>
    <w:rsid w:val="00083EF7"/>
    <w:rsid w:val="00084469"/>
    <w:rsid w:val="00086061"/>
    <w:rsid w:val="000905A6"/>
    <w:rsid w:val="00091E61"/>
    <w:rsid w:val="0009337A"/>
    <w:rsid w:val="000933A2"/>
    <w:rsid w:val="00093E23"/>
    <w:rsid w:val="000A17A4"/>
    <w:rsid w:val="000A1FB2"/>
    <w:rsid w:val="000A208D"/>
    <w:rsid w:val="000A3E66"/>
    <w:rsid w:val="000A543A"/>
    <w:rsid w:val="000A7CDC"/>
    <w:rsid w:val="000B035F"/>
    <w:rsid w:val="000B0895"/>
    <w:rsid w:val="000B0AF5"/>
    <w:rsid w:val="000B0C6D"/>
    <w:rsid w:val="000B16D5"/>
    <w:rsid w:val="000B296C"/>
    <w:rsid w:val="000B44E8"/>
    <w:rsid w:val="000B4FD7"/>
    <w:rsid w:val="000B5FE1"/>
    <w:rsid w:val="000B62E2"/>
    <w:rsid w:val="000B6A06"/>
    <w:rsid w:val="000B705A"/>
    <w:rsid w:val="000B73DB"/>
    <w:rsid w:val="000C0984"/>
    <w:rsid w:val="000C0F39"/>
    <w:rsid w:val="000C1222"/>
    <w:rsid w:val="000C2C93"/>
    <w:rsid w:val="000C4A54"/>
    <w:rsid w:val="000C73F6"/>
    <w:rsid w:val="000C757A"/>
    <w:rsid w:val="000D036B"/>
    <w:rsid w:val="000D0664"/>
    <w:rsid w:val="000D3B17"/>
    <w:rsid w:val="000D5031"/>
    <w:rsid w:val="000D5607"/>
    <w:rsid w:val="000D5DA3"/>
    <w:rsid w:val="000D5E13"/>
    <w:rsid w:val="000D6CF5"/>
    <w:rsid w:val="000D6E48"/>
    <w:rsid w:val="000E02DD"/>
    <w:rsid w:val="000E109F"/>
    <w:rsid w:val="000E2CB5"/>
    <w:rsid w:val="000E3C59"/>
    <w:rsid w:val="000E4F51"/>
    <w:rsid w:val="000E6D83"/>
    <w:rsid w:val="000F1852"/>
    <w:rsid w:val="000F1BEC"/>
    <w:rsid w:val="000F3291"/>
    <w:rsid w:val="000F45C4"/>
    <w:rsid w:val="000F5310"/>
    <w:rsid w:val="000F53E4"/>
    <w:rsid w:val="000F55C0"/>
    <w:rsid w:val="000F7521"/>
    <w:rsid w:val="000F7549"/>
    <w:rsid w:val="000F7932"/>
    <w:rsid w:val="000F7F92"/>
    <w:rsid w:val="001008BD"/>
    <w:rsid w:val="0010093C"/>
    <w:rsid w:val="00100F44"/>
    <w:rsid w:val="00101C4E"/>
    <w:rsid w:val="001024F6"/>
    <w:rsid w:val="00102502"/>
    <w:rsid w:val="0010503A"/>
    <w:rsid w:val="00105352"/>
    <w:rsid w:val="00105554"/>
    <w:rsid w:val="0010695F"/>
    <w:rsid w:val="00106F0B"/>
    <w:rsid w:val="00110FF9"/>
    <w:rsid w:val="001118D5"/>
    <w:rsid w:val="00112A5A"/>
    <w:rsid w:val="00112E9A"/>
    <w:rsid w:val="001141CA"/>
    <w:rsid w:val="0011420E"/>
    <w:rsid w:val="00114591"/>
    <w:rsid w:val="001162B9"/>
    <w:rsid w:val="0011663F"/>
    <w:rsid w:val="00116FC7"/>
    <w:rsid w:val="0011773C"/>
    <w:rsid w:val="001210D2"/>
    <w:rsid w:val="001213B4"/>
    <w:rsid w:val="00121989"/>
    <w:rsid w:val="00121E18"/>
    <w:rsid w:val="00125FAE"/>
    <w:rsid w:val="00130D41"/>
    <w:rsid w:val="0013132D"/>
    <w:rsid w:val="00131954"/>
    <w:rsid w:val="00131B9A"/>
    <w:rsid w:val="0013220C"/>
    <w:rsid w:val="00133959"/>
    <w:rsid w:val="001344E1"/>
    <w:rsid w:val="00134BC0"/>
    <w:rsid w:val="00135BE7"/>
    <w:rsid w:val="001404B7"/>
    <w:rsid w:val="00140A5F"/>
    <w:rsid w:val="00140B3C"/>
    <w:rsid w:val="00141DBA"/>
    <w:rsid w:val="001420B1"/>
    <w:rsid w:val="00143527"/>
    <w:rsid w:val="001452A1"/>
    <w:rsid w:val="00150F33"/>
    <w:rsid w:val="00151C32"/>
    <w:rsid w:val="00151CCC"/>
    <w:rsid w:val="00152095"/>
    <w:rsid w:val="0015304E"/>
    <w:rsid w:val="00155142"/>
    <w:rsid w:val="00155ACB"/>
    <w:rsid w:val="00157669"/>
    <w:rsid w:val="00157776"/>
    <w:rsid w:val="0016082C"/>
    <w:rsid w:val="00160D1A"/>
    <w:rsid w:val="00162C95"/>
    <w:rsid w:val="00163CF9"/>
    <w:rsid w:val="00163F0B"/>
    <w:rsid w:val="00164B37"/>
    <w:rsid w:val="0016509F"/>
    <w:rsid w:val="001676D0"/>
    <w:rsid w:val="0017206C"/>
    <w:rsid w:val="001729EA"/>
    <w:rsid w:val="001734CE"/>
    <w:rsid w:val="00180487"/>
    <w:rsid w:val="001823F0"/>
    <w:rsid w:val="0018439F"/>
    <w:rsid w:val="001904BA"/>
    <w:rsid w:val="00190A58"/>
    <w:rsid w:val="00191B23"/>
    <w:rsid w:val="00192C41"/>
    <w:rsid w:val="00192E8C"/>
    <w:rsid w:val="001937D1"/>
    <w:rsid w:val="001946FE"/>
    <w:rsid w:val="00194FCF"/>
    <w:rsid w:val="0019681B"/>
    <w:rsid w:val="0019735A"/>
    <w:rsid w:val="0019737A"/>
    <w:rsid w:val="001A0796"/>
    <w:rsid w:val="001A0E90"/>
    <w:rsid w:val="001A1830"/>
    <w:rsid w:val="001A2844"/>
    <w:rsid w:val="001A2FCB"/>
    <w:rsid w:val="001A3559"/>
    <w:rsid w:val="001A4317"/>
    <w:rsid w:val="001A4F53"/>
    <w:rsid w:val="001B04C2"/>
    <w:rsid w:val="001B27BC"/>
    <w:rsid w:val="001B2A5E"/>
    <w:rsid w:val="001B361F"/>
    <w:rsid w:val="001B5D83"/>
    <w:rsid w:val="001B6F56"/>
    <w:rsid w:val="001C0658"/>
    <w:rsid w:val="001C0962"/>
    <w:rsid w:val="001C21F6"/>
    <w:rsid w:val="001C454A"/>
    <w:rsid w:val="001C5358"/>
    <w:rsid w:val="001C54D9"/>
    <w:rsid w:val="001C56E4"/>
    <w:rsid w:val="001C6281"/>
    <w:rsid w:val="001C641C"/>
    <w:rsid w:val="001C6B93"/>
    <w:rsid w:val="001D030C"/>
    <w:rsid w:val="001D0A38"/>
    <w:rsid w:val="001D0C47"/>
    <w:rsid w:val="001D0D13"/>
    <w:rsid w:val="001D13E3"/>
    <w:rsid w:val="001D1C94"/>
    <w:rsid w:val="001D1FD7"/>
    <w:rsid w:val="001D2163"/>
    <w:rsid w:val="001D4954"/>
    <w:rsid w:val="001D5464"/>
    <w:rsid w:val="001D5C1A"/>
    <w:rsid w:val="001D65B2"/>
    <w:rsid w:val="001E19ED"/>
    <w:rsid w:val="001E1AD8"/>
    <w:rsid w:val="001E2207"/>
    <w:rsid w:val="001E26EB"/>
    <w:rsid w:val="001E28F9"/>
    <w:rsid w:val="001E3E8E"/>
    <w:rsid w:val="001E4381"/>
    <w:rsid w:val="001E4CD3"/>
    <w:rsid w:val="001E4D03"/>
    <w:rsid w:val="001E5E9F"/>
    <w:rsid w:val="001E60A9"/>
    <w:rsid w:val="001E726D"/>
    <w:rsid w:val="001F04FA"/>
    <w:rsid w:val="001F074D"/>
    <w:rsid w:val="001F292B"/>
    <w:rsid w:val="001F29DC"/>
    <w:rsid w:val="001F4BAF"/>
    <w:rsid w:val="001F512A"/>
    <w:rsid w:val="001F53D3"/>
    <w:rsid w:val="001F7395"/>
    <w:rsid w:val="00200C0F"/>
    <w:rsid w:val="00200D19"/>
    <w:rsid w:val="00203B6C"/>
    <w:rsid w:val="0020634E"/>
    <w:rsid w:val="00206FA1"/>
    <w:rsid w:val="00207525"/>
    <w:rsid w:val="0021074E"/>
    <w:rsid w:val="00211933"/>
    <w:rsid w:val="002137F5"/>
    <w:rsid w:val="00213F99"/>
    <w:rsid w:val="0021462C"/>
    <w:rsid w:val="00214C85"/>
    <w:rsid w:val="00215410"/>
    <w:rsid w:val="00215D7C"/>
    <w:rsid w:val="0021673D"/>
    <w:rsid w:val="00216752"/>
    <w:rsid w:val="0021684E"/>
    <w:rsid w:val="00216FFD"/>
    <w:rsid w:val="00217CA1"/>
    <w:rsid w:val="00217E85"/>
    <w:rsid w:val="0022022C"/>
    <w:rsid w:val="00220B71"/>
    <w:rsid w:val="0022252A"/>
    <w:rsid w:val="00223410"/>
    <w:rsid w:val="00223615"/>
    <w:rsid w:val="00226322"/>
    <w:rsid w:val="00227ED7"/>
    <w:rsid w:val="00230809"/>
    <w:rsid w:val="00230E25"/>
    <w:rsid w:val="00231015"/>
    <w:rsid w:val="002314B8"/>
    <w:rsid w:val="00231A49"/>
    <w:rsid w:val="00231B9B"/>
    <w:rsid w:val="00231DF3"/>
    <w:rsid w:val="00232B19"/>
    <w:rsid w:val="00232CD1"/>
    <w:rsid w:val="002358BA"/>
    <w:rsid w:val="00235FBD"/>
    <w:rsid w:val="002409F7"/>
    <w:rsid w:val="002450E6"/>
    <w:rsid w:val="0024618B"/>
    <w:rsid w:val="0024650C"/>
    <w:rsid w:val="00247235"/>
    <w:rsid w:val="00247561"/>
    <w:rsid w:val="00250FB7"/>
    <w:rsid w:val="00251476"/>
    <w:rsid w:val="00252AC4"/>
    <w:rsid w:val="00253528"/>
    <w:rsid w:val="00253765"/>
    <w:rsid w:val="00254063"/>
    <w:rsid w:val="00254795"/>
    <w:rsid w:val="00254FD3"/>
    <w:rsid w:val="00255020"/>
    <w:rsid w:val="002559AC"/>
    <w:rsid w:val="002561CF"/>
    <w:rsid w:val="002577CE"/>
    <w:rsid w:val="0026038C"/>
    <w:rsid w:val="00260E1C"/>
    <w:rsid w:val="00262B72"/>
    <w:rsid w:val="00262B7A"/>
    <w:rsid w:val="00263C9F"/>
    <w:rsid w:val="00265A50"/>
    <w:rsid w:val="00266196"/>
    <w:rsid w:val="00267E57"/>
    <w:rsid w:val="00271EF8"/>
    <w:rsid w:val="00272C41"/>
    <w:rsid w:val="00273813"/>
    <w:rsid w:val="002741C9"/>
    <w:rsid w:val="00274C89"/>
    <w:rsid w:val="0027508E"/>
    <w:rsid w:val="002769A5"/>
    <w:rsid w:val="00280853"/>
    <w:rsid w:val="00281DD0"/>
    <w:rsid w:val="0028208D"/>
    <w:rsid w:val="002829C4"/>
    <w:rsid w:val="002839FE"/>
    <w:rsid w:val="00283FD8"/>
    <w:rsid w:val="00284D1B"/>
    <w:rsid w:val="002855FE"/>
    <w:rsid w:val="00285C02"/>
    <w:rsid w:val="00286F2E"/>
    <w:rsid w:val="002909D7"/>
    <w:rsid w:val="00290E49"/>
    <w:rsid w:val="00292CDE"/>
    <w:rsid w:val="00292EC7"/>
    <w:rsid w:val="002938C6"/>
    <w:rsid w:val="00296016"/>
    <w:rsid w:val="002968B4"/>
    <w:rsid w:val="002979E1"/>
    <w:rsid w:val="00297D11"/>
    <w:rsid w:val="002A1EEF"/>
    <w:rsid w:val="002A2D80"/>
    <w:rsid w:val="002A4D9A"/>
    <w:rsid w:val="002B1115"/>
    <w:rsid w:val="002B46DD"/>
    <w:rsid w:val="002B647B"/>
    <w:rsid w:val="002B68A7"/>
    <w:rsid w:val="002C0E44"/>
    <w:rsid w:val="002C11A9"/>
    <w:rsid w:val="002C22DF"/>
    <w:rsid w:val="002C2F4F"/>
    <w:rsid w:val="002C4F5A"/>
    <w:rsid w:val="002C64EC"/>
    <w:rsid w:val="002C6B59"/>
    <w:rsid w:val="002C7619"/>
    <w:rsid w:val="002D178D"/>
    <w:rsid w:val="002D28F4"/>
    <w:rsid w:val="002D3293"/>
    <w:rsid w:val="002D3EC8"/>
    <w:rsid w:val="002D5486"/>
    <w:rsid w:val="002D7676"/>
    <w:rsid w:val="002D7D39"/>
    <w:rsid w:val="002D7F8D"/>
    <w:rsid w:val="002E0575"/>
    <w:rsid w:val="002E09F5"/>
    <w:rsid w:val="002E3448"/>
    <w:rsid w:val="002E3E0D"/>
    <w:rsid w:val="002E42E2"/>
    <w:rsid w:val="002E4BE8"/>
    <w:rsid w:val="002E5503"/>
    <w:rsid w:val="002E5A54"/>
    <w:rsid w:val="002E6833"/>
    <w:rsid w:val="002E6C34"/>
    <w:rsid w:val="002E71DE"/>
    <w:rsid w:val="002E76F7"/>
    <w:rsid w:val="002E78E1"/>
    <w:rsid w:val="002E7CDB"/>
    <w:rsid w:val="002F2661"/>
    <w:rsid w:val="002F3E80"/>
    <w:rsid w:val="002F74F6"/>
    <w:rsid w:val="002F7B5D"/>
    <w:rsid w:val="00300012"/>
    <w:rsid w:val="00300ECD"/>
    <w:rsid w:val="00301A27"/>
    <w:rsid w:val="00301A61"/>
    <w:rsid w:val="00302080"/>
    <w:rsid w:val="003025A7"/>
    <w:rsid w:val="00304308"/>
    <w:rsid w:val="00305692"/>
    <w:rsid w:val="003057CD"/>
    <w:rsid w:val="00307723"/>
    <w:rsid w:val="00310171"/>
    <w:rsid w:val="0031035E"/>
    <w:rsid w:val="00310885"/>
    <w:rsid w:val="00311B6D"/>
    <w:rsid w:val="00313611"/>
    <w:rsid w:val="00313FC0"/>
    <w:rsid w:val="0031467A"/>
    <w:rsid w:val="00314F38"/>
    <w:rsid w:val="003150F5"/>
    <w:rsid w:val="00315642"/>
    <w:rsid w:val="00315C59"/>
    <w:rsid w:val="003168B6"/>
    <w:rsid w:val="00317658"/>
    <w:rsid w:val="00321D95"/>
    <w:rsid w:val="00323CA3"/>
    <w:rsid w:val="00324012"/>
    <w:rsid w:val="00324348"/>
    <w:rsid w:val="00324547"/>
    <w:rsid w:val="003269C9"/>
    <w:rsid w:val="003304F8"/>
    <w:rsid w:val="00330FD7"/>
    <w:rsid w:val="0033194E"/>
    <w:rsid w:val="00331E0B"/>
    <w:rsid w:val="00332630"/>
    <w:rsid w:val="00332866"/>
    <w:rsid w:val="00334213"/>
    <w:rsid w:val="00334F5C"/>
    <w:rsid w:val="0033541D"/>
    <w:rsid w:val="00335BB3"/>
    <w:rsid w:val="00335E8D"/>
    <w:rsid w:val="00336C30"/>
    <w:rsid w:val="003400E7"/>
    <w:rsid w:val="00340AA9"/>
    <w:rsid w:val="00342B2D"/>
    <w:rsid w:val="003433C6"/>
    <w:rsid w:val="003441BB"/>
    <w:rsid w:val="00345BA2"/>
    <w:rsid w:val="00345E41"/>
    <w:rsid w:val="0034772B"/>
    <w:rsid w:val="003507F8"/>
    <w:rsid w:val="003508FD"/>
    <w:rsid w:val="003538DC"/>
    <w:rsid w:val="00354739"/>
    <w:rsid w:val="003555F0"/>
    <w:rsid w:val="0035616A"/>
    <w:rsid w:val="00356566"/>
    <w:rsid w:val="00357E26"/>
    <w:rsid w:val="00361BCC"/>
    <w:rsid w:val="003627EF"/>
    <w:rsid w:val="00365D81"/>
    <w:rsid w:val="003671FD"/>
    <w:rsid w:val="00367C42"/>
    <w:rsid w:val="003702C2"/>
    <w:rsid w:val="00373662"/>
    <w:rsid w:val="00375DB1"/>
    <w:rsid w:val="00380CBC"/>
    <w:rsid w:val="0038311D"/>
    <w:rsid w:val="00384436"/>
    <w:rsid w:val="00384446"/>
    <w:rsid w:val="00384746"/>
    <w:rsid w:val="0038533A"/>
    <w:rsid w:val="003860D6"/>
    <w:rsid w:val="00386440"/>
    <w:rsid w:val="0038781D"/>
    <w:rsid w:val="00392773"/>
    <w:rsid w:val="00392F8D"/>
    <w:rsid w:val="00393115"/>
    <w:rsid w:val="00393357"/>
    <w:rsid w:val="003935EB"/>
    <w:rsid w:val="00393E83"/>
    <w:rsid w:val="00394F89"/>
    <w:rsid w:val="00395431"/>
    <w:rsid w:val="0039690E"/>
    <w:rsid w:val="003A00AA"/>
    <w:rsid w:val="003A0E9C"/>
    <w:rsid w:val="003A1E76"/>
    <w:rsid w:val="003A20BE"/>
    <w:rsid w:val="003A40A2"/>
    <w:rsid w:val="003A7E92"/>
    <w:rsid w:val="003B041E"/>
    <w:rsid w:val="003B0512"/>
    <w:rsid w:val="003B22D4"/>
    <w:rsid w:val="003B318C"/>
    <w:rsid w:val="003B46DA"/>
    <w:rsid w:val="003B4FA0"/>
    <w:rsid w:val="003B6387"/>
    <w:rsid w:val="003C0347"/>
    <w:rsid w:val="003C39A1"/>
    <w:rsid w:val="003C455D"/>
    <w:rsid w:val="003C4C33"/>
    <w:rsid w:val="003C6387"/>
    <w:rsid w:val="003C63CD"/>
    <w:rsid w:val="003C73D4"/>
    <w:rsid w:val="003C7643"/>
    <w:rsid w:val="003C782B"/>
    <w:rsid w:val="003C7846"/>
    <w:rsid w:val="003C7D7A"/>
    <w:rsid w:val="003D0AE6"/>
    <w:rsid w:val="003D0C38"/>
    <w:rsid w:val="003D2003"/>
    <w:rsid w:val="003D2D37"/>
    <w:rsid w:val="003D31A0"/>
    <w:rsid w:val="003D339B"/>
    <w:rsid w:val="003D37B7"/>
    <w:rsid w:val="003D46CC"/>
    <w:rsid w:val="003E0B5A"/>
    <w:rsid w:val="003E0C1E"/>
    <w:rsid w:val="003E0E97"/>
    <w:rsid w:val="003E1146"/>
    <w:rsid w:val="003E1441"/>
    <w:rsid w:val="003E1B5F"/>
    <w:rsid w:val="003E2198"/>
    <w:rsid w:val="003E330D"/>
    <w:rsid w:val="003E4829"/>
    <w:rsid w:val="003E4D8A"/>
    <w:rsid w:val="003E55E0"/>
    <w:rsid w:val="003E5674"/>
    <w:rsid w:val="003F1982"/>
    <w:rsid w:val="003F22C7"/>
    <w:rsid w:val="003F230B"/>
    <w:rsid w:val="003F3DAA"/>
    <w:rsid w:val="003F513E"/>
    <w:rsid w:val="003F5D02"/>
    <w:rsid w:val="003F676E"/>
    <w:rsid w:val="00400319"/>
    <w:rsid w:val="00401D64"/>
    <w:rsid w:val="0040269A"/>
    <w:rsid w:val="00402E47"/>
    <w:rsid w:val="00403382"/>
    <w:rsid w:val="00403929"/>
    <w:rsid w:val="00403A49"/>
    <w:rsid w:val="004045F4"/>
    <w:rsid w:val="00405174"/>
    <w:rsid w:val="00405372"/>
    <w:rsid w:val="00406AA9"/>
    <w:rsid w:val="00412BCF"/>
    <w:rsid w:val="00413E9F"/>
    <w:rsid w:val="004146EF"/>
    <w:rsid w:val="00414828"/>
    <w:rsid w:val="00414983"/>
    <w:rsid w:val="004164A0"/>
    <w:rsid w:val="00421894"/>
    <w:rsid w:val="00422C9B"/>
    <w:rsid w:val="00422CBC"/>
    <w:rsid w:val="00423839"/>
    <w:rsid w:val="00423AA6"/>
    <w:rsid w:val="0042476D"/>
    <w:rsid w:val="00424B0A"/>
    <w:rsid w:val="004262CE"/>
    <w:rsid w:val="00427A55"/>
    <w:rsid w:val="004304A7"/>
    <w:rsid w:val="004314BF"/>
    <w:rsid w:val="004324AC"/>
    <w:rsid w:val="004349A0"/>
    <w:rsid w:val="00434A67"/>
    <w:rsid w:val="00434B5E"/>
    <w:rsid w:val="00435088"/>
    <w:rsid w:val="00437E02"/>
    <w:rsid w:val="00440E23"/>
    <w:rsid w:val="00441424"/>
    <w:rsid w:val="00441E8F"/>
    <w:rsid w:val="00443A78"/>
    <w:rsid w:val="00444E82"/>
    <w:rsid w:val="00444F30"/>
    <w:rsid w:val="00445232"/>
    <w:rsid w:val="00445503"/>
    <w:rsid w:val="004460B5"/>
    <w:rsid w:val="00447877"/>
    <w:rsid w:val="00452431"/>
    <w:rsid w:val="00453713"/>
    <w:rsid w:val="004563F4"/>
    <w:rsid w:val="0045675D"/>
    <w:rsid w:val="00460E70"/>
    <w:rsid w:val="00460FB7"/>
    <w:rsid w:val="00461C35"/>
    <w:rsid w:val="0046208B"/>
    <w:rsid w:val="004634E6"/>
    <w:rsid w:val="004647C0"/>
    <w:rsid w:val="004649F1"/>
    <w:rsid w:val="00465D0F"/>
    <w:rsid w:val="00466863"/>
    <w:rsid w:val="00466C35"/>
    <w:rsid w:val="00466D79"/>
    <w:rsid w:val="00470A5F"/>
    <w:rsid w:val="00472A5B"/>
    <w:rsid w:val="00474357"/>
    <w:rsid w:val="00476037"/>
    <w:rsid w:val="0047723D"/>
    <w:rsid w:val="004773E0"/>
    <w:rsid w:val="00477576"/>
    <w:rsid w:val="0047795F"/>
    <w:rsid w:val="00480D74"/>
    <w:rsid w:val="004816C6"/>
    <w:rsid w:val="00482A2D"/>
    <w:rsid w:val="004850A1"/>
    <w:rsid w:val="00486117"/>
    <w:rsid w:val="00486A68"/>
    <w:rsid w:val="00487253"/>
    <w:rsid w:val="004903AC"/>
    <w:rsid w:val="00490DEA"/>
    <w:rsid w:val="00491167"/>
    <w:rsid w:val="0049143C"/>
    <w:rsid w:val="00493F7F"/>
    <w:rsid w:val="004940C4"/>
    <w:rsid w:val="00495014"/>
    <w:rsid w:val="00495F2C"/>
    <w:rsid w:val="004A11C3"/>
    <w:rsid w:val="004A4DF1"/>
    <w:rsid w:val="004A4F04"/>
    <w:rsid w:val="004B0A09"/>
    <w:rsid w:val="004B1860"/>
    <w:rsid w:val="004B21FF"/>
    <w:rsid w:val="004B2C15"/>
    <w:rsid w:val="004B4107"/>
    <w:rsid w:val="004B5E72"/>
    <w:rsid w:val="004B7B04"/>
    <w:rsid w:val="004C079D"/>
    <w:rsid w:val="004C0A02"/>
    <w:rsid w:val="004C2A38"/>
    <w:rsid w:val="004C2B65"/>
    <w:rsid w:val="004C48C8"/>
    <w:rsid w:val="004C5A19"/>
    <w:rsid w:val="004C6EF6"/>
    <w:rsid w:val="004C74E9"/>
    <w:rsid w:val="004D185B"/>
    <w:rsid w:val="004D26B3"/>
    <w:rsid w:val="004D2786"/>
    <w:rsid w:val="004D2E26"/>
    <w:rsid w:val="004D3159"/>
    <w:rsid w:val="004D582E"/>
    <w:rsid w:val="004D611F"/>
    <w:rsid w:val="004D6484"/>
    <w:rsid w:val="004D72F0"/>
    <w:rsid w:val="004E17F7"/>
    <w:rsid w:val="004E1D60"/>
    <w:rsid w:val="004E1FBB"/>
    <w:rsid w:val="004E23F5"/>
    <w:rsid w:val="004E2CC6"/>
    <w:rsid w:val="004E6B52"/>
    <w:rsid w:val="004F27DA"/>
    <w:rsid w:val="004F346A"/>
    <w:rsid w:val="004F61B9"/>
    <w:rsid w:val="004F66AC"/>
    <w:rsid w:val="004F69B5"/>
    <w:rsid w:val="004F7335"/>
    <w:rsid w:val="005017D2"/>
    <w:rsid w:val="005041EB"/>
    <w:rsid w:val="00504AF6"/>
    <w:rsid w:val="00504E6B"/>
    <w:rsid w:val="00504EC1"/>
    <w:rsid w:val="00504F5F"/>
    <w:rsid w:val="00505E84"/>
    <w:rsid w:val="005070E3"/>
    <w:rsid w:val="00507D74"/>
    <w:rsid w:val="0051320B"/>
    <w:rsid w:val="00514512"/>
    <w:rsid w:val="00516F4B"/>
    <w:rsid w:val="00517A63"/>
    <w:rsid w:val="00517D7F"/>
    <w:rsid w:val="00520731"/>
    <w:rsid w:val="00521574"/>
    <w:rsid w:val="00523ACE"/>
    <w:rsid w:val="00524065"/>
    <w:rsid w:val="00524358"/>
    <w:rsid w:val="00525BFD"/>
    <w:rsid w:val="00530E04"/>
    <w:rsid w:val="0053257C"/>
    <w:rsid w:val="0053272F"/>
    <w:rsid w:val="0053367C"/>
    <w:rsid w:val="00533970"/>
    <w:rsid w:val="00534F05"/>
    <w:rsid w:val="00540B8A"/>
    <w:rsid w:val="00541668"/>
    <w:rsid w:val="00542741"/>
    <w:rsid w:val="00542BDA"/>
    <w:rsid w:val="00543085"/>
    <w:rsid w:val="00546508"/>
    <w:rsid w:val="00547E8F"/>
    <w:rsid w:val="00550F90"/>
    <w:rsid w:val="005512D4"/>
    <w:rsid w:val="00551D01"/>
    <w:rsid w:val="0055305F"/>
    <w:rsid w:val="005561B1"/>
    <w:rsid w:val="005565BE"/>
    <w:rsid w:val="005567F4"/>
    <w:rsid w:val="005575E8"/>
    <w:rsid w:val="005575F0"/>
    <w:rsid w:val="005625F4"/>
    <w:rsid w:val="005627D0"/>
    <w:rsid w:val="00562AF2"/>
    <w:rsid w:val="00563A06"/>
    <w:rsid w:val="00565FD2"/>
    <w:rsid w:val="00566B14"/>
    <w:rsid w:val="00570B51"/>
    <w:rsid w:val="00570D2C"/>
    <w:rsid w:val="00571158"/>
    <w:rsid w:val="005729FD"/>
    <w:rsid w:val="00574B6E"/>
    <w:rsid w:val="00574C00"/>
    <w:rsid w:val="00575026"/>
    <w:rsid w:val="00575DD5"/>
    <w:rsid w:val="00576016"/>
    <w:rsid w:val="005761CC"/>
    <w:rsid w:val="00576207"/>
    <w:rsid w:val="00576505"/>
    <w:rsid w:val="005815C8"/>
    <w:rsid w:val="00581E1C"/>
    <w:rsid w:val="00581F51"/>
    <w:rsid w:val="00582663"/>
    <w:rsid w:val="00582C7E"/>
    <w:rsid w:val="00592B01"/>
    <w:rsid w:val="00592DB1"/>
    <w:rsid w:val="005935E4"/>
    <w:rsid w:val="00593BC6"/>
    <w:rsid w:val="00594573"/>
    <w:rsid w:val="00595F74"/>
    <w:rsid w:val="00596B93"/>
    <w:rsid w:val="005A0868"/>
    <w:rsid w:val="005A0A2F"/>
    <w:rsid w:val="005A1FB0"/>
    <w:rsid w:val="005A5440"/>
    <w:rsid w:val="005A5A01"/>
    <w:rsid w:val="005A5F29"/>
    <w:rsid w:val="005A7C11"/>
    <w:rsid w:val="005B198A"/>
    <w:rsid w:val="005B1FDC"/>
    <w:rsid w:val="005B75A0"/>
    <w:rsid w:val="005C201D"/>
    <w:rsid w:val="005C3E8E"/>
    <w:rsid w:val="005C4361"/>
    <w:rsid w:val="005C6FBA"/>
    <w:rsid w:val="005C7FDD"/>
    <w:rsid w:val="005D2937"/>
    <w:rsid w:val="005D2B99"/>
    <w:rsid w:val="005D30ED"/>
    <w:rsid w:val="005D3C9F"/>
    <w:rsid w:val="005D47A3"/>
    <w:rsid w:val="005D53FF"/>
    <w:rsid w:val="005D5770"/>
    <w:rsid w:val="005D5EFC"/>
    <w:rsid w:val="005E13EA"/>
    <w:rsid w:val="005E2F61"/>
    <w:rsid w:val="005E370A"/>
    <w:rsid w:val="005E5225"/>
    <w:rsid w:val="005E58A8"/>
    <w:rsid w:val="005F15CB"/>
    <w:rsid w:val="005F485C"/>
    <w:rsid w:val="005F4FE9"/>
    <w:rsid w:val="005F5578"/>
    <w:rsid w:val="006005FF"/>
    <w:rsid w:val="00601D6D"/>
    <w:rsid w:val="00601E38"/>
    <w:rsid w:val="006024AB"/>
    <w:rsid w:val="00603C85"/>
    <w:rsid w:val="006050A3"/>
    <w:rsid w:val="006054BA"/>
    <w:rsid w:val="00605AF1"/>
    <w:rsid w:val="006069A6"/>
    <w:rsid w:val="00606E2B"/>
    <w:rsid w:val="00611143"/>
    <w:rsid w:val="0061115A"/>
    <w:rsid w:val="00611545"/>
    <w:rsid w:val="00614D8A"/>
    <w:rsid w:val="00615446"/>
    <w:rsid w:val="00616008"/>
    <w:rsid w:val="00622C36"/>
    <w:rsid w:val="00622DC0"/>
    <w:rsid w:val="00623FE0"/>
    <w:rsid w:val="0062419E"/>
    <w:rsid w:val="00624AD9"/>
    <w:rsid w:val="00625436"/>
    <w:rsid w:val="006266CC"/>
    <w:rsid w:val="006273E4"/>
    <w:rsid w:val="006324AE"/>
    <w:rsid w:val="00632BEE"/>
    <w:rsid w:val="00632D4B"/>
    <w:rsid w:val="00633BA9"/>
    <w:rsid w:val="00633BC2"/>
    <w:rsid w:val="00634631"/>
    <w:rsid w:val="00634B86"/>
    <w:rsid w:val="0063505C"/>
    <w:rsid w:val="0063542C"/>
    <w:rsid w:val="006356F8"/>
    <w:rsid w:val="0063796D"/>
    <w:rsid w:val="00637FD9"/>
    <w:rsid w:val="0064024D"/>
    <w:rsid w:val="0064098A"/>
    <w:rsid w:val="0064120A"/>
    <w:rsid w:val="00641578"/>
    <w:rsid w:val="0064192B"/>
    <w:rsid w:val="006424E6"/>
    <w:rsid w:val="00642728"/>
    <w:rsid w:val="00643B46"/>
    <w:rsid w:val="00644477"/>
    <w:rsid w:val="006451B9"/>
    <w:rsid w:val="006453BA"/>
    <w:rsid w:val="0064743B"/>
    <w:rsid w:val="00647DD6"/>
    <w:rsid w:val="006502E8"/>
    <w:rsid w:val="00650E52"/>
    <w:rsid w:val="006517D5"/>
    <w:rsid w:val="00655108"/>
    <w:rsid w:val="00656757"/>
    <w:rsid w:val="00656B34"/>
    <w:rsid w:val="006601AF"/>
    <w:rsid w:val="006620E0"/>
    <w:rsid w:val="006637F6"/>
    <w:rsid w:val="00664D47"/>
    <w:rsid w:val="00665E7E"/>
    <w:rsid w:val="00666497"/>
    <w:rsid w:val="00667BC4"/>
    <w:rsid w:val="00670599"/>
    <w:rsid w:val="00671962"/>
    <w:rsid w:val="00672D72"/>
    <w:rsid w:val="00673BDC"/>
    <w:rsid w:val="00676B67"/>
    <w:rsid w:val="00680A72"/>
    <w:rsid w:val="00681E68"/>
    <w:rsid w:val="00682EC3"/>
    <w:rsid w:val="0068309E"/>
    <w:rsid w:val="00683168"/>
    <w:rsid w:val="00683227"/>
    <w:rsid w:val="00683F16"/>
    <w:rsid w:val="006852E6"/>
    <w:rsid w:val="00685838"/>
    <w:rsid w:val="0068714A"/>
    <w:rsid w:val="00687A24"/>
    <w:rsid w:val="00690B89"/>
    <w:rsid w:val="0069149A"/>
    <w:rsid w:val="006965D0"/>
    <w:rsid w:val="006A12EC"/>
    <w:rsid w:val="006A32A4"/>
    <w:rsid w:val="006A4A53"/>
    <w:rsid w:val="006A52FF"/>
    <w:rsid w:val="006A57AF"/>
    <w:rsid w:val="006A67F6"/>
    <w:rsid w:val="006A75A2"/>
    <w:rsid w:val="006B0746"/>
    <w:rsid w:val="006B3E16"/>
    <w:rsid w:val="006B486A"/>
    <w:rsid w:val="006B581A"/>
    <w:rsid w:val="006C078E"/>
    <w:rsid w:val="006C11E5"/>
    <w:rsid w:val="006C230E"/>
    <w:rsid w:val="006C2468"/>
    <w:rsid w:val="006C2F8A"/>
    <w:rsid w:val="006C3FCE"/>
    <w:rsid w:val="006C5680"/>
    <w:rsid w:val="006C5F8E"/>
    <w:rsid w:val="006C7F63"/>
    <w:rsid w:val="006D13E5"/>
    <w:rsid w:val="006D3BA1"/>
    <w:rsid w:val="006D4E7C"/>
    <w:rsid w:val="006D6B85"/>
    <w:rsid w:val="006E07FB"/>
    <w:rsid w:val="006E1337"/>
    <w:rsid w:val="006E29DB"/>
    <w:rsid w:val="006E44AE"/>
    <w:rsid w:val="006E4AA4"/>
    <w:rsid w:val="006E5601"/>
    <w:rsid w:val="006E61B3"/>
    <w:rsid w:val="006E7826"/>
    <w:rsid w:val="006F2682"/>
    <w:rsid w:val="006F463B"/>
    <w:rsid w:val="006F4845"/>
    <w:rsid w:val="006F4B6C"/>
    <w:rsid w:val="006F702D"/>
    <w:rsid w:val="007015E7"/>
    <w:rsid w:val="00701867"/>
    <w:rsid w:val="00702075"/>
    <w:rsid w:val="007020B3"/>
    <w:rsid w:val="0070210F"/>
    <w:rsid w:val="007038C4"/>
    <w:rsid w:val="00703BB8"/>
    <w:rsid w:val="0070405D"/>
    <w:rsid w:val="00704131"/>
    <w:rsid w:val="0070607D"/>
    <w:rsid w:val="0070639F"/>
    <w:rsid w:val="00706F41"/>
    <w:rsid w:val="007072D7"/>
    <w:rsid w:val="00710652"/>
    <w:rsid w:val="00711016"/>
    <w:rsid w:val="00712AD0"/>
    <w:rsid w:val="00712D94"/>
    <w:rsid w:val="007145CB"/>
    <w:rsid w:val="0071505A"/>
    <w:rsid w:val="00715C16"/>
    <w:rsid w:val="0071719D"/>
    <w:rsid w:val="00720CF5"/>
    <w:rsid w:val="0072249B"/>
    <w:rsid w:val="0072268E"/>
    <w:rsid w:val="0072292E"/>
    <w:rsid w:val="007248D9"/>
    <w:rsid w:val="00725919"/>
    <w:rsid w:val="007260F5"/>
    <w:rsid w:val="00726326"/>
    <w:rsid w:val="007271CC"/>
    <w:rsid w:val="007273B2"/>
    <w:rsid w:val="00731950"/>
    <w:rsid w:val="007328E0"/>
    <w:rsid w:val="00732C43"/>
    <w:rsid w:val="00732CE6"/>
    <w:rsid w:val="00733C3B"/>
    <w:rsid w:val="00733D34"/>
    <w:rsid w:val="007352EE"/>
    <w:rsid w:val="007354E2"/>
    <w:rsid w:val="00736F10"/>
    <w:rsid w:val="007373EF"/>
    <w:rsid w:val="00737428"/>
    <w:rsid w:val="00737671"/>
    <w:rsid w:val="00737D50"/>
    <w:rsid w:val="0074069D"/>
    <w:rsid w:val="00740BDC"/>
    <w:rsid w:val="007437B7"/>
    <w:rsid w:val="00744F45"/>
    <w:rsid w:val="00745FC2"/>
    <w:rsid w:val="0074727A"/>
    <w:rsid w:val="00747760"/>
    <w:rsid w:val="00747EEE"/>
    <w:rsid w:val="00750132"/>
    <w:rsid w:val="0075209A"/>
    <w:rsid w:val="00752D23"/>
    <w:rsid w:val="00753E6A"/>
    <w:rsid w:val="00754B67"/>
    <w:rsid w:val="007566E4"/>
    <w:rsid w:val="00756A68"/>
    <w:rsid w:val="00756B1E"/>
    <w:rsid w:val="00760CA8"/>
    <w:rsid w:val="00762631"/>
    <w:rsid w:val="00762929"/>
    <w:rsid w:val="007631ED"/>
    <w:rsid w:val="00763CAC"/>
    <w:rsid w:val="00764049"/>
    <w:rsid w:val="00764CBC"/>
    <w:rsid w:val="00764CD2"/>
    <w:rsid w:val="00764F1B"/>
    <w:rsid w:val="00765808"/>
    <w:rsid w:val="0076584E"/>
    <w:rsid w:val="00765C13"/>
    <w:rsid w:val="00765D68"/>
    <w:rsid w:val="00766709"/>
    <w:rsid w:val="00770809"/>
    <w:rsid w:val="00772557"/>
    <w:rsid w:val="00773CA3"/>
    <w:rsid w:val="00775BB4"/>
    <w:rsid w:val="00776E1B"/>
    <w:rsid w:val="00780FBE"/>
    <w:rsid w:val="0078177E"/>
    <w:rsid w:val="0078184A"/>
    <w:rsid w:val="00782AAD"/>
    <w:rsid w:val="00782E51"/>
    <w:rsid w:val="007831B3"/>
    <w:rsid w:val="007874C4"/>
    <w:rsid w:val="00792E7B"/>
    <w:rsid w:val="007942A7"/>
    <w:rsid w:val="007947E9"/>
    <w:rsid w:val="00794CAC"/>
    <w:rsid w:val="007A1C17"/>
    <w:rsid w:val="007A211F"/>
    <w:rsid w:val="007A36E0"/>
    <w:rsid w:val="007A379A"/>
    <w:rsid w:val="007A3C43"/>
    <w:rsid w:val="007A4C1B"/>
    <w:rsid w:val="007A68CD"/>
    <w:rsid w:val="007A7087"/>
    <w:rsid w:val="007B0257"/>
    <w:rsid w:val="007B056D"/>
    <w:rsid w:val="007B2389"/>
    <w:rsid w:val="007B27CB"/>
    <w:rsid w:val="007B30EE"/>
    <w:rsid w:val="007B6172"/>
    <w:rsid w:val="007B70C7"/>
    <w:rsid w:val="007B7B59"/>
    <w:rsid w:val="007B7C7D"/>
    <w:rsid w:val="007C037B"/>
    <w:rsid w:val="007C0523"/>
    <w:rsid w:val="007C182F"/>
    <w:rsid w:val="007C430F"/>
    <w:rsid w:val="007C64D5"/>
    <w:rsid w:val="007C6F86"/>
    <w:rsid w:val="007D0BDF"/>
    <w:rsid w:val="007D1F9F"/>
    <w:rsid w:val="007D25D5"/>
    <w:rsid w:val="007D3376"/>
    <w:rsid w:val="007D3DBE"/>
    <w:rsid w:val="007D3E81"/>
    <w:rsid w:val="007D41CC"/>
    <w:rsid w:val="007D4DC6"/>
    <w:rsid w:val="007D58E6"/>
    <w:rsid w:val="007D58FE"/>
    <w:rsid w:val="007D6561"/>
    <w:rsid w:val="007D6C58"/>
    <w:rsid w:val="007D6F08"/>
    <w:rsid w:val="007E05E4"/>
    <w:rsid w:val="007E1D2E"/>
    <w:rsid w:val="007E4B08"/>
    <w:rsid w:val="007E5948"/>
    <w:rsid w:val="007E6602"/>
    <w:rsid w:val="007E6C97"/>
    <w:rsid w:val="007E7F27"/>
    <w:rsid w:val="007F06A9"/>
    <w:rsid w:val="007F3002"/>
    <w:rsid w:val="007F5087"/>
    <w:rsid w:val="007F5D0A"/>
    <w:rsid w:val="008000D5"/>
    <w:rsid w:val="00800D6D"/>
    <w:rsid w:val="00801F65"/>
    <w:rsid w:val="008023F0"/>
    <w:rsid w:val="00802488"/>
    <w:rsid w:val="00802FF9"/>
    <w:rsid w:val="00805821"/>
    <w:rsid w:val="008064A5"/>
    <w:rsid w:val="00810A59"/>
    <w:rsid w:val="008111C0"/>
    <w:rsid w:val="00811C9C"/>
    <w:rsid w:val="00812AF9"/>
    <w:rsid w:val="00815B38"/>
    <w:rsid w:val="008166ED"/>
    <w:rsid w:val="00821F4E"/>
    <w:rsid w:val="00824EAC"/>
    <w:rsid w:val="0082522D"/>
    <w:rsid w:val="00825C5D"/>
    <w:rsid w:val="00825EEA"/>
    <w:rsid w:val="008269D0"/>
    <w:rsid w:val="008276A2"/>
    <w:rsid w:val="00832644"/>
    <w:rsid w:val="008340B5"/>
    <w:rsid w:val="008342E9"/>
    <w:rsid w:val="00834CC0"/>
    <w:rsid w:val="00834DC2"/>
    <w:rsid w:val="00835D0B"/>
    <w:rsid w:val="008361EF"/>
    <w:rsid w:val="008369BD"/>
    <w:rsid w:val="00836A3F"/>
    <w:rsid w:val="00836D73"/>
    <w:rsid w:val="008370F1"/>
    <w:rsid w:val="0083795B"/>
    <w:rsid w:val="00840027"/>
    <w:rsid w:val="0084072F"/>
    <w:rsid w:val="008436E5"/>
    <w:rsid w:val="00843888"/>
    <w:rsid w:val="00843DBE"/>
    <w:rsid w:val="008449E0"/>
    <w:rsid w:val="00844CCD"/>
    <w:rsid w:val="00850F54"/>
    <w:rsid w:val="00850F60"/>
    <w:rsid w:val="008536E5"/>
    <w:rsid w:val="00853775"/>
    <w:rsid w:val="008542A6"/>
    <w:rsid w:val="008545F2"/>
    <w:rsid w:val="00854902"/>
    <w:rsid w:val="00854BA0"/>
    <w:rsid w:val="00854F55"/>
    <w:rsid w:val="008550DF"/>
    <w:rsid w:val="0085632A"/>
    <w:rsid w:val="00856BFE"/>
    <w:rsid w:val="00857840"/>
    <w:rsid w:val="00860188"/>
    <w:rsid w:val="00861CC3"/>
    <w:rsid w:val="00861EB4"/>
    <w:rsid w:val="00862FC2"/>
    <w:rsid w:val="008631AD"/>
    <w:rsid w:val="00863383"/>
    <w:rsid w:val="008634AA"/>
    <w:rsid w:val="0086350E"/>
    <w:rsid w:val="00865026"/>
    <w:rsid w:val="00865365"/>
    <w:rsid w:val="00866232"/>
    <w:rsid w:val="00866BC1"/>
    <w:rsid w:val="008674D0"/>
    <w:rsid w:val="008674EE"/>
    <w:rsid w:val="00867AC1"/>
    <w:rsid w:val="00867D02"/>
    <w:rsid w:val="00871D48"/>
    <w:rsid w:val="00872B23"/>
    <w:rsid w:val="00874251"/>
    <w:rsid w:val="00874C4A"/>
    <w:rsid w:val="0087772C"/>
    <w:rsid w:val="0087790F"/>
    <w:rsid w:val="0088076E"/>
    <w:rsid w:val="00880C1C"/>
    <w:rsid w:val="00880EA2"/>
    <w:rsid w:val="00880F21"/>
    <w:rsid w:val="00881155"/>
    <w:rsid w:val="008827C6"/>
    <w:rsid w:val="00883B51"/>
    <w:rsid w:val="008851B3"/>
    <w:rsid w:val="00887E3D"/>
    <w:rsid w:val="00890324"/>
    <w:rsid w:val="008907EE"/>
    <w:rsid w:val="00891C7E"/>
    <w:rsid w:val="0089379E"/>
    <w:rsid w:val="008967D3"/>
    <w:rsid w:val="00896A24"/>
    <w:rsid w:val="00897C9C"/>
    <w:rsid w:val="00897F1B"/>
    <w:rsid w:val="008A16B8"/>
    <w:rsid w:val="008A194F"/>
    <w:rsid w:val="008A20BE"/>
    <w:rsid w:val="008A2C58"/>
    <w:rsid w:val="008A349E"/>
    <w:rsid w:val="008A426C"/>
    <w:rsid w:val="008A538A"/>
    <w:rsid w:val="008A577D"/>
    <w:rsid w:val="008A6A7C"/>
    <w:rsid w:val="008B05F8"/>
    <w:rsid w:val="008B5438"/>
    <w:rsid w:val="008B729A"/>
    <w:rsid w:val="008C1734"/>
    <w:rsid w:val="008C32D4"/>
    <w:rsid w:val="008C3726"/>
    <w:rsid w:val="008C52F0"/>
    <w:rsid w:val="008C5947"/>
    <w:rsid w:val="008C5A40"/>
    <w:rsid w:val="008C5E14"/>
    <w:rsid w:val="008C6259"/>
    <w:rsid w:val="008C760B"/>
    <w:rsid w:val="008D0296"/>
    <w:rsid w:val="008D032E"/>
    <w:rsid w:val="008D0413"/>
    <w:rsid w:val="008D0B2F"/>
    <w:rsid w:val="008D0E13"/>
    <w:rsid w:val="008D19D4"/>
    <w:rsid w:val="008D1E6D"/>
    <w:rsid w:val="008D279D"/>
    <w:rsid w:val="008D28AD"/>
    <w:rsid w:val="008D5DD9"/>
    <w:rsid w:val="008D6C3A"/>
    <w:rsid w:val="008D7B46"/>
    <w:rsid w:val="008E0FB8"/>
    <w:rsid w:val="008E2423"/>
    <w:rsid w:val="008E26AD"/>
    <w:rsid w:val="008E26D5"/>
    <w:rsid w:val="008E4F9B"/>
    <w:rsid w:val="008E6AC3"/>
    <w:rsid w:val="008F0972"/>
    <w:rsid w:val="008F2DAB"/>
    <w:rsid w:val="008F2E15"/>
    <w:rsid w:val="008F2E46"/>
    <w:rsid w:val="008F45FB"/>
    <w:rsid w:val="008F5FF6"/>
    <w:rsid w:val="00901F1D"/>
    <w:rsid w:val="00905C56"/>
    <w:rsid w:val="00906C46"/>
    <w:rsid w:val="00907D5A"/>
    <w:rsid w:val="0091114D"/>
    <w:rsid w:val="00912595"/>
    <w:rsid w:val="00912E70"/>
    <w:rsid w:val="009135EA"/>
    <w:rsid w:val="009172A3"/>
    <w:rsid w:val="009213F8"/>
    <w:rsid w:val="00921B41"/>
    <w:rsid w:val="00922D1D"/>
    <w:rsid w:val="00922D43"/>
    <w:rsid w:val="00926C6E"/>
    <w:rsid w:val="00927255"/>
    <w:rsid w:val="009273DB"/>
    <w:rsid w:val="00927870"/>
    <w:rsid w:val="00931093"/>
    <w:rsid w:val="00931A07"/>
    <w:rsid w:val="00932805"/>
    <w:rsid w:val="00933A42"/>
    <w:rsid w:val="009340F2"/>
    <w:rsid w:val="009372B9"/>
    <w:rsid w:val="00940BF0"/>
    <w:rsid w:val="00941D8A"/>
    <w:rsid w:val="00942054"/>
    <w:rsid w:val="00944DAA"/>
    <w:rsid w:val="009462B6"/>
    <w:rsid w:val="00946FA4"/>
    <w:rsid w:val="00951168"/>
    <w:rsid w:val="00951B01"/>
    <w:rsid w:val="00955400"/>
    <w:rsid w:val="00956BB1"/>
    <w:rsid w:val="00960617"/>
    <w:rsid w:val="0096076B"/>
    <w:rsid w:val="0096226E"/>
    <w:rsid w:val="0096275C"/>
    <w:rsid w:val="0096285B"/>
    <w:rsid w:val="00964A8B"/>
    <w:rsid w:val="00965331"/>
    <w:rsid w:val="00965338"/>
    <w:rsid w:val="00965483"/>
    <w:rsid w:val="009666B0"/>
    <w:rsid w:val="009758A5"/>
    <w:rsid w:val="009759B0"/>
    <w:rsid w:val="00975F30"/>
    <w:rsid w:val="0098003F"/>
    <w:rsid w:val="009808AA"/>
    <w:rsid w:val="00980CCB"/>
    <w:rsid w:val="00981177"/>
    <w:rsid w:val="00981B55"/>
    <w:rsid w:val="00983F3F"/>
    <w:rsid w:val="0098427E"/>
    <w:rsid w:val="00985228"/>
    <w:rsid w:val="009861E6"/>
    <w:rsid w:val="00986FB1"/>
    <w:rsid w:val="0098718A"/>
    <w:rsid w:val="0098771F"/>
    <w:rsid w:val="00991296"/>
    <w:rsid w:val="009926A4"/>
    <w:rsid w:val="00993AE0"/>
    <w:rsid w:val="00993F23"/>
    <w:rsid w:val="0099425B"/>
    <w:rsid w:val="009960D3"/>
    <w:rsid w:val="00996724"/>
    <w:rsid w:val="009A07EF"/>
    <w:rsid w:val="009A0F69"/>
    <w:rsid w:val="009A1090"/>
    <w:rsid w:val="009A10DA"/>
    <w:rsid w:val="009A393E"/>
    <w:rsid w:val="009A4953"/>
    <w:rsid w:val="009B0D12"/>
    <w:rsid w:val="009B1032"/>
    <w:rsid w:val="009B1D0D"/>
    <w:rsid w:val="009B1F30"/>
    <w:rsid w:val="009B440A"/>
    <w:rsid w:val="009B4884"/>
    <w:rsid w:val="009B4A81"/>
    <w:rsid w:val="009B653F"/>
    <w:rsid w:val="009C02A0"/>
    <w:rsid w:val="009C0A78"/>
    <w:rsid w:val="009C0B40"/>
    <w:rsid w:val="009C140E"/>
    <w:rsid w:val="009C1BD1"/>
    <w:rsid w:val="009C1E9B"/>
    <w:rsid w:val="009C22F4"/>
    <w:rsid w:val="009C2AD4"/>
    <w:rsid w:val="009C48A3"/>
    <w:rsid w:val="009C4990"/>
    <w:rsid w:val="009C5544"/>
    <w:rsid w:val="009C5CE6"/>
    <w:rsid w:val="009C5D61"/>
    <w:rsid w:val="009C6825"/>
    <w:rsid w:val="009C72C8"/>
    <w:rsid w:val="009D0F34"/>
    <w:rsid w:val="009D1A60"/>
    <w:rsid w:val="009D3AE5"/>
    <w:rsid w:val="009D4100"/>
    <w:rsid w:val="009D4C1B"/>
    <w:rsid w:val="009D5406"/>
    <w:rsid w:val="009D63EC"/>
    <w:rsid w:val="009D6933"/>
    <w:rsid w:val="009D7889"/>
    <w:rsid w:val="009E0ADC"/>
    <w:rsid w:val="009E1DF8"/>
    <w:rsid w:val="009E2F2E"/>
    <w:rsid w:val="009E3E7D"/>
    <w:rsid w:val="009E4189"/>
    <w:rsid w:val="009E5093"/>
    <w:rsid w:val="009E512D"/>
    <w:rsid w:val="009E5261"/>
    <w:rsid w:val="009E5FB1"/>
    <w:rsid w:val="009E6F9A"/>
    <w:rsid w:val="009F1D55"/>
    <w:rsid w:val="009F213D"/>
    <w:rsid w:val="009F27B4"/>
    <w:rsid w:val="009F295D"/>
    <w:rsid w:val="009F417C"/>
    <w:rsid w:val="009F5C6A"/>
    <w:rsid w:val="009F5E32"/>
    <w:rsid w:val="009F65EA"/>
    <w:rsid w:val="009F6D7D"/>
    <w:rsid w:val="00A01F35"/>
    <w:rsid w:val="00A035B0"/>
    <w:rsid w:val="00A043BD"/>
    <w:rsid w:val="00A04998"/>
    <w:rsid w:val="00A04CFB"/>
    <w:rsid w:val="00A052A1"/>
    <w:rsid w:val="00A0597E"/>
    <w:rsid w:val="00A072B4"/>
    <w:rsid w:val="00A07F7A"/>
    <w:rsid w:val="00A128EA"/>
    <w:rsid w:val="00A12A7F"/>
    <w:rsid w:val="00A13BC2"/>
    <w:rsid w:val="00A15500"/>
    <w:rsid w:val="00A1610F"/>
    <w:rsid w:val="00A20B81"/>
    <w:rsid w:val="00A225AD"/>
    <w:rsid w:val="00A225C7"/>
    <w:rsid w:val="00A256D4"/>
    <w:rsid w:val="00A26555"/>
    <w:rsid w:val="00A269BE"/>
    <w:rsid w:val="00A27E53"/>
    <w:rsid w:val="00A30A8B"/>
    <w:rsid w:val="00A310F7"/>
    <w:rsid w:val="00A33B3B"/>
    <w:rsid w:val="00A34F9D"/>
    <w:rsid w:val="00A3594A"/>
    <w:rsid w:val="00A36161"/>
    <w:rsid w:val="00A36631"/>
    <w:rsid w:val="00A3789A"/>
    <w:rsid w:val="00A40BF4"/>
    <w:rsid w:val="00A424EA"/>
    <w:rsid w:val="00A425BE"/>
    <w:rsid w:val="00A42613"/>
    <w:rsid w:val="00A431AD"/>
    <w:rsid w:val="00A43207"/>
    <w:rsid w:val="00A45861"/>
    <w:rsid w:val="00A46318"/>
    <w:rsid w:val="00A51C9D"/>
    <w:rsid w:val="00A526E8"/>
    <w:rsid w:val="00A5428B"/>
    <w:rsid w:val="00A5606E"/>
    <w:rsid w:val="00A560BF"/>
    <w:rsid w:val="00A56B3F"/>
    <w:rsid w:val="00A56B7C"/>
    <w:rsid w:val="00A6005A"/>
    <w:rsid w:val="00A60628"/>
    <w:rsid w:val="00A61CB3"/>
    <w:rsid w:val="00A62860"/>
    <w:rsid w:val="00A62ABD"/>
    <w:rsid w:val="00A64C99"/>
    <w:rsid w:val="00A735EC"/>
    <w:rsid w:val="00A74177"/>
    <w:rsid w:val="00A753BE"/>
    <w:rsid w:val="00A80C20"/>
    <w:rsid w:val="00A81493"/>
    <w:rsid w:val="00A81DD5"/>
    <w:rsid w:val="00A823C9"/>
    <w:rsid w:val="00A83523"/>
    <w:rsid w:val="00A846B3"/>
    <w:rsid w:val="00A84CAB"/>
    <w:rsid w:val="00A85336"/>
    <w:rsid w:val="00A869FB"/>
    <w:rsid w:val="00A873BD"/>
    <w:rsid w:val="00A87E10"/>
    <w:rsid w:val="00A90E70"/>
    <w:rsid w:val="00A9120F"/>
    <w:rsid w:val="00A956DE"/>
    <w:rsid w:val="00A95927"/>
    <w:rsid w:val="00A96063"/>
    <w:rsid w:val="00A960AB"/>
    <w:rsid w:val="00A96741"/>
    <w:rsid w:val="00A96B52"/>
    <w:rsid w:val="00A9759E"/>
    <w:rsid w:val="00A977DB"/>
    <w:rsid w:val="00AA16AD"/>
    <w:rsid w:val="00AA181D"/>
    <w:rsid w:val="00AA21F4"/>
    <w:rsid w:val="00AA4C1A"/>
    <w:rsid w:val="00AA5716"/>
    <w:rsid w:val="00AA6AEB"/>
    <w:rsid w:val="00AA781A"/>
    <w:rsid w:val="00AA7B84"/>
    <w:rsid w:val="00AB0213"/>
    <w:rsid w:val="00AB04D3"/>
    <w:rsid w:val="00AB0D40"/>
    <w:rsid w:val="00AB1306"/>
    <w:rsid w:val="00AB421F"/>
    <w:rsid w:val="00AB46D5"/>
    <w:rsid w:val="00AB47E8"/>
    <w:rsid w:val="00AB7EF4"/>
    <w:rsid w:val="00AC0CDA"/>
    <w:rsid w:val="00AC1329"/>
    <w:rsid w:val="00AC194D"/>
    <w:rsid w:val="00AC23A8"/>
    <w:rsid w:val="00AC3D2B"/>
    <w:rsid w:val="00AC402C"/>
    <w:rsid w:val="00AC4463"/>
    <w:rsid w:val="00AC478B"/>
    <w:rsid w:val="00AC5330"/>
    <w:rsid w:val="00AC5D4E"/>
    <w:rsid w:val="00AC64F2"/>
    <w:rsid w:val="00AC7A77"/>
    <w:rsid w:val="00AD068D"/>
    <w:rsid w:val="00AD1D19"/>
    <w:rsid w:val="00AD2C35"/>
    <w:rsid w:val="00AD4CC2"/>
    <w:rsid w:val="00AD5C59"/>
    <w:rsid w:val="00AD5F43"/>
    <w:rsid w:val="00AD6170"/>
    <w:rsid w:val="00AE2AA0"/>
    <w:rsid w:val="00AE2CEA"/>
    <w:rsid w:val="00AE3045"/>
    <w:rsid w:val="00AE33CD"/>
    <w:rsid w:val="00AE3C13"/>
    <w:rsid w:val="00AE509A"/>
    <w:rsid w:val="00AE6A20"/>
    <w:rsid w:val="00AE6E95"/>
    <w:rsid w:val="00AF0999"/>
    <w:rsid w:val="00AF0D02"/>
    <w:rsid w:val="00AF12C4"/>
    <w:rsid w:val="00AF21A4"/>
    <w:rsid w:val="00AF3E13"/>
    <w:rsid w:val="00AF4493"/>
    <w:rsid w:val="00AF4FDD"/>
    <w:rsid w:val="00AF7EDF"/>
    <w:rsid w:val="00B01670"/>
    <w:rsid w:val="00B02D10"/>
    <w:rsid w:val="00B02ED1"/>
    <w:rsid w:val="00B05254"/>
    <w:rsid w:val="00B05A20"/>
    <w:rsid w:val="00B05EC1"/>
    <w:rsid w:val="00B06717"/>
    <w:rsid w:val="00B0769C"/>
    <w:rsid w:val="00B1061E"/>
    <w:rsid w:val="00B10C22"/>
    <w:rsid w:val="00B10EED"/>
    <w:rsid w:val="00B1332F"/>
    <w:rsid w:val="00B1417F"/>
    <w:rsid w:val="00B145D0"/>
    <w:rsid w:val="00B154A1"/>
    <w:rsid w:val="00B163DB"/>
    <w:rsid w:val="00B175F0"/>
    <w:rsid w:val="00B17BA1"/>
    <w:rsid w:val="00B20655"/>
    <w:rsid w:val="00B21410"/>
    <w:rsid w:val="00B227ED"/>
    <w:rsid w:val="00B23C22"/>
    <w:rsid w:val="00B2552B"/>
    <w:rsid w:val="00B25D8D"/>
    <w:rsid w:val="00B265F0"/>
    <w:rsid w:val="00B26A33"/>
    <w:rsid w:val="00B27CF9"/>
    <w:rsid w:val="00B30587"/>
    <w:rsid w:val="00B34298"/>
    <w:rsid w:val="00B34F5D"/>
    <w:rsid w:val="00B35CE9"/>
    <w:rsid w:val="00B40F5F"/>
    <w:rsid w:val="00B414B2"/>
    <w:rsid w:val="00B41764"/>
    <w:rsid w:val="00B418C8"/>
    <w:rsid w:val="00B4410E"/>
    <w:rsid w:val="00B4527D"/>
    <w:rsid w:val="00B45851"/>
    <w:rsid w:val="00B46633"/>
    <w:rsid w:val="00B47035"/>
    <w:rsid w:val="00B47388"/>
    <w:rsid w:val="00B474E2"/>
    <w:rsid w:val="00B51D47"/>
    <w:rsid w:val="00B51D86"/>
    <w:rsid w:val="00B522AE"/>
    <w:rsid w:val="00B529F0"/>
    <w:rsid w:val="00B52DB0"/>
    <w:rsid w:val="00B53971"/>
    <w:rsid w:val="00B55F1A"/>
    <w:rsid w:val="00B60B2A"/>
    <w:rsid w:val="00B60EDD"/>
    <w:rsid w:val="00B63160"/>
    <w:rsid w:val="00B63F92"/>
    <w:rsid w:val="00B64173"/>
    <w:rsid w:val="00B645AC"/>
    <w:rsid w:val="00B64A01"/>
    <w:rsid w:val="00B64CF8"/>
    <w:rsid w:val="00B65D8F"/>
    <w:rsid w:val="00B65E56"/>
    <w:rsid w:val="00B66C37"/>
    <w:rsid w:val="00B679A9"/>
    <w:rsid w:val="00B67D94"/>
    <w:rsid w:val="00B7196D"/>
    <w:rsid w:val="00B71FC0"/>
    <w:rsid w:val="00B72013"/>
    <w:rsid w:val="00B736D5"/>
    <w:rsid w:val="00B7428E"/>
    <w:rsid w:val="00B74871"/>
    <w:rsid w:val="00B75CF4"/>
    <w:rsid w:val="00B75D3A"/>
    <w:rsid w:val="00B803CA"/>
    <w:rsid w:val="00B80CC5"/>
    <w:rsid w:val="00B82411"/>
    <w:rsid w:val="00B83E0E"/>
    <w:rsid w:val="00B845A9"/>
    <w:rsid w:val="00B8716D"/>
    <w:rsid w:val="00B87A29"/>
    <w:rsid w:val="00B87F76"/>
    <w:rsid w:val="00B906F3"/>
    <w:rsid w:val="00B920A9"/>
    <w:rsid w:val="00B92479"/>
    <w:rsid w:val="00B93932"/>
    <w:rsid w:val="00B94825"/>
    <w:rsid w:val="00B94B5C"/>
    <w:rsid w:val="00B96776"/>
    <w:rsid w:val="00B97B93"/>
    <w:rsid w:val="00BA02A6"/>
    <w:rsid w:val="00BA0A24"/>
    <w:rsid w:val="00BA12AB"/>
    <w:rsid w:val="00BA2335"/>
    <w:rsid w:val="00BA2B19"/>
    <w:rsid w:val="00BA516E"/>
    <w:rsid w:val="00BA5935"/>
    <w:rsid w:val="00BA664A"/>
    <w:rsid w:val="00BA715A"/>
    <w:rsid w:val="00BA7456"/>
    <w:rsid w:val="00BB001C"/>
    <w:rsid w:val="00BB0B24"/>
    <w:rsid w:val="00BB141F"/>
    <w:rsid w:val="00BB2B8E"/>
    <w:rsid w:val="00BB3051"/>
    <w:rsid w:val="00BB3A5E"/>
    <w:rsid w:val="00BB45F4"/>
    <w:rsid w:val="00BB5C92"/>
    <w:rsid w:val="00BB7EE1"/>
    <w:rsid w:val="00BC0F48"/>
    <w:rsid w:val="00BC17F9"/>
    <w:rsid w:val="00BC21CA"/>
    <w:rsid w:val="00BC5030"/>
    <w:rsid w:val="00BC59A0"/>
    <w:rsid w:val="00BC79B3"/>
    <w:rsid w:val="00BC7B47"/>
    <w:rsid w:val="00BC7E15"/>
    <w:rsid w:val="00BD01F7"/>
    <w:rsid w:val="00BD26B6"/>
    <w:rsid w:val="00BD270B"/>
    <w:rsid w:val="00BD4960"/>
    <w:rsid w:val="00BD4CDA"/>
    <w:rsid w:val="00BD60AA"/>
    <w:rsid w:val="00BD731C"/>
    <w:rsid w:val="00BD7CB1"/>
    <w:rsid w:val="00BE121B"/>
    <w:rsid w:val="00BE2D01"/>
    <w:rsid w:val="00BE2F63"/>
    <w:rsid w:val="00BE4117"/>
    <w:rsid w:val="00BE4D0C"/>
    <w:rsid w:val="00BE4D67"/>
    <w:rsid w:val="00BE7DBD"/>
    <w:rsid w:val="00BF1BA2"/>
    <w:rsid w:val="00BF3299"/>
    <w:rsid w:val="00BF3DE4"/>
    <w:rsid w:val="00BF447C"/>
    <w:rsid w:val="00BF5590"/>
    <w:rsid w:val="00BF5D2A"/>
    <w:rsid w:val="00BF64A8"/>
    <w:rsid w:val="00BF6E18"/>
    <w:rsid w:val="00BF7B2A"/>
    <w:rsid w:val="00C00E73"/>
    <w:rsid w:val="00C02775"/>
    <w:rsid w:val="00C0573D"/>
    <w:rsid w:val="00C05AA1"/>
    <w:rsid w:val="00C06A0B"/>
    <w:rsid w:val="00C078C4"/>
    <w:rsid w:val="00C07962"/>
    <w:rsid w:val="00C1272F"/>
    <w:rsid w:val="00C13104"/>
    <w:rsid w:val="00C13CBF"/>
    <w:rsid w:val="00C1618C"/>
    <w:rsid w:val="00C16A60"/>
    <w:rsid w:val="00C16C18"/>
    <w:rsid w:val="00C17060"/>
    <w:rsid w:val="00C170D7"/>
    <w:rsid w:val="00C17834"/>
    <w:rsid w:val="00C21AF1"/>
    <w:rsid w:val="00C23843"/>
    <w:rsid w:val="00C24977"/>
    <w:rsid w:val="00C24BE6"/>
    <w:rsid w:val="00C30167"/>
    <w:rsid w:val="00C30B2D"/>
    <w:rsid w:val="00C33146"/>
    <w:rsid w:val="00C33DFE"/>
    <w:rsid w:val="00C34E13"/>
    <w:rsid w:val="00C373EC"/>
    <w:rsid w:val="00C400DC"/>
    <w:rsid w:val="00C450D4"/>
    <w:rsid w:val="00C46B4A"/>
    <w:rsid w:val="00C50137"/>
    <w:rsid w:val="00C50733"/>
    <w:rsid w:val="00C511F1"/>
    <w:rsid w:val="00C513EC"/>
    <w:rsid w:val="00C51566"/>
    <w:rsid w:val="00C5173F"/>
    <w:rsid w:val="00C52F97"/>
    <w:rsid w:val="00C53684"/>
    <w:rsid w:val="00C53871"/>
    <w:rsid w:val="00C54548"/>
    <w:rsid w:val="00C54BC5"/>
    <w:rsid w:val="00C56329"/>
    <w:rsid w:val="00C573F6"/>
    <w:rsid w:val="00C6009B"/>
    <w:rsid w:val="00C609A2"/>
    <w:rsid w:val="00C616F0"/>
    <w:rsid w:val="00C620F5"/>
    <w:rsid w:val="00C63BCE"/>
    <w:rsid w:val="00C65CED"/>
    <w:rsid w:val="00C66ED4"/>
    <w:rsid w:val="00C675C5"/>
    <w:rsid w:val="00C71CF7"/>
    <w:rsid w:val="00C7382E"/>
    <w:rsid w:val="00C752C1"/>
    <w:rsid w:val="00C75ABE"/>
    <w:rsid w:val="00C76128"/>
    <w:rsid w:val="00C7789D"/>
    <w:rsid w:val="00C80A17"/>
    <w:rsid w:val="00C80B04"/>
    <w:rsid w:val="00C826C2"/>
    <w:rsid w:val="00C858B3"/>
    <w:rsid w:val="00C85C80"/>
    <w:rsid w:val="00C867B8"/>
    <w:rsid w:val="00C86E94"/>
    <w:rsid w:val="00C90196"/>
    <w:rsid w:val="00C9097A"/>
    <w:rsid w:val="00C90B00"/>
    <w:rsid w:val="00C96000"/>
    <w:rsid w:val="00C96A36"/>
    <w:rsid w:val="00C96B2E"/>
    <w:rsid w:val="00C970E6"/>
    <w:rsid w:val="00C9712F"/>
    <w:rsid w:val="00C9773E"/>
    <w:rsid w:val="00CA24E8"/>
    <w:rsid w:val="00CA25CA"/>
    <w:rsid w:val="00CA499C"/>
    <w:rsid w:val="00CA6213"/>
    <w:rsid w:val="00CB06C1"/>
    <w:rsid w:val="00CB11FF"/>
    <w:rsid w:val="00CB1955"/>
    <w:rsid w:val="00CB5465"/>
    <w:rsid w:val="00CB6454"/>
    <w:rsid w:val="00CB64D9"/>
    <w:rsid w:val="00CB76FB"/>
    <w:rsid w:val="00CB799E"/>
    <w:rsid w:val="00CC0E3B"/>
    <w:rsid w:val="00CC1AFF"/>
    <w:rsid w:val="00CC1B1C"/>
    <w:rsid w:val="00CC2438"/>
    <w:rsid w:val="00CC28A5"/>
    <w:rsid w:val="00CC484B"/>
    <w:rsid w:val="00CC529C"/>
    <w:rsid w:val="00CC6288"/>
    <w:rsid w:val="00CC792C"/>
    <w:rsid w:val="00CD0219"/>
    <w:rsid w:val="00CD0494"/>
    <w:rsid w:val="00CD165B"/>
    <w:rsid w:val="00CD176C"/>
    <w:rsid w:val="00CD25A6"/>
    <w:rsid w:val="00CD2F2B"/>
    <w:rsid w:val="00CD34F8"/>
    <w:rsid w:val="00CD46AB"/>
    <w:rsid w:val="00CD5009"/>
    <w:rsid w:val="00CD6CCD"/>
    <w:rsid w:val="00CD725A"/>
    <w:rsid w:val="00CD753C"/>
    <w:rsid w:val="00CE028A"/>
    <w:rsid w:val="00CE0741"/>
    <w:rsid w:val="00CE165E"/>
    <w:rsid w:val="00CE2B8C"/>
    <w:rsid w:val="00CE3182"/>
    <w:rsid w:val="00CE415D"/>
    <w:rsid w:val="00CE4E5B"/>
    <w:rsid w:val="00CE5BD4"/>
    <w:rsid w:val="00CE5C38"/>
    <w:rsid w:val="00CE5DAF"/>
    <w:rsid w:val="00CE5E4F"/>
    <w:rsid w:val="00CE678D"/>
    <w:rsid w:val="00CE6E5A"/>
    <w:rsid w:val="00CF005A"/>
    <w:rsid w:val="00CF01CC"/>
    <w:rsid w:val="00CF1139"/>
    <w:rsid w:val="00CF2FF0"/>
    <w:rsid w:val="00CF309B"/>
    <w:rsid w:val="00CF30D8"/>
    <w:rsid w:val="00CF3159"/>
    <w:rsid w:val="00CF3BFD"/>
    <w:rsid w:val="00CF43CE"/>
    <w:rsid w:val="00CF5A5C"/>
    <w:rsid w:val="00CF61E8"/>
    <w:rsid w:val="00CF651D"/>
    <w:rsid w:val="00CF6626"/>
    <w:rsid w:val="00CF7D61"/>
    <w:rsid w:val="00D00701"/>
    <w:rsid w:val="00D00A24"/>
    <w:rsid w:val="00D014A0"/>
    <w:rsid w:val="00D046A6"/>
    <w:rsid w:val="00D046CF"/>
    <w:rsid w:val="00D05F99"/>
    <w:rsid w:val="00D06621"/>
    <w:rsid w:val="00D078F7"/>
    <w:rsid w:val="00D07FD3"/>
    <w:rsid w:val="00D110C6"/>
    <w:rsid w:val="00D11B4A"/>
    <w:rsid w:val="00D1385F"/>
    <w:rsid w:val="00D14741"/>
    <w:rsid w:val="00D151FE"/>
    <w:rsid w:val="00D15A58"/>
    <w:rsid w:val="00D20A0A"/>
    <w:rsid w:val="00D2307D"/>
    <w:rsid w:val="00D23FC8"/>
    <w:rsid w:val="00D244FF"/>
    <w:rsid w:val="00D2524A"/>
    <w:rsid w:val="00D2690A"/>
    <w:rsid w:val="00D31C35"/>
    <w:rsid w:val="00D328FE"/>
    <w:rsid w:val="00D32D11"/>
    <w:rsid w:val="00D32DE5"/>
    <w:rsid w:val="00D35394"/>
    <w:rsid w:val="00D36C5A"/>
    <w:rsid w:val="00D3750C"/>
    <w:rsid w:val="00D3790D"/>
    <w:rsid w:val="00D37E08"/>
    <w:rsid w:val="00D4006C"/>
    <w:rsid w:val="00D4285A"/>
    <w:rsid w:val="00D437BC"/>
    <w:rsid w:val="00D44187"/>
    <w:rsid w:val="00D44AC8"/>
    <w:rsid w:val="00D460F3"/>
    <w:rsid w:val="00D4705D"/>
    <w:rsid w:val="00D47F5B"/>
    <w:rsid w:val="00D52EC4"/>
    <w:rsid w:val="00D54C29"/>
    <w:rsid w:val="00D553EE"/>
    <w:rsid w:val="00D5634C"/>
    <w:rsid w:val="00D57662"/>
    <w:rsid w:val="00D577E8"/>
    <w:rsid w:val="00D60950"/>
    <w:rsid w:val="00D642D0"/>
    <w:rsid w:val="00D64364"/>
    <w:rsid w:val="00D64EB4"/>
    <w:rsid w:val="00D65642"/>
    <w:rsid w:val="00D661F2"/>
    <w:rsid w:val="00D66F5A"/>
    <w:rsid w:val="00D677B3"/>
    <w:rsid w:val="00D71A3A"/>
    <w:rsid w:val="00D72965"/>
    <w:rsid w:val="00D751EE"/>
    <w:rsid w:val="00D76410"/>
    <w:rsid w:val="00D765CD"/>
    <w:rsid w:val="00D77735"/>
    <w:rsid w:val="00D778DC"/>
    <w:rsid w:val="00D80851"/>
    <w:rsid w:val="00D81AC2"/>
    <w:rsid w:val="00D81ADA"/>
    <w:rsid w:val="00D82D94"/>
    <w:rsid w:val="00D832FC"/>
    <w:rsid w:val="00D83BB6"/>
    <w:rsid w:val="00D83F79"/>
    <w:rsid w:val="00D855DD"/>
    <w:rsid w:val="00D8582D"/>
    <w:rsid w:val="00D870ED"/>
    <w:rsid w:val="00D90BB5"/>
    <w:rsid w:val="00D913D9"/>
    <w:rsid w:val="00D943BB"/>
    <w:rsid w:val="00D94AC7"/>
    <w:rsid w:val="00D96437"/>
    <w:rsid w:val="00D97697"/>
    <w:rsid w:val="00D97905"/>
    <w:rsid w:val="00DA120C"/>
    <w:rsid w:val="00DA19D3"/>
    <w:rsid w:val="00DA261B"/>
    <w:rsid w:val="00DA4EEF"/>
    <w:rsid w:val="00DA5072"/>
    <w:rsid w:val="00DA7952"/>
    <w:rsid w:val="00DB005E"/>
    <w:rsid w:val="00DB1D9D"/>
    <w:rsid w:val="00DB3E36"/>
    <w:rsid w:val="00DB41E8"/>
    <w:rsid w:val="00DB444F"/>
    <w:rsid w:val="00DB62F4"/>
    <w:rsid w:val="00DB7061"/>
    <w:rsid w:val="00DB79D2"/>
    <w:rsid w:val="00DC0A82"/>
    <w:rsid w:val="00DC3686"/>
    <w:rsid w:val="00DC391A"/>
    <w:rsid w:val="00DC3DFD"/>
    <w:rsid w:val="00DC43E0"/>
    <w:rsid w:val="00DC4415"/>
    <w:rsid w:val="00DC5CE6"/>
    <w:rsid w:val="00DC5E32"/>
    <w:rsid w:val="00DC66BC"/>
    <w:rsid w:val="00DC7894"/>
    <w:rsid w:val="00DD1E3B"/>
    <w:rsid w:val="00DD28A9"/>
    <w:rsid w:val="00DD2F0B"/>
    <w:rsid w:val="00DD3DF6"/>
    <w:rsid w:val="00DD4400"/>
    <w:rsid w:val="00DD7A16"/>
    <w:rsid w:val="00DE2445"/>
    <w:rsid w:val="00DE3692"/>
    <w:rsid w:val="00DE4141"/>
    <w:rsid w:val="00DE69E2"/>
    <w:rsid w:val="00DE6DF3"/>
    <w:rsid w:val="00DF12AE"/>
    <w:rsid w:val="00DF15D5"/>
    <w:rsid w:val="00DF2A2F"/>
    <w:rsid w:val="00DF3970"/>
    <w:rsid w:val="00DF3A31"/>
    <w:rsid w:val="00DF4495"/>
    <w:rsid w:val="00DF671A"/>
    <w:rsid w:val="00DF6A62"/>
    <w:rsid w:val="00DF75F0"/>
    <w:rsid w:val="00E001A3"/>
    <w:rsid w:val="00E00543"/>
    <w:rsid w:val="00E01B25"/>
    <w:rsid w:val="00E0228D"/>
    <w:rsid w:val="00E03ABC"/>
    <w:rsid w:val="00E04507"/>
    <w:rsid w:val="00E0613E"/>
    <w:rsid w:val="00E0645D"/>
    <w:rsid w:val="00E07A83"/>
    <w:rsid w:val="00E10F19"/>
    <w:rsid w:val="00E11EB4"/>
    <w:rsid w:val="00E15013"/>
    <w:rsid w:val="00E15889"/>
    <w:rsid w:val="00E17206"/>
    <w:rsid w:val="00E176AF"/>
    <w:rsid w:val="00E20669"/>
    <w:rsid w:val="00E2235D"/>
    <w:rsid w:val="00E22C87"/>
    <w:rsid w:val="00E23AF6"/>
    <w:rsid w:val="00E24425"/>
    <w:rsid w:val="00E25555"/>
    <w:rsid w:val="00E267B1"/>
    <w:rsid w:val="00E277C6"/>
    <w:rsid w:val="00E3183D"/>
    <w:rsid w:val="00E32CAF"/>
    <w:rsid w:val="00E32CCB"/>
    <w:rsid w:val="00E32F8F"/>
    <w:rsid w:val="00E33990"/>
    <w:rsid w:val="00E33D11"/>
    <w:rsid w:val="00E407FC"/>
    <w:rsid w:val="00E42F81"/>
    <w:rsid w:val="00E43E81"/>
    <w:rsid w:val="00E4420B"/>
    <w:rsid w:val="00E449F2"/>
    <w:rsid w:val="00E450AE"/>
    <w:rsid w:val="00E4510B"/>
    <w:rsid w:val="00E45902"/>
    <w:rsid w:val="00E46385"/>
    <w:rsid w:val="00E46A69"/>
    <w:rsid w:val="00E508BC"/>
    <w:rsid w:val="00E52FB1"/>
    <w:rsid w:val="00E53110"/>
    <w:rsid w:val="00E53629"/>
    <w:rsid w:val="00E53AE9"/>
    <w:rsid w:val="00E54996"/>
    <w:rsid w:val="00E56660"/>
    <w:rsid w:val="00E569E2"/>
    <w:rsid w:val="00E56AA2"/>
    <w:rsid w:val="00E575CB"/>
    <w:rsid w:val="00E60412"/>
    <w:rsid w:val="00E614AD"/>
    <w:rsid w:val="00E62323"/>
    <w:rsid w:val="00E623A4"/>
    <w:rsid w:val="00E62AA9"/>
    <w:rsid w:val="00E62B72"/>
    <w:rsid w:val="00E633B0"/>
    <w:rsid w:val="00E6448D"/>
    <w:rsid w:val="00E648E4"/>
    <w:rsid w:val="00E65295"/>
    <w:rsid w:val="00E67891"/>
    <w:rsid w:val="00E70C86"/>
    <w:rsid w:val="00E7405A"/>
    <w:rsid w:val="00E76864"/>
    <w:rsid w:val="00E775E7"/>
    <w:rsid w:val="00E7781E"/>
    <w:rsid w:val="00E82AEF"/>
    <w:rsid w:val="00E82FE3"/>
    <w:rsid w:val="00E843B4"/>
    <w:rsid w:val="00E86435"/>
    <w:rsid w:val="00E86580"/>
    <w:rsid w:val="00E86788"/>
    <w:rsid w:val="00E86C64"/>
    <w:rsid w:val="00E90227"/>
    <w:rsid w:val="00E92520"/>
    <w:rsid w:val="00E9324D"/>
    <w:rsid w:val="00E95517"/>
    <w:rsid w:val="00E96D1E"/>
    <w:rsid w:val="00E97D52"/>
    <w:rsid w:val="00E97EAD"/>
    <w:rsid w:val="00E97EEF"/>
    <w:rsid w:val="00EA0010"/>
    <w:rsid w:val="00EA009F"/>
    <w:rsid w:val="00EA1EBF"/>
    <w:rsid w:val="00EA1FE4"/>
    <w:rsid w:val="00EA277C"/>
    <w:rsid w:val="00EA326A"/>
    <w:rsid w:val="00EA32B7"/>
    <w:rsid w:val="00EA3D43"/>
    <w:rsid w:val="00EA4935"/>
    <w:rsid w:val="00EB0739"/>
    <w:rsid w:val="00EB0B1D"/>
    <w:rsid w:val="00EB0E0E"/>
    <w:rsid w:val="00EB0E7B"/>
    <w:rsid w:val="00EB211E"/>
    <w:rsid w:val="00EB28C1"/>
    <w:rsid w:val="00EB319F"/>
    <w:rsid w:val="00EB33CE"/>
    <w:rsid w:val="00EB367C"/>
    <w:rsid w:val="00EB3E0D"/>
    <w:rsid w:val="00EB4984"/>
    <w:rsid w:val="00EB6614"/>
    <w:rsid w:val="00EB6885"/>
    <w:rsid w:val="00EB6BCC"/>
    <w:rsid w:val="00EC0786"/>
    <w:rsid w:val="00EC0FFF"/>
    <w:rsid w:val="00EC2806"/>
    <w:rsid w:val="00EC369F"/>
    <w:rsid w:val="00EC4A60"/>
    <w:rsid w:val="00EC62BA"/>
    <w:rsid w:val="00EC73D8"/>
    <w:rsid w:val="00EC7839"/>
    <w:rsid w:val="00EC7FAC"/>
    <w:rsid w:val="00ED011A"/>
    <w:rsid w:val="00ED0BA8"/>
    <w:rsid w:val="00ED2205"/>
    <w:rsid w:val="00ED477A"/>
    <w:rsid w:val="00ED5834"/>
    <w:rsid w:val="00ED58AA"/>
    <w:rsid w:val="00ED6961"/>
    <w:rsid w:val="00ED6BB6"/>
    <w:rsid w:val="00ED74DD"/>
    <w:rsid w:val="00EE00E5"/>
    <w:rsid w:val="00EE0DB9"/>
    <w:rsid w:val="00EE1154"/>
    <w:rsid w:val="00EE2214"/>
    <w:rsid w:val="00EE3CF4"/>
    <w:rsid w:val="00EE5FDD"/>
    <w:rsid w:val="00EE62DD"/>
    <w:rsid w:val="00EE6659"/>
    <w:rsid w:val="00EE720B"/>
    <w:rsid w:val="00EF0B26"/>
    <w:rsid w:val="00EF0D81"/>
    <w:rsid w:val="00EF11C6"/>
    <w:rsid w:val="00EF1EF8"/>
    <w:rsid w:val="00EF394C"/>
    <w:rsid w:val="00EF524A"/>
    <w:rsid w:val="00EF6473"/>
    <w:rsid w:val="00F0002F"/>
    <w:rsid w:val="00F006F5"/>
    <w:rsid w:val="00F00F9A"/>
    <w:rsid w:val="00F01B8A"/>
    <w:rsid w:val="00F026CE"/>
    <w:rsid w:val="00F03833"/>
    <w:rsid w:val="00F041A6"/>
    <w:rsid w:val="00F103B9"/>
    <w:rsid w:val="00F10CCE"/>
    <w:rsid w:val="00F112B8"/>
    <w:rsid w:val="00F122CD"/>
    <w:rsid w:val="00F125A2"/>
    <w:rsid w:val="00F146EB"/>
    <w:rsid w:val="00F153CA"/>
    <w:rsid w:val="00F215A6"/>
    <w:rsid w:val="00F216C1"/>
    <w:rsid w:val="00F224DD"/>
    <w:rsid w:val="00F248CB"/>
    <w:rsid w:val="00F24E42"/>
    <w:rsid w:val="00F25253"/>
    <w:rsid w:val="00F25C7A"/>
    <w:rsid w:val="00F27029"/>
    <w:rsid w:val="00F2712D"/>
    <w:rsid w:val="00F279E5"/>
    <w:rsid w:val="00F30D44"/>
    <w:rsid w:val="00F32ADF"/>
    <w:rsid w:val="00F3328B"/>
    <w:rsid w:val="00F3330C"/>
    <w:rsid w:val="00F33BE2"/>
    <w:rsid w:val="00F34AEA"/>
    <w:rsid w:val="00F36867"/>
    <w:rsid w:val="00F40AEA"/>
    <w:rsid w:val="00F44057"/>
    <w:rsid w:val="00F50B81"/>
    <w:rsid w:val="00F53078"/>
    <w:rsid w:val="00F55870"/>
    <w:rsid w:val="00F56532"/>
    <w:rsid w:val="00F56D59"/>
    <w:rsid w:val="00F57312"/>
    <w:rsid w:val="00F5745D"/>
    <w:rsid w:val="00F578C0"/>
    <w:rsid w:val="00F60225"/>
    <w:rsid w:val="00F60611"/>
    <w:rsid w:val="00F616B0"/>
    <w:rsid w:val="00F63F15"/>
    <w:rsid w:val="00F64AE5"/>
    <w:rsid w:val="00F6669E"/>
    <w:rsid w:val="00F67DC6"/>
    <w:rsid w:val="00F700E5"/>
    <w:rsid w:val="00F72FA2"/>
    <w:rsid w:val="00F73AC7"/>
    <w:rsid w:val="00F74E79"/>
    <w:rsid w:val="00F754E9"/>
    <w:rsid w:val="00F75A8C"/>
    <w:rsid w:val="00F75CF8"/>
    <w:rsid w:val="00F76E3D"/>
    <w:rsid w:val="00F8030A"/>
    <w:rsid w:val="00F80CE4"/>
    <w:rsid w:val="00F80E97"/>
    <w:rsid w:val="00F81D0E"/>
    <w:rsid w:val="00F82F23"/>
    <w:rsid w:val="00F8382F"/>
    <w:rsid w:val="00F83BA7"/>
    <w:rsid w:val="00F85733"/>
    <w:rsid w:val="00F85A8A"/>
    <w:rsid w:val="00F85B98"/>
    <w:rsid w:val="00F8649C"/>
    <w:rsid w:val="00F87064"/>
    <w:rsid w:val="00F90F58"/>
    <w:rsid w:val="00F91260"/>
    <w:rsid w:val="00F9167D"/>
    <w:rsid w:val="00F91C67"/>
    <w:rsid w:val="00F92077"/>
    <w:rsid w:val="00F93FEB"/>
    <w:rsid w:val="00F960AA"/>
    <w:rsid w:val="00F962B2"/>
    <w:rsid w:val="00FA000F"/>
    <w:rsid w:val="00FA1373"/>
    <w:rsid w:val="00FA3B84"/>
    <w:rsid w:val="00FA4BE1"/>
    <w:rsid w:val="00FA4FE7"/>
    <w:rsid w:val="00FA5F3C"/>
    <w:rsid w:val="00FA64D3"/>
    <w:rsid w:val="00FA6D34"/>
    <w:rsid w:val="00FA74C5"/>
    <w:rsid w:val="00FB130D"/>
    <w:rsid w:val="00FB38A9"/>
    <w:rsid w:val="00FB3F66"/>
    <w:rsid w:val="00FB4EC7"/>
    <w:rsid w:val="00FB5652"/>
    <w:rsid w:val="00FB648A"/>
    <w:rsid w:val="00FC00DE"/>
    <w:rsid w:val="00FC0E2F"/>
    <w:rsid w:val="00FC1239"/>
    <w:rsid w:val="00FC1871"/>
    <w:rsid w:val="00FC21EB"/>
    <w:rsid w:val="00FC3CB9"/>
    <w:rsid w:val="00FC4BD5"/>
    <w:rsid w:val="00FC5204"/>
    <w:rsid w:val="00FC5BA4"/>
    <w:rsid w:val="00FC5EC6"/>
    <w:rsid w:val="00FC6223"/>
    <w:rsid w:val="00FC685E"/>
    <w:rsid w:val="00FC7844"/>
    <w:rsid w:val="00FD1952"/>
    <w:rsid w:val="00FD2030"/>
    <w:rsid w:val="00FD27EA"/>
    <w:rsid w:val="00FD286B"/>
    <w:rsid w:val="00FD42B1"/>
    <w:rsid w:val="00FD43CB"/>
    <w:rsid w:val="00FD5ACD"/>
    <w:rsid w:val="00FD619D"/>
    <w:rsid w:val="00FE03D5"/>
    <w:rsid w:val="00FE1936"/>
    <w:rsid w:val="00FE1C56"/>
    <w:rsid w:val="00FE2632"/>
    <w:rsid w:val="00FE532E"/>
    <w:rsid w:val="00FE5CFB"/>
    <w:rsid w:val="00FE5D0F"/>
    <w:rsid w:val="00FE6A47"/>
    <w:rsid w:val="00FE759E"/>
    <w:rsid w:val="00FE77A5"/>
    <w:rsid w:val="00FE7DF5"/>
    <w:rsid w:val="00FE7DF7"/>
    <w:rsid w:val="00FE7EF5"/>
    <w:rsid w:val="00FF2D6B"/>
    <w:rsid w:val="00FF31EA"/>
    <w:rsid w:val="00FF5F7E"/>
    <w:rsid w:val="00FF5FAB"/>
    <w:rsid w:val="00FF7209"/>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002D"/>
  <w15:docId w15:val="{DDBEFFC7-9D7C-4CC0-A8C5-B19EA657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60"/>
  </w:style>
  <w:style w:type="paragraph" w:styleId="Heading1">
    <w:name w:val="heading 1"/>
    <w:basedOn w:val="Normal"/>
    <w:next w:val="Normal"/>
    <w:link w:val="Heading1Char"/>
    <w:uiPriority w:val="9"/>
    <w:qFormat/>
    <w:rsid w:val="00F27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2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2712D"/>
    <w:pPr>
      <w:spacing w:after="0" w:line="240" w:lineRule="auto"/>
    </w:pPr>
  </w:style>
  <w:style w:type="paragraph" w:styleId="BalloonText">
    <w:name w:val="Balloon Text"/>
    <w:basedOn w:val="Normal"/>
    <w:link w:val="BalloonTextChar"/>
    <w:uiPriority w:val="99"/>
    <w:semiHidden/>
    <w:unhideWhenUsed/>
    <w:rsid w:val="00F2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2D"/>
    <w:rPr>
      <w:rFonts w:ascii="Tahoma" w:hAnsi="Tahoma" w:cs="Tahoma"/>
      <w:sz w:val="16"/>
      <w:szCs w:val="16"/>
    </w:rPr>
  </w:style>
  <w:style w:type="table" w:styleId="TableGrid">
    <w:name w:val="Table Grid"/>
    <w:basedOn w:val="TableNormal"/>
    <w:uiPriority w:val="59"/>
    <w:rsid w:val="0025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10E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CD5009"/>
    <w:rPr>
      <w:color w:val="0000FF"/>
      <w:u w:val="single"/>
    </w:rPr>
  </w:style>
  <w:style w:type="paragraph" w:styleId="Header">
    <w:name w:val="header"/>
    <w:basedOn w:val="Normal"/>
    <w:link w:val="HeaderChar"/>
    <w:uiPriority w:val="99"/>
    <w:unhideWhenUsed/>
    <w:rsid w:val="007E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2E"/>
  </w:style>
  <w:style w:type="paragraph" w:styleId="Footer">
    <w:name w:val="footer"/>
    <w:basedOn w:val="Normal"/>
    <w:link w:val="FooterChar"/>
    <w:uiPriority w:val="99"/>
    <w:unhideWhenUsed/>
    <w:rsid w:val="007E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2E"/>
  </w:style>
  <w:style w:type="character" w:styleId="CommentReference">
    <w:name w:val="annotation reference"/>
    <w:basedOn w:val="DefaultParagraphFont"/>
    <w:uiPriority w:val="99"/>
    <w:semiHidden/>
    <w:unhideWhenUsed/>
    <w:rsid w:val="00BD270B"/>
    <w:rPr>
      <w:sz w:val="16"/>
      <w:szCs w:val="16"/>
    </w:rPr>
  </w:style>
  <w:style w:type="paragraph" w:styleId="CommentText">
    <w:name w:val="annotation text"/>
    <w:basedOn w:val="Normal"/>
    <w:link w:val="CommentTextChar"/>
    <w:uiPriority w:val="99"/>
    <w:semiHidden/>
    <w:unhideWhenUsed/>
    <w:rsid w:val="00BD270B"/>
    <w:pPr>
      <w:spacing w:line="240" w:lineRule="auto"/>
    </w:pPr>
    <w:rPr>
      <w:sz w:val="20"/>
      <w:szCs w:val="20"/>
    </w:rPr>
  </w:style>
  <w:style w:type="character" w:customStyle="1" w:styleId="CommentTextChar">
    <w:name w:val="Comment Text Char"/>
    <w:basedOn w:val="DefaultParagraphFont"/>
    <w:link w:val="CommentText"/>
    <w:uiPriority w:val="99"/>
    <w:semiHidden/>
    <w:rsid w:val="00BD270B"/>
    <w:rPr>
      <w:sz w:val="20"/>
      <w:szCs w:val="20"/>
    </w:rPr>
  </w:style>
  <w:style w:type="paragraph" w:styleId="CommentSubject">
    <w:name w:val="annotation subject"/>
    <w:basedOn w:val="CommentText"/>
    <w:next w:val="CommentText"/>
    <w:link w:val="CommentSubjectChar"/>
    <w:uiPriority w:val="99"/>
    <w:semiHidden/>
    <w:unhideWhenUsed/>
    <w:rsid w:val="00BD270B"/>
    <w:rPr>
      <w:b/>
      <w:bCs/>
    </w:rPr>
  </w:style>
  <w:style w:type="character" w:customStyle="1" w:styleId="CommentSubjectChar">
    <w:name w:val="Comment Subject Char"/>
    <w:basedOn w:val="CommentTextChar"/>
    <w:link w:val="CommentSubject"/>
    <w:uiPriority w:val="99"/>
    <w:semiHidden/>
    <w:rsid w:val="00BD270B"/>
    <w:rPr>
      <w:b/>
      <w:bCs/>
      <w:sz w:val="20"/>
      <w:szCs w:val="20"/>
    </w:rPr>
  </w:style>
  <w:style w:type="character" w:customStyle="1" w:styleId="NoSpacingChar">
    <w:name w:val="No Spacing Char"/>
    <w:basedOn w:val="DefaultParagraphFont"/>
    <w:link w:val="NoSpacing"/>
    <w:uiPriority w:val="1"/>
    <w:rsid w:val="00782E51"/>
  </w:style>
  <w:style w:type="paragraph" w:styleId="ListParagraph">
    <w:name w:val="List Paragraph"/>
    <w:basedOn w:val="Normal"/>
    <w:uiPriority w:val="34"/>
    <w:qFormat/>
    <w:rsid w:val="00BE4117"/>
    <w:pPr>
      <w:spacing w:after="160" w:line="259" w:lineRule="auto"/>
      <w:ind w:left="720"/>
      <w:contextualSpacing/>
    </w:pPr>
  </w:style>
  <w:style w:type="table" w:customStyle="1" w:styleId="ListTable4-Accent51">
    <w:name w:val="List Table 4 - Accent 51"/>
    <w:basedOn w:val="TableNormal"/>
    <w:uiPriority w:val="49"/>
    <w:rsid w:val="00232B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1">
    <w:name w:val="Unresolved Mention1"/>
    <w:basedOn w:val="DefaultParagraphFont"/>
    <w:uiPriority w:val="99"/>
    <w:semiHidden/>
    <w:unhideWhenUsed/>
    <w:rsid w:val="0045675D"/>
    <w:rPr>
      <w:color w:val="605E5C"/>
      <w:shd w:val="clear" w:color="auto" w:fill="E1DFDD"/>
    </w:rPr>
  </w:style>
  <w:style w:type="character" w:customStyle="1" w:styleId="UnresolvedMention2">
    <w:name w:val="Unresolved Mention2"/>
    <w:basedOn w:val="DefaultParagraphFont"/>
    <w:uiPriority w:val="99"/>
    <w:semiHidden/>
    <w:unhideWhenUsed/>
    <w:rsid w:val="00834DC2"/>
    <w:rPr>
      <w:color w:val="605E5C"/>
      <w:shd w:val="clear" w:color="auto" w:fill="E1DFDD"/>
    </w:rPr>
  </w:style>
  <w:style w:type="table" w:styleId="GridTable4-Accent1">
    <w:name w:val="Grid Table 4 Accent 1"/>
    <w:basedOn w:val="TableNormal"/>
    <w:uiPriority w:val="49"/>
    <w:rsid w:val="0084388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DD7A1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0D3B1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0D3B1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DA261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E277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14">
      <w:bodyDiv w:val="1"/>
      <w:marLeft w:val="0"/>
      <w:marRight w:val="0"/>
      <w:marTop w:val="0"/>
      <w:marBottom w:val="0"/>
      <w:divBdr>
        <w:top w:val="none" w:sz="0" w:space="0" w:color="auto"/>
        <w:left w:val="none" w:sz="0" w:space="0" w:color="auto"/>
        <w:bottom w:val="none" w:sz="0" w:space="0" w:color="auto"/>
        <w:right w:val="none" w:sz="0" w:space="0" w:color="auto"/>
      </w:divBdr>
    </w:div>
    <w:div w:id="177159065">
      <w:bodyDiv w:val="1"/>
      <w:marLeft w:val="0"/>
      <w:marRight w:val="0"/>
      <w:marTop w:val="0"/>
      <w:marBottom w:val="0"/>
      <w:divBdr>
        <w:top w:val="none" w:sz="0" w:space="0" w:color="auto"/>
        <w:left w:val="none" w:sz="0" w:space="0" w:color="auto"/>
        <w:bottom w:val="none" w:sz="0" w:space="0" w:color="auto"/>
        <w:right w:val="none" w:sz="0" w:space="0" w:color="auto"/>
      </w:divBdr>
    </w:div>
    <w:div w:id="484712557">
      <w:bodyDiv w:val="1"/>
      <w:marLeft w:val="0"/>
      <w:marRight w:val="0"/>
      <w:marTop w:val="0"/>
      <w:marBottom w:val="0"/>
      <w:divBdr>
        <w:top w:val="none" w:sz="0" w:space="0" w:color="auto"/>
        <w:left w:val="none" w:sz="0" w:space="0" w:color="auto"/>
        <w:bottom w:val="none" w:sz="0" w:space="0" w:color="auto"/>
        <w:right w:val="none" w:sz="0" w:space="0" w:color="auto"/>
      </w:divBdr>
    </w:div>
    <w:div w:id="571233653">
      <w:bodyDiv w:val="1"/>
      <w:marLeft w:val="0"/>
      <w:marRight w:val="0"/>
      <w:marTop w:val="0"/>
      <w:marBottom w:val="0"/>
      <w:divBdr>
        <w:top w:val="none" w:sz="0" w:space="0" w:color="auto"/>
        <w:left w:val="none" w:sz="0" w:space="0" w:color="auto"/>
        <w:bottom w:val="none" w:sz="0" w:space="0" w:color="auto"/>
        <w:right w:val="none" w:sz="0" w:space="0" w:color="auto"/>
      </w:divBdr>
    </w:div>
    <w:div w:id="588974724">
      <w:bodyDiv w:val="1"/>
      <w:marLeft w:val="0"/>
      <w:marRight w:val="0"/>
      <w:marTop w:val="0"/>
      <w:marBottom w:val="0"/>
      <w:divBdr>
        <w:top w:val="none" w:sz="0" w:space="0" w:color="auto"/>
        <w:left w:val="none" w:sz="0" w:space="0" w:color="auto"/>
        <w:bottom w:val="none" w:sz="0" w:space="0" w:color="auto"/>
        <w:right w:val="none" w:sz="0" w:space="0" w:color="auto"/>
      </w:divBdr>
    </w:div>
    <w:div w:id="616985097">
      <w:bodyDiv w:val="1"/>
      <w:marLeft w:val="0"/>
      <w:marRight w:val="0"/>
      <w:marTop w:val="0"/>
      <w:marBottom w:val="0"/>
      <w:divBdr>
        <w:top w:val="none" w:sz="0" w:space="0" w:color="auto"/>
        <w:left w:val="none" w:sz="0" w:space="0" w:color="auto"/>
        <w:bottom w:val="none" w:sz="0" w:space="0" w:color="auto"/>
        <w:right w:val="none" w:sz="0" w:space="0" w:color="auto"/>
      </w:divBdr>
    </w:div>
    <w:div w:id="627468634">
      <w:bodyDiv w:val="1"/>
      <w:marLeft w:val="0"/>
      <w:marRight w:val="0"/>
      <w:marTop w:val="0"/>
      <w:marBottom w:val="0"/>
      <w:divBdr>
        <w:top w:val="none" w:sz="0" w:space="0" w:color="auto"/>
        <w:left w:val="none" w:sz="0" w:space="0" w:color="auto"/>
        <w:bottom w:val="none" w:sz="0" w:space="0" w:color="auto"/>
        <w:right w:val="none" w:sz="0" w:space="0" w:color="auto"/>
      </w:divBdr>
    </w:div>
    <w:div w:id="692338332">
      <w:bodyDiv w:val="1"/>
      <w:marLeft w:val="0"/>
      <w:marRight w:val="0"/>
      <w:marTop w:val="0"/>
      <w:marBottom w:val="0"/>
      <w:divBdr>
        <w:top w:val="none" w:sz="0" w:space="0" w:color="auto"/>
        <w:left w:val="none" w:sz="0" w:space="0" w:color="auto"/>
        <w:bottom w:val="none" w:sz="0" w:space="0" w:color="auto"/>
        <w:right w:val="none" w:sz="0" w:space="0" w:color="auto"/>
      </w:divBdr>
    </w:div>
    <w:div w:id="723069261">
      <w:bodyDiv w:val="1"/>
      <w:marLeft w:val="0"/>
      <w:marRight w:val="0"/>
      <w:marTop w:val="0"/>
      <w:marBottom w:val="0"/>
      <w:divBdr>
        <w:top w:val="none" w:sz="0" w:space="0" w:color="auto"/>
        <w:left w:val="none" w:sz="0" w:space="0" w:color="auto"/>
        <w:bottom w:val="none" w:sz="0" w:space="0" w:color="auto"/>
        <w:right w:val="none" w:sz="0" w:space="0" w:color="auto"/>
      </w:divBdr>
    </w:div>
    <w:div w:id="731126497">
      <w:bodyDiv w:val="1"/>
      <w:marLeft w:val="0"/>
      <w:marRight w:val="0"/>
      <w:marTop w:val="0"/>
      <w:marBottom w:val="0"/>
      <w:divBdr>
        <w:top w:val="none" w:sz="0" w:space="0" w:color="auto"/>
        <w:left w:val="none" w:sz="0" w:space="0" w:color="auto"/>
        <w:bottom w:val="none" w:sz="0" w:space="0" w:color="auto"/>
        <w:right w:val="none" w:sz="0" w:space="0" w:color="auto"/>
      </w:divBdr>
    </w:div>
    <w:div w:id="742921274">
      <w:bodyDiv w:val="1"/>
      <w:marLeft w:val="0"/>
      <w:marRight w:val="0"/>
      <w:marTop w:val="0"/>
      <w:marBottom w:val="0"/>
      <w:divBdr>
        <w:top w:val="none" w:sz="0" w:space="0" w:color="auto"/>
        <w:left w:val="none" w:sz="0" w:space="0" w:color="auto"/>
        <w:bottom w:val="none" w:sz="0" w:space="0" w:color="auto"/>
        <w:right w:val="none" w:sz="0" w:space="0" w:color="auto"/>
      </w:divBdr>
    </w:div>
    <w:div w:id="908079451">
      <w:bodyDiv w:val="1"/>
      <w:marLeft w:val="0"/>
      <w:marRight w:val="0"/>
      <w:marTop w:val="0"/>
      <w:marBottom w:val="0"/>
      <w:divBdr>
        <w:top w:val="none" w:sz="0" w:space="0" w:color="auto"/>
        <w:left w:val="none" w:sz="0" w:space="0" w:color="auto"/>
        <w:bottom w:val="none" w:sz="0" w:space="0" w:color="auto"/>
        <w:right w:val="none" w:sz="0" w:space="0" w:color="auto"/>
      </w:divBdr>
    </w:div>
    <w:div w:id="920066878">
      <w:bodyDiv w:val="1"/>
      <w:marLeft w:val="0"/>
      <w:marRight w:val="0"/>
      <w:marTop w:val="0"/>
      <w:marBottom w:val="0"/>
      <w:divBdr>
        <w:top w:val="none" w:sz="0" w:space="0" w:color="auto"/>
        <w:left w:val="none" w:sz="0" w:space="0" w:color="auto"/>
        <w:bottom w:val="none" w:sz="0" w:space="0" w:color="auto"/>
        <w:right w:val="none" w:sz="0" w:space="0" w:color="auto"/>
      </w:divBdr>
    </w:div>
    <w:div w:id="958537348">
      <w:bodyDiv w:val="1"/>
      <w:marLeft w:val="0"/>
      <w:marRight w:val="0"/>
      <w:marTop w:val="0"/>
      <w:marBottom w:val="0"/>
      <w:divBdr>
        <w:top w:val="none" w:sz="0" w:space="0" w:color="auto"/>
        <w:left w:val="none" w:sz="0" w:space="0" w:color="auto"/>
        <w:bottom w:val="none" w:sz="0" w:space="0" w:color="auto"/>
        <w:right w:val="none" w:sz="0" w:space="0" w:color="auto"/>
      </w:divBdr>
    </w:div>
    <w:div w:id="1066418647">
      <w:bodyDiv w:val="1"/>
      <w:marLeft w:val="0"/>
      <w:marRight w:val="0"/>
      <w:marTop w:val="0"/>
      <w:marBottom w:val="0"/>
      <w:divBdr>
        <w:top w:val="none" w:sz="0" w:space="0" w:color="auto"/>
        <w:left w:val="none" w:sz="0" w:space="0" w:color="auto"/>
        <w:bottom w:val="none" w:sz="0" w:space="0" w:color="auto"/>
        <w:right w:val="none" w:sz="0" w:space="0" w:color="auto"/>
      </w:divBdr>
    </w:div>
    <w:div w:id="1193878164">
      <w:bodyDiv w:val="1"/>
      <w:marLeft w:val="0"/>
      <w:marRight w:val="0"/>
      <w:marTop w:val="0"/>
      <w:marBottom w:val="0"/>
      <w:divBdr>
        <w:top w:val="none" w:sz="0" w:space="0" w:color="auto"/>
        <w:left w:val="none" w:sz="0" w:space="0" w:color="auto"/>
        <w:bottom w:val="none" w:sz="0" w:space="0" w:color="auto"/>
        <w:right w:val="none" w:sz="0" w:space="0" w:color="auto"/>
      </w:divBdr>
    </w:div>
    <w:div w:id="1209026870">
      <w:bodyDiv w:val="1"/>
      <w:marLeft w:val="0"/>
      <w:marRight w:val="0"/>
      <w:marTop w:val="0"/>
      <w:marBottom w:val="0"/>
      <w:divBdr>
        <w:top w:val="none" w:sz="0" w:space="0" w:color="auto"/>
        <w:left w:val="none" w:sz="0" w:space="0" w:color="auto"/>
        <w:bottom w:val="none" w:sz="0" w:space="0" w:color="auto"/>
        <w:right w:val="none" w:sz="0" w:space="0" w:color="auto"/>
      </w:divBdr>
    </w:div>
    <w:div w:id="1263760097">
      <w:bodyDiv w:val="1"/>
      <w:marLeft w:val="0"/>
      <w:marRight w:val="0"/>
      <w:marTop w:val="0"/>
      <w:marBottom w:val="0"/>
      <w:divBdr>
        <w:top w:val="none" w:sz="0" w:space="0" w:color="auto"/>
        <w:left w:val="none" w:sz="0" w:space="0" w:color="auto"/>
        <w:bottom w:val="none" w:sz="0" w:space="0" w:color="auto"/>
        <w:right w:val="none" w:sz="0" w:space="0" w:color="auto"/>
      </w:divBdr>
    </w:div>
    <w:div w:id="1307197628">
      <w:bodyDiv w:val="1"/>
      <w:marLeft w:val="0"/>
      <w:marRight w:val="0"/>
      <w:marTop w:val="0"/>
      <w:marBottom w:val="0"/>
      <w:divBdr>
        <w:top w:val="none" w:sz="0" w:space="0" w:color="auto"/>
        <w:left w:val="none" w:sz="0" w:space="0" w:color="auto"/>
        <w:bottom w:val="none" w:sz="0" w:space="0" w:color="auto"/>
        <w:right w:val="none" w:sz="0" w:space="0" w:color="auto"/>
      </w:divBdr>
    </w:div>
    <w:div w:id="1319967319">
      <w:bodyDiv w:val="1"/>
      <w:marLeft w:val="0"/>
      <w:marRight w:val="0"/>
      <w:marTop w:val="0"/>
      <w:marBottom w:val="0"/>
      <w:divBdr>
        <w:top w:val="none" w:sz="0" w:space="0" w:color="auto"/>
        <w:left w:val="none" w:sz="0" w:space="0" w:color="auto"/>
        <w:bottom w:val="none" w:sz="0" w:space="0" w:color="auto"/>
        <w:right w:val="none" w:sz="0" w:space="0" w:color="auto"/>
      </w:divBdr>
    </w:div>
    <w:div w:id="1476682346">
      <w:bodyDiv w:val="1"/>
      <w:marLeft w:val="0"/>
      <w:marRight w:val="0"/>
      <w:marTop w:val="0"/>
      <w:marBottom w:val="0"/>
      <w:divBdr>
        <w:top w:val="none" w:sz="0" w:space="0" w:color="auto"/>
        <w:left w:val="none" w:sz="0" w:space="0" w:color="auto"/>
        <w:bottom w:val="none" w:sz="0" w:space="0" w:color="auto"/>
        <w:right w:val="none" w:sz="0" w:space="0" w:color="auto"/>
      </w:divBdr>
    </w:div>
    <w:div w:id="1542552639">
      <w:bodyDiv w:val="1"/>
      <w:marLeft w:val="0"/>
      <w:marRight w:val="0"/>
      <w:marTop w:val="0"/>
      <w:marBottom w:val="0"/>
      <w:divBdr>
        <w:top w:val="none" w:sz="0" w:space="0" w:color="auto"/>
        <w:left w:val="none" w:sz="0" w:space="0" w:color="auto"/>
        <w:bottom w:val="none" w:sz="0" w:space="0" w:color="auto"/>
        <w:right w:val="none" w:sz="0" w:space="0" w:color="auto"/>
      </w:divBdr>
    </w:div>
    <w:div w:id="1612516615">
      <w:bodyDiv w:val="1"/>
      <w:marLeft w:val="0"/>
      <w:marRight w:val="0"/>
      <w:marTop w:val="0"/>
      <w:marBottom w:val="0"/>
      <w:divBdr>
        <w:top w:val="none" w:sz="0" w:space="0" w:color="auto"/>
        <w:left w:val="none" w:sz="0" w:space="0" w:color="auto"/>
        <w:bottom w:val="none" w:sz="0" w:space="0" w:color="auto"/>
        <w:right w:val="none" w:sz="0" w:space="0" w:color="auto"/>
      </w:divBdr>
    </w:div>
    <w:div w:id="1726249752">
      <w:bodyDiv w:val="1"/>
      <w:marLeft w:val="0"/>
      <w:marRight w:val="0"/>
      <w:marTop w:val="0"/>
      <w:marBottom w:val="0"/>
      <w:divBdr>
        <w:top w:val="none" w:sz="0" w:space="0" w:color="auto"/>
        <w:left w:val="none" w:sz="0" w:space="0" w:color="auto"/>
        <w:bottom w:val="none" w:sz="0" w:space="0" w:color="auto"/>
        <w:right w:val="none" w:sz="0" w:space="0" w:color="auto"/>
      </w:divBdr>
    </w:div>
    <w:div w:id="2018773501">
      <w:bodyDiv w:val="1"/>
      <w:marLeft w:val="0"/>
      <w:marRight w:val="0"/>
      <w:marTop w:val="0"/>
      <w:marBottom w:val="0"/>
      <w:divBdr>
        <w:top w:val="none" w:sz="0" w:space="0" w:color="auto"/>
        <w:left w:val="none" w:sz="0" w:space="0" w:color="auto"/>
        <w:bottom w:val="none" w:sz="0" w:space="0" w:color="auto"/>
        <w:right w:val="none" w:sz="0" w:space="0" w:color="auto"/>
      </w:divBdr>
    </w:div>
    <w:div w:id="21462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watson@freshprodu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reshproduce.com/insit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e-Marie\Documents\210%20Analytics\Clients\IRI\2022\October%202022\Line_graph_produce_October_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ne-Marie\Documents\210%20Analytics\Clients\IRI\2022\October%202022\Line_graph_produce_October_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ne-Marie\Documents\210%20Analytics\Clients\IRI\2022\October%202022\Line_graph_produce_October_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000"/>
            </a:pPr>
            <a:r>
              <a:rPr lang="en-US" sz="1000"/>
              <a:t>% Dollar growth versus YA</a:t>
            </a:r>
            <a:r>
              <a:rPr lang="en-US" sz="1000" baseline="0"/>
              <a:t> and 2019</a:t>
            </a:r>
            <a:endParaRPr lang="en-US" sz="1000"/>
          </a:p>
        </c:rich>
      </c:tx>
      <c:overlay val="0"/>
    </c:title>
    <c:autoTitleDeleted val="0"/>
    <c:plotArea>
      <c:layout/>
      <c:lineChart>
        <c:grouping val="standard"/>
        <c:varyColors val="0"/>
        <c:ser>
          <c:idx val="0"/>
          <c:order val="0"/>
          <c:tx>
            <c:strRef>
              <c:f>Sheet1!$A$30</c:f>
              <c:strCache>
                <c:ptCount val="1"/>
                <c:pt idx="0">
                  <c:v>Produce dpt  </c:v>
                </c:pt>
              </c:strCache>
            </c:strRef>
          </c:tx>
          <c:marker>
            <c:symbol val="none"/>
          </c:marker>
          <c:dLbls>
            <c:dLbl>
              <c:idx val="0"/>
              <c:layout>
                <c:manualLayout>
                  <c:x val="-6.3073042185404743E-2"/>
                  <c:y val="-1.0999996535434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C8-40CD-8300-8E298E8C561D}"/>
                </c:ext>
              </c:extLst>
            </c:dLbl>
            <c:dLbl>
              <c:idx val="1"/>
              <c:layout>
                <c:manualLayout>
                  <c:x val="-3.2262228751839012E-2"/>
                  <c:y val="-1.899999401574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C8-40CD-8300-8E298E8C561D}"/>
                </c:ext>
              </c:extLst>
            </c:dLbl>
            <c:dLbl>
              <c:idx val="5"/>
              <c:layout>
                <c:manualLayout>
                  <c:x val="-2.4229214437575215E-2"/>
                  <c:y val="-1.4999995275592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C8-40CD-8300-8E298E8C561D}"/>
                </c:ext>
              </c:extLst>
            </c:dLbl>
            <c:dLbl>
              <c:idx val="6"/>
              <c:layout>
                <c:manualLayout>
                  <c:x val="-3.6881075840587842E-2"/>
                  <c:y val="-2.0086386256564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C8-40CD-8300-8E298E8C561D}"/>
                </c:ext>
              </c:extLst>
            </c:dLbl>
            <c:dLbl>
              <c:idx val="7"/>
              <c:layout>
                <c:manualLayout>
                  <c:x val="-1.7440512703191361E-2"/>
                  <c:y val="2.39740739191258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C8-40CD-8300-8E298E8C561D}"/>
                </c:ext>
              </c:extLst>
            </c:dLbl>
            <c:dLbl>
              <c:idx val="8"/>
              <c:layout>
                <c:manualLayout>
                  <c:x val="-1.8726705522064315E-2"/>
                  <c:y val="-2.2288533225572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C8-40CD-8300-8E298E8C561D}"/>
                </c:ext>
              </c:extLst>
            </c:dLbl>
            <c:dLbl>
              <c:idx val="9"/>
              <c:layout>
                <c:manualLayout>
                  <c:x val="-1.4612762247133194E-2"/>
                  <c:y val="-2.9476601902744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C8-40CD-8300-8E298E8C561D}"/>
                </c:ext>
              </c:extLst>
            </c:dLbl>
            <c:dLbl>
              <c:idx val="10"/>
              <c:layout>
                <c:manualLayout>
                  <c:x val="-6.1708652810387428E-3"/>
                  <c:y val="-7.531148333540705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C8-40CD-8300-8E298E8C561D}"/>
                </c:ext>
              </c:extLst>
            </c:dLbl>
            <c:dLbl>
              <c:idx val="11"/>
              <c:layout>
                <c:manualLayout>
                  <c:x val="-2.4693211455823771E-2"/>
                  <c:y val="2.81119320555966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EC8-40CD-8300-8E298E8C561D}"/>
                </c:ext>
              </c:extLst>
            </c:dLbl>
            <c:dLbl>
              <c:idx val="12"/>
              <c:layout>
                <c:manualLayout>
                  <c:x val="-8.4341070572839551E-3"/>
                  <c:y val="-5.502178700811890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C8-40CD-8300-8E298E8C561D}"/>
                </c:ext>
              </c:extLst>
            </c:dLbl>
            <c:dLbl>
              <c:idx val="13"/>
              <c:layout>
                <c:manualLayout>
                  <c:x val="-1.8576973326594252E-2"/>
                  <c:y val="3.08599510085453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EC8-40CD-8300-8E298E8C561D}"/>
                </c:ext>
              </c:extLst>
            </c:dLbl>
            <c:spPr>
              <a:noFill/>
              <a:ln>
                <a:noFill/>
              </a:ln>
              <a:effectLst/>
            </c:spPr>
            <c:txPr>
              <a:bodyPr/>
              <a:lstStyle/>
              <a:p>
                <a:pPr>
                  <a:defRPr sz="800">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Oct '22</c:v>
                </c:pt>
              </c:strCache>
            </c:strRef>
          </c:cat>
          <c:val>
            <c:numRef>
              <c:f>Sheet1!$B$30:$N$30</c:f>
              <c:numCache>
                <c:formatCode>0%</c:formatCode>
                <c:ptCount val="13"/>
                <c:pt idx="0">
                  <c:v>1.7999999999999999E-2</c:v>
                </c:pt>
                <c:pt idx="1">
                  <c:v>6.8000000000000005E-2</c:v>
                </c:pt>
                <c:pt idx="2">
                  <c:v>0.151</c:v>
                </c:pt>
                <c:pt idx="3">
                  <c:v>0.121</c:v>
                </c:pt>
                <c:pt idx="4">
                  <c:v>0.11700000000000001</c:v>
                </c:pt>
                <c:pt idx="5">
                  <c:v>4.8000000000000001E-2</c:v>
                </c:pt>
                <c:pt idx="6">
                  <c:v>-1.0999999999999999E-2</c:v>
                </c:pt>
                <c:pt idx="7">
                  <c:v>0.02</c:v>
                </c:pt>
                <c:pt idx="8">
                  <c:v>5.0999999999999997E-2</c:v>
                </c:pt>
                <c:pt idx="9">
                  <c:v>4.7E-2</c:v>
                </c:pt>
                <c:pt idx="10">
                  <c:v>3.5999999999999997E-2</c:v>
                </c:pt>
                <c:pt idx="11">
                  <c:v>4.5999999999999999E-2</c:v>
                </c:pt>
                <c:pt idx="12" formatCode="0.0%">
                  <c:v>2.5000000000000001E-2</c:v>
                </c:pt>
              </c:numCache>
            </c:numRef>
          </c:val>
          <c:smooth val="0"/>
          <c:extLst>
            <c:ext xmlns:c16="http://schemas.microsoft.com/office/drawing/2014/chart" uri="{C3380CC4-5D6E-409C-BE32-E72D297353CC}">
              <c16:uniqueId val="{0000000B-CEC8-40CD-8300-8E298E8C561D}"/>
            </c:ext>
          </c:extLst>
        </c:ser>
        <c:ser>
          <c:idx val="1"/>
          <c:order val="1"/>
          <c:tx>
            <c:strRef>
              <c:f>Sheet1!$A$31</c:f>
              <c:strCache>
                <c:ptCount val="1"/>
                <c:pt idx="0">
                  <c:v>Fresh fruit</c:v>
                </c:pt>
              </c:strCache>
            </c:strRef>
          </c:tx>
          <c:marker>
            <c:symbol val="none"/>
          </c:marker>
          <c:dLbls>
            <c:dLbl>
              <c:idx val="0"/>
              <c:layout>
                <c:manualLayout>
                  <c:x val="-6.4151356812203172E-2"/>
                  <c:y val="-4.999998425197379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EC8-40CD-8300-8E298E8C561D}"/>
                </c:ext>
              </c:extLst>
            </c:dLbl>
            <c:dLbl>
              <c:idx val="5"/>
              <c:layout>
                <c:manualLayout>
                  <c:x val="-2.5939110462519059E-2"/>
                  <c:y val="4.6999985196855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EC8-40CD-8300-8E298E8C561D}"/>
                </c:ext>
              </c:extLst>
            </c:dLbl>
            <c:dLbl>
              <c:idx val="7"/>
              <c:layout>
                <c:manualLayout>
                  <c:x val="-2.0012859709561771E-2"/>
                  <c:y val="1.7494594481524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EC8-40CD-8300-8E298E8C561D}"/>
                </c:ext>
              </c:extLst>
            </c:dLbl>
            <c:dLbl>
              <c:idx val="8"/>
              <c:layout>
                <c:manualLayout>
                  <c:x val="-1.5503347337317341E-2"/>
                  <c:y val="2.2435382531660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EC8-40CD-8300-8E298E8C561D}"/>
                </c:ext>
              </c:extLst>
            </c:dLbl>
            <c:dLbl>
              <c:idx val="9"/>
              <c:layout>
                <c:manualLayout>
                  <c:x val="-4.0108670453442873E-2"/>
                  <c:y val="2.29628045405789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EC8-40CD-8300-8E298E8C561D}"/>
                </c:ext>
              </c:extLst>
            </c:dLbl>
            <c:dLbl>
              <c:idx val="10"/>
              <c:layout>
                <c:manualLayout>
                  <c:x val="-1.493729895558747E-2"/>
                  <c:y val="-2.41572125690383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EC8-40CD-8300-8E298E8C561D}"/>
                </c:ext>
              </c:extLst>
            </c:dLbl>
            <c:dLbl>
              <c:idx val="11"/>
              <c:layout>
                <c:manualLayout>
                  <c:x val="-1.6288929183536787E-2"/>
                  <c:y val="-2.811193205559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EC8-40CD-8300-8E298E8C561D}"/>
                </c:ext>
              </c:extLst>
            </c:dLbl>
            <c:dLbl>
              <c:idx val="12"/>
              <c:layout>
                <c:manualLayout>
                  <c:x val="-1.5676927600681903E-3"/>
                  <c:y val="8.119884869253461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EC8-40CD-8300-8E298E8C561D}"/>
                </c:ext>
              </c:extLst>
            </c:dLbl>
            <c:spPr>
              <a:noFill/>
              <a:ln>
                <a:noFill/>
              </a:ln>
              <a:effectLst/>
            </c:spPr>
            <c:txPr>
              <a:bodyPr/>
              <a:lstStyle/>
              <a:p>
                <a:pPr>
                  <a:defRPr sz="800">
                    <a:solidFill>
                      <a:schemeClr val="accent2"/>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Oct '22</c:v>
                </c:pt>
              </c:strCache>
            </c:strRef>
          </c:cat>
          <c:val>
            <c:numRef>
              <c:f>Sheet1!$B$31:$N$31</c:f>
              <c:numCache>
                <c:formatCode>0%</c:formatCode>
                <c:ptCount val="13"/>
                <c:pt idx="0">
                  <c:v>-2E-3</c:v>
                </c:pt>
                <c:pt idx="1">
                  <c:v>5.2999999999999999E-2</c:v>
                </c:pt>
                <c:pt idx="2">
                  <c:v>0.106</c:v>
                </c:pt>
                <c:pt idx="3">
                  <c:v>9.5000000000000001E-2</c:v>
                </c:pt>
                <c:pt idx="4">
                  <c:v>8.6999999999999994E-2</c:v>
                </c:pt>
                <c:pt idx="5">
                  <c:v>5.0999999999999997E-2</c:v>
                </c:pt>
                <c:pt idx="6">
                  <c:v>4.4999999999999998E-2</c:v>
                </c:pt>
                <c:pt idx="7">
                  <c:v>6.0999999999999999E-2</c:v>
                </c:pt>
                <c:pt idx="8">
                  <c:v>0.109</c:v>
                </c:pt>
                <c:pt idx="9">
                  <c:v>0.10199999999999999</c:v>
                </c:pt>
                <c:pt idx="10">
                  <c:v>4.2000000000000003E-2</c:v>
                </c:pt>
                <c:pt idx="11">
                  <c:v>4.5999999999999999E-2</c:v>
                </c:pt>
                <c:pt idx="12" formatCode="0.0%">
                  <c:v>-3.0000000000000001E-3</c:v>
                </c:pt>
              </c:numCache>
            </c:numRef>
          </c:val>
          <c:smooth val="0"/>
          <c:extLst>
            <c:ext xmlns:c16="http://schemas.microsoft.com/office/drawing/2014/chart" uri="{C3380CC4-5D6E-409C-BE32-E72D297353CC}">
              <c16:uniqueId val="{00000014-CEC8-40CD-8300-8E298E8C561D}"/>
            </c:ext>
          </c:extLst>
        </c:ser>
        <c:ser>
          <c:idx val="2"/>
          <c:order val="2"/>
          <c:tx>
            <c:strRef>
              <c:f>Sheet1!$A$32</c:f>
              <c:strCache>
                <c:ptCount val="1"/>
                <c:pt idx="0">
                  <c:v>Fresh vegetables</c:v>
                </c:pt>
              </c:strCache>
            </c:strRef>
          </c:tx>
          <c:marker>
            <c:symbol val="none"/>
          </c:marker>
          <c:dLbls>
            <c:dLbl>
              <c:idx val="0"/>
              <c:layout>
                <c:manualLayout>
                  <c:x val="-5.6586555146759317E-2"/>
                  <c:y val="-2.6999991496065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EC8-40CD-8300-8E298E8C561D}"/>
                </c:ext>
              </c:extLst>
            </c:dLbl>
            <c:dLbl>
              <c:idx val="5"/>
              <c:layout>
                <c:manualLayout>
                  <c:x val="-2.277731918402871E-2"/>
                  <c:y val="-4.4261372788715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EC8-40CD-8300-8E298E8C561D}"/>
                </c:ext>
              </c:extLst>
            </c:dLbl>
            <c:dLbl>
              <c:idx val="7"/>
              <c:layout>
                <c:manualLayout>
                  <c:x val="-2.3588523321920823E-2"/>
                  <c:y val="3.4341241019288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EC8-40CD-8300-8E298E8C561D}"/>
                </c:ext>
              </c:extLst>
            </c:dLbl>
            <c:dLbl>
              <c:idx val="8"/>
              <c:layout>
                <c:manualLayout>
                  <c:x val="-1.239801252219018E-2"/>
                  <c:y val="-2.5761163512281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EC8-40CD-8300-8E298E8C561D}"/>
                </c:ext>
              </c:extLst>
            </c:dLbl>
            <c:dLbl>
              <c:idx val="9"/>
              <c:layout>
                <c:manualLayout>
                  <c:x val="-1.8515573724603138E-2"/>
                  <c:y val="-2.89685593694923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EC8-40CD-8300-8E298E8C561D}"/>
                </c:ext>
              </c:extLst>
            </c:dLbl>
            <c:dLbl>
              <c:idx val="10"/>
              <c:layout>
                <c:manualLayout>
                  <c:x val="-7.5943404261937866E-3"/>
                  <c:y val="1.87216438293544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EC8-40CD-8300-8E298E8C561D}"/>
                </c:ext>
              </c:extLst>
            </c:dLbl>
            <c:dLbl>
              <c:idx val="11"/>
              <c:layout>
                <c:manualLayout>
                  <c:x val="-2.2165180456543882E-2"/>
                  <c:y val="3.63367808682864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EC8-40CD-8300-8E298E8C561D}"/>
                </c:ext>
              </c:extLst>
            </c:dLbl>
            <c:dLbl>
              <c:idx val="12"/>
              <c:layout>
                <c:manualLayout>
                  <c:x val="-9.5334029065199943E-3"/>
                  <c:y val="-9.021078460983378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EC8-40CD-8300-8E298E8C561D}"/>
                </c:ext>
              </c:extLst>
            </c:dLbl>
            <c:dLbl>
              <c:idx val="13"/>
              <c:layout>
                <c:manualLayout>
                  <c:x val="-2.1939062981788597E-2"/>
                  <c:y val="5.0061698302751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EC8-40CD-8300-8E298E8C561D}"/>
                </c:ext>
              </c:extLst>
            </c:dLbl>
            <c:spPr>
              <a:noFill/>
              <a:ln>
                <a:noFill/>
              </a:ln>
              <a:effectLst/>
            </c:spPr>
            <c:txPr>
              <a:bodyPr/>
              <a:lstStyle/>
              <a:p>
                <a:pPr>
                  <a:defRPr sz="800">
                    <a:solidFill>
                      <a:schemeClr val="accent3">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Oct '22</c:v>
                </c:pt>
              </c:strCache>
            </c:strRef>
          </c:cat>
          <c:val>
            <c:numRef>
              <c:f>Sheet1!$B$32:$N$32</c:f>
              <c:numCache>
                <c:formatCode>0%</c:formatCode>
                <c:ptCount val="13"/>
                <c:pt idx="0">
                  <c:v>3.9E-2</c:v>
                </c:pt>
                <c:pt idx="1">
                  <c:v>8.4000000000000005E-2</c:v>
                </c:pt>
                <c:pt idx="2">
                  <c:v>0.20699999999999999</c:v>
                </c:pt>
                <c:pt idx="3">
                  <c:v>0.151</c:v>
                </c:pt>
                <c:pt idx="4">
                  <c:v>0.14799999999999999</c:v>
                </c:pt>
                <c:pt idx="5">
                  <c:v>4.7E-2</c:v>
                </c:pt>
                <c:pt idx="6">
                  <c:v>-7.0999999999999994E-2</c:v>
                </c:pt>
                <c:pt idx="7">
                  <c:v>-2.4E-2</c:v>
                </c:pt>
                <c:pt idx="8">
                  <c:v>1E-3</c:v>
                </c:pt>
                <c:pt idx="9">
                  <c:v>-4.0000000000000001E-3</c:v>
                </c:pt>
                <c:pt idx="10">
                  <c:v>2.9000000000000001E-2</c:v>
                </c:pt>
                <c:pt idx="11">
                  <c:v>4.8000000000000001E-2</c:v>
                </c:pt>
                <c:pt idx="12" formatCode="0.0%">
                  <c:v>0.05</c:v>
                </c:pt>
              </c:numCache>
            </c:numRef>
          </c:val>
          <c:smooth val="0"/>
          <c:extLst>
            <c:ext xmlns:c16="http://schemas.microsoft.com/office/drawing/2014/chart" uri="{C3380CC4-5D6E-409C-BE32-E72D297353CC}">
              <c16:uniqueId val="{0000001E-CEC8-40CD-8300-8E298E8C561D}"/>
            </c:ext>
          </c:extLst>
        </c:ser>
        <c:ser>
          <c:idx val="3"/>
          <c:order val="3"/>
          <c:tx>
            <c:strRef>
              <c:f>Sheet1!$A$33</c:f>
              <c:strCache>
                <c:ptCount val="1"/>
                <c:pt idx="0">
                  <c:v>Produce dpt vs. 2019</c:v>
                </c:pt>
              </c:strCache>
            </c:strRef>
          </c:tx>
          <c:spPr>
            <a:ln>
              <a:noFill/>
            </a:ln>
          </c:spPr>
          <c:marker>
            <c:spPr>
              <a:solidFill>
                <a:srgbClr val="7030A0"/>
              </a:solidFill>
              <a:ln>
                <a:noFill/>
              </a:ln>
            </c:spPr>
          </c:marker>
          <c:dLbls>
            <c:dLbl>
              <c:idx val="7"/>
              <c:layout>
                <c:manualLayout>
                  <c:x val="8.9521073276133262E-3"/>
                  <c:y val="-3.6194795927983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EC8-40CD-8300-8E298E8C561D}"/>
                </c:ext>
              </c:extLst>
            </c:dLbl>
            <c:dLbl>
              <c:idx val="11"/>
              <c:layout>
                <c:manualLayout>
                  <c:x val="0"/>
                  <c:y val="-1.37155337815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EC8-40CD-8300-8E298E8C561D}"/>
                </c:ext>
              </c:extLst>
            </c:dLbl>
            <c:dLbl>
              <c:idx val="12"/>
              <c:layout>
                <c:manualLayout>
                  <c:x val="-1.3795971440164642E-16"/>
                  <c:y val="3.3174372797014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CEC8-40CD-8300-8E298E8C561D}"/>
                </c:ext>
              </c:extLst>
            </c:dLbl>
            <c:spPr>
              <a:noFill/>
              <a:ln>
                <a:noFill/>
              </a:ln>
              <a:effectLst/>
            </c:spPr>
            <c:txPr>
              <a:bodyPr/>
              <a:lstStyle/>
              <a:p>
                <a:pPr>
                  <a:defRPr sz="800">
                    <a:solidFill>
                      <a:schemeClr val="accent4"/>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Oct '22</c:v>
                </c:pt>
              </c:strCache>
            </c:strRef>
          </c:cat>
          <c:val>
            <c:numRef>
              <c:f>Sheet1!$B$33:$N$33</c:f>
              <c:numCache>
                <c:formatCode>General</c:formatCode>
                <c:ptCount val="13"/>
                <c:pt idx="5" formatCode="0%">
                  <c:v>0.12</c:v>
                </c:pt>
                <c:pt idx="6" formatCode="0%">
                  <c:v>0.13800000000000001</c:v>
                </c:pt>
                <c:pt idx="7" formatCode="0%">
                  <c:v>0.14399999999999999</c:v>
                </c:pt>
                <c:pt idx="8" formatCode="0%">
                  <c:v>0.17499999999999999</c:v>
                </c:pt>
                <c:pt idx="9" formatCode="0%">
                  <c:v>0.17199999999999999</c:v>
                </c:pt>
                <c:pt idx="10" formatCode="0%">
                  <c:v>0.18</c:v>
                </c:pt>
                <c:pt idx="11" formatCode="0%">
                  <c:v>0.19900000000000001</c:v>
                </c:pt>
                <c:pt idx="12" formatCode="0.0%">
                  <c:v>0.19600000000000001</c:v>
                </c:pt>
              </c:numCache>
            </c:numRef>
          </c:val>
          <c:smooth val="0"/>
          <c:extLst>
            <c:ext xmlns:c16="http://schemas.microsoft.com/office/drawing/2014/chart" uri="{C3380CC4-5D6E-409C-BE32-E72D297353CC}">
              <c16:uniqueId val="{00000021-CEC8-40CD-8300-8E298E8C561D}"/>
            </c:ext>
          </c:extLst>
        </c:ser>
        <c:ser>
          <c:idx val="4"/>
          <c:order val="4"/>
          <c:tx>
            <c:strRef>
              <c:f>Sheet1!$A$34</c:f>
              <c:strCache>
                <c:ptCount val="1"/>
                <c:pt idx="0">
                  <c:v>Fresh fruit vs. 2019</c:v>
                </c:pt>
              </c:strCache>
            </c:strRef>
          </c:tx>
          <c:spPr>
            <a:ln>
              <a:noFill/>
            </a:ln>
          </c:spPr>
          <c:marker>
            <c:spPr>
              <a:solidFill>
                <a:schemeClr val="accent5"/>
              </a:solidFill>
              <a:ln>
                <a:noFill/>
              </a:ln>
            </c:spPr>
          </c:marker>
          <c:dLbls>
            <c:dLbl>
              <c:idx val="7"/>
              <c:layout>
                <c:manualLayout>
                  <c:x val="3.9861921591190204E-3"/>
                  <c:y val="-2.2020926780850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EC8-40CD-8300-8E298E8C561D}"/>
                </c:ext>
              </c:extLst>
            </c:dLbl>
            <c:dLbl>
              <c:idx val="8"/>
              <c:layout>
                <c:manualLayout>
                  <c:x val="2.5723932915874053E-3"/>
                  <c:y val="-1.7617603975670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CEC8-40CD-8300-8E298E8C561D}"/>
                </c:ext>
              </c:extLst>
            </c:dLbl>
            <c:dLbl>
              <c:idx val="9"/>
              <c:layout>
                <c:manualLayout>
                  <c:x val="2.5212729927190933E-3"/>
                  <c:y val="3.91296256722776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CEC8-40CD-8300-8E298E8C561D}"/>
                </c:ext>
              </c:extLst>
            </c:dLbl>
            <c:dLbl>
              <c:idx val="11"/>
              <c:layout>
                <c:manualLayout>
                  <c:x val="-2.5193144132161509E-3"/>
                  <c:y val="-4.1146601344727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CEC8-40CD-8300-8E298E8C561D}"/>
                </c:ext>
              </c:extLst>
            </c:dLbl>
            <c:dLbl>
              <c:idx val="12"/>
              <c:layout>
                <c:manualLayout>
                  <c:x val="-1.850662112055403E-16"/>
                  <c:y val="-1.3712400220694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CEC8-40CD-8300-8E298E8C561D}"/>
                </c:ext>
              </c:extLst>
            </c:dLbl>
            <c:spPr>
              <a:noFill/>
              <a:ln>
                <a:noFill/>
              </a:ln>
              <a:effectLst/>
            </c:spPr>
            <c:txPr>
              <a:bodyPr/>
              <a:lstStyle/>
              <a:p>
                <a:pPr>
                  <a:defRPr sz="800">
                    <a:solidFill>
                      <a:schemeClr val="accent5">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Oct '22</c:v>
                </c:pt>
              </c:strCache>
            </c:strRef>
          </c:cat>
          <c:val>
            <c:numRef>
              <c:f>Sheet1!$B$34:$N$34</c:f>
              <c:numCache>
                <c:formatCode>General</c:formatCode>
                <c:ptCount val="13"/>
                <c:pt idx="5" formatCode="0%">
                  <c:v>0.106</c:v>
                </c:pt>
                <c:pt idx="6" formatCode="0%">
                  <c:v>0.156</c:v>
                </c:pt>
                <c:pt idx="7" formatCode="0%">
                  <c:v>0.16300000000000001</c:v>
                </c:pt>
                <c:pt idx="8" formatCode="0%">
                  <c:v>0.20599999999999999</c:v>
                </c:pt>
                <c:pt idx="9" formatCode="0%">
                  <c:v>0.22</c:v>
                </c:pt>
                <c:pt idx="10" formatCode="0%">
                  <c:v>0.20499999999999999</c:v>
                </c:pt>
                <c:pt idx="11" formatCode="0%">
                  <c:v>0.218</c:v>
                </c:pt>
                <c:pt idx="12" formatCode="0.0%">
                  <c:v>0.19</c:v>
                </c:pt>
              </c:numCache>
            </c:numRef>
          </c:val>
          <c:smooth val="0"/>
          <c:extLst>
            <c:ext xmlns:c16="http://schemas.microsoft.com/office/drawing/2014/chart" uri="{C3380CC4-5D6E-409C-BE32-E72D297353CC}">
              <c16:uniqueId val="{00000027-CEC8-40CD-8300-8E298E8C561D}"/>
            </c:ext>
          </c:extLst>
        </c:ser>
        <c:ser>
          <c:idx val="5"/>
          <c:order val="5"/>
          <c:tx>
            <c:strRef>
              <c:f>Sheet1!$A$35</c:f>
              <c:strCache>
                <c:ptCount val="1"/>
                <c:pt idx="0">
                  <c:v>Fresh veg vs. 2019</c:v>
                </c:pt>
              </c:strCache>
            </c:strRef>
          </c:tx>
          <c:spPr>
            <a:ln>
              <a:noFill/>
            </a:ln>
          </c:spPr>
          <c:marker>
            <c:spPr>
              <a:ln>
                <a:noFill/>
              </a:ln>
            </c:spPr>
          </c:marker>
          <c:dLbls>
            <c:dLbl>
              <c:idx val="7"/>
              <c:layout>
                <c:manualLayout>
                  <c:x val="6.4308675159260378E-3"/>
                  <c:y val="-5.183583550081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CEC8-40CD-8300-8E298E8C561D}"/>
                </c:ext>
              </c:extLst>
            </c:dLbl>
            <c:dLbl>
              <c:idx val="8"/>
              <c:layout>
                <c:manualLayout>
                  <c:x val="3.8585403060229836E-3"/>
                  <c:y val="-4.3030512525642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CEC8-40CD-8300-8E298E8C561D}"/>
                </c:ext>
              </c:extLst>
            </c:dLbl>
            <c:dLbl>
              <c:idx val="9"/>
              <c:layout>
                <c:manualLayout>
                  <c:x val="0"/>
                  <c:y val="4.7431678953346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CEC8-40CD-8300-8E298E8C561D}"/>
                </c:ext>
              </c:extLst>
            </c:dLbl>
            <c:dLbl>
              <c:idx val="11"/>
              <c:layout>
                <c:manualLayout>
                  <c:x val="0"/>
                  <c:y val="1.6458640537890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CEC8-40CD-8300-8E298E8C561D}"/>
                </c:ext>
              </c:extLst>
            </c:dLbl>
            <c:dLbl>
              <c:idx val="12"/>
              <c:layout>
                <c:manualLayout>
                  <c:x val="-1.3795971440164642E-16"/>
                  <c:y val="-2.6417379975543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CEC8-40CD-8300-8E298E8C561D}"/>
                </c:ext>
              </c:extLst>
            </c:dLbl>
            <c:spPr>
              <a:noFill/>
              <a:ln>
                <a:noFill/>
              </a:ln>
              <a:effectLst/>
            </c:spPr>
            <c:txPr>
              <a:bodyPr/>
              <a:lstStyle/>
              <a:p>
                <a:pPr>
                  <a:defRPr sz="800">
                    <a:solidFill>
                      <a:schemeClr val="accent6">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Sheet1!$B$29:$N$29</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Oct '22</c:v>
                </c:pt>
              </c:strCache>
            </c:strRef>
          </c:cat>
          <c:val>
            <c:numRef>
              <c:f>Sheet1!$B$35:$N$35</c:f>
              <c:numCache>
                <c:formatCode>General</c:formatCode>
                <c:ptCount val="13"/>
                <c:pt idx="5" formatCode="0%">
                  <c:v>0.13500000000000001</c:v>
                </c:pt>
                <c:pt idx="6" formatCode="0%">
                  <c:v>0.121</c:v>
                </c:pt>
                <c:pt idx="7" formatCode="0%">
                  <c:v>0.125</c:v>
                </c:pt>
                <c:pt idx="8" formatCode="0%">
                  <c:v>0.151</c:v>
                </c:pt>
                <c:pt idx="9" formatCode="0%">
                  <c:v>0.13</c:v>
                </c:pt>
                <c:pt idx="10" formatCode="0%">
                  <c:v>0.155</c:v>
                </c:pt>
                <c:pt idx="11" formatCode="0%">
                  <c:v>0.18</c:v>
                </c:pt>
                <c:pt idx="12" formatCode="0.0%">
                  <c:v>0.20200000000000001</c:v>
                </c:pt>
              </c:numCache>
            </c:numRef>
          </c:val>
          <c:smooth val="0"/>
          <c:extLst>
            <c:ext xmlns:c16="http://schemas.microsoft.com/office/drawing/2014/chart" uri="{C3380CC4-5D6E-409C-BE32-E72D297353CC}">
              <c16:uniqueId val="{0000002D-CEC8-40CD-8300-8E298E8C561D}"/>
            </c:ext>
          </c:extLst>
        </c:ser>
        <c:dLbls>
          <c:showLegendKey val="0"/>
          <c:showVal val="1"/>
          <c:showCatName val="0"/>
          <c:showSerName val="0"/>
          <c:showPercent val="0"/>
          <c:showBubbleSize val="0"/>
        </c:dLbls>
        <c:smooth val="0"/>
        <c:axId val="147893248"/>
        <c:axId val="147837696"/>
      </c:lineChart>
      <c:catAx>
        <c:axId val="147893248"/>
        <c:scaling>
          <c:orientation val="minMax"/>
        </c:scaling>
        <c:delete val="0"/>
        <c:axPos val="b"/>
        <c:numFmt formatCode="General" sourceLinked="0"/>
        <c:majorTickMark val="none"/>
        <c:minorTickMark val="none"/>
        <c:tickLblPos val="nextTo"/>
        <c:txPr>
          <a:bodyPr/>
          <a:lstStyle/>
          <a:p>
            <a:pPr>
              <a:defRPr sz="800"/>
            </a:pPr>
            <a:endParaRPr lang="en-US"/>
          </a:p>
        </c:txPr>
        <c:crossAx val="147837696"/>
        <c:crosses val="autoZero"/>
        <c:auto val="1"/>
        <c:lblAlgn val="ctr"/>
        <c:lblOffset val="100"/>
        <c:noMultiLvlLbl val="0"/>
      </c:catAx>
      <c:valAx>
        <c:axId val="147837696"/>
        <c:scaling>
          <c:orientation val="minMax"/>
        </c:scaling>
        <c:delete val="1"/>
        <c:axPos val="l"/>
        <c:numFmt formatCode="0%" sourceLinked="1"/>
        <c:majorTickMark val="none"/>
        <c:minorTickMark val="none"/>
        <c:tickLblPos val="none"/>
        <c:crossAx val="147893248"/>
        <c:crosses val="autoZero"/>
        <c:crossBetween val="between"/>
      </c:valAx>
    </c:plotArea>
    <c:legend>
      <c:legendPos val="t"/>
      <c:layout>
        <c:manualLayout>
          <c:xMode val="edge"/>
          <c:yMode val="edge"/>
          <c:x val="4.8713872069891723E-2"/>
          <c:y val="0.11871712429478265"/>
          <c:w val="0.89999990885384662"/>
          <c:h val="0.10227959531183421"/>
        </c:manualLayout>
      </c:layout>
      <c:overlay val="0"/>
      <c:txPr>
        <a:bodyPr/>
        <a:lstStyle/>
        <a:p>
          <a:pPr>
            <a:defRPr sz="9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Share of dollars across temperature zones</a:t>
            </a:r>
          </a:p>
        </c:rich>
      </c:tx>
      <c:layout>
        <c:manualLayout>
          <c:xMode val="edge"/>
          <c:yMode val="edge"/>
          <c:x val="1.0460850088679821E-2"/>
          <c:y val="2.1621621621621651E-2"/>
        </c:manualLayout>
      </c:layout>
      <c:overlay val="0"/>
    </c:title>
    <c:autoTitleDeleted val="0"/>
    <c:plotArea>
      <c:layout/>
      <c:barChart>
        <c:barDir val="col"/>
        <c:grouping val="percentStacked"/>
        <c:varyColors val="0"/>
        <c:ser>
          <c:idx val="0"/>
          <c:order val="0"/>
          <c:tx>
            <c:strRef>
              <c:f>Sheet1!$A$102</c:f>
              <c:strCache>
                <c:ptCount val="1"/>
                <c:pt idx="0">
                  <c:v>Fresh</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Sheet1!$B$101:$H$101</c:f>
              <c:strCache>
                <c:ptCount val="7"/>
                <c:pt idx="0">
                  <c:v>2019</c:v>
                </c:pt>
                <c:pt idx="1">
                  <c:v>2020</c:v>
                </c:pt>
                <c:pt idx="2">
                  <c:v>2021</c:v>
                </c:pt>
                <c:pt idx="3">
                  <c:v>Q1 '22</c:v>
                </c:pt>
                <c:pt idx="4">
                  <c:v>Q2 '22</c:v>
                </c:pt>
                <c:pt idx="5">
                  <c:v>Q3 '22</c:v>
                </c:pt>
                <c:pt idx="6">
                  <c:v>October</c:v>
                </c:pt>
              </c:strCache>
            </c:strRef>
          </c:cat>
          <c:val>
            <c:numRef>
              <c:f>Sheet1!$B$102:$H$102</c:f>
              <c:numCache>
                <c:formatCode>0.0%</c:formatCode>
                <c:ptCount val="7"/>
                <c:pt idx="0">
                  <c:v>0.80800000000000005</c:v>
                </c:pt>
                <c:pt idx="1">
                  <c:v>0.79400000000000004</c:v>
                </c:pt>
                <c:pt idx="2">
                  <c:v>0.81</c:v>
                </c:pt>
                <c:pt idx="3">
                  <c:v>0.79600000000000004</c:v>
                </c:pt>
                <c:pt idx="4">
                  <c:v>0.82</c:v>
                </c:pt>
                <c:pt idx="5">
                  <c:v>0.81799999999999995</c:v>
                </c:pt>
                <c:pt idx="6">
                  <c:v>0.78200000000000003</c:v>
                </c:pt>
              </c:numCache>
            </c:numRef>
          </c:val>
          <c:extLst>
            <c:ext xmlns:c16="http://schemas.microsoft.com/office/drawing/2014/chart" uri="{C3380CC4-5D6E-409C-BE32-E72D297353CC}">
              <c16:uniqueId val="{00000000-41C1-406D-BC66-7552A8A2ECA1}"/>
            </c:ext>
          </c:extLst>
        </c:ser>
        <c:ser>
          <c:idx val="1"/>
          <c:order val="1"/>
          <c:tx>
            <c:strRef>
              <c:f>Sheet1!$A$103</c:f>
              <c:strCache>
                <c:ptCount val="1"/>
                <c:pt idx="0">
                  <c:v>Shelf stable</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Sheet1!$B$101:$H$101</c:f>
              <c:strCache>
                <c:ptCount val="7"/>
                <c:pt idx="0">
                  <c:v>2019</c:v>
                </c:pt>
                <c:pt idx="1">
                  <c:v>2020</c:v>
                </c:pt>
                <c:pt idx="2">
                  <c:v>2021</c:v>
                </c:pt>
                <c:pt idx="3">
                  <c:v>Q1 '22</c:v>
                </c:pt>
                <c:pt idx="4">
                  <c:v>Q2 '22</c:v>
                </c:pt>
                <c:pt idx="5">
                  <c:v>Q3 '22</c:v>
                </c:pt>
                <c:pt idx="6">
                  <c:v>October</c:v>
                </c:pt>
              </c:strCache>
            </c:strRef>
          </c:cat>
          <c:val>
            <c:numRef>
              <c:f>Sheet1!$B$103:$H$103</c:f>
              <c:numCache>
                <c:formatCode>0.0%</c:formatCode>
                <c:ptCount val="7"/>
                <c:pt idx="0">
                  <c:v>0.115</c:v>
                </c:pt>
                <c:pt idx="1">
                  <c:v>0.121</c:v>
                </c:pt>
                <c:pt idx="2">
                  <c:v>0.111</c:v>
                </c:pt>
                <c:pt idx="3">
                  <c:v>0.121</c:v>
                </c:pt>
                <c:pt idx="4">
                  <c:v>0.10299999999999999</c:v>
                </c:pt>
                <c:pt idx="5">
                  <c:v>0.10500000000000005</c:v>
                </c:pt>
                <c:pt idx="6">
                  <c:v>0.13299999999999995</c:v>
                </c:pt>
              </c:numCache>
            </c:numRef>
          </c:val>
          <c:extLst>
            <c:ext xmlns:c16="http://schemas.microsoft.com/office/drawing/2014/chart" uri="{C3380CC4-5D6E-409C-BE32-E72D297353CC}">
              <c16:uniqueId val="{00000001-41C1-406D-BC66-7552A8A2ECA1}"/>
            </c:ext>
          </c:extLst>
        </c:ser>
        <c:ser>
          <c:idx val="2"/>
          <c:order val="2"/>
          <c:tx>
            <c:strRef>
              <c:f>Sheet1!$A$104</c:f>
              <c:strCache>
                <c:ptCount val="1"/>
                <c:pt idx="0">
                  <c:v>Frozen</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Sheet1!$B$101:$H$101</c:f>
              <c:strCache>
                <c:ptCount val="7"/>
                <c:pt idx="0">
                  <c:v>2019</c:v>
                </c:pt>
                <c:pt idx="1">
                  <c:v>2020</c:v>
                </c:pt>
                <c:pt idx="2">
                  <c:v>2021</c:v>
                </c:pt>
                <c:pt idx="3">
                  <c:v>Q1 '22</c:v>
                </c:pt>
                <c:pt idx="4">
                  <c:v>Q2 '22</c:v>
                </c:pt>
                <c:pt idx="5">
                  <c:v>Q3 '22</c:v>
                </c:pt>
                <c:pt idx="6">
                  <c:v>October</c:v>
                </c:pt>
              </c:strCache>
            </c:strRef>
          </c:cat>
          <c:val>
            <c:numRef>
              <c:f>Sheet1!$B$104:$H$104</c:f>
              <c:numCache>
                <c:formatCode>0.0%</c:formatCode>
                <c:ptCount val="7"/>
                <c:pt idx="0">
                  <c:v>7.6999999999999999E-2</c:v>
                </c:pt>
                <c:pt idx="1">
                  <c:v>8.4000000000000005E-2</c:v>
                </c:pt>
                <c:pt idx="2">
                  <c:v>7.9000000000000001E-2</c:v>
                </c:pt>
                <c:pt idx="3">
                  <c:v>8.3000000000000004E-2</c:v>
                </c:pt>
                <c:pt idx="4">
                  <c:v>7.6999999999999999E-2</c:v>
                </c:pt>
                <c:pt idx="5">
                  <c:v>7.6999999999999999E-2</c:v>
                </c:pt>
                <c:pt idx="6">
                  <c:v>8.5000000000000006E-2</c:v>
                </c:pt>
              </c:numCache>
            </c:numRef>
          </c:val>
          <c:extLst>
            <c:ext xmlns:c16="http://schemas.microsoft.com/office/drawing/2014/chart" uri="{C3380CC4-5D6E-409C-BE32-E72D297353CC}">
              <c16:uniqueId val="{00000002-41C1-406D-BC66-7552A8A2ECA1}"/>
            </c:ext>
          </c:extLst>
        </c:ser>
        <c:dLbls>
          <c:showLegendKey val="0"/>
          <c:showVal val="1"/>
          <c:showCatName val="0"/>
          <c:showSerName val="0"/>
          <c:showPercent val="0"/>
          <c:showBubbleSize val="0"/>
        </c:dLbls>
        <c:gapWidth val="95"/>
        <c:overlap val="100"/>
        <c:axId val="148140416"/>
        <c:axId val="148141952"/>
      </c:barChart>
      <c:catAx>
        <c:axId val="148140416"/>
        <c:scaling>
          <c:orientation val="minMax"/>
        </c:scaling>
        <c:delete val="0"/>
        <c:axPos val="b"/>
        <c:numFmt formatCode="General" sourceLinked="0"/>
        <c:majorTickMark val="none"/>
        <c:minorTickMark val="none"/>
        <c:tickLblPos val="nextTo"/>
        <c:crossAx val="148141952"/>
        <c:crosses val="autoZero"/>
        <c:auto val="1"/>
        <c:lblAlgn val="ctr"/>
        <c:lblOffset val="100"/>
        <c:noMultiLvlLbl val="0"/>
      </c:catAx>
      <c:valAx>
        <c:axId val="148141952"/>
        <c:scaling>
          <c:orientation val="minMax"/>
        </c:scaling>
        <c:delete val="1"/>
        <c:axPos val="l"/>
        <c:numFmt formatCode="0%" sourceLinked="1"/>
        <c:majorTickMark val="out"/>
        <c:minorTickMark val="none"/>
        <c:tickLblPos val="none"/>
        <c:crossAx val="148140416"/>
        <c:crosses val="autoZero"/>
        <c:crossBetween val="between"/>
      </c:valAx>
    </c:plotArea>
    <c:legend>
      <c:legendPos val="t"/>
      <c:layout>
        <c:manualLayout>
          <c:xMode val="edge"/>
          <c:yMode val="edge"/>
          <c:x val="0.58433949929936946"/>
          <c:y val="2.6413754334577013E-2"/>
          <c:w val="0.39130999149234313"/>
          <c:h val="9.0578633356982075E-2"/>
        </c:manualLayout>
      </c:layout>
      <c:overlay val="0"/>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Dollar and volume growth total produce (fixed and random weight)</a:t>
            </a:r>
            <a:br>
              <a:rPr lang="en-US" sz="1000"/>
            </a:br>
            <a:r>
              <a:rPr lang="en-US" sz="1000"/>
              <a:t>versus the comparable period YA and 2019</a:t>
            </a:r>
          </a:p>
        </c:rich>
      </c:tx>
      <c:overlay val="0"/>
    </c:title>
    <c:autoTitleDeleted val="0"/>
    <c:plotArea>
      <c:layout>
        <c:manualLayout>
          <c:layoutTarget val="inner"/>
          <c:xMode val="edge"/>
          <c:yMode val="edge"/>
          <c:x val="1.5534523839044542E-2"/>
          <c:y val="0.1738405967790867"/>
          <c:w val="0.96893095232191095"/>
          <c:h val="0.80986327937037239"/>
        </c:manualLayout>
      </c:layout>
      <c:lineChart>
        <c:grouping val="standard"/>
        <c:varyColors val="0"/>
        <c:ser>
          <c:idx val="0"/>
          <c:order val="0"/>
          <c:tx>
            <c:strRef>
              <c:f>Sheet1!$A$65</c:f>
              <c:strCache>
                <c:ptCount val="1"/>
                <c:pt idx="0">
                  <c:v>Dollar growth</c:v>
                </c:pt>
              </c:strCache>
            </c:strRef>
          </c:tx>
          <c:spPr>
            <a:ln>
              <a:solidFill>
                <a:schemeClr val="tx2">
                  <a:lumMod val="75000"/>
                </a:schemeClr>
              </a:solidFill>
            </a:ln>
          </c:spPr>
          <c:marker>
            <c:symbol val="none"/>
          </c:marker>
          <c:dLbls>
            <c:dLbl>
              <c:idx val="0"/>
              <c:layout>
                <c:manualLayout>
                  <c:x val="-3.4746457593163152E-2"/>
                  <c:y val="-6.055788746505889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80-446A-8982-E8846F382337}"/>
                </c:ext>
              </c:extLst>
            </c:dLbl>
            <c:dLbl>
              <c:idx val="3"/>
              <c:layout>
                <c:manualLayout>
                  <c:x val="-2.3079483993763576E-2"/>
                  <c:y val="-3.6784734830657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80-446A-8982-E8846F382337}"/>
                </c:ext>
              </c:extLst>
            </c:dLbl>
            <c:dLbl>
              <c:idx val="4"/>
              <c:layout>
                <c:manualLayout>
                  <c:x val="-1.8940200502051956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80-446A-8982-E8846F382337}"/>
                </c:ext>
              </c:extLst>
            </c:dLbl>
            <c:dLbl>
              <c:idx val="5"/>
              <c:layout>
                <c:manualLayout>
                  <c:x val="-2.2857501245362351E-2"/>
                  <c:y val="-2.9521279068627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80-446A-8982-E8846F382337}"/>
                </c:ext>
              </c:extLst>
            </c:dLbl>
            <c:dLbl>
              <c:idx val="6"/>
              <c:layout>
                <c:manualLayout>
                  <c:x val="-2.0533236137664852E-2"/>
                  <c:y val="-2.63297894395869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80-446A-8982-E8846F382337}"/>
                </c:ext>
              </c:extLst>
            </c:dLbl>
            <c:dLbl>
              <c:idx val="7"/>
              <c:layout>
                <c:manualLayout>
                  <c:x val="-2.4819779699024668E-2"/>
                  <c:y val="3.1451612903225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80-446A-8982-E8846F382337}"/>
                </c:ext>
              </c:extLst>
            </c:dLbl>
            <c:dLbl>
              <c:idx val="8"/>
              <c:layout>
                <c:manualLayout>
                  <c:x val="-2.0943394110203416E-2"/>
                  <c:y val="3.2915342322617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80-446A-8982-E8846F382337}"/>
                </c:ext>
              </c:extLst>
            </c:dLbl>
            <c:dLbl>
              <c:idx val="9"/>
              <c:layout>
                <c:manualLayout>
                  <c:x val="-3.5118686783167798E-2"/>
                  <c:y val="2.73888144087226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80-446A-8982-E8846F382337}"/>
                </c:ext>
              </c:extLst>
            </c:dLbl>
            <c:dLbl>
              <c:idx val="10"/>
              <c:layout>
                <c:manualLayout>
                  <c:x val="-2.568672597757363E-2"/>
                  <c:y val="-2.2427209973375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780-446A-8982-E8846F382337}"/>
                </c:ext>
              </c:extLst>
            </c:dLbl>
            <c:dLbl>
              <c:idx val="11"/>
              <c:layout>
                <c:manualLayout>
                  <c:x val="-2.6635126973376437E-2"/>
                  <c:y val="-3.4020284444489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780-446A-8982-E8846F382337}"/>
                </c:ext>
              </c:extLst>
            </c:dLbl>
            <c:dLbl>
              <c:idx val="12"/>
              <c:layout>
                <c:manualLayout>
                  <c:x val="-2.7088913767426469E-2"/>
                  <c:y val="-3.07249965158281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780-446A-8982-E8846F382337}"/>
                </c:ext>
              </c:extLst>
            </c:dLbl>
            <c:dLbl>
              <c:idx val="13"/>
              <c:layout>
                <c:manualLayout>
                  <c:x val="-2.5774155342648455E-2"/>
                  <c:y val="-1.7144206282367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780-446A-8982-E8846F382337}"/>
                </c:ext>
              </c:extLst>
            </c:dLbl>
            <c:spPr>
              <a:noFill/>
              <a:ln>
                <a:noFill/>
              </a:ln>
              <a:effectLst/>
            </c:spPr>
            <c:txPr>
              <a:bodyPr/>
              <a:lstStyle/>
              <a:p>
                <a:pPr>
                  <a:defRPr sz="900">
                    <a:solidFill>
                      <a:schemeClr val="tx2">
                        <a:lumMod val="75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Sheet1!$B$64:$N$64</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Oct 22</c:v>
                </c:pt>
              </c:strCache>
            </c:strRef>
          </c:cat>
          <c:val>
            <c:numRef>
              <c:f>Sheet1!$B$65:$N$65</c:f>
              <c:numCache>
                <c:formatCode>0%</c:formatCode>
                <c:ptCount val="13"/>
                <c:pt idx="0">
                  <c:v>1.7999999999999999E-2</c:v>
                </c:pt>
                <c:pt idx="1">
                  <c:v>6.8000000000000005E-2</c:v>
                </c:pt>
                <c:pt idx="2">
                  <c:v>0.151</c:v>
                </c:pt>
                <c:pt idx="3">
                  <c:v>0.121</c:v>
                </c:pt>
                <c:pt idx="4">
                  <c:v>0.11700000000000001</c:v>
                </c:pt>
                <c:pt idx="5">
                  <c:v>4.8000000000000001E-2</c:v>
                </c:pt>
                <c:pt idx="6">
                  <c:v>-1.0999999999999999E-2</c:v>
                </c:pt>
                <c:pt idx="7">
                  <c:v>2.1000000000000001E-2</c:v>
                </c:pt>
                <c:pt idx="8">
                  <c:v>5.0999999999999997E-2</c:v>
                </c:pt>
                <c:pt idx="9">
                  <c:v>4.7E-2</c:v>
                </c:pt>
                <c:pt idx="10">
                  <c:v>3.5999999999999997E-2</c:v>
                </c:pt>
                <c:pt idx="11">
                  <c:v>4.5999999999999999E-2</c:v>
                </c:pt>
                <c:pt idx="12" formatCode="0.0%">
                  <c:v>2.5000000000000001E-2</c:v>
                </c:pt>
              </c:numCache>
            </c:numRef>
          </c:val>
          <c:smooth val="0"/>
          <c:extLst>
            <c:ext xmlns:c16="http://schemas.microsoft.com/office/drawing/2014/chart" uri="{C3380CC4-5D6E-409C-BE32-E72D297353CC}">
              <c16:uniqueId val="{0000000C-A780-446A-8982-E8846F382337}"/>
            </c:ext>
          </c:extLst>
        </c:ser>
        <c:ser>
          <c:idx val="1"/>
          <c:order val="1"/>
          <c:tx>
            <c:strRef>
              <c:f>Sheet1!$A$66</c:f>
              <c:strCache>
                <c:ptCount val="1"/>
                <c:pt idx="0">
                  <c:v>Volume growth</c:v>
                </c:pt>
              </c:strCache>
            </c:strRef>
          </c:tx>
          <c:spPr>
            <a:ln>
              <a:solidFill>
                <a:schemeClr val="accent5"/>
              </a:solidFill>
            </a:ln>
          </c:spPr>
          <c:marker>
            <c:symbol val="none"/>
          </c:marker>
          <c:dLbls>
            <c:dLbl>
              <c:idx val="0"/>
              <c:layout>
                <c:manualLayout>
                  <c:x val="-3.8663758336473515E-2"/>
                  <c:y val="-1.6284638656779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780-446A-8982-E8846F382337}"/>
                </c:ext>
              </c:extLst>
            </c:dLbl>
            <c:dLbl>
              <c:idx val="3"/>
              <c:layout>
                <c:manualLayout>
                  <c:x val="-2.4672519793166498E-2"/>
                  <c:y val="3.351498062348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780-446A-8982-E8846F382337}"/>
                </c:ext>
              </c:extLst>
            </c:dLbl>
            <c:dLbl>
              <c:idx val="4"/>
              <c:layout>
                <c:manualLayout>
                  <c:x val="-2.4163268159799151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780-446A-8982-E8846F382337}"/>
                </c:ext>
              </c:extLst>
            </c:dLbl>
            <c:dLbl>
              <c:idx val="5"/>
              <c:layout>
                <c:manualLayout>
                  <c:x val="-2.1839003052101652E-2"/>
                  <c:y val="2.3138299810546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780-446A-8982-E8846F382337}"/>
                </c:ext>
              </c:extLst>
            </c:dLbl>
            <c:dLbl>
              <c:idx val="6"/>
              <c:layout>
                <c:manualLayout>
                  <c:x val="-2.0533236137664852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780-446A-8982-E8846F382337}"/>
                </c:ext>
              </c:extLst>
            </c:dLbl>
            <c:dLbl>
              <c:idx val="7"/>
              <c:layout>
                <c:manualLayout>
                  <c:x val="-3.1575961188850206E-2"/>
                  <c:y val="2.66129032258066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780-446A-8982-E8846F382337}"/>
                </c:ext>
              </c:extLst>
            </c:dLbl>
            <c:dLbl>
              <c:idx val="8"/>
              <c:layout>
                <c:manualLayout>
                  <c:x val="-1.992808089141105E-2"/>
                  <c:y val="3.42277806743913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780-446A-8982-E8846F382337}"/>
                </c:ext>
              </c:extLst>
            </c:dLbl>
            <c:dLbl>
              <c:idx val="9"/>
              <c:layout>
                <c:manualLayout>
                  <c:x val="-2.8589820939239265E-2"/>
                  <c:y val="3.9095747955750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780-446A-8982-E8846F382337}"/>
                </c:ext>
              </c:extLst>
            </c:dLbl>
            <c:dLbl>
              <c:idx val="10"/>
              <c:layout>
                <c:manualLayout>
                  <c:x val="-2.0347090283063852E-2"/>
                  <c:y val="2.10169442293336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780-446A-8982-E8846F382337}"/>
                </c:ext>
              </c:extLst>
            </c:dLbl>
            <c:dLbl>
              <c:idx val="11"/>
              <c:layout>
                <c:manualLayout>
                  <c:x val="-3.4819550194175992E-2"/>
                  <c:y val="2.1716677351344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780-446A-8982-E8846F382337}"/>
                </c:ext>
              </c:extLst>
            </c:dLbl>
            <c:dLbl>
              <c:idx val="12"/>
              <c:layout>
                <c:manualLayout>
                  <c:x val="-2.8045278100028978E-2"/>
                  <c:y val="1.9508924390279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780-446A-8982-E8846F382337}"/>
                </c:ext>
              </c:extLst>
            </c:dLbl>
            <c:dLbl>
              <c:idx val="13"/>
              <c:layout>
                <c:manualLayout>
                  <c:x val="-2.8232166423407545E-2"/>
                  <c:y val="3.13325149298433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780-446A-8982-E8846F382337}"/>
                </c:ext>
              </c:extLst>
            </c:dLbl>
            <c:dLbl>
              <c:idx val="14"/>
              <c:layout>
                <c:manualLayout>
                  <c:x val="-2.6888223658378608E-2"/>
                  <c:y val="2.7237512827605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780-446A-8982-E8846F382337}"/>
                </c:ext>
              </c:extLst>
            </c:dLbl>
            <c:dLbl>
              <c:idx val="15"/>
              <c:layout>
                <c:manualLayout>
                  <c:x val="-2.550151795139673E-2"/>
                  <c:y val="1.99741760735773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780-446A-8982-E8846F382337}"/>
                </c:ext>
              </c:extLst>
            </c:dLbl>
            <c:dLbl>
              <c:idx val="16"/>
              <c:layout>
                <c:manualLayout>
                  <c:x val="-2.1762107687852764E-2"/>
                  <c:y val="1.75530638222346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780-446A-8982-E8846F382337}"/>
                </c:ext>
              </c:extLst>
            </c:dLbl>
            <c:spPr>
              <a:noFill/>
              <a:ln>
                <a:noFill/>
              </a:ln>
              <a:effectLst/>
            </c:spPr>
            <c:txPr>
              <a:bodyPr/>
              <a:lstStyle/>
              <a:p>
                <a:pPr>
                  <a:defRPr sz="900">
                    <a:solidFill>
                      <a:schemeClr val="accent5">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Sheet1!$B$64:$N$64</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Oct 22</c:v>
                </c:pt>
              </c:strCache>
            </c:strRef>
          </c:cat>
          <c:val>
            <c:numRef>
              <c:f>Sheet1!$B$66:$N$66</c:f>
              <c:numCache>
                <c:formatCode>0%</c:formatCode>
                <c:ptCount val="13"/>
                <c:pt idx="0">
                  <c:v>5.0000000000000001E-3</c:v>
                </c:pt>
                <c:pt idx="1">
                  <c:v>9.7000000000000003E-2</c:v>
                </c:pt>
                <c:pt idx="2">
                  <c:v>0.153</c:v>
                </c:pt>
                <c:pt idx="3">
                  <c:v>9.7000000000000003E-2</c:v>
                </c:pt>
                <c:pt idx="4">
                  <c:v>0.1</c:v>
                </c:pt>
                <c:pt idx="5">
                  <c:v>0</c:v>
                </c:pt>
                <c:pt idx="6">
                  <c:v>-0.08</c:v>
                </c:pt>
                <c:pt idx="7">
                  <c:v>-2.5000000000000001E-2</c:v>
                </c:pt>
                <c:pt idx="8">
                  <c:v>-3.5999999999999997E-2</c:v>
                </c:pt>
                <c:pt idx="9">
                  <c:v>-4.8000000000000001E-2</c:v>
                </c:pt>
                <c:pt idx="10">
                  <c:v>-4.7E-2</c:v>
                </c:pt>
                <c:pt idx="11">
                  <c:v>-4.9000000000000002E-2</c:v>
                </c:pt>
                <c:pt idx="12" formatCode="0.0%">
                  <c:v>-4.2000000000000003E-2</c:v>
                </c:pt>
              </c:numCache>
            </c:numRef>
          </c:val>
          <c:smooth val="0"/>
          <c:extLst>
            <c:ext xmlns:c16="http://schemas.microsoft.com/office/drawing/2014/chart" uri="{C3380CC4-5D6E-409C-BE32-E72D297353CC}">
              <c16:uniqueId val="{0000001C-A780-446A-8982-E8846F382337}"/>
            </c:ext>
          </c:extLst>
        </c:ser>
        <c:ser>
          <c:idx val="2"/>
          <c:order val="2"/>
          <c:tx>
            <c:strRef>
              <c:f>Sheet1!$A$67</c:f>
              <c:strCache>
                <c:ptCount val="1"/>
                <c:pt idx="0">
                  <c:v>Dollars vs. 2019</c:v>
                </c:pt>
              </c:strCache>
            </c:strRef>
          </c:tx>
          <c:spPr>
            <a:ln>
              <a:noFill/>
            </a:ln>
          </c:spPr>
          <c:marker>
            <c:spPr>
              <a:ln>
                <a:noFill/>
              </a:ln>
            </c:spPr>
          </c:marker>
          <c:dLbls>
            <c:dLbl>
              <c:idx val="7"/>
              <c:layout>
                <c:manualLayout>
                  <c:x val="-2.4870184691729913E-2"/>
                  <c:y val="-2.11614742705351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780-446A-8982-E8846F382337}"/>
                </c:ext>
              </c:extLst>
            </c:dLbl>
            <c:dLbl>
              <c:idx val="8"/>
              <c:layout>
                <c:manualLayout>
                  <c:x val="-3.0424541590033889E-2"/>
                  <c:y val="-2.4718602892409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780-446A-8982-E8846F382337}"/>
                </c:ext>
              </c:extLst>
            </c:dLbl>
            <c:dLbl>
              <c:idx val="9"/>
              <c:layout>
                <c:manualLayout>
                  <c:x val="-2.9022767742298981E-2"/>
                  <c:y val="-2.3792098519060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780-446A-8982-E8846F382337}"/>
                </c:ext>
              </c:extLst>
            </c:dLbl>
            <c:dLbl>
              <c:idx val="10"/>
              <c:layout>
                <c:manualLayout>
                  <c:x val="-2.6268246098989385E-2"/>
                  <c:y val="-1.802336964302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A780-446A-8982-E8846F382337}"/>
                </c:ext>
              </c:extLst>
            </c:dLbl>
            <c:dLbl>
              <c:idx val="11"/>
              <c:layout>
                <c:manualLayout>
                  <c:x val="-2.3030779625602561E-2"/>
                  <c:y val="-2.832015034535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780-446A-8982-E8846F382337}"/>
                </c:ext>
              </c:extLst>
            </c:dLbl>
            <c:dLbl>
              <c:idx val="12"/>
              <c:layout>
                <c:manualLayout>
                  <c:x val="-2.8577602453530172E-2"/>
                  <c:y val="-2.6011896239898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A780-446A-8982-E8846F382337}"/>
                </c:ext>
              </c:extLst>
            </c:dLbl>
            <c:dLbl>
              <c:idx val="13"/>
              <c:layout>
                <c:manualLayout>
                  <c:x val="-2.1825119143991344E-2"/>
                  <c:y val="-1.8917744863301604E-2"/>
                </c:manualLayout>
              </c:layout>
              <c:showLegendKey val="0"/>
              <c:showVal val="1"/>
              <c:showCatName val="0"/>
              <c:showSerName val="0"/>
              <c:showPercent val="0"/>
              <c:showBubbleSize val="0"/>
              <c:extLst>
                <c:ext xmlns:c15="http://schemas.microsoft.com/office/drawing/2012/chart" uri="{CE6537A1-D6FC-4f65-9D91-7224C49458BB}">
                  <c15:layout>
                    <c:manualLayout>
                      <c:w val="3.606821543859863E-2"/>
                      <c:h val="3.5106127644469388E-2"/>
                    </c:manualLayout>
                  </c15:layout>
                </c:ext>
                <c:ext xmlns:c16="http://schemas.microsoft.com/office/drawing/2014/chart" uri="{C3380CC4-5D6E-409C-BE32-E72D297353CC}">
                  <c16:uniqueId val="{00000023-A780-446A-8982-E8846F382337}"/>
                </c:ext>
              </c:extLst>
            </c:dLbl>
            <c:dLbl>
              <c:idx val="14"/>
              <c:layout>
                <c:manualLayout>
                  <c:x val="-2.7734114139637552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A780-446A-8982-E8846F382337}"/>
                </c:ext>
              </c:extLst>
            </c:dLbl>
            <c:dLbl>
              <c:idx val="15"/>
              <c:layout>
                <c:manualLayout>
                  <c:x val="-3.1894231260583286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A780-446A-8982-E8846F382337}"/>
                </c:ext>
              </c:extLst>
            </c:dLbl>
            <c:dLbl>
              <c:idx val="16"/>
              <c:layout>
                <c:manualLayout>
                  <c:x val="-2.3573997018691919E-2"/>
                  <c:y val="-2.6632234764769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A780-446A-8982-E8846F382337}"/>
                </c:ext>
              </c:extLst>
            </c:dLbl>
            <c:spPr>
              <a:noFill/>
              <a:ln>
                <a:noFill/>
              </a:ln>
              <a:effectLst/>
            </c:spPr>
            <c:txPr>
              <a:bodyPr wrap="square" lIns="38100" tIns="19050" rIns="38100" bIns="19050" anchor="ctr">
                <a:spAutoFit/>
              </a:bodyPr>
              <a:lstStyle/>
              <a:p>
                <a:pPr>
                  <a:defRPr sz="900">
                    <a:solidFill>
                      <a:schemeClr val="accent3">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Sheet1!$B$64:$N$64</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Oct 22</c:v>
                </c:pt>
              </c:strCache>
            </c:strRef>
          </c:cat>
          <c:val>
            <c:numRef>
              <c:f>Sheet1!$B$67:$N$67</c:f>
              <c:numCache>
                <c:formatCode>General</c:formatCode>
                <c:ptCount val="13"/>
                <c:pt idx="5" formatCode="0%">
                  <c:v>0.12</c:v>
                </c:pt>
                <c:pt idx="6" formatCode="0%">
                  <c:v>0.13900000000000001</c:v>
                </c:pt>
                <c:pt idx="7" formatCode="0%">
                  <c:v>0.14499999999999999</c:v>
                </c:pt>
                <c:pt idx="8" formatCode="0%">
                  <c:v>0.17499999999999999</c:v>
                </c:pt>
                <c:pt idx="9" formatCode="0%">
                  <c:v>0.17199999999999999</c:v>
                </c:pt>
                <c:pt idx="10" formatCode="0%">
                  <c:v>0.18</c:v>
                </c:pt>
                <c:pt idx="11" formatCode="0%">
                  <c:v>0.19900000000000001</c:v>
                </c:pt>
                <c:pt idx="12" formatCode="0.0%">
                  <c:v>0.19600000000000001</c:v>
                </c:pt>
              </c:numCache>
            </c:numRef>
          </c:val>
          <c:smooth val="0"/>
          <c:extLst>
            <c:ext xmlns:c16="http://schemas.microsoft.com/office/drawing/2014/chart" uri="{C3380CC4-5D6E-409C-BE32-E72D297353CC}">
              <c16:uniqueId val="{00000027-A780-446A-8982-E8846F382337}"/>
            </c:ext>
          </c:extLst>
        </c:ser>
        <c:ser>
          <c:idx val="3"/>
          <c:order val="3"/>
          <c:tx>
            <c:strRef>
              <c:f>Sheet1!$A$68</c:f>
              <c:strCache>
                <c:ptCount val="1"/>
                <c:pt idx="0">
                  <c:v>Volume vs. 2019</c:v>
                </c:pt>
              </c:strCache>
            </c:strRef>
          </c:tx>
          <c:spPr>
            <a:ln>
              <a:noFill/>
            </a:ln>
          </c:spPr>
          <c:marker>
            <c:symbol val="square"/>
            <c:size val="5"/>
            <c:spPr>
              <a:solidFill>
                <a:srgbClr val="7030A0"/>
              </a:solidFill>
              <a:ln>
                <a:noFill/>
              </a:ln>
            </c:spPr>
          </c:marker>
          <c:dLbls>
            <c:dLbl>
              <c:idx val="7"/>
              <c:layout>
                <c:manualLayout>
                  <c:x val="-1.9342251634456464E-2"/>
                  <c:y val="-2.1370986267718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A780-446A-8982-E8846F382337}"/>
                </c:ext>
              </c:extLst>
            </c:dLbl>
            <c:dLbl>
              <c:idx val="8"/>
              <c:layout>
                <c:manualLayout>
                  <c:x val="-1.9345964074931898E-2"/>
                  <c:y val="-2.1370986267718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A780-446A-8982-E8846F382337}"/>
                </c:ext>
              </c:extLst>
            </c:dLbl>
            <c:dLbl>
              <c:idx val="9"/>
              <c:layout>
                <c:manualLayout>
                  <c:x val="-1.9334717564079999E-2"/>
                  <c:y val="-2.2297490641066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A780-446A-8982-E8846F382337}"/>
                </c:ext>
              </c:extLst>
            </c:dLbl>
            <c:dLbl>
              <c:idx val="10"/>
              <c:layout>
                <c:manualLayout>
                  <c:x val="-2.0725135711537262E-2"/>
                  <c:y val="-2.4718602892409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A780-446A-8982-E8846F382337}"/>
                </c:ext>
              </c:extLst>
            </c:dLbl>
            <c:dLbl>
              <c:idx val="11"/>
              <c:layout>
                <c:manualLayout>
                  <c:x val="-5.1055987683198455E-3"/>
                  <c:y val="-1.19988242358160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A780-446A-8982-E8846F382337}"/>
                </c:ext>
              </c:extLst>
            </c:dLbl>
            <c:dLbl>
              <c:idx val="12"/>
              <c:layout>
                <c:manualLayout>
                  <c:x val="-2.5775249417394064E-2"/>
                  <c:y val="3.6946032375803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A780-446A-8982-E8846F382337}"/>
                </c:ext>
              </c:extLst>
            </c:dLbl>
            <c:dLbl>
              <c:idx val="13"/>
              <c:layout>
                <c:manualLayout>
                  <c:x val="-2.4553259036990436E-2"/>
                  <c:y val="-1.8917744863301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A780-446A-8982-E8846F382337}"/>
                </c:ext>
              </c:extLst>
            </c:dLbl>
            <c:dLbl>
              <c:idx val="14"/>
              <c:layout>
                <c:manualLayout>
                  <c:x val="-2.3573997018692019E-2"/>
                  <c:y val="-1.9368898010741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A780-446A-8982-E8846F382337}"/>
                </c:ext>
              </c:extLst>
            </c:dLbl>
            <c:dLbl>
              <c:idx val="15"/>
              <c:layout>
                <c:manualLayout>
                  <c:x val="-2.0800585604728163E-2"/>
                  <c:y val="-1.210556125671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A780-446A-8982-E8846F382337}"/>
                </c:ext>
              </c:extLst>
            </c:dLbl>
            <c:dLbl>
              <c:idx val="16"/>
              <c:layout>
                <c:manualLayout>
                  <c:x val="-2.3573997018691919E-2"/>
                  <c:y val="-2.4211122513427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A780-446A-8982-E8846F382337}"/>
                </c:ext>
              </c:extLst>
            </c:dLbl>
            <c:spPr>
              <a:noFill/>
              <a:ln>
                <a:noFill/>
              </a:ln>
              <a:effectLst/>
            </c:spPr>
            <c:txPr>
              <a:bodyPr wrap="square" lIns="38100" tIns="19050" rIns="38100" bIns="19050" anchor="ctr">
                <a:spAutoFit/>
              </a:bodyPr>
              <a:lstStyle/>
              <a:p>
                <a:pPr>
                  <a:defRPr sz="900">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Sheet1!$B$64:$N$64</c:f>
              <c:strCache>
                <c:ptCount val="13"/>
                <c:pt idx="0">
                  <c:v>2019</c:v>
                </c:pt>
                <c:pt idx="1">
                  <c:v>Q1 '20</c:v>
                </c:pt>
                <c:pt idx="2">
                  <c:v>Q2 '20</c:v>
                </c:pt>
                <c:pt idx="3">
                  <c:v>Q3 '20</c:v>
                </c:pt>
                <c:pt idx="4">
                  <c:v>Q4 '20</c:v>
                </c:pt>
                <c:pt idx="5">
                  <c:v>Q1 '21</c:v>
                </c:pt>
                <c:pt idx="6">
                  <c:v>Q2 '21</c:v>
                </c:pt>
                <c:pt idx="7">
                  <c:v>Q3 '21</c:v>
                </c:pt>
                <c:pt idx="8">
                  <c:v>Q4 '21</c:v>
                </c:pt>
                <c:pt idx="9">
                  <c:v>Q1 '22</c:v>
                </c:pt>
                <c:pt idx="10">
                  <c:v>Q2 '22</c:v>
                </c:pt>
                <c:pt idx="11">
                  <c:v>Q3 '22</c:v>
                </c:pt>
                <c:pt idx="12">
                  <c:v>Oct 22</c:v>
                </c:pt>
              </c:strCache>
            </c:strRef>
          </c:cat>
          <c:val>
            <c:numRef>
              <c:f>Sheet1!$B$68:$N$68</c:f>
              <c:numCache>
                <c:formatCode>General</c:formatCode>
                <c:ptCount val="13"/>
                <c:pt idx="5" formatCode="0%">
                  <c:v>9.5000000000000001E-2</c:v>
                </c:pt>
                <c:pt idx="6" formatCode="0%">
                  <c:v>6.0999999999999999E-2</c:v>
                </c:pt>
                <c:pt idx="7" formatCode="0%">
                  <c:v>6.9000000000000006E-2</c:v>
                </c:pt>
                <c:pt idx="8" formatCode="0%">
                  <c:v>6.0999999999999999E-2</c:v>
                </c:pt>
                <c:pt idx="9" formatCode="0%">
                  <c:v>4.3999999999999997E-2</c:v>
                </c:pt>
                <c:pt idx="10" formatCode="0%">
                  <c:v>8.0000000000000002E-3</c:v>
                </c:pt>
                <c:pt idx="11" formatCode="0%">
                  <c:v>1.9E-2</c:v>
                </c:pt>
                <c:pt idx="12" formatCode="0.0%">
                  <c:v>2.8000000000000001E-2</c:v>
                </c:pt>
              </c:numCache>
            </c:numRef>
          </c:val>
          <c:smooth val="0"/>
          <c:extLst>
            <c:ext xmlns:c16="http://schemas.microsoft.com/office/drawing/2014/chart" uri="{C3380CC4-5D6E-409C-BE32-E72D297353CC}">
              <c16:uniqueId val="{00000032-A780-446A-8982-E8846F382337}"/>
            </c:ext>
          </c:extLst>
        </c:ser>
        <c:dLbls>
          <c:showLegendKey val="0"/>
          <c:showVal val="1"/>
          <c:showCatName val="0"/>
          <c:showSerName val="0"/>
          <c:showPercent val="0"/>
          <c:showBubbleSize val="0"/>
        </c:dLbls>
        <c:smooth val="0"/>
        <c:axId val="147973248"/>
        <c:axId val="147974784"/>
      </c:lineChart>
      <c:catAx>
        <c:axId val="147973248"/>
        <c:scaling>
          <c:orientation val="minMax"/>
        </c:scaling>
        <c:delete val="0"/>
        <c:axPos val="b"/>
        <c:numFmt formatCode="General" sourceLinked="0"/>
        <c:majorTickMark val="none"/>
        <c:minorTickMark val="none"/>
        <c:tickLblPos val="nextTo"/>
        <c:txPr>
          <a:bodyPr/>
          <a:lstStyle/>
          <a:p>
            <a:pPr>
              <a:defRPr sz="900"/>
            </a:pPr>
            <a:endParaRPr lang="en-US"/>
          </a:p>
        </c:txPr>
        <c:crossAx val="147974784"/>
        <c:crosses val="autoZero"/>
        <c:auto val="1"/>
        <c:lblAlgn val="ctr"/>
        <c:lblOffset val="100"/>
        <c:noMultiLvlLbl val="0"/>
      </c:catAx>
      <c:valAx>
        <c:axId val="147974784"/>
        <c:scaling>
          <c:orientation val="minMax"/>
        </c:scaling>
        <c:delete val="1"/>
        <c:axPos val="l"/>
        <c:numFmt formatCode="0%" sourceLinked="1"/>
        <c:majorTickMark val="none"/>
        <c:minorTickMark val="none"/>
        <c:tickLblPos val="none"/>
        <c:crossAx val="147973248"/>
        <c:crosses val="autoZero"/>
        <c:crossBetween val="between"/>
      </c:valAx>
    </c:plotArea>
    <c:legend>
      <c:legendPos val="t"/>
      <c:overlay val="0"/>
      <c:txPr>
        <a:bodyPr/>
        <a:lstStyle/>
        <a:p>
          <a:pPr>
            <a:defRPr sz="9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C50A1FC79394A9023C6A5DFA7A09D" ma:contentTypeVersion="13" ma:contentTypeDescription="Create a new document." ma:contentTypeScope="" ma:versionID="79705aaae5de6f9ed494cfeb67a4f3c7">
  <xsd:schema xmlns:xsd="http://www.w3.org/2001/XMLSchema" xmlns:xs="http://www.w3.org/2001/XMLSchema" xmlns:p="http://schemas.microsoft.com/office/2006/metadata/properties" xmlns:ns3="4f61ba3f-198b-401e-8f2f-b2c662dca9cb" xmlns:ns4="b9b95171-1552-4127-953a-44d049f6e73c" targetNamespace="http://schemas.microsoft.com/office/2006/metadata/properties" ma:root="true" ma:fieldsID="b556130ecffddc83dc8ca6d01a721ba0" ns3:_="" ns4:_="">
    <xsd:import namespace="4f61ba3f-198b-401e-8f2f-b2c662dca9cb"/>
    <xsd:import namespace="b9b95171-1552-4127-953a-44d049f6e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a3f-198b-401e-8f2f-b2c662dca9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95171-1552-4127-953a-44d049f6e7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12EC2-62BE-486D-9F59-FCA114384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a3f-198b-401e-8f2f-b2c662dca9cb"/>
    <ds:schemaRef ds:uri="b9b95171-1552-4127-953a-44d049f6e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3BEEF-BB43-4692-BD09-7A0D07B70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FB094F-237B-42B9-A007-1B37B12C3D19}">
  <ds:schemaRefs>
    <ds:schemaRef ds:uri="http://schemas.microsoft.com/sharepoint/v3/contenttype/forms"/>
  </ds:schemaRefs>
</ds:datastoreItem>
</file>

<file path=customXml/itemProps4.xml><?xml version="1.0" encoding="utf-8"?>
<ds:datastoreItem xmlns:ds="http://schemas.openxmlformats.org/officeDocument/2006/customXml" ds:itemID="{B10CF69C-F87D-4323-A5E0-1A397E35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3235</Words>
  <Characters>18443</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Anne-Marie Roerink</cp:lastModifiedBy>
  <cp:revision>17</cp:revision>
  <dcterms:created xsi:type="dcterms:W3CDTF">2022-10-24T11:04:00Z</dcterms:created>
  <dcterms:modified xsi:type="dcterms:W3CDTF">2022-11-11T14:58:00Z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0x010100F7BC50A1FC79394A9023C6A5DFA7A09D</vt:lpwstr>
  </property>
</Properties>
</file>