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35D0AD42" w:rsidR="003935EB" w:rsidRPr="001D030C" w:rsidRDefault="00977224"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 xml:space="preserve">Produce Closes Out the Year </w:t>
      </w:r>
      <w:r w:rsidR="00A150AF">
        <w:rPr>
          <w:rFonts w:ascii="Arial" w:hAnsi="Arial" w:cs="Arial"/>
          <w:color w:val="595959" w:themeColor="text1" w:themeTint="A6"/>
          <w:szCs w:val="32"/>
        </w:rPr>
        <w:t>o</w:t>
      </w:r>
      <w:r>
        <w:rPr>
          <w:rFonts w:ascii="Arial" w:hAnsi="Arial" w:cs="Arial"/>
          <w:color w:val="595959" w:themeColor="text1" w:themeTint="A6"/>
          <w:szCs w:val="32"/>
        </w:rPr>
        <w:t>n a High Note, Setting New Records</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lang w:val="nl-NL" w:eastAsia="nl-NL"/>
        </w:rPr>
        <w:drawing>
          <wp:anchor distT="0" distB="0" distL="114300" distR="114300" simplePos="0" relativeHeight="251659264" behindDoc="0" locked="1" layoutInCell="1" allowOverlap="1" wp14:anchorId="124ABB56" wp14:editId="64FF5AC3">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28E9081C" w14:textId="6F204BF5" w:rsidR="00737671" w:rsidRPr="00A150AF" w:rsidRDefault="00737671" w:rsidP="00737671">
      <w:pPr>
        <w:pStyle w:val="NoSpacing"/>
        <w:rPr>
          <w:sz w:val="14"/>
          <w:szCs w:val="14"/>
        </w:rPr>
      </w:pPr>
    </w:p>
    <w:p w14:paraId="1E28C030" w14:textId="75A97AF1" w:rsidR="008D4E91" w:rsidRDefault="008D4E91" w:rsidP="008D4E91">
      <w:pPr>
        <w:pStyle w:val="NoSpacing"/>
        <w:rPr>
          <w:rFonts w:ascii="Calibri" w:hAnsi="Calibri" w:cs="Calibri"/>
          <w:sz w:val="24"/>
          <w:szCs w:val="24"/>
        </w:rPr>
      </w:pPr>
      <w:r>
        <w:rPr>
          <w:rFonts w:ascii="Arial" w:hAnsi="Arial" w:cs="Arial"/>
          <w:b/>
          <w:bCs/>
          <w:color w:val="595959"/>
          <w:sz w:val="24"/>
          <w:szCs w:val="24"/>
        </w:rPr>
        <w:t>The December Marketplace</w:t>
      </w:r>
    </w:p>
    <w:p w14:paraId="1E726C22" w14:textId="4CB46DAF" w:rsidR="009C086B" w:rsidRDefault="008D4E91" w:rsidP="009C086B">
      <w:pPr>
        <w:pStyle w:val="NoSpacing"/>
        <w:spacing w:after="120"/>
        <w:rPr>
          <w:rFonts w:ascii="Arial" w:hAnsi="Arial" w:cs="Arial"/>
          <w:sz w:val="20"/>
          <w:szCs w:val="20"/>
        </w:rPr>
      </w:pPr>
      <w:r>
        <w:rPr>
          <w:rFonts w:ascii="Arial" w:hAnsi="Arial" w:cs="Arial"/>
          <w:sz w:val="20"/>
          <w:szCs w:val="20"/>
        </w:rPr>
        <w:t>“</w:t>
      </w:r>
      <w:r w:rsidRPr="00F04479">
        <w:rPr>
          <w:rFonts w:ascii="Arial" w:hAnsi="Arial" w:cs="Arial"/>
          <w:sz w:val="20"/>
          <w:szCs w:val="20"/>
        </w:rPr>
        <w:t>The year ended the way it started, with inflation taking the headlines</w:t>
      </w:r>
      <w:r>
        <w:rPr>
          <w:rFonts w:ascii="Arial" w:hAnsi="Arial" w:cs="Arial"/>
          <w:sz w:val="20"/>
          <w:szCs w:val="20"/>
        </w:rPr>
        <w:t>,” said Jonna Parker, Team Lead, Fresh at IRI</w:t>
      </w:r>
      <w:r w:rsidRPr="00F04479">
        <w:rPr>
          <w:rFonts w:ascii="Arial" w:hAnsi="Arial" w:cs="Arial"/>
          <w:sz w:val="20"/>
          <w:szCs w:val="20"/>
        </w:rPr>
        <w:t xml:space="preserve">. </w:t>
      </w:r>
      <w:r>
        <w:rPr>
          <w:rFonts w:ascii="Arial" w:hAnsi="Arial" w:cs="Arial"/>
          <w:sz w:val="20"/>
          <w:szCs w:val="20"/>
        </w:rPr>
        <w:t>“</w:t>
      </w:r>
      <w:r w:rsidRPr="00F04479">
        <w:rPr>
          <w:rFonts w:ascii="Arial" w:hAnsi="Arial" w:cs="Arial"/>
          <w:sz w:val="20"/>
          <w:szCs w:val="20"/>
        </w:rPr>
        <w:t>According to the December IRI primary shopper survey, 93% believe groceries cost somewhat or a lot more than last year and 97% are somewhat or a lot concerned about it</w:t>
      </w:r>
      <w:r>
        <w:rPr>
          <w:rFonts w:ascii="Arial" w:hAnsi="Arial" w:cs="Arial"/>
          <w:sz w:val="20"/>
          <w:szCs w:val="20"/>
        </w:rPr>
        <w:t xml:space="preserve"> </w:t>
      </w:r>
      <w:r w:rsidR="008B064E">
        <w:rPr>
          <w:rFonts w:ascii="Arial" w:hAnsi="Arial" w:cs="Arial"/>
          <w:sz w:val="20"/>
          <w:szCs w:val="20"/>
        </w:rPr>
        <w:t>—</w:t>
      </w:r>
      <w:r>
        <w:rPr>
          <w:rFonts w:ascii="Arial" w:hAnsi="Arial" w:cs="Arial"/>
          <w:sz w:val="20"/>
          <w:szCs w:val="20"/>
        </w:rPr>
        <w:t xml:space="preserve"> </w:t>
      </w:r>
      <w:r w:rsidRPr="00F04479">
        <w:rPr>
          <w:rFonts w:ascii="Arial" w:hAnsi="Arial" w:cs="Arial"/>
          <w:sz w:val="20"/>
          <w:szCs w:val="20"/>
        </w:rPr>
        <w:t xml:space="preserve">lower-income households in particular. </w:t>
      </w:r>
      <w:bookmarkStart w:id="0" w:name="_Hlk124061033"/>
      <w:r w:rsidRPr="00F04479">
        <w:rPr>
          <w:rFonts w:ascii="Arial" w:hAnsi="Arial" w:cs="Arial"/>
          <w:sz w:val="20"/>
          <w:szCs w:val="20"/>
        </w:rPr>
        <w:t xml:space="preserve">Consumers are </w:t>
      </w:r>
      <w:r w:rsidR="00A150AF">
        <w:rPr>
          <w:rFonts w:ascii="Arial" w:hAnsi="Arial" w:cs="Arial"/>
          <w:sz w:val="20"/>
          <w:szCs w:val="20"/>
        </w:rPr>
        <w:t xml:space="preserve">noticing </w:t>
      </w:r>
      <w:r w:rsidRPr="00F04479">
        <w:rPr>
          <w:rFonts w:ascii="Arial" w:hAnsi="Arial" w:cs="Arial"/>
          <w:sz w:val="20"/>
          <w:szCs w:val="20"/>
        </w:rPr>
        <w:t xml:space="preserve">higher prices for all areas of the store, </w:t>
      </w:r>
      <w:r>
        <w:rPr>
          <w:rFonts w:ascii="Arial" w:hAnsi="Arial" w:cs="Arial"/>
          <w:sz w:val="20"/>
          <w:szCs w:val="20"/>
        </w:rPr>
        <w:t xml:space="preserve">but especially </w:t>
      </w:r>
      <w:r w:rsidR="00A150AF">
        <w:rPr>
          <w:rFonts w:ascii="Arial" w:hAnsi="Arial" w:cs="Arial"/>
          <w:sz w:val="20"/>
          <w:szCs w:val="20"/>
        </w:rPr>
        <w:t>called out</w:t>
      </w:r>
      <w:r w:rsidRPr="00F04479">
        <w:rPr>
          <w:rFonts w:ascii="Arial" w:hAnsi="Arial" w:cs="Arial"/>
          <w:sz w:val="20"/>
          <w:szCs w:val="20"/>
        </w:rPr>
        <w:t xml:space="preserve"> fresh areas, such as eggs, milk, produce, meat and poultry.</w:t>
      </w:r>
      <w:r w:rsidR="00A150AF">
        <w:rPr>
          <w:rFonts w:ascii="Arial" w:hAnsi="Arial" w:cs="Arial"/>
          <w:sz w:val="20"/>
          <w:szCs w:val="20"/>
        </w:rPr>
        <w:t xml:space="preserve"> Whether these are perceptions or reality, consumers will adjust shopping behaviors based on what they believe, which is what makes the market even more unpredictable</w:t>
      </w:r>
      <w:bookmarkEnd w:id="0"/>
      <w:r w:rsidR="002A3B9B">
        <w:rPr>
          <w:rFonts w:ascii="Arial" w:hAnsi="Arial" w:cs="Arial"/>
          <w:sz w:val="20"/>
          <w:szCs w:val="20"/>
        </w:rPr>
        <w:t>.</w:t>
      </w:r>
      <w:r>
        <w:rPr>
          <w:rFonts w:ascii="Arial" w:hAnsi="Arial" w:cs="Arial"/>
          <w:sz w:val="20"/>
          <w:szCs w:val="20"/>
        </w:rPr>
        <w:t>”</w:t>
      </w:r>
      <w:r w:rsidRPr="00F04479">
        <w:rPr>
          <w:rFonts w:ascii="Arial" w:hAnsi="Arial" w:cs="Arial"/>
          <w:sz w:val="20"/>
          <w:szCs w:val="20"/>
        </w:rPr>
        <w:t xml:space="preserve"> </w:t>
      </w:r>
      <w:r w:rsidR="009C086B">
        <w:rPr>
          <w:rFonts w:ascii="Arial" w:hAnsi="Arial" w:cs="Arial"/>
          <w:sz w:val="20"/>
          <w:szCs w:val="20"/>
        </w:rPr>
        <w:t xml:space="preserve">Amid the continued disruption, IRI, 210 Analytics and IFPA remain committed to bringing the industry the latest trends and analysis in fresh produce. </w:t>
      </w:r>
    </w:p>
    <w:p w14:paraId="47798A88" w14:textId="151602C6" w:rsidR="008D4E91" w:rsidRPr="00F04479" w:rsidRDefault="008B064E" w:rsidP="008D4E91">
      <w:pPr>
        <w:pStyle w:val="NoSpacing"/>
        <w:rPr>
          <w:rFonts w:ascii="Arial" w:hAnsi="Arial" w:cs="Arial"/>
          <w:sz w:val="20"/>
          <w:szCs w:val="20"/>
        </w:rPr>
      </w:pPr>
      <w:r>
        <w:rPr>
          <w:rFonts w:ascii="Arial" w:hAnsi="Arial" w:cs="Arial"/>
          <w:sz w:val="20"/>
          <w:szCs w:val="20"/>
        </w:rPr>
        <w:t>The survey found that i</w:t>
      </w:r>
      <w:r w:rsidR="008D4E91" w:rsidRPr="00F04479">
        <w:rPr>
          <w:rFonts w:ascii="Arial" w:hAnsi="Arial" w:cs="Arial"/>
          <w:sz w:val="20"/>
          <w:szCs w:val="20"/>
        </w:rPr>
        <w:t xml:space="preserve">nflationary pressure on income is real: 43% of consumers say their current financial situation is worse than last year. Additionally, 31% expect it to be worse a year from now versus 27% who believe it will be better. This has prompted a host of money-saving measures when buying groceries among 82% of Americans, such as buying what’s on sale (53%), cutting back on non-essentials (45%), looking for coupons (35%) and switching to store brand items (31%). </w:t>
      </w:r>
    </w:p>
    <w:p w14:paraId="1CC46BEF" w14:textId="77777777" w:rsidR="008D4E91" w:rsidRPr="00F04479" w:rsidRDefault="008D4E91" w:rsidP="008D4E91">
      <w:pPr>
        <w:pStyle w:val="NoSpacing"/>
        <w:rPr>
          <w:rFonts w:ascii="Arial" w:hAnsi="Arial" w:cs="Arial"/>
          <w:sz w:val="20"/>
          <w:szCs w:val="20"/>
        </w:rPr>
      </w:pPr>
    </w:p>
    <w:p w14:paraId="366D7236" w14:textId="3167E8F4" w:rsidR="008D4E91" w:rsidRPr="00F04479" w:rsidRDefault="008D4E91" w:rsidP="008D4E91">
      <w:pPr>
        <w:pStyle w:val="NoSpacing"/>
        <w:rPr>
          <w:rFonts w:ascii="Arial" w:hAnsi="Arial" w:cs="Arial"/>
          <w:sz w:val="20"/>
          <w:szCs w:val="20"/>
        </w:rPr>
      </w:pPr>
      <w:r w:rsidRPr="00F04479">
        <w:rPr>
          <w:rFonts w:ascii="Arial" w:hAnsi="Arial" w:cs="Arial"/>
          <w:sz w:val="20"/>
          <w:szCs w:val="20"/>
        </w:rPr>
        <w:t>The December IRI survey also noted a sharp uptick in the estimated share of meals prepared at home. The share of home-prepared meals started t</w:t>
      </w:r>
      <w:r>
        <w:rPr>
          <w:rFonts w:ascii="Arial" w:hAnsi="Arial" w:cs="Arial"/>
          <w:sz w:val="20"/>
          <w:szCs w:val="20"/>
        </w:rPr>
        <w:t>o rise</w:t>
      </w:r>
      <w:r w:rsidRPr="00F04479">
        <w:rPr>
          <w:rFonts w:ascii="Arial" w:hAnsi="Arial" w:cs="Arial"/>
          <w:sz w:val="20"/>
          <w:szCs w:val="20"/>
        </w:rPr>
        <w:t xml:space="preserve"> in September and jumped from 78.9% in November to 81.5% in December. Holiday occasions as well as the recent increase in flu and COVID cases could be influencing factors. </w:t>
      </w:r>
    </w:p>
    <w:p w14:paraId="1FC358E9" w14:textId="77777777" w:rsidR="008D4E91" w:rsidRPr="00F04479" w:rsidRDefault="008D4E91" w:rsidP="008D4E91">
      <w:pPr>
        <w:pStyle w:val="NoSpacing"/>
        <w:rPr>
          <w:rFonts w:ascii="Arial" w:hAnsi="Arial" w:cs="Arial"/>
          <w:sz w:val="20"/>
          <w:szCs w:val="20"/>
        </w:rPr>
      </w:pPr>
    </w:p>
    <w:p w14:paraId="2436AD93" w14:textId="6BEBA570" w:rsidR="008D4E91" w:rsidRDefault="008D4E91" w:rsidP="008D4E91">
      <w:pPr>
        <w:pStyle w:val="NoSpacing"/>
        <w:rPr>
          <w:rFonts w:ascii="Arial" w:hAnsi="Arial" w:cs="Arial"/>
          <w:sz w:val="20"/>
          <w:szCs w:val="20"/>
        </w:rPr>
      </w:pPr>
      <w:r>
        <w:rPr>
          <w:rFonts w:ascii="Arial" w:hAnsi="Arial" w:cs="Arial"/>
          <w:sz w:val="20"/>
          <w:szCs w:val="20"/>
        </w:rPr>
        <w:t>“</w:t>
      </w:r>
      <w:r w:rsidRPr="00F04479">
        <w:rPr>
          <w:rFonts w:ascii="Arial" w:hAnsi="Arial" w:cs="Arial"/>
          <w:sz w:val="20"/>
          <w:szCs w:val="20"/>
        </w:rPr>
        <w:t xml:space="preserve">Along with the </w:t>
      </w:r>
      <w:r>
        <w:rPr>
          <w:rFonts w:ascii="Arial" w:hAnsi="Arial" w:cs="Arial"/>
          <w:sz w:val="20"/>
          <w:szCs w:val="20"/>
        </w:rPr>
        <w:t>increase</w:t>
      </w:r>
      <w:r w:rsidRPr="00F04479">
        <w:rPr>
          <w:rFonts w:ascii="Arial" w:hAnsi="Arial" w:cs="Arial"/>
          <w:sz w:val="20"/>
          <w:szCs w:val="20"/>
        </w:rPr>
        <w:t xml:space="preserve"> in home-prepared meals came a drop in the share of households who purchased restaurant meals, from 80% in November to 76% in December</w:t>
      </w:r>
      <w:r>
        <w:rPr>
          <w:rFonts w:ascii="Arial" w:hAnsi="Arial" w:cs="Arial"/>
          <w:sz w:val="20"/>
          <w:szCs w:val="20"/>
        </w:rPr>
        <w:t>,” said Parker</w:t>
      </w:r>
      <w:r w:rsidRPr="00F04479">
        <w:rPr>
          <w:rFonts w:ascii="Arial" w:hAnsi="Arial" w:cs="Arial"/>
          <w:sz w:val="20"/>
          <w:szCs w:val="20"/>
        </w:rPr>
        <w:t xml:space="preserve">. </w:t>
      </w:r>
      <w:r w:rsidR="00A150AF">
        <w:rPr>
          <w:rFonts w:ascii="Arial" w:hAnsi="Arial" w:cs="Arial"/>
          <w:sz w:val="20"/>
          <w:szCs w:val="20"/>
        </w:rPr>
        <w:t>“Cutting back on restaurant spending is also a popular way to save for many</w:t>
      </w:r>
      <w:r w:rsidR="0072039B">
        <w:rPr>
          <w:rFonts w:ascii="Arial" w:hAnsi="Arial" w:cs="Arial"/>
          <w:sz w:val="20"/>
          <w:szCs w:val="20"/>
        </w:rPr>
        <w:t>, according to the December IRI survey</w:t>
      </w:r>
      <w:r w:rsidR="00A150AF">
        <w:rPr>
          <w:rFonts w:ascii="Arial" w:hAnsi="Arial" w:cs="Arial"/>
          <w:sz w:val="20"/>
          <w:szCs w:val="20"/>
        </w:rPr>
        <w:t xml:space="preserve">.” </w:t>
      </w:r>
      <w:r w:rsidRPr="00F04479">
        <w:rPr>
          <w:rFonts w:ascii="Arial" w:hAnsi="Arial" w:cs="Arial"/>
          <w:sz w:val="20"/>
          <w:szCs w:val="20"/>
        </w:rPr>
        <w:t xml:space="preserve">Takeout (52%) and eating on premise (46%) were the most common ways to purchase restaurant meals, with delivery more popular among younger consumers. Lunch is one of the areas where consumers are looking to save on restaurant meals. Among </w:t>
      </w:r>
      <w:r>
        <w:rPr>
          <w:rFonts w:ascii="Arial" w:hAnsi="Arial" w:cs="Arial"/>
          <w:sz w:val="20"/>
          <w:szCs w:val="20"/>
        </w:rPr>
        <w:t xml:space="preserve">people working </w:t>
      </w:r>
      <w:r w:rsidRPr="00F04479">
        <w:rPr>
          <w:rFonts w:ascii="Arial" w:hAnsi="Arial" w:cs="Arial"/>
          <w:sz w:val="20"/>
          <w:szCs w:val="20"/>
        </w:rPr>
        <w:t>away-from-home, 38% packed lunch more often. At the same time, 25% looked for lower-cost options and 25% for what’s on sale when deciding what to take to work for lunch. One in five also reduced their spend by cutting back on snacks, treats and desserts in lunches.</w:t>
      </w:r>
      <w:r>
        <w:rPr>
          <w:rFonts w:ascii="Arial" w:hAnsi="Arial" w:cs="Arial"/>
          <w:sz w:val="20"/>
          <w:szCs w:val="20"/>
        </w:rPr>
        <w:t xml:space="preserve"> “In-store merchandising and recipe ideation often go after dinner,” said Joe Watson,</w:t>
      </w:r>
      <w:r w:rsidRPr="00F901A9">
        <w:rPr>
          <w:rFonts w:ascii="Arial" w:hAnsi="Arial" w:cs="Arial"/>
          <w:sz w:val="20"/>
          <w:szCs w:val="20"/>
        </w:rPr>
        <w:t xml:space="preserve"> </w:t>
      </w:r>
      <w:r w:rsidRPr="00BB3A5E">
        <w:rPr>
          <w:rFonts w:ascii="Arial" w:hAnsi="Arial" w:cs="Arial"/>
          <w:sz w:val="20"/>
          <w:szCs w:val="20"/>
        </w:rPr>
        <w:t>IFPA’s VP, Retail, Foodservice and Wholesale</w:t>
      </w:r>
      <w:r>
        <w:rPr>
          <w:rFonts w:ascii="Arial" w:hAnsi="Arial" w:cs="Arial"/>
          <w:sz w:val="20"/>
          <w:szCs w:val="20"/>
        </w:rPr>
        <w:t>. “Between more people working from home versus pre-pandemic and people identifying lunch as an occasion to save, retailers have an opportunity to go after fast, healthy and cost-effective solutions. Salads, sandwiches, fruit and vegetable snacks – they all fit the bil</w:t>
      </w:r>
      <w:r w:rsidR="009C086B">
        <w:rPr>
          <w:rFonts w:ascii="Arial" w:hAnsi="Arial" w:cs="Arial"/>
          <w:sz w:val="20"/>
          <w:szCs w:val="20"/>
        </w:rPr>
        <w:t>l.”</w:t>
      </w:r>
    </w:p>
    <w:p w14:paraId="60ADAC74" w14:textId="2EE72EA1" w:rsidR="008D4E91" w:rsidRDefault="008D4E91" w:rsidP="008D4E91">
      <w:pPr>
        <w:pStyle w:val="NoSpacing"/>
        <w:rPr>
          <w:rFonts w:ascii="Arial" w:hAnsi="Arial" w:cs="Arial"/>
          <w:sz w:val="20"/>
          <w:szCs w:val="20"/>
        </w:rPr>
      </w:pPr>
    </w:p>
    <w:p w14:paraId="75F49C78" w14:textId="3D566BEE" w:rsidR="008B064E" w:rsidRDefault="008B064E" w:rsidP="008D4E91">
      <w:pPr>
        <w:pStyle w:val="NoSpacing"/>
        <w:rPr>
          <w:rFonts w:ascii="Arial" w:hAnsi="Arial" w:cs="Arial"/>
          <w:sz w:val="20"/>
          <w:szCs w:val="20"/>
        </w:rPr>
      </w:pPr>
      <w:r>
        <w:rPr>
          <w:noProof/>
        </w:rPr>
        <w:drawing>
          <wp:anchor distT="0" distB="0" distL="114300" distR="114300" simplePos="0" relativeHeight="251664384" behindDoc="0" locked="0" layoutInCell="1" allowOverlap="1" wp14:anchorId="35DF380E" wp14:editId="7EE79AED">
            <wp:simplePos x="0" y="0"/>
            <wp:positionH relativeFrom="column">
              <wp:posOffset>1962841</wp:posOffset>
            </wp:positionH>
            <wp:positionV relativeFrom="paragraph">
              <wp:posOffset>115736</wp:posOffset>
            </wp:positionV>
            <wp:extent cx="4834393" cy="2609850"/>
            <wp:effectExtent l="0" t="0" r="4445" b="0"/>
            <wp:wrapSquare wrapText="bothSides"/>
            <wp:docPr id="8" name="Chart 8">
              <a:extLst xmlns:a="http://schemas.openxmlformats.org/drawingml/2006/main">
                <a:ext uri="{FF2B5EF4-FFF2-40B4-BE49-F238E27FC236}">
                  <a16:creationId xmlns:a16="http://schemas.microsoft.com/office/drawing/2014/main" id="{E81E373C-7BC3-6E96-64B7-981A32BAB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1BDC5FF" w14:textId="1E9F3C33" w:rsidR="008D4E91" w:rsidRPr="00DE05E3" w:rsidRDefault="008D4E91" w:rsidP="008D4E91">
      <w:pPr>
        <w:pStyle w:val="NoSpacing"/>
        <w:rPr>
          <w:rFonts w:ascii="Arial" w:hAnsi="Arial" w:cs="Arial"/>
          <w:b/>
          <w:bCs/>
          <w:color w:val="595959" w:themeColor="text1" w:themeTint="A6"/>
          <w:sz w:val="24"/>
          <w:szCs w:val="24"/>
        </w:rPr>
      </w:pPr>
      <w:r w:rsidRPr="00DE05E3">
        <w:rPr>
          <w:rFonts w:ascii="Arial" w:hAnsi="Arial" w:cs="Arial"/>
          <w:b/>
          <w:bCs/>
          <w:color w:val="595959" w:themeColor="text1" w:themeTint="A6"/>
          <w:sz w:val="24"/>
          <w:szCs w:val="24"/>
        </w:rPr>
        <w:t>2022 in Review</w:t>
      </w:r>
    </w:p>
    <w:p w14:paraId="686171AB" w14:textId="546EE510" w:rsidR="008D4E91" w:rsidRDefault="008D4E91" w:rsidP="008D4E91">
      <w:pPr>
        <w:pStyle w:val="NoSpacing"/>
        <w:rPr>
          <w:rFonts w:ascii="Arial" w:hAnsi="Arial" w:cs="Arial"/>
          <w:sz w:val="20"/>
          <w:szCs w:val="20"/>
        </w:rPr>
      </w:pPr>
      <w:r>
        <w:rPr>
          <w:rFonts w:ascii="Arial" w:hAnsi="Arial" w:cs="Arial"/>
          <w:sz w:val="20"/>
          <w:szCs w:val="20"/>
        </w:rPr>
        <w:t xml:space="preserve">High inflation, continued supply chain challenges and fluctuating restaurant engagement resulted in another year of record food and beverage sales, reaching $753 billion in 2022. However, unit sales dropped for the second year in a row, </w:t>
      </w:r>
      <w:r w:rsidR="002D2080">
        <w:rPr>
          <w:rFonts w:ascii="Arial" w:hAnsi="Arial" w:cs="Arial"/>
          <w:sz w:val="20"/>
          <w:szCs w:val="20"/>
        </w:rPr>
        <w:t>though</w:t>
      </w:r>
      <w:r>
        <w:rPr>
          <w:rFonts w:ascii="Arial" w:hAnsi="Arial" w:cs="Arial"/>
          <w:sz w:val="20"/>
          <w:szCs w:val="20"/>
        </w:rPr>
        <w:t xml:space="preserve"> remained ahead of 2019. </w:t>
      </w:r>
      <w:r w:rsidR="002A3B9B">
        <w:rPr>
          <w:rFonts w:ascii="Arial" w:hAnsi="Arial" w:cs="Arial"/>
          <w:sz w:val="20"/>
          <w:szCs w:val="20"/>
        </w:rPr>
        <w:t>Unlike volume, units are measured consistently across all categories.</w:t>
      </w:r>
    </w:p>
    <w:p w14:paraId="7D52A980" w14:textId="17EFCC44" w:rsidR="008D4E91" w:rsidRDefault="008D4E91" w:rsidP="008D4E91">
      <w:pPr>
        <w:pStyle w:val="NoSpacing"/>
        <w:rPr>
          <w:rFonts w:ascii="Arial" w:hAnsi="Arial" w:cs="Arial"/>
          <w:sz w:val="20"/>
          <w:szCs w:val="20"/>
        </w:rPr>
      </w:pPr>
    </w:p>
    <w:p w14:paraId="673D986C" w14:textId="77777777" w:rsidR="008D4E91" w:rsidRPr="00DE05E3" w:rsidRDefault="008D4E91" w:rsidP="008D4E91">
      <w:pPr>
        <w:pStyle w:val="NoSpacing"/>
        <w:rPr>
          <w:rFonts w:ascii="Arial" w:hAnsi="Arial" w:cs="Arial"/>
          <w:sz w:val="16"/>
          <w:szCs w:val="16"/>
        </w:rPr>
      </w:pPr>
      <w:r w:rsidRPr="00DE05E3">
        <w:rPr>
          <w:rFonts w:ascii="Arial" w:hAnsi="Arial" w:cs="Arial"/>
          <w:sz w:val="16"/>
          <w:szCs w:val="16"/>
        </w:rPr>
        <w:t>Source: IRI, Integrated Fresh, MULO, Total US, 2018-2022</w:t>
      </w:r>
    </w:p>
    <w:p w14:paraId="3C1949CE" w14:textId="77777777" w:rsidR="008B064E" w:rsidRDefault="008B064E">
      <w:pPr>
        <w:rPr>
          <w:rFonts w:ascii="Arial" w:hAnsi="Arial" w:cs="Arial"/>
          <w:sz w:val="20"/>
          <w:szCs w:val="20"/>
        </w:rPr>
      </w:pPr>
      <w:r>
        <w:rPr>
          <w:rFonts w:ascii="Arial" w:hAnsi="Arial" w:cs="Arial"/>
          <w:sz w:val="20"/>
          <w:szCs w:val="20"/>
        </w:rPr>
        <w:br w:type="page"/>
      </w:r>
    </w:p>
    <w:p w14:paraId="410D4A11" w14:textId="68C4F40D" w:rsidR="008D4E91" w:rsidRDefault="008B064E" w:rsidP="008D4E91">
      <w:pPr>
        <w:pStyle w:val="NoSpacing"/>
        <w:rPr>
          <w:rFonts w:ascii="Arial" w:hAnsi="Arial" w:cs="Arial"/>
          <w:sz w:val="20"/>
          <w:szCs w:val="20"/>
        </w:rPr>
      </w:pPr>
      <w:r>
        <w:rPr>
          <w:noProof/>
        </w:rPr>
        <w:lastRenderedPageBreak/>
        <w:drawing>
          <wp:anchor distT="0" distB="0" distL="114300" distR="114300" simplePos="0" relativeHeight="251665408" behindDoc="0" locked="0" layoutInCell="1" allowOverlap="1" wp14:anchorId="6CE1573F" wp14:editId="23716282">
            <wp:simplePos x="0" y="0"/>
            <wp:positionH relativeFrom="column">
              <wp:posOffset>2075180</wp:posOffset>
            </wp:positionH>
            <wp:positionV relativeFrom="paragraph">
              <wp:posOffset>16510</wp:posOffset>
            </wp:positionV>
            <wp:extent cx="4626610" cy="2849880"/>
            <wp:effectExtent l="0" t="0" r="2540" b="7620"/>
            <wp:wrapSquare wrapText="bothSides"/>
            <wp:docPr id="11" name="Chart 11">
              <a:extLst xmlns:a="http://schemas.openxmlformats.org/drawingml/2006/main">
                <a:ext uri="{FF2B5EF4-FFF2-40B4-BE49-F238E27FC236}">
                  <a16:creationId xmlns:a16="http://schemas.microsoft.com/office/drawing/2014/main" id="{7812DF3A-E305-4A1C-B7DC-8A17CC309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2D2080">
        <w:rPr>
          <w:rFonts w:ascii="Arial" w:hAnsi="Arial" w:cs="Arial"/>
          <w:sz w:val="20"/>
          <w:szCs w:val="20"/>
        </w:rPr>
        <w:t>“</w:t>
      </w:r>
      <w:r w:rsidR="009C086B">
        <w:rPr>
          <w:rFonts w:ascii="Arial" w:hAnsi="Arial" w:cs="Arial"/>
          <w:sz w:val="20"/>
          <w:szCs w:val="20"/>
        </w:rPr>
        <w:t>Fresh produce also set new records in dollar sales, but saw units down 3.6% -- about the same decrease as measured in 2021</w:t>
      </w:r>
      <w:r w:rsidR="002D2080">
        <w:rPr>
          <w:rFonts w:ascii="Arial" w:hAnsi="Arial" w:cs="Arial"/>
          <w:sz w:val="20"/>
          <w:szCs w:val="20"/>
        </w:rPr>
        <w:t>,” said Watson</w:t>
      </w:r>
      <w:r w:rsidR="009C086B">
        <w:rPr>
          <w:rFonts w:ascii="Arial" w:hAnsi="Arial" w:cs="Arial"/>
          <w:sz w:val="20"/>
          <w:szCs w:val="20"/>
        </w:rPr>
        <w:t xml:space="preserve">. </w:t>
      </w:r>
      <w:r w:rsidR="002A3B9B">
        <w:rPr>
          <w:rFonts w:ascii="Arial" w:hAnsi="Arial" w:cs="Arial"/>
          <w:sz w:val="20"/>
          <w:szCs w:val="20"/>
        </w:rPr>
        <w:t xml:space="preserve">Volume (in pounds) is </w:t>
      </w:r>
      <w:r w:rsidR="009C086B">
        <w:rPr>
          <w:rFonts w:ascii="Arial" w:hAnsi="Arial" w:cs="Arial"/>
          <w:sz w:val="20"/>
          <w:szCs w:val="20"/>
        </w:rPr>
        <w:t xml:space="preserve">still well ahead of 2019, the pre-pandemic normal. </w:t>
      </w:r>
    </w:p>
    <w:p w14:paraId="05C09000" w14:textId="601D8C35" w:rsidR="009C086B" w:rsidRDefault="009C086B" w:rsidP="008D4E91">
      <w:pPr>
        <w:pStyle w:val="NoSpacing"/>
        <w:rPr>
          <w:rFonts w:ascii="Arial" w:hAnsi="Arial" w:cs="Arial"/>
          <w:sz w:val="20"/>
          <w:szCs w:val="20"/>
        </w:rPr>
      </w:pPr>
    </w:p>
    <w:p w14:paraId="178411C2" w14:textId="77777777" w:rsidR="008B064E" w:rsidRPr="00DE05E3" w:rsidRDefault="008B064E" w:rsidP="008B064E">
      <w:pPr>
        <w:pStyle w:val="NoSpacing"/>
        <w:rPr>
          <w:rFonts w:ascii="Arial" w:hAnsi="Arial" w:cs="Arial"/>
          <w:sz w:val="16"/>
          <w:szCs w:val="16"/>
        </w:rPr>
      </w:pPr>
      <w:r w:rsidRPr="00DE05E3">
        <w:rPr>
          <w:rFonts w:ascii="Arial" w:hAnsi="Arial" w:cs="Arial"/>
          <w:sz w:val="16"/>
          <w:szCs w:val="16"/>
        </w:rPr>
        <w:t>Source: IRI, Integrated Fresh, MULO, Total US, 2018-2022</w:t>
      </w:r>
    </w:p>
    <w:p w14:paraId="6898C849" w14:textId="77777777" w:rsidR="008B064E" w:rsidRPr="00F04479" w:rsidRDefault="008B064E" w:rsidP="008D4E91">
      <w:pPr>
        <w:pStyle w:val="NoSpacing"/>
        <w:rPr>
          <w:rFonts w:ascii="Arial" w:hAnsi="Arial" w:cs="Arial"/>
          <w:sz w:val="20"/>
          <w:szCs w:val="20"/>
        </w:rPr>
      </w:pPr>
    </w:p>
    <w:p w14:paraId="49CED0B0" w14:textId="77777777" w:rsidR="008D4E91" w:rsidRDefault="008D4E91" w:rsidP="008D4E91">
      <w:pPr>
        <w:pStyle w:val="NoSpacing"/>
        <w:spacing w:after="120"/>
        <w:rPr>
          <w:rFonts w:ascii="Arial" w:hAnsi="Arial" w:cs="Arial"/>
          <w:sz w:val="20"/>
          <w:szCs w:val="20"/>
        </w:rPr>
      </w:pPr>
    </w:p>
    <w:p w14:paraId="57B0DEE7" w14:textId="77777777" w:rsidR="0015304E" w:rsidRDefault="0015304E" w:rsidP="00737671">
      <w:pPr>
        <w:pStyle w:val="NoSpacing"/>
        <w:rPr>
          <w:rFonts w:ascii="Arial" w:hAnsi="Arial" w:cs="Arial"/>
          <w:sz w:val="20"/>
          <w:szCs w:val="20"/>
        </w:rPr>
      </w:pPr>
    </w:p>
    <w:p w14:paraId="40908039" w14:textId="77777777" w:rsidR="009C086B" w:rsidRPr="00355721" w:rsidRDefault="009C086B" w:rsidP="009C086B">
      <w:pPr>
        <w:pStyle w:val="NoSpacing"/>
        <w:rPr>
          <w:rFonts w:ascii="Arial" w:hAnsi="Arial" w:cs="Arial"/>
          <w:b/>
          <w:color w:val="595959" w:themeColor="text1" w:themeTint="A6"/>
          <w:sz w:val="24"/>
          <w:szCs w:val="20"/>
        </w:rPr>
      </w:pPr>
      <w:bookmarkStart w:id="1" w:name="_Hlk116282735"/>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0293DAA9" w14:textId="240B419E" w:rsidR="009C086B" w:rsidRPr="002C0D7F" w:rsidRDefault="009C086B" w:rsidP="009C086B">
      <w:pPr>
        <w:pStyle w:val="NoSpacing"/>
        <w:rPr>
          <w:rFonts w:ascii="Arial" w:hAnsi="Arial" w:cs="Arial"/>
          <w:sz w:val="20"/>
          <w:szCs w:val="20"/>
        </w:rPr>
      </w:pPr>
      <w:r>
        <w:rPr>
          <w:rFonts w:ascii="Arial" w:hAnsi="Arial" w:cs="Arial"/>
          <w:sz w:val="20"/>
          <w:szCs w:val="20"/>
        </w:rPr>
        <w:t xml:space="preserve">The price per unit across all foods and beverages in the IRI-measured multi-outlet stores, including supermarkets, club, mass, supercenter, drug and military, increased 12.8% in December (the four weeks ending 12/25/2022). The fourth quarter inflation averaged 13.5% per unit, which was down about a half point from the third quarter. Compared with December 2019, prices across all foods and beverages were up </w:t>
      </w:r>
      <w:r w:rsidR="00A150AF">
        <w:rPr>
          <w:rFonts w:ascii="Arial" w:hAnsi="Arial" w:cs="Arial"/>
          <w:sz w:val="20"/>
          <w:szCs w:val="20"/>
        </w:rPr>
        <w:t>+</w:t>
      </w:r>
      <w:r>
        <w:rPr>
          <w:rFonts w:ascii="Arial" w:hAnsi="Arial" w:cs="Arial"/>
          <w:sz w:val="20"/>
          <w:szCs w:val="20"/>
        </w:rPr>
        <w:t xml:space="preserve">27.5%. </w:t>
      </w:r>
    </w:p>
    <w:p w14:paraId="7D383199" w14:textId="77777777" w:rsidR="009C086B" w:rsidRDefault="009C086B" w:rsidP="009C086B">
      <w:pPr>
        <w:pStyle w:val="NoSpacing"/>
        <w:rPr>
          <w:rFonts w:ascii="Arial" w:hAnsi="Arial" w:cs="Arial"/>
          <w:b/>
          <w:color w:val="595959" w:themeColor="text1" w:themeTint="A6"/>
          <w:sz w:val="24"/>
          <w:szCs w:val="20"/>
        </w:rPr>
      </w:pPr>
    </w:p>
    <w:tbl>
      <w:tblPr>
        <w:tblStyle w:val="LightShading-Accent5"/>
        <w:tblW w:w="10522" w:type="dxa"/>
        <w:tblLayout w:type="fixed"/>
        <w:tblLook w:val="04A0" w:firstRow="1" w:lastRow="0" w:firstColumn="1" w:lastColumn="0" w:noHBand="0" w:noVBand="1"/>
      </w:tblPr>
      <w:tblGrid>
        <w:gridCol w:w="2070"/>
        <w:gridCol w:w="810"/>
        <w:gridCol w:w="810"/>
        <w:gridCol w:w="853"/>
        <w:gridCol w:w="767"/>
        <w:gridCol w:w="877"/>
        <w:gridCol w:w="923"/>
        <w:gridCol w:w="853"/>
        <w:gridCol w:w="853"/>
        <w:gridCol w:w="853"/>
        <w:gridCol w:w="853"/>
      </w:tblGrid>
      <w:tr w:rsidR="009C086B" w:rsidRPr="00770F6B" w14:paraId="6AA3F39D" w14:textId="77777777" w:rsidTr="002D2080">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shd w:val="clear" w:color="auto" w:fill="17365D" w:themeFill="text2" w:themeFillShade="BF"/>
            <w:vAlign w:val="center"/>
          </w:tcPr>
          <w:p w14:paraId="6FD3C13A" w14:textId="77777777" w:rsidR="009C086B" w:rsidRPr="00C37EEB" w:rsidRDefault="009C086B" w:rsidP="002D2080">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810" w:type="dxa"/>
            <w:tcBorders>
              <w:top w:val="nil"/>
              <w:bottom w:val="nil"/>
            </w:tcBorders>
            <w:shd w:val="clear" w:color="auto" w:fill="17365D" w:themeFill="text2" w:themeFillShade="BF"/>
            <w:vAlign w:val="center"/>
          </w:tcPr>
          <w:p w14:paraId="29A8CE93" w14:textId="77777777" w:rsidR="009C086B" w:rsidRPr="006C208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2018</w:t>
            </w:r>
          </w:p>
        </w:tc>
        <w:tc>
          <w:tcPr>
            <w:tcW w:w="810" w:type="dxa"/>
            <w:tcBorders>
              <w:top w:val="nil"/>
              <w:bottom w:val="nil"/>
            </w:tcBorders>
            <w:shd w:val="clear" w:color="auto" w:fill="17365D" w:themeFill="text2" w:themeFillShade="BF"/>
            <w:vAlign w:val="center"/>
          </w:tcPr>
          <w:p w14:paraId="4C09A4A9" w14:textId="77777777" w:rsidR="009C086B" w:rsidRPr="006C208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2019</w:t>
            </w:r>
          </w:p>
        </w:tc>
        <w:tc>
          <w:tcPr>
            <w:tcW w:w="853" w:type="dxa"/>
            <w:tcBorders>
              <w:top w:val="nil"/>
              <w:bottom w:val="nil"/>
            </w:tcBorders>
            <w:shd w:val="clear" w:color="auto" w:fill="17365D" w:themeFill="text2" w:themeFillShade="BF"/>
            <w:vAlign w:val="center"/>
          </w:tcPr>
          <w:p w14:paraId="28FEB745" w14:textId="77777777" w:rsidR="009C086B" w:rsidRPr="006C208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2020</w:t>
            </w:r>
          </w:p>
        </w:tc>
        <w:tc>
          <w:tcPr>
            <w:tcW w:w="767" w:type="dxa"/>
            <w:tcBorders>
              <w:top w:val="nil"/>
              <w:bottom w:val="nil"/>
            </w:tcBorders>
            <w:shd w:val="clear" w:color="auto" w:fill="17365D" w:themeFill="text2" w:themeFillShade="BF"/>
            <w:vAlign w:val="center"/>
          </w:tcPr>
          <w:p w14:paraId="4EC99DAB" w14:textId="77777777" w:rsidR="009C086B" w:rsidRPr="006C208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2021</w:t>
            </w:r>
          </w:p>
        </w:tc>
        <w:tc>
          <w:tcPr>
            <w:tcW w:w="877" w:type="dxa"/>
            <w:tcBorders>
              <w:top w:val="nil"/>
              <w:bottom w:val="nil"/>
            </w:tcBorders>
            <w:shd w:val="clear" w:color="auto" w:fill="17365D" w:themeFill="text2" w:themeFillShade="BF"/>
            <w:vAlign w:val="center"/>
          </w:tcPr>
          <w:p w14:paraId="27B28D87" w14:textId="77777777" w:rsidR="009C086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2022</w:t>
            </w:r>
          </w:p>
        </w:tc>
        <w:tc>
          <w:tcPr>
            <w:tcW w:w="923" w:type="dxa"/>
            <w:tcBorders>
              <w:top w:val="nil"/>
              <w:bottom w:val="nil"/>
            </w:tcBorders>
            <w:shd w:val="clear" w:color="auto" w:fill="17365D" w:themeFill="text2" w:themeFillShade="BF"/>
            <w:vAlign w:val="center"/>
          </w:tcPr>
          <w:p w14:paraId="2032A75F" w14:textId="77777777" w:rsidR="002D2080"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2F2F2" w:themeColor="background1" w:themeShade="F2"/>
                <w:sz w:val="18"/>
                <w:szCs w:val="18"/>
              </w:rPr>
            </w:pPr>
            <w:r>
              <w:rPr>
                <w:rFonts w:ascii="Arial" w:hAnsi="Arial" w:cs="Arial"/>
                <w:color w:val="F2F2F2" w:themeColor="background1" w:themeShade="F2"/>
                <w:sz w:val="18"/>
                <w:szCs w:val="18"/>
              </w:rPr>
              <w:t xml:space="preserve">Q1 </w:t>
            </w:r>
          </w:p>
          <w:p w14:paraId="07EC36CF" w14:textId="74E8C0A0" w:rsidR="009C086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2022</w:t>
            </w:r>
          </w:p>
        </w:tc>
        <w:tc>
          <w:tcPr>
            <w:tcW w:w="853" w:type="dxa"/>
            <w:tcBorders>
              <w:top w:val="nil"/>
              <w:bottom w:val="nil"/>
            </w:tcBorders>
            <w:shd w:val="clear" w:color="auto" w:fill="17365D" w:themeFill="text2" w:themeFillShade="BF"/>
            <w:vAlign w:val="center"/>
          </w:tcPr>
          <w:p w14:paraId="0BFF509C" w14:textId="77777777" w:rsidR="009C086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2022</w:t>
            </w:r>
          </w:p>
        </w:tc>
        <w:tc>
          <w:tcPr>
            <w:tcW w:w="853" w:type="dxa"/>
            <w:tcBorders>
              <w:top w:val="nil"/>
              <w:bottom w:val="nil"/>
            </w:tcBorders>
            <w:shd w:val="clear" w:color="auto" w:fill="17365D" w:themeFill="text2" w:themeFillShade="BF"/>
            <w:vAlign w:val="center"/>
          </w:tcPr>
          <w:p w14:paraId="5CC426FE" w14:textId="77777777" w:rsidR="009C086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2022</w:t>
            </w:r>
          </w:p>
        </w:tc>
        <w:tc>
          <w:tcPr>
            <w:tcW w:w="853" w:type="dxa"/>
            <w:tcBorders>
              <w:top w:val="nil"/>
              <w:bottom w:val="nil"/>
            </w:tcBorders>
            <w:shd w:val="clear" w:color="auto" w:fill="17365D" w:themeFill="text2" w:themeFillShade="BF"/>
            <w:vAlign w:val="center"/>
          </w:tcPr>
          <w:p w14:paraId="6C18D28F" w14:textId="77777777" w:rsidR="009C086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2F2F2" w:themeColor="background1" w:themeShade="F2"/>
                <w:sz w:val="18"/>
                <w:szCs w:val="18"/>
              </w:rPr>
            </w:pPr>
            <w:r>
              <w:rPr>
                <w:rFonts w:ascii="Arial" w:hAnsi="Arial" w:cs="Arial"/>
                <w:color w:val="F2F2F2" w:themeColor="background1" w:themeShade="F2"/>
                <w:sz w:val="18"/>
                <w:szCs w:val="18"/>
              </w:rPr>
              <w:t xml:space="preserve">Q4 </w:t>
            </w:r>
          </w:p>
          <w:p w14:paraId="0F52B48F" w14:textId="77777777" w:rsidR="009C086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2022</w:t>
            </w:r>
          </w:p>
        </w:tc>
        <w:tc>
          <w:tcPr>
            <w:tcW w:w="853" w:type="dxa"/>
            <w:tcBorders>
              <w:top w:val="nil"/>
              <w:bottom w:val="nil"/>
            </w:tcBorders>
            <w:shd w:val="clear" w:color="auto" w:fill="17365D" w:themeFill="text2" w:themeFillShade="BF"/>
            <w:vAlign w:val="center"/>
          </w:tcPr>
          <w:p w14:paraId="72E5881F" w14:textId="77777777" w:rsidR="009C086B" w:rsidRPr="006C208B" w:rsidRDefault="009C086B" w:rsidP="002D208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Dec 22</w:t>
            </w:r>
          </w:p>
        </w:tc>
      </w:tr>
      <w:tr w:rsidR="009C086B" w:rsidRPr="007F5087" w14:paraId="5C87D0B3" w14:textId="77777777" w:rsidTr="00D90DF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vAlign w:val="center"/>
          </w:tcPr>
          <w:p w14:paraId="2EC5ACAC" w14:textId="77777777" w:rsidR="009C086B" w:rsidRPr="006E0ECB" w:rsidRDefault="009C086B" w:rsidP="00D90DFC">
            <w:pPr>
              <w:pStyle w:val="NoSpacing"/>
              <w:jc w:val="right"/>
              <w:rPr>
                <w:rFonts w:ascii="Arial" w:hAnsi="Arial" w:cs="Arial"/>
                <w:sz w:val="18"/>
                <w:szCs w:val="18"/>
              </w:rPr>
            </w:pPr>
            <w:r w:rsidRPr="006E0ECB">
              <w:rPr>
                <w:rFonts w:ascii="Arial" w:hAnsi="Arial" w:cs="Arial"/>
                <w:sz w:val="18"/>
                <w:szCs w:val="18"/>
              </w:rPr>
              <w:t>Total food and beverages</w:t>
            </w:r>
          </w:p>
        </w:tc>
        <w:tc>
          <w:tcPr>
            <w:tcW w:w="810" w:type="dxa"/>
            <w:tcBorders>
              <w:top w:val="nil"/>
              <w:bottom w:val="nil"/>
            </w:tcBorders>
            <w:vAlign w:val="center"/>
          </w:tcPr>
          <w:p w14:paraId="707E05C4"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0ECB">
              <w:rPr>
                <w:rFonts w:ascii="Arial" w:hAnsi="Arial" w:cs="Arial"/>
                <w:sz w:val="18"/>
                <w:szCs w:val="18"/>
              </w:rPr>
              <w:t>+1.5%</w:t>
            </w:r>
          </w:p>
        </w:tc>
        <w:tc>
          <w:tcPr>
            <w:tcW w:w="810" w:type="dxa"/>
            <w:tcBorders>
              <w:top w:val="nil"/>
              <w:bottom w:val="nil"/>
            </w:tcBorders>
            <w:vAlign w:val="center"/>
          </w:tcPr>
          <w:p w14:paraId="2DB034C1"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0ECB">
              <w:rPr>
                <w:rFonts w:ascii="Arial" w:hAnsi="Arial" w:cs="Arial"/>
                <w:sz w:val="18"/>
                <w:szCs w:val="18"/>
              </w:rPr>
              <w:t>+2.0%</w:t>
            </w:r>
          </w:p>
        </w:tc>
        <w:tc>
          <w:tcPr>
            <w:tcW w:w="853" w:type="dxa"/>
            <w:tcBorders>
              <w:top w:val="nil"/>
              <w:bottom w:val="nil"/>
            </w:tcBorders>
            <w:vAlign w:val="center"/>
          </w:tcPr>
          <w:p w14:paraId="5BE49007"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0ECB">
              <w:rPr>
                <w:rFonts w:ascii="Arial" w:hAnsi="Arial" w:cs="Arial"/>
                <w:sz w:val="18"/>
                <w:szCs w:val="18"/>
              </w:rPr>
              <w:t>+5.1%</w:t>
            </w:r>
          </w:p>
        </w:tc>
        <w:tc>
          <w:tcPr>
            <w:tcW w:w="767" w:type="dxa"/>
            <w:tcBorders>
              <w:top w:val="nil"/>
              <w:bottom w:val="nil"/>
            </w:tcBorders>
            <w:vAlign w:val="center"/>
          </w:tcPr>
          <w:p w14:paraId="6A76340F"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0ECB">
              <w:rPr>
                <w:rFonts w:ascii="Arial" w:hAnsi="Arial" w:cs="Arial"/>
                <w:sz w:val="18"/>
                <w:szCs w:val="18"/>
              </w:rPr>
              <w:t>+5.4%</w:t>
            </w:r>
          </w:p>
        </w:tc>
        <w:tc>
          <w:tcPr>
            <w:tcW w:w="877" w:type="dxa"/>
            <w:tcBorders>
              <w:top w:val="nil"/>
              <w:bottom w:val="nil"/>
            </w:tcBorders>
            <w:vAlign w:val="center"/>
          </w:tcPr>
          <w:p w14:paraId="53B80348"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0ECB">
              <w:rPr>
                <w:rFonts w:ascii="Arial" w:hAnsi="Arial" w:cs="Arial"/>
                <w:sz w:val="18"/>
                <w:szCs w:val="18"/>
              </w:rPr>
              <w:t>+12.5%</w:t>
            </w:r>
          </w:p>
        </w:tc>
        <w:tc>
          <w:tcPr>
            <w:tcW w:w="923" w:type="dxa"/>
            <w:tcBorders>
              <w:top w:val="nil"/>
              <w:bottom w:val="nil"/>
            </w:tcBorders>
            <w:vAlign w:val="center"/>
          </w:tcPr>
          <w:p w14:paraId="5562C735"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p>
        </w:tc>
        <w:tc>
          <w:tcPr>
            <w:tcW w:w="853" w:type="dxa"/>
            <w:tcBorders>
              <w:top w:val="nil"/>
              <w:bottom w:val="nil"/>
            </w:tcBorders>
            <w:vAlign w:val="center"/>
          </w:tcPr>
          <w:p w14:paraId="4981253A"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+12.0%</w:t>
            </w:r>
          </w:p>
        </w:tc>
        <w:tc>
          <w:tcPr>
            <w:tcW w:w="853" w:type="dxa"/>
            <w:tcBorders>
              <w:top w:val="nil"/>
              <w:bottom w:val="nil"/>
            </w:tcBorders>
            <w:vAlign w:val="center"/>
          </w:tcPr>
          <w:p w14:paraId="7A7E0E43"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+14.1%</w:t>
            </w:r>
          </w:p>
        </w:tc>
        <w:tc>
          <w:tcPr>
            <w:tcW w:w="853" w:type="dxa"/>
            <w:tcBorders>
              <w:top w:val="nil"/>
              <w:bottom w:val="nil"/>
            </w:tcBorders>
            <w:vAlign w:val="center"/>
          </w:tcPr>
          <w:p w14:paraId="50F62BA1"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+13.5%</w:t>
            </w:r>
          </w:p>
        </w:tc>
        <w:tc>
          <w:tcPr>
            <w:tcW w:w="853" w:type="dxa"/>
            <w:tcBorders>
              <w:top w:val="nil"/>
              <w:bottom w:val="nil"/>
            </w:tcBorders>
            <w:vAlign w:val="center"/>
          </w:tcPr>
          <w:p w14:paraId="0EF4B31B" w14:textId="77777777" w:rsidR="009C086B" w:rsidRPr="006E0ECB" w:rsidRDefault="009C086B"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E0ECB">
              <w:rPr>
                <w:rFonts w:ascii="Arial" w:hAnsi="Arial" w:cs="Arial"/>
                <w:sz w:val="18"/>
                <w:szCs w:val="18"/>
              </w:rPr>
              <w:t>+12.8%</w:t>
            </w:r>
          </w:p>
        </w:tc>
      </w:tr>
    </w:tbl>
    <w:p w14:paraId="615E3E37" w14:textId="77777777" w:rsidR="009C086B" w:rsidRPr="008B064E" w:rsidRDefault="009C086B" w:rsidP="009C086B">
      <w:pPr>
        <w:pStyle w:val="NoSpacing"/>
        <w:tabs>
          <w:tab w:val="left" w:pos="8991"/>
        </w:tabs>
        <w:rPr>
          <w:rFonts w:ascii="Arial" w:hAnsi="Arial" w:cs="Arial"/>
          <w:sz w:val="6"/>
          <w:szCs w:val="6"/>
        </w:rPr>
      </w:pPr>
      <w:r w:rsidRPr="008B064E">
        <w:rPr>
          <w:rFonts w:ascii="Arial" w:hAnsi="Arial" w:cs="Arial"/>
          <w:sz w:val="6"/>
          <w:szCs w:val="6"/>
        </w:rPr>
        <w:tab/>
      </w:r>
    </w:p>
    <w:p w14:paraId="77859FFD" w14:textId="77777777" w:rsidR="009C086B" w:rsidRPr="006879B2" w:rsidRDefault="009C086B" w:rsidP="009C086B">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bookmarkEnd w:id="1"/>
    <w:p w14:paraId="1AF11EDB" w14:textId="6986F3AD" w:rsidR="009C02A0" w:rsidRDefault="009C02A0" w:rsidP="00D8582D">
      <w:pPr>
        <w:pStyle w:val="NoSpacing"/>
        <w:rPr>
          <w:rFonts w:ascii="Arial" w:hAnsi="Arial" w:cs="Arial"/>
          <w:sz w:val="20"/>
          <w:szCs w:val="20"/>
        </w:rPr>
      </w:pPr>
    </w:p>
    <w:p w14:paraId="33E52E4B" w14:textId="797D608E" w:rsidR="00354739" w:rsidRDefault="00DD3DF6" w:rsidP="00DD3DF6">
      <w:pPr>
        <w:pStyle w:val="NoSpacing"/>
        <w:rPr>
          <w:rFonts w:ascii="Arial" w:hAnsi="Arial" w:cs="Arial"/>
          <w:sz w:val="20"/>
          <w:szCs w:val="20"/>
        </w:rPr>
      </w:pPr>
      <w:r>
        <w:rPr>
          <w:rFonts w:ascii="Arial" w:hAnsi="Arial" w:cs="Arial"/>
          <w:sz w:val="20"/>
          <w:szCs w:val="20"/>
        </w:rPr>
        <w:t xml:space="preserve">Fresh produce prices </w:t>
      </w:r>
      <w:r w:rsidR="00BC7B47">
        <w:rPr>
          <w:rFonts w:ascii="Arial" w:hAnsi="Arial" w:cs="Arial"/>
          <w:sz w:val="20"/>
          <w:szCs w:val="20"/>
        </w:rPr>
        <w:t xml:space="preserve">were </w:t>
      </w:r>
      <w:r>
        <w:rPr>
          <w:rFonts w:ascii="Arial" w:hAnsi="Arial" w:cs="Arial"/>
          <w:sz w:val="20"/>
          <w:szCs w:val="20"/>
        </w:rPr>
        <w:t xml:space="preserve">also </w:t>
      </w:r>
      <w:r w:rsidR="00B1061E">
        <w:rPr>
          <w:rFonts w:ascii="Arial" w:hAnsi="Arial" w:cs="Arial"/>
          <w:sz w:val="20"/>
          <w:szCs w:val="20"/>
        </w:rPr>
        <w:t xml:space="preserve">up </w:t>
      </w:r>
      <w:r w:rsidR="002D2080">
        <w:rPr>
          <w:rFonts w:ascii="Arial" w:hAnsi="Arial" w:cs="Arial"/>
          <w:sz w:val="20"/>
          <w:szCs w:val="20"/>
        </w:rPr>
        <w:t>over 2021</w:t>
      </w:r>
      <w:r w:rsidR="005575F0">
        <w:rPr>
          <w:rFonts w:ascii="Arial" w:hAnsi="Arial" w:cs="Arial"/>
          <w:sz w:val="20"/>
          <w:szCs w:val="20"/>
        </w:rPr>
        <w:t xml:space="preserve">, </w:t>
      </w:r>
      <w:r w:rsidR="000B10BC">
        <w:rPr>
          <w:rFonts w:ascii="Arial" w:hAnsi="Arial" w:cs="Arial"/>
          <w:sz w:val="20"/>
          <w:szCs w:val="20"/>
        </w:rPr>
        <w:t xml:space="preserve">but a relatively low </w:t>
      </w:r>
      <w:r w:rsidR="005575F0">
        <w:rPr>
          <w:rFonts w:ascii="Arial" w:hAnsi="Arial" w:cs="Arial"/>
          <w:sz w:val="20"/>
          <w:szCs w:val="20"/>
        </w:rPr>
        <w:t>+</w:t>
      </w:r>
      <w:r w:rsidR="002D2080">
        <w:rPr>
          <w:rFonts w:ascii="Arial" w:hAnsi="Arial" w:cs="Arial"/>
          <w:sz w:val="20"/>
          <w:szCs w:val="20"/>
        </w:rPr>
        <w:t>8.7</w:t>
      </w:r>
      <w:r w:rsidR="005575F0">
        <w:rPr>
          <w:rFonts w:ascii="Arial" w:hAnsi="Arial" w:cs="Arial"/>
          <w:sz w:val="20"/>
          <w:szCs w:val="20"/>
        </w:rPr>
        <w:t>%</w:t>
      </w:r>
      <w:r w:rsidR="00BC7B47">
        <w:rPr>
          <w:rFonts w:ascii="Arial" w:hAnsi="Arial" w:cs="Arial"/>
          <w:sz w:val="20"/>
          <w:szCs w:val="20"/>
        </w:rPr>
        <w:t xml:space="preserve"> on a per</w:t>
      </w:r>
      <w:r w:rsidR="008A426C">
        <w:rPr>
          <w:rFonts w:ascii="Arial" w:hAnsi="Arial" w:cs="Arial"/>
          <w:sz w:val="20"/>
          <w:szCs w:val="20"/>
        </w:rPr>
        <w:t>-</w:t>
      </w:r>
      <w:r w:rsidR="00BC7B47">
        <w:rPr>
          <w:rFonts w:ascii="Arial" w:hAnsi="Arial" w:cs="Arial"/>
          <w:sz w:val="20"/>
          <w:szCs w:val="20"/>
        </w:rPr>
        <w:t>pound basis.</w:t>
      </w:r>
      <w:r w:rsidR="001D65B2">
        <w:rPr>
          <w:rFonts w:ascii="Arial" w:hAnsi="Arial" w:cs="Arial"/>
          <w:sz w:val="20"/>
          <w:szCs w:val="20"/>
        </w:rPr>
        <w:t xml:space="preserve"> This is far below the total store average</w:t>
      </w:r>
      <w:r w:rsidR="002D2080">
        <w:rPr>
          <w:rFonts w:ascii="Arial" w:hAnsi="Arial" w:cs="Arial"/>
          <w:sz w:val="20"/>
          <w:szCs w:val="20"/>
        </w:rPr>
        <w:t xml:space="preserve"> as fresh fruit prices started to moderate in the third and fourth quarters of the year.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23708404"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(lb</w:t>
            </w:r>
            <w:r w:rsidR="00AD4CC2">
              <w:rPr>
                <w:rFonts w:ascii="Arial" w:hAnsi="Arial" w:cs="Arial"/>
                <w:color w:val="FFFFFF" w:themeColor="background1"/>
                <w:sz w:val="18"/>
                <w:szCs w:val="18"/>
              </w:rPr>
              <w:t>s</w:t>
            </w:r>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3C2BCB1"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F8030A">
              <w:rPr>
                <w:rFonts w:ascii="Arial" w:hAnsi="Arial" w:cs="Arial"/>
                <w:color w:val="FFFFFF" w:themeColor="background1"/>
                <w:sz w:val="18"/>
                <w:szCs w:val="18"/>
              </w:rPr>
              <w:t>19</w:t>
            </w:r>
          </w:p>
        </w:tc>
      </w:tr>
      <w:tr w:rsidR="002D2080" w:rsidRPr="00B75D3A" w14:paraId="1434C87A" w14:textId="77777777" w:rsidTr="009E2E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4629FA93" w:rsidR="002D2080" w:rsidRPr="00B75D3A" w:rsidRDefault="002D2080" w:rsidP="002D2080">
            <w:pPr>
              <w:pStyle w:val="NoSpacing"/>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Total fresh produce </w:t>
            </w:r>
            <w:r>
              <w:rPr>
                <w:rFonts w:ascii="Arial" w:hAnsi="Arial" w:cs="Arial"/>
                <w:color w:val="215868" w:themeColor="accent5" w:themeShade="80"/>
                <w:sz w:val="18"/>
                <w:szCs w:val="18"/>
              </w:rPr>
              <w:t>December</w:t>
            </w:r>
            <w:r w:rsidRPr="00B75D3A">
              <w:rPr>
                <w:rFonts w:ascii="Arial" w:hAnsi="Arial" w:cs="Arial"/>
                <w:color w:val="215868" w:themeColor="accent5" w:themeShade="80"/>
                <w:sz w:val="18"/>
                <w:szCs w:val="18"/>
              </w:rPr>
              <w:t xml:space="preserve"> 2022</w:t>
            </w:r>
          </w:p>
        </w:tc>
        <w:tc>
          <w:tcPr>
            <w:tcW w:w="2130" w:type="dxa"/>
            <w:vAlign w:val="bottom"/>
          </w:tcPr>
          <w:p w14:paraId="6E97F861" w14:textId="7BF00A70" w:rsidR="002D2080" w:rsidRPr="002D2080" w:rsidRDefault="002D2080" w:rsidP="002D208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D2080">
              <w:rPr>
                <w:rFonts w:ascii="Arial" w:hAnsi="Arial" w:cs="Arial"/>
                <w:sz w:val="18"/>
                <w:szCs w:val="18"/>
              </w:rPr>
              <w:t>$1.90</w:t>
            </w:r>
          </w:p>
        </w:tc>
        <w:tc>
          <w:tcPr>
            <w:tcW w:w="1702" w:type="dxa"/>
            <w:vAlign w:val="bottom"/>
          </w:tcPr>
          <w:p w14:paraId="5720898A" w14:textId="2BBB8F46" w:rsidR="002D2080" w:rsidRPr="002D2080" w:rsidRDefault="00B04C13" w:rsidP="002D208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sz w:val="18"/>
                <w:szCs w:val="18"/>
              </w:rPr>
              <w:t>+</w:t>
            </w:r>
            <w:r w:rsidR="002D2080" w:rsidRPr="002D2080">
              <w:rPr>
                <w:rFonts w:ascii="Arial" w:hAnsi="Arial" w:cs="Arial"/>
                <w:sz w:val="18"/>
                <w:szCs w:val="18"/>
              </w:rPr>
              <w:t>4.3%</w:t>
            </w:r>
          </w:p>
        </w:tc>
        <w:tc>
          <w:tcPr>
            <w:tcW w:w="1916" w:type="dxa"/>
            <w:vAlign w:val="bottom"/>
          </w:tcPr>
          <w:p w14:paraId="164946FB" w14:textId="6ADDBA31" w:rsidR="002D2080" w:rsidRPr="002D2080" w:rsidRDefault="00B04C13" w:rsidP="002D2080">
            <w:pPr>
              <w:jc w:val="right"/>
              <w:cnfStyle w:val="000000100000" w:firstRow="0" w:lastRow="0" w:firstColumn="0" w:lastColumn="0" w:oddVBand="0" w:evenVBand="0" w:oddHBand="1" w:evenHBand="0" w:firstRowFirstColumn="0" w:firstRowLastColumn="0" w:lastRowFirstColumn="0" w:lastRowLastColumn="0"/>
              <w:rPr>
                <w:b/>
                <w:bCs/>
              </w:rPr>
            </w:pPr>
            <w:r>
              <w:rPr>
                <w:rFonts w:ascii="Arial" w:hAnsi="Arial" w:cs="Arial"/>
                <w:sz w:val="18"/>
                <w:szCs w:val="18"/>
              </w:rPr>
              <w:t>+</w:t>
            </w:r>
            <w:r w:rsidR="002D2080" w:rsidRPr="002D2080">
              <w:rPr>
                <w:rFonts w:ascii="Arial" w:hAnsi="Arial" w:cs="Arial"/>
                <w:sz w:val="18"/>
                <w:szCs w:val="18"/>
              </w:rPr>
              <w:t>17.1%</w:t>
            </w:r>
          </w:p>
        </w:tc>
      </w:tr>
      <w:tr w:rsidR="002D2080" w:rsidRPr="007F5087" w14:paraId="5A66D034" w14:textId="77777777" w:rsidTr="009E2E79">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7FBBA20" w14:textId="26B28677" w:rsidR="002D2080" w:rsidRPr="007F5087" w:rsidRDefault="002D2080" w:rsidP="002D2080">
            <w:pPr>
              <w:pStyle w:val="NoSpacing"/>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Total fresh produce </w:t>
            </w:r>
            <w:r>
              <w:rPr>
                <w:rFonts w:ascii="Arial" w:hAnsi="Arial" w:cs="Arial"/>
                <w:b w:val="0"/>
                <w:bCs w:val="0"/>
                <w:color w:val="215868" w:themeColor="accent5" w:themeShade="80"/>
                <w:sz w:val="18"/>
                <w:szCs w:val="18"/>
              </w:rPr>
              <w:t>2022</w:t>
            </w:r>
          </w:p>
        </w:tc>
        <w:tc>
          <w:tcPr>
            <w:tcW w:w="2130" w:type="dxa"/>
            <w:vAlign w:val="bottom"/>
          </w:tcPr>
          <w:p w14:paraId="1F20343F" w14:textId="21D7A8DA" w:rsidR="002D2080" w:rsidRPr="002D2080" w:rsidRDefault="002D2080" w:rsidP="002D2080">
            <w:pPr>
              <w:jc w:val="right"/>
              <w:cnfStyle w:val="000000000000" w:firstRow="0" w:lastRow="0" w:firstColumn="0" w:lastColumn="0" w:oddVBand="0" w:evenVBand="0" w:oddHBand="0" w:evenHBand="0" w:firstRowFirstColumn="0" w:firstRowLastColumn="0" w:lastRowFirstColumn="0" w:lastRowLastColumn="0"/>
            </w:pPr>
            <w:r w:rsidRPr="002D2080">
              <w:rPr>
                <w:rFonts w:ascii="Arial" w:hAnsi="Arial" w:cs="Arial"/>
                <w:sz w:val="18"/>
                <w:szCs w:val="18"/>
              </w:rPr>
              <w:t>$1.83</w:t>
            </w:r>
          </w:p>
        </w:tc>
        <w:tc>
          <w:tcPr>
            <w:tcW w:w="1702" w:type="dxa"/>
            <w:vAlign w:val="bottom"/>
          </w:tcPr>
          <w:p w14:paraId="31810777" w14:textId="55744938" w:rsidR="002D2080" w:rsidRPr="002D2080" w:rsidRDefault="00B04C13" w:rsidP="002D208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w:t>
            </w:r>
            <w:r w:rsidR="002D2080" w:rsidRPr="002D2080">
              <w:rPr>
                <w:rFonts w:ascii="Arial" w:hAnsi="Arial" w:cs="Arial"/>
                <w:sz w:val="18"/>
                <w:szCs w:val="18"/>
              </w:rPr>
              <w:t>8.7%</w:t>
            </w:r>
          </w:p>
        </w:tc>
        <w:tc>
          <w:tcPr>
            <w:tcW w:w="1916" w:type="dxa"/>
            <w:vAlign w:val="bottom"/>
          </w:tcPr>
          <w:p w14:paraId="3E082B02" w14:textId="573CD6D2" w:rsidR="002D2080" w:rsidRPr="002D2080" w:rsidRDefault="00B04C13" w:rsidP="002D208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w:t>
            </w:r>
            <w:r w:rsidR="002D2080" w:rsidRPr="002D2080">
              <w:rPr>
                <w:rFonts w:ascii="Arial" w:hAnsi="Arial" w:cs="Arial"/>
                <w:sz w:val="18"/>
                <w:szCs w:val="18"/>
              </w:rPr>
              <w:t>16.1%</w:t>
            </w:r>
          </w:p>
        </w:tc>
      </w:tr>
      <w:tr w:rsidR="002D2080" w:rsidRPr="00B75D3A" w14:paraId="5B57AE54" w14:textId="77777777" w:rsidTr="009E2E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40FEA6E6" w:rsidR="002D2080" w:rsidRPr="00B75D3A" w:rsidRDefault="002D2080" w:rsidP="002D2080">
            <w:pPr>
              <w:pStyle w:val="NoSpacing"/>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fruit </w:t>
            </w:r>
            <w:r>
              <w:rPr>
                <w:rFonts w:ascii="Arial" w:hAnsi="Arial" w:cs="Arial"/>
                <w:color w:val="215868" w:themeColor="accent5" w:themeShade="80"/>
                <w:sz w:val="18"/>
                <w:szCs w:val="18"/>
              </w:rPr>
              <w:t>December</w:t>
            </w:r>
            <w:r w:rsidRPr="00B75D3A">
              <w:rPr>
                <w:rFonts w:ascii="Arial" w:hAnsi="Arial" w:cs="Arial"/>
                <w:color w:val="215868" w:themeColor="accent5" w:themeShade="80"/>
                <w:sz w:val="18"/>
                <w:szCs w:val="18"/>
              </w:rPr>
              <w:t xml:space="preserve"> 2022</w:t>
            </w:r>
          </w:p>
        </w:tc>
        <w:tc>
          <w:tcPr>
            <w:tcW w:w="2130" w:type="dxa"/>
            <w:vAlign w:val="bottom"/>
          </w:tcPr>
          <w:p w14:paraId="2E070CA6" w14:textId="1E1DD4F9" w:rsidR="002D2080" w:rsidRPr="002D2080" w:rsidRDefault="002D2080" w:rsidP="002D2080">
            <w:pPr>
              <w:jc w:val="right"/>
              <w:cnfStyle w:val="000000100000" w:firstRow="0" w:lastRow="0" w:firstColumn="0" w:lastColumn="0" w:oddVBand="0" w:evenVBand="0" w:oddHBand="1" w:evenHBand="0" w:firstRowFirstColumn="0" w:firstRowLastColumn="0" w:lastRowFirstColumn="0" w:lastRowLastColumn="0"/>
              <w:rPr>
                <w:b/>
                <w:bCs/>
              </w:rPr>
            </w:pPr>
            <w:r w:rsidRPr="002D2080">
              <w:rPr>
                <w:rFonts w:ascii="Arial" w:hAnsi="Arial" w:cs="Arial"/>
                <w:sz w:val="18"/>
                <w:szCs w:val="18"/>
              </w:rPr>
              <w:t>$1.77</w:t>
            </w:r>
          </w:p>
        </w:tc>
        <w:tc>
          <w:tcPr>
            <w:tcW w:w="1702" w:type="dxa"/>
            <w:vAlign w:val="bottom"/>
          </w:tcPr>
          <w:p w14:paraId="5F7D0FB3" w14:textId="6929CC8C" w:rsidR="002D2080" w:rsidRPr="002D2080" w:rsidRDefault="00B04C13" w:rsidP="002D2080">
            <w:pPr>
              <w:jc w:val="right"/>
              <w:cnfStyle w:val="000000100000" w:firstRow="0" w:lastRow="0" w:firstColumn="0" w:lastColumn="0" w:oddVBand="0" w:evenVBand="0" w:oddHBand="1" w:evenHBand="0" w:firstRowFirstColumn="0" w:firstRowLastColumn="0" w:lastRowFirstColumn="0" w:lastRowLastColumn="0"/>
              <w:rPr>
                <w:b/>
                <w:bCs/>
              </w:rPr>
            </w:pPr>
            <w:r>
              <w:rPr>
                <w:rFonts w:ascii="Arial" w:hAnsi="Arial" w:cs="Arial"/>
                <w:sz w:val="18"/>
                <w:szCs w:val="18"/>
              </w:rPr>
              <w:t>+</w:t>
            </w:r>
            <w:r w:rsidR="002D2080" w:rsidRPr="002D2080">
              <w:rPr>
                <w:rFonts w:ascii="Arial" w:hAnsi="Arial" w:cs="Arial"/>
                <w:sz w:val="18"/>
                <w:szCs w:val="18"/>
              </w:rPr>
              <w:t>1.5%</w:t>
            </w:r>
          </w:p>
        </w:tc>
        <w:tc>
          <w:tcPr>
            <w:tcW w:w="1916" w:type="dxa"/>
            <w:vAlign w:val="bottom"/>
          </w:tcPr>
          <w:p w14:paraId="5BD0263C" w14:textId="540A1B37" w:rsidR="002D2080" w:rsidRPr="002D2080" w:rsidRDefault="00B04C13" w:rsidP="002D2080">
            <w:pPr>
              <w:jc w:val="right"/>
              <w:cnfStyle w:val="000000100000" w:firstRow="0" w:lastRow="0" w:firstColumn="0" w:lastColumn="0" w:oddVBand="0" w:evenVBand="0" w:oddHBand="1" w:evenHBand="0" w:firstRowFirstColumn="0" w:firstRowLastColumn="0" w:lastRowFirstColumn="0" w:lastRowLastColumn="0"/>
              <w:rPr>
                <w:b/>
                <w:bCs/>
              </w:rPr>
            </w:pPr>
            <w:r>
              <w:rPr>
                <w:rFonts w:ascii="Arial" w:hAnsi="Arial" w:cs="Arial"/>
                <w:sz w:val="18"/>
                <w:szCs w:val="18"/>
              </w:rPr>
              <w:t>+</w:t>
            </w:r>
            <w:r w:rsidR="002D2080" w:rsidRPr="002D2080">
              <w:rPr>
                <w:rFonts w:ascii="Arial" w:hAnsi="Arial" w:cs="Arial"/>
                <w:sz w:val="18"/>
                <w:szCs w:val="18"/>
              </w:rPr>
              <w:t>17.2%</w:t>
            </w:r>
          </w:p>
        </w:tc>
      </w:tr>
      <w:tr w:rsidR="002D2080" w:rsidRPr="007F5087" w14:paraId="1144520F" w14:textId="77777777" w:rsidTr="009E2E79">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3CFDF991" w:rsidR="002D2080" w:rsidRPr="007F5087" w:rsidRDefault="002D2080" w:rsidP="002D2080">
            <w:pPr>
              <w:pStyle w:val="NoSpacing"/>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 Fresh fruit latest </w:t>
            </w:r>
            <w:r>
              <w:rPr>
                <w:rFonts w:ascii="Arial" w:hAnsi="Arial" w:cs="Arial"/>
                <w:b w:val="0"/>
                <w:bCs w:val="0"/>
                <w:color w:val="215868" w:themeColor="accent5" w:themeShade="80"/>
                <w:sz w:val="18"/>
                <w:szCs w:val="18"/>
              </w:rPr>
              <w:t>2022</w:t>
            </w:r>
          </w:p>
        </w:tc>
        <w:tc>
          <w:tcPr>
            <w:tcW w:w="2130" w:type="dxa"/>
            <w:vAlign w:val="bottom"/>
          </w:tcPr>
          <w:p w14:paraId="7E73EC2B" w14:textId="1FA1F973" w:rsidR="002D2080" w:rsidRPr="002D2080" w:rsidRDefault="002D2080" w:rsidP="002D2080">
            <w:pPr>
              <w:jc w:val="right"/>
              <w:cnfStyle w:val="000000000000" w:firstRow="0" w:lastRow="0" w:firstColumn="0" w:lastColumn="0" w:oddVBand="0" w:evenVBand="0" w:oddHBand="0" w:evenHBand="0" w:firstRowFirstColumn="0" w:firstRowLastColumn="0" w:lastRowFirstColumn="0" w:lastRowLastColumn="0"/>
            </w:pPr>
            <w:r w:rsidRPr="002D2080">
              <w:rPr>
                <w:rFonts w:ascii="Arial" w:hAnsi="Arial" w:cs="Arial"/>
                <w:sz w:val="18"/>
                <w:szCs w:val="18"/>
              </w:rPr>
              <w:t>$1.69</w:t>
            </w:r>
          </w:p>
        </w:tc>
        <w:tc>
          <w:tcPr>
            <w:tcW w:w="1702" w:type="dxa"/>
            <w:vAlign w:val="bottom"/>
          </w:tcPr>
          <w:p w14:paraId="4038274E" w14:textId="03990396" w:rsidR="002D2080" w:rsidRPr="002D2080" w:rsidRDefault="00B04C13" w:rsidP="002D208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w:t>
            </w:r>
            <w:r w:rsidR="002D2080" w:rsidRPr="002D2080">
              <w:rPr>
                <w:rFonts w:ascii="Arial" w:hAnsi="Arial" w:cs="Arial"/>
                <w:sz w:val="18"/>
                <w:szCs w:val="18"/>
              </w:rPr>
              <w:t>9.5%</w:t>
            </w:r>
          </w:p>
        </w:tc>
        <w:tc>
          <w:tcPr>
            <w:tcW w:w="1916" w:type="dxa"/>
            <w:vAlign w:val="bottom"/>
          </w:tcPr>
          <w:p w14:paraId="4548B493" w14:textId="22C30086" w:rsidR="002D2080" w:rsidRPr="002D2080" w:rsidRDefault="00B04C13" w:rsidP="002D208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w:t>
            </w:r>
            <w:r w:rsidR="002D2080" w:rsidRPr="002D2080">
              <w:rPr>
                <w:rFonts w:ascii="Arial" w:hAnsi="Arial" w:cs="Arial"/>
                <w:sz w:val="18"/>
                <w:szCs w:val="18"/>
              </w:rPr>
              <w:t>18.8%</w:t>
            </w:r>
          </w:p>
        </w:tc>
      </w:tr>
      <w:tr w:rsidR="002D2080" w:rsidRPr="00B75D3A" w14:paraId="49DE74F5" w14:textId="77777777" w:rsidTr="009E2E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414416D0" w:rsidR="002D2080" w:rsidRPr="00B75D3A" w:rsidRDefault="002D2080" w:rsidP="002D2080">
            <w:pPr>
              <w:pStyle w:val="NoSpacing"/>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vegetables </w:t>
            </w:r>
            <w:r>
              <w:rPr>
                <w:rFonts w:ascii="Arial" w:hAnsi="Arial" w:cs="Arial"/>
                <w:color w:val="215868" w:themeColor="accent5" w:themeShade="80"/>
                <w:sz w:val="18"/>
                <w:szCs w:val="18"/>
              </w:rPr>
              <w:t>December</w:t>
            </w:r>
            <w:r w:rsidRPr="00B75D3A">
              <w:rPr>
                <w:rFonts w:ascii="Arial" w:hAnsi="Arial" w:cs="Arial"/>
                <w:color w:val="215868" w:themeColor="accent5" w:themeShade="80"/>
                <w:sz w:val="18"/>
                <w:szCs w:val="18"/>
              </w:rPr>
              <w:t xml:space="preserve"> 2022</w:t>
            </w:r>
          </w:p>
        </w:tc>
        <w:tc>
          <w:tcPr>
            <w:tcW w:w="2130" w:type="dxa"/>
            <w:vAlign w:val="bottom"/>
          </w:tcPr>
          <w:p w14:paraId="179F7533" w14:textId="2ADD5A4A" w:rsidR="002D2080" w:rsidRPr="002D2080" w:rsidRDefault="002D2080" w:rsidP="002D2080">
            <w:pPr>
              <w:jc w:val="right"/>
              <w:cnfStyle w:val="000000100000" w:firstRow="0" w:lastRow="0" w:firstColumn="0" w:lastColumn="0" w:oddVBand="0" w:evenVBand="0" w:oddHBand="1" w:evenHBand="0" w:firstRowFirstColumn="0" w:firstRowLastColumn="0" w:lastRowFirstColumn="0" w:lastRowLastColumn="0"/>
              <w:rPr>
                <w:b/>
                <w:bCs/>
              </w:rPr>
            </w:pPr>
            <w:r w:rsidRPr="002D2080">
              <w:rPr>
                <w:rFonts w:ascii="Arial" w:hAnsi="Arial" w:cs="Arial"/>
                <w:sz w:val="18"/>
                <w:szCs w:val="18"/>
              </w:rPr>
              <w:t>$1.99</w:t>
            </w:r>
          </w:p>
        </w:tc>
        <w:tc>
          <w:tcPr>
            <w:tcW w:w="1702" w:type="dxa"/>
            <w:vAlign w:val="bottom"/>
          </w:tcPr>
          <w:p w14:paraId="5B5FDC39" w14:textId="202B341D" w:rsidR="002D2080" w:rsidRPr="002D2080" w:rsidRDefault="00B04C13" w:rsidP="002D2080">
            <w:pPr>
              <w:jc w:val="right"/>
              <w:cnfStyle w:val="000000100000" w:firstRow="0" w:lastRow="0" w:firstColumn="0" w:lastColumn="0" w:oddVBand="0" w:evenVBand="0" w:oddHBand="1" w:evenHBand="0" w:firstRowFirstColumn="0" w:firstRowLastColumn="0" w:lastRowFirstColumn="0" w:lastRowLastColumn="0"/>
              <w:rPr>
                <w:b/>
                <w:bCs/>
              </w:rPr>
            </w:pPr>
            <w:r>
              <w:rPr>
                <w:rFonts w:ascii="Arial" w:hAnsi="Arial" w:cs="Arial"/>
                <w:sz w:val="18"/>
                <w:szCs w:val="18"/>
              </w:rPr>
              <w:t>+</w:t>
            </w:r>
            <w:r w:rsidR="002D2080" w:rsidRPr="002D2080">
              <w:rPr>
                <w:rFonts w:ascii="Arial" w:hAnsi="Arial" w:cs="Arial"/>
                <w:sz w:val="18"/>
                <w:szCs w:val="18"/>
              </w:rPr>
              <w:t>6.9%</w:t>
            </w:r>
          </w:p>
        </w:tc>
        <w:tc>
          <w:tcPr>
            <w:tcW w:w="1916" w:type="dxa"/>
            <w:vAlign w:val="bottom"/>
          </w:tcPr>
          <w:p w14:paraId="0790677A" w14:textId="2DF7CB9B" w:rsidR="002D2080" w:rsidRPr="002D2080" w:rsidRDefault="00B04C13" w:rsidP="002D2080">
            <w:pPr>
              <w:jc w:val="right"/>
              <w:cnfStyle w:val="000000100000" w:firstRow="0" w:lastRow="0" w:firstColumn="0" w:lastColumn="0" w:oddVBand="0" w:evenVBand="0" w:oddHBand="1" w:evenHBand="0" w:firstRowFirstColumn="0" w:firstRowLastColumn="0" w:lastRowFirstColumn="0" w:lastRowLastColumn="0"/>
              <w:rPr>
                <w:b/>
                <w:bCs/>
              </w:rPr>
            </w:pPr>
            <w:r>
              <w:rPr>
                <w:rFonts w:ascii="Arial" w:hAnsi="Arial" w:cs="Arial"/>
                <w:sz w:val="18"/>
                <w:szCs w:val="18"/>
              </w:rPr>
              <w:t>+</w:t>
            </w:r>
            <w:r w:rsidR="002D2080" w:rsidRPr="002D2080">
              <w:rPr>
                <w:rFonts w:ascii="Arial" w:hAnsi="Arial" w:cs="Arial"/>
                <w:sz w:val="18"/>
                <w:szCs w:val="18"/>
              </w:rPr>
              <w:t>17.9%</w:t>
            </w:r>
          </w:p>
        </w:tc>
      </w:tr>
      <w:tr w:rsidR="002D2080" w:rsidRPr="007F5087" w14:paraId="0E7328F7" w14:textId="77777777" w:rsidTr="009E2E79">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639B956" w14:textId="39CADF25" w:rsidR="002D2080" w:rsidRPr="007F5087" w:rsidRDefault="002D2080" w:rsidP="002D2080">
            <w:pPr>
              <w:pStyle w:val="NoSpacing"/>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Fresh vegetables </w:t>
            </w:r>
            <w:r>
              <w:rPr>
                <w:rFonts w:ascii="Arial" w:hAnsi="Arial" w:cs="Arial"/>
                <w:b w:val="0"/>
                <w:bCs w:val="0"/>
                <w:color w:val="215868" w:themeColor="accent5" w:themeShade="80"/>
                <w:sz w:val="18"/>
                <w:szCs w:val="18"/>
              </w:rPr>
              <w:t>2022</w:t>
            </w:r>
          </w:p>
        </w:tc>
        <w:tc>
          <w:tcPr>
            <w:tcW w:w="2130" w:type="dxa"/>
            <w:vAlign w:val="bottom"/>
          </w:tcPr>
          <w:p w14:paraId="1F880C62" w14:textId="7865F93C" w:rsidR="002D2080" w:rsidRPr="002D2080" w:rsidRDefault="002D2080" w:rsidP="002D2080">
            <w:pPr>
              <w:jc w:val="right"/>
              <w:cnfStyle w:val="000000000000" w:firstRow="0" w:lastRow="0" w:firstColumn="0" w:lastColumn="0" w:oddVBand="0" w:evenVBand="0" w:oddHBand="0" w:evenHBand="0" w:firstRowFirstColumn="0" w:firstRowLastColumn="0" w:lastRowFirstColumn="0" w:lastRowLastColumn="0"/>
            </w:pPr>
            <w:r w:rsidRPr="002D2080">
              <w:rPr>
                <w:rFonts w:ascii="Arial" w:hAnsi="Arial" w:cs="Arial"/>
                <w:sz w:val="18"/>
                <w:szCs w:val="18"/>
              </w:rPr>
              <w:t>$1.94</w:t>
            </w:r>
          </w:p>
        </w:tc>
        <w:tc>
          <w:tcPr>
            <w:tcW w:w="1702" w:type="dxa"/>
            <w:vAlign w:val="bottom"/>
          </w:tcPr>
          <w:p w14:paraId="414FD40F" w14:textId="347AECDD" w:rsidR="002D2080" w:rsidRPr="002D2080" w:rsidRDefault="00B04C13" w:rsidP="002D208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w:t>
            </w:r>
            <w:r w:rsidR="002D2080" w:rsidRPr="002D2080">
              <w:rPr>
                <w:rFonts w:ascii="Arial" w:hAnsi="Arial" w:cs="Arial"/>
                <w:sz w:val="18"/>
                <w:szCs w:val="18"/>
              </w:rPr>
              <w:t>7.9%</w:t>
            </w:r>
          </w:p>
        </w:tc>
        <w:tc>
          <w:tcPr>
            <w:tcW w:w="1916" w:type="dxa"/>
            <w:vAlign w:val="bottom"/>
          </w:tcPr>
          <w:p w14:paraId="2E870FBA" w14:textId="164AB242" w:rsidR="002D2080" w:rsidRPr="002D2080" w:rsidRDefault="00B04C13" w:rsidP="002D208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w:t>
            </w:r>
            <w:r w:rsidR="002D2080" w:rsidRPr="002D2080">
              <w:rPr>
                <w:rFonts w:ascii="Arial" w:hAnsi="Arial" w:cs="Arial"/>
                <w:sz w:val="18"/>
                <w:szCs w:val="18"/>
              </w:rPr>
              <w:t>13.6%</w:t>
            </w:r>
          </w:p>
        </w:tc>
      </w:tr>
    </w:tbl>
    <w:p w14:paraId="0F3442BC" w14:textId="77777777" w:rsidR="00DD3DF6" w:rsidRPr="008A1AD9" w:rsidRDefault="00DD3DF6" w:rsidP="00DD3DF6">
      <w:pPr>
        <w:pStyle w:val="NoSpacing"/>
        <w:rPr>
          <w:rFonts w:ascii="Arial" w:hAnsi="Arial" w:cs="Arial"/>
          <w:sz w:val="6"/>
          <w:szCs w:val="6"/>
        </w:rPr>
      </w:pPr>
    </w:p>
    <w:p w14:paraId="62F0D49A" w14:textId="59A7E7D6" w:rsidR="00DD3DF6" w:rsidRDefault="00DD3DF6" w:rsidP="00DD3DF6">
      <w:pPr>
        <w:pStyle w:val="NoSpacing"/>
        <w:rPr>
          <w:rFonts w:ascii="Arial" w:hAnsi="Arial" w:cs="Arial"/>
          <w:sz w:val="16"/>
          <w:szCs w:val="16"/>
        </w:rPr>
      </w:pPr>
      <w:r>
        <w:rPr>
          <w:rFonts w:ascii="Arial" w:hAnsi="Arial" w:cs="Arial"/>
          <w:sz w:val="16"/>
          <w:szCs w:val="16"/>
        </w:rPr>
        <w:t xml:space="preserve">Source: IRI, Integrated Fresh, Total US, MULO, average price per volume and % gain versus YA and </w:t>
      </w:r>
      <w:r w:rsidR="00F615EB">
        <w:rPr>
          <w:rFonts w:ascii="Arial" w:hAnsi="Arial" w:cs="Arial"/>
          <w:sz w:val="16"/>
          <w:szCs w:val="16"/>
        </w:rPr>
        <w:t>3</w:t>
      </w:r>
      <w:r>
        <w:rPr>
          <w:rFonts w:ascii="Arial" w:hAnsi="Arial" w:cs="Arial"/>
          <w:sz w:val="16"/>
          <w:szCs w:val="16"/>
        </w:rPr>
        <w:t>YA</w:t>
      </w:r>
    </w:p>
    <w:p w14:paraId="211051EC" w14:textId="77777777" w:rsidR="000B10BC" w:rsidRDefault="000B10BC" w:rsidP="00DD3DF6">
      <w:pPr>
        <w:pStyle w:val="NoSpacing"/>
        <w:rPr>
          <w:rFonts w:ascii="Arial" w:hAnsi="Arial" w:cs="Arial"/>
          <w:sz w:val="16"/>
          <w:szCs w:val="16"/>
        </w:rPr>
      </w:pPr>
    </w:p>
    <w:p w14:paraId="2201BAB0" w14:textId="77777777" w:rsidR="00D73271" w:rsidRPr="006879B2" w:rsidRDefault="00D73271" w:rsidP="00DD3DF6">
      <w:pPr>
        <w:pStyle w:val="NoSpacing"/>
        <w:rPr>
          <w:rFonts w:ascii="Arial" w:hAnsi="Arial" w:cs="Arial"/>
          <w:sz w:val="16"/>
          <w:szCs w:val="16"/>
        </w:rPr>
      </w:pPr>
    </w:p>
    <w:p w14:paraId="76C84B57" w14:textId="77777777" w:rsidR="002D2080" w:rsidRPr="00CF43CE" w:rsidRDefault="002D2080" w:rsidP="002D2080">
      <w:pPr>
        <w:pStyle w:val="NoSpacing"/>
        <w:rPr>
          <w:rFonts w:ascii="Arial" w:hAnsi="Arial" w:cs="Arial"/>
          <w:b/>
          <w:bCs/>
          <w:color w:val="595959" w:themeColor="text1" w:themeTint="A6"/>
          <w:sz w:val="24"/>
          <w:szCs w:val="24"/>
        </w:rPr>
      </w:pPr>
      <w:bookmarkStart w:id="2" w:name="_Hlk116283646"/>
      <w:r>
        <w:rPr>
          <w:rFonts w:ascii="Arial" w:hAnsi="Arial" w:cs="Arial"/>
          <w:b/>
          <w:bCs/>
          <w:color w:val="595959" w:themeColor="text1" w:themeTint="A6"/>
          <w:sz w:val="24"/>
          <w:szCs w:val="24"/>
        </w:rPr>
        <w:t>December 2022 Sales</w:t>
      </w:r>
    </w:p>
    <w:p w14:paraId="7CFF4967" w14:textId="610362E0" w:rsidR="002D2080" w:rsidRDefault="002D2080" w:rsidP="002D2080">
      <w:pPr>
        <w:pStyle w:val="NoSpacing"/>
        <w:rPr>
          <w:rFonts w:ascii="Arial" w:hAnsi="Arial" w:cs="Arial"/>
          <w:sz w:val="20"/>
          <w:szCs w:val="20"/>
        </w:rPr>
      </w:pPr>
      <w:r>
        <w:rPr>
          <w:rFonts w:ascii="Arial" w:hAnsi="Arial" w:cs="Arial"/>
          <w:sz w:val="20"/>
          <w:szCs w:val="20"/>
        </w:rPr>
        <w:t xml:space="preserve">The four December </w:t>
      </w:r>
      <w:r w:rsidRPr="006A0AAA">
        <w:rPr>
          <w:rFonts w:ascii="Arial" w:hAnsi="Arial" w:cs="Arial"/>
          <w:sz w:val="20"/>
          <w:szCs w:val="20"/>
        </w:rPr>
        <w:t>2022</w:t>
      </w:r>
      <w:r>
        <w:rPr>
          <w:rFonts w:ascii="Arial" w:hAnsi="Arial" w:cs="Arial"/>
          <w:sz w:val="20"/>
          <w:szCs w:val="20"/>
        </w:rPr>
        <w:t xml:space="preserve"> weeks</w:t>
      </w:r>
      <w:r w:rsidRPr="006A0AAA">
        <w:rPr>
          <w:rFonts w:ascii="Arial" w:hAnsi="Arial" w:cs="Arial"/>
          <w:sz w:val="20"/>
          <w:szCs w:val="20"/>
        </w:rPr>
        <w:t xml:space="preserve"> brought $</w:t>
      </w:r>
      <w:r>
        <w:rPr>
          <w:rFonts w:ascii="Arial" w:hAnsi="Arial" w:cs="Arial"/>
          <w:sz w:val="20"/>
          <w:szCs w:val="20"/>
        </w:rPr>
        <w:t xml:space="preserve">64.4 billion in total food and beverage sales — an increase of 11% versus last year. Perishables, including produce, seafood, meat, bakery and deli, had a slightly below-average dollar performance that was largely related to below-average inflation. Center store item sales increased nearly 14%. </w:t>
      </w:r>
      <w:r w:rsidR="00A150AF">
        <w:rPr>
          <w:rFonts w:ascii="Arial" w:hAnsi="Arial" w:cs="Arial"/>
          <w:sz w:val="20"/>
          <w:szCs w:val="20"/>
        </w:rPr>
        <w:t xml:space="preserve">When comparing December sales to past years, units were still ahead of pre-pandemic 2019, especially in frozen. </w:t>
      </w:r>
    </w:p>
    <w:p w14:paraId="68AFFDE9" w14:textId="77777777" w:rsidR="002D2080" w:rsidRDefault="002D2080" w:rsidP="002D2080">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448"/>
        <w:gridCol w:w="504"/>
        <w:gridCol w:w="502"/>
        <w:gridCol w:w="1269"/>
        <w:gridCol w:w="1269"/>
        <w:gridCol w:w="1269"/>
        <w:gridCol w:w="1269"/>
        <w:gridCol w:w="1100"/>
        <w:gridCol w:w="1098"/>
      </w:tblGrid>
      <w:tr w:rsidR="002D2080" w:rsidRPr="00706DE2" w14:paraId="67FB9F8A" w14:textId="77777777" w:rsidTr="00D90DF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42ACB979" w14:textId="77777777" w:rsidR="002D2080" w:rsidRPr="00706DE2" w:rsidRDefault="002D2080" w:rsidP="00D90DFC">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December 2022</w:t>
            </w:r>
          </w:p>
        </w:tc>
        <w:tc>
          <w:tcPr>
            <w:tcW w:w="50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77542B06" w14:textId="77777777" w:rsidR="002D2080" w:rsidRPr="00706DE2" w:rsidRDefault="002D2080" w:rsidP="00D90D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776"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73037DBD" w14:textId="77777777" w:rsidR="002D2080" w:rsidRPr="00706DE2" w:rsidRDefault="002D2080" w:rsidP="00D90D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2D2080" w:rsidRPr="00706DE2" w14:paraId="0175DCD1" w14:textId="77777777" w:rsidTr="00D90DF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hideMark/>
          </w:tcPr>
          <w:p w14:paraId="3B244FEB" w14:textId="77777777" w:rsidR="002D2080" w:rsidRPr="00706DE2" w:rsidRDefault="002D2080" w:rsidP="00D90DFC">
            <w:pPr>
              <w:rPr>
                <w:rFonts w:ascii="Arial" w:eastAsia="Times New Roman" w:hAnsi="Arial" w:cs="Arial"/>
                <w:color w:val="FFFFFF" w:themeColor="background1"/>
                <w:sz w:val="18"/>
                <w:szCs w:val="20"/>
              </w:rPr>
            </w:pPr>
          </w:p>
        </w:tc>
        <w:tc>
          <w:tcPr>
            <w:tcW w:w="1006" w:type="dxa"/>
            <w:gridSpan w:val="2"/>
            <w:tcBorders>
              <w:left w:val="none" w:sz="0" w:space="0" w:color="auto"/>
              <w:right w:val="none" w:sz="0" w:space="0" w:color="auto"/>
            </w:tcBorders>
            <w:shd w:val="clear" w:color="auto" w:fill="17365D" w:themeFill="text2" w:themeFillShade="BF"/>
          </w:tcPr>
          <w:p w14:paraId="7B1ABB97" w14:textId="77777777" w:rsidR="002D2080"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4B9B8C29" w14:textId="77777777" w:rsidR="002D2080" w:rsidRPr="00706DE2"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269" w:type="dxa"/>
            <w:tcBorders>
              <w:left w:val="none" w:sz="0" w:space="0" w:color="auto"/>
              <w:right w:val="none" w:sz="0" w:space="0" w:color="auto"/>
            </w:tcBorders>
            <w:shd w:val="clear" w:color="auto" w:fill="17365D" w:themeFill="text2" w:themeFillShade="BF"/>
          </w:tcPr>
          <w:p w14:paraId="295CE7EC" w14:textId="77777777" w:rsidR="002D2080"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6C3A1934" w14:textId="77777777" w:rsidR="002D2080" w:rsidRPr="00706DE2"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269" w:type="dxa"/>
            <w:tcBorders>
              <w:left w:val="none" w:sz="0" w:space="0" w:color="auto"/>
              <w:right w:val="none" w:sz="0" w:space="0" w:color="auto"/>
            </w:tcBorders>
            <w:shd w:val="clear" w:color="auto" w:fill="17365D" w:themeFill="text2" w:themeFillShade="BF"/>
          </w:tcPr>
          <w:p w14:paraId="0BE5E33E" w14:textId="77777777" w:rsidR="002D2080"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269" w:type="dxa"/>
            <w:tcBorders>
              <w:left w:val="none" w:sz="0" w:space="0" w:color="auto"/>
              <w:right w:val="none" w:sz="0" w:space="0" w:color="auto"/>
            </w:tcBorders>
            <w:shd w:val="clear" w:color="auto" w:fill="17365D" w:themeFill="text2" w:themeFillShade="BF"/>
          </w:tcPr>
          <w:p w14:paraId="0D4B850A" w14:textId="77777777" w:rsidR="002D2080"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vs. 2019</w:t>
            </w:r>
          </w:p>
        </w:tc>
        <w:tc>
          <w:tcPr>
            <w:tcW w:w="1269" w:type="dxa"/>
            <w:tcBorders>
              <w:left w:val="none" w:sz="0" w:space="0" w:color="auto"/>
              <w:right w:val="none" w:sz="0" w:space="0" w:color="auto"/>
            </w:tcBorders>
            <w:shd w:val="clear" w:color="auto" w:fill="17365D" w:themeFill="text2" w:themeFillShade="BF"/>
          </w:tcPr>
          <w:p w14:paraId="253B7700" w14:textId="77777777" w:rsidR="002D2080" w:rsidRPr="00706DE2"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100" w:type="dxa"/>
            <w:tcBorders>
              <w:left w:val="none" w:sz="0" w:space="0" w:color="auto"/>
              <w:right w:val="none" w:sz="0" w:space="0" w:color="auto"/>
            </w:tcBorders>
            <w:shd w:val="clear" w:color="auto" w:fill="17365D" w:themeFill="text2" w:themeFillShade="BF"/>
          </w:tcPr>
          <w:p w14:paraId="7550EE79" w14:textId="77777777" w:rsidR="002D2080"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c>
          <w:tcPr>
            <w:tcW w:w="1098" w:type="dxa"/>
            <w:tcBorders>
              <w:left w:val="none" w:sz="0" w:space="0" w:color="auto"/>
              <w:right w:val="none" w:sz="0" w:space="0" w:color="auto"/>
            </w:tcBorders>
            <w:shd w:val="clear" w:color="auto" w:fill="17365D" w:themeFill="text2" w:themeFillShade="BF"/>
          </w:tcPr>
          <w:p w14:paraId="3CD98FFE" w14:textId="77777777" w:rsidR="002D2080"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 vs. 2019</w:t>
            </w:r>
          </w:p>
        </w:tc>
      </w:tr>
      <w:tr w:rsidR="002D2080" w:rsidRPr="00067996" w14:paraId="518416ED" w14:textId="77777777" w:rsidTr="00D90DFC">
        <w:trPr>
          <w:trHeight w:val="113"/>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1A4F3BA" w14:textId="77777777" w:rsidR="002D2080" w:rsidRPr="00067996" w:rsidRDefault="002D2080" w:rsidP="00D90DFC">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Total food and beverages</w:t>
            </w:r>
          </w:p>
        </w:tc>
        <w:tc>
          <w:tcPr>
            <w:tcW w:w="1006" w:type="dxa"/>
            <w:gridSpan w:val="2"/>
          </w:tcPr>
          <w:p w14:paraId="5026EA15"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64.4</w:t>
            </w:r>
            <w:r w:rsidRPr="00067996">
              <w:rPr>
                <w:rFonts w:ascii="Arial" w:eastAsia="Times New Roman" w:hAnsi="Arial" w:cs="Arial"/>
                <w:color w:val="215868" w:themeColor="accent5" w:themeShade="80"/>
                <w:sz w:val="18"/>
                <w:szCs w:val="18"/>
              </w:rPr>
              <w:t>B</w:t>
            </w:r>
          </w:p>
        </w:tc>
        <w:tc>
          <w:tcPr>
            <w:tcW w:w="1269" w:type="dxa"/>
            <w:vAlign w:val="bottom"/>
          </w:tcPr>
          <w:p w14:paraId="7FEEFFDA"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+11.0</w:t>
            </w:r>
            <w:r w:rsidRPr="00067996">
              <w:rPr>
                <w:rFonts w:ascii="Arial" w:hAnsi="Arial" w:cs="Arial"/>
                <w:color w:val="215868" w:themeColor="accent5" w:themeShade="80"/>
                <w:sz w:val="18"/>
                <w:szCs w:val="18"/>
              </w:rPr>
              <w:t>%</w:t>
            </w:r>
          </w:p>
        </w:tc>
        <w:tc>
          <w:tcPr>
            <w:tcW w:w="1269" w:type="dxa"/>
            <w:vAlign w:val="bottom"/>
          </w:tcPr>
          <w:p w14:paraId="0EDA5D03"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+19.2</w:t>
            </w:r>
            <w:r w:rsidRPr="00067996">
              <w:rPr>
                <w:rFonts w:ascii="Arial" w:hAnsi="Arial" w:cs="Arial"/>
                <w:color w:val="215868" w:themeColor="accent5" w:themeShade="80"/>
                <w:sz w:val="18"/>
                <w:szCs w:val="18"/>
              </w:rPr>
              <w:t>%</w:t>
            </w:r>
          </w:p>
        </w:tc>
        <w:tc>
          <w:tcPr>
            <w:tcW w:w="1269" w:type="dxa"/>
            <w:vAlign w:val="bottom"/>
          </w:tcPr>
          <w:p w14:paraId="6A2EF7A8"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+31.3</w:t>
            </w:r>
            <w:r w:rsidRPr="00067996">
              <w:rPr>
                <w:rFonts w:ascii="Arial" w:hAnsi="Arial" w:cs="Arial"/>
                <w:color w:val="215868" w:themeColor="accent5" w:themeShade="80"/>
                <w:sz w:val="18"/>
                <w:szCs w:val="18"/>
              </w:rPr>
              <w:t>%</w:t>
            </w:r>
          </w:p>
        </w:tc>
        <w:tc>
          <w:tcPr>
            <w:tcW w:w="1269" w:type="dxa"/>
            <w:vAlign w:val="bottom"/>
          </w:tcPr>
          <w:p w14:paraId="26DFD162" w14:textId="77777777" w:rsidR="002D2080" w:rsidRPr="00FB29BD"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-1.6</w:t>
            </w:r>
            <w:r w:rsidRPr="00FB29BD">
              <w:rPr>
                <w:rFonts w:ascii="Arial" w:hAnsi="Arial" w:cs="Arial"/>
                <w:color w:val="215868" w:themeColor="accent5" w:themeShade="80"/>
                <w:sz w:val="18"/>
                <w:szCs w:val="18"/>
              </w:rPr>
              <w:t>%</w:t>
            </w:r>
          </w:p>
        </w:tc>
        <w:tc>
          <w:tcPr>
            <w:tcW w:w="1100" w:type="dxa"/>
            <w:vAlign w:val="bottom"/>
          </w:tcPr>
          <w:p w14:paraId="73705EE9" w14:textId="77777777" w:rsidR="002D2080" w:rsidRPr="00FB29BD"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-2.7</w:t>
            </w:r>
            <w:r w:rsidRPr="00FB29BD">
              <w:rPr>
                <w:rFonts w:ascii="Arial" w:hAnsi="Arial" w:cs="Arial"/>
                <w:color w:val="215868" w:themeColor="accent5" w:themeShade="80"/>
                <w:sz w:val="18"/>
                <w:szCs w:val="18"/>
              </w:rPr>
              <w:t>%</w:t>
            </w:r>
          </w:p>
        </w:tc>
        <w:tc>
          <w:tcPr>
            <w:tcW w:w="1098" w:type="dxa"/>
            <w:vAlign w:val="bottom"/>
          </w:tcPr>
          <w:p w14:paraId="38F60755" w14:textId="77777777" w:rsidR="002D2080" w:rsidRPr="00FB29BD"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+3.0</w:t>
            </w:r>
            <w:r w:rsidRPr="00FB29BD">
              <w:rPr>
                <w:rFonts w:ascii="Arial" w:hAnsi="Arial" w:cs="Arial"/>
                <w:color w:val="215868" w:themeColor="accent5" w:themeShade="80"/>
                <w:sz w:val="18"/>
                <w:szCs w:val="18"/>
              </w:rPr>
              <w:t>%</w:t>
            </w:r>
          </w:p>
        </w:tc>
      </w:tr>
      <w:tr w:rsidR="002D2080" w:rsidRPr="00067996" w14:paraId="7F85A78A" w14:textId="77777777" w:rsidTr="00D90DF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53707423" w14:textId="77777777" w:rsidR="002D2080" w:rsidRPr="00067996" w:rsidRDefault="002D2080" w:rsidP="00D90DFC">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 xml:space="preserve">Total </w:t>
            </w:r>
            <w:r>
              <w:rPr>
                <w:rFonts w:ascii="Arial" w:eastAsia="Times New Roman" w:hAnsi="Arial" w:cs="Arial"/>
                <w:b w:val="0"/>
                <w:color w:val="215868" w:themeColor="accent5" w:themeShade="80"/>
                <w:sz w:val="18"/>
                <w:szCs w:val="18"/>
              </w:rPr>
              <w:t>perishables</w:t>
            </w:r>
          </w:p>
        </w:tc>
        <w:tc>
          <w:tcPr>
            <w:tcW w:w="1006" w:type="dxa"/>
            <w:gridSpan w:val="2"/>
          </w:tcPr>
          <w:p w14:paraId="1C244E17" w14:textId="77777777" w:rsidR="002D2080" w:rsidRPr="00853A40"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28.0</w:t>
            </w:r>
            <w:r w:rsidRPr="00067996">
              <w:rPr>
                <w:rFonts w:ascii="Arial" w:eastAsia="Times New Roman" w:hAnsi="Arial" w:cs="Arial"/>
                <w:color w:val="215868" w:themeColor="accent5" w:themeShade="80"/>
                <w:sz w:val="18"/>
                <w:szCs w:val="18"/>
              </w:rPr>
              <w:t>B</w:t>
            </w:r>
          </w:p>
        </w:tc>
        <w:tc>
          <w:tcPr>
            <w:tcW w:w="1269" w:type="dxa"/>
            <w:vAlign w:val="bottom"/>
          </w:tcPr>
          <w:p w14:paraId="37D486FF" w14:textId="77777777" w:rsidR="002D2080" w:rsidRPr="00067996"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+9.9</w:t>
            </w:r>
            <w:r w:rsidRPr="00067996">
              <w:rPr>
                <w:rFonts w:ascii="Arial" w:hAnsi="Arial" w:cs="Arial"/>
                <w:color w:val="215868" w:themeColor="accent5" w:themeShade="80"/>
                <w:sz w:val="18"/>
                <w:szCs w:val="18"/>
              </w:rPr>
              <w:t>%</w:t>
            </w:r>
          </w:p>
        </w:tc>
        <w:tc>
          <w:tcPr>
            <w:tcW w:w="1269" w:type="dxa"/>
            <w:vAlign w:val="bottom"/>
          </w:tcPr>
          <w:p w14:paraId="6F4BB8C7" w14:textId="77777777" w:rsidR="002D2080" w:rsidRPr="00067996"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+17.8</w:t>
            </w:r>
            <w:r w:rsidRPr="00067996">
              <w:rPr>
                <w:rFonts w:ascii="Arial" w:hAnsi="Arial" w:cs="Arial"/>
                <w:color w:val="215868" w:themeColor="accent5" w:themeShade="80"/>
                <w:sz w:val="18"/>
                <w:szCs w:val="18"/>
              </w:rPr>
              <w:t>%</w:t>
            </w:r>
          </w:p>
        </w:tc>
        <w:tc>
          <w:tcPr>
            <w:tcW w:w="1269" w:type="dxa"/>
            <w:vAlign w:val="bottom"/>
          </w:tcPr>
          <w:p w14:paraId="46FCA9D2" w14:textId="77777777" w:rsidR="002D2080" w:rsidRPr="00067996"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+29.8</w:t>
            </w:r>
            <w:r w:rsidRPr="00067996">
              <w:rPr>
                <w:rFonts w:ascii="Arial" w:hAnsi="Arial" w:cs="Arial"/>
                <w:color w:val="215868" w:themeColor="accent5" w:themeShade="80"/>
                <w:sz w:val="18"/>
                <w:szCs w:val="18"/>
              </w:rPr>
              <w:t>%</w:t>
            </w:r>
          </w:p>
        </w:tc>
        <w:tc>
          <w:tcPr>
            <w:tcW w:w="1269" w:type="dxa"/>
            <w:vAlign w:val="bottom"/>
          </w:tcPr>
          <w:p w14:paraId="660BBD1F" w14:textId="77777777" w:rsidR="002D2080" w:rsidRPr="00FB29BD"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r w:rsidRPr="00FB29BD">
              <w:rPr>
                <w:rFonts w:ascii="Arial" w:hAnsi="Arial" w:cs="Arial"/>
                <w:color w:val="215868" w:themeColor="accent5" w:themeShade="80"/>
                <w:sz w:val="18"/>
                <w:szCs w:val="18"/>
              </w:rPr>
              <w:t>%</w:t>
            </w:r>
          </w:p>
        </w:tc>
        <w:tc>
          <w:tcPr>
            <w:tcW w:w="1100" w:type="dxa"/>
            <w:vAlign w:val="bottom"/>
          </w:tcPr>
          <w:p w14:paraId="6B633450" w14:textId="77777777" w:rsidR="002D2080" w:rsidRPr="00FB29BD"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-2.7</w:t>
            </w:r>
            <w:r w:rsidRPr="00FB29BD">
              <w:rPr>
                <w:rFonts w:ascii="Arial" w:hAnsi="Arial" w:cs="Arial"/>
                <w:color w:val="215868" w:themeColor="accent5" w:themeShade="80"/>
                <w:sz w:val="18"/>
                <w:szCs w:val="18"/>
              </w:rPr>
              <w:t>%</w:t>
            </w:r>
          </w:p>
        </w:tc>
        <w:tc>
          <w:tcPr>
            <w:tcW w:w="1098" w:type="dxa"/>
            <w:vAlign w:val="bottom"/>
          </w:tcPr>
          <w:p w14:paraId="57DACA09" w14:textId="77777777" w:rsidR="002D2080" w:rsidRPr="00FB29BD" w:rsidRDefault="002D2080" w:rsidP="00D90DF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+4.0</w:t>
            </w:r>
            <w:r w:rsidRPr="00FB29BD">
              <w:rPr>
                <w:rFonts w:ascii="Arial" w:hAnsi="Arial" w:cs="Arial"/>
                <w:color w:val="215868" w:themeColor="accent5" w:themeShade="80"/>
                <w:sz w:val="18"/>
                <w:szCs w:val="18"/>
              </w:rPr>
              <w:t>%</w:t>
            </w:r>
          </w:p>
        </w:tc>
      </w:tr>
      <w:tr w:rsidR="002D2080" w:rsidRPr="00067996" w14:paraId="314B404D" w14:textId="77777777" w:rsidTr="00D90DFC">
        <w:trPr>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45794508" w14:textId="77777777" w:rsidR="002D2080" w:rsidRPr="00067996" w:rsidRDefault="002D2080" w:rsidP="00D90DFC">
            <w:pPr>
              <w:rPr>
                <w:rFonts w:ascii="Arial" w:eastAsia="Times New Roman" w:hAnsi="Arial" w:cs="Arial"/>
                <w:b w:val="0"/>
                <w:bCs w:val="0"/>
                <w:color w:val="215868" w:themeColor="accent5" w:themeShade="80"/>
                <w:sz w:val="18"/>
                <w:szCs w:val="18"/>
              </w:rPr>
            </w:pPr>
            <w:r w:rsidRPr="00067996">
              <w:rPr>
                <w:rFonts w:ascii="Arial" w:eastAsia="Times New Roman" w:hAnsi="Arial" w:cs="Arial"/>
                <w:b w:val="0"/>
                <w:bCs w:val="0"/>
                <w:color w:val="215868" w:themeColor="accent5" w:themeShade="80"/>
                <w:sz w:val="18"/>
                <w:szCs w:val="18"/>
              </w:rPr>
              <w:t>Total grocery (center store)</w:t>
            </w:r>
          </w:p>
        </w:tc>
        <w:tc>
          <w:tcPr>
            <w:tcW w:w="1006" w:type="dxa"/>
            <w:gridSpan w:val="2"/>
          </w:tcPr>
          <w:p w14:paraId="585A0CF6"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32.4</w:t>
            </w:r>
            <w:r w:rsidRPr="00067996">
              <w:rPr>
                <w:rFonts w:ascii="Arial" w:eastAsia="Times New Roman" w:hAnsi="Arial" w:cs="Arial"/>
                <w:color w:val="215868" w:themeColor="accent5" w:themeShade="80"/>
                <w:sz w:val="18"/>
                <w:szCs w:val="18"/>
              </w:rPr>
              <w:t>B</w:t>
            </w:r>
          </w:p>
        </w:tc>
        <w:tc>
          <w:tcPr>
            <w:tcW w:w="1269" w:type="dxa"/>
            <w:vAlign w:val="bottom"/>
          </w:tcPr>
          <w:p w14:paraId="11B01708"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+13.7</w:t>
            </w:r>
            <w:r w:rsidRPr="00067996">
              <w:rPr>
                <w:rFonts w:ascii="Arial" w:hAnsi="Arial" w:cs="Arial"/>
                <w:color w:val="215868" w:themeColor="accent5" w:themeShade="80"/>
                <w:sz w:val="18"/>
                <w:szCs w:val="18"/>
              </w:rPr>
              <w:t>%</w:t>
            </w:r>
          </w:p>
        </w:tc>
        <w:tc>
          <w:tcPr>
            <w:tcW w:w="1269" w:type="dxa"/>
            <w:vAlign w:val="bottom"/>
          </w:tcPr>
          <w:p w14:paraId="2B704355"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+23.4</w:t>
            </w:r>
            <w:r w:rsidRPr="00067996">
              <w:rPr>
                <w:rFonts w:ascii="Arial" w:hAnsi="Arial" w:cs="Arial"/>
                <w:color w:val="215868" w:themeColor="accent5" w:themeShade="80"/>
                <w:sz w:val="18"/>
                <w:szCs w:val="18"/>
              </w:rPr>
              <w:t>%</w:t>
            </w:r>
          </w:p>
        </w:tc>
        <w:tc>
          <w:tcPr>
            <w:tcW w:w="1269" w:type="dxa"/>
            <w:vAlign w:val="bottom"/>
          </w:tcPr>
          <w:p w14:paraId="0CD3DAEA" w14:textId="77777777" w:rsidR="002D2080" w:rsidRPr="00067996"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+36.5</w:t>
            </w:r>
            <w:r w:rsidRPr="00067996">
              <w:rPr>
                <w:rFonts w:ascii="Arial" w:hAnsi="Arial" w:cs="Arial"/>
                <w:color w:val="215868" w:themeColor="accent5" w:themeShade="80"/>
                <w:sz w:val="18"/>
                <w:szCs w:val="18"/>
              </w:rPr>
              <w:t>%</w:t>
            </w:r>
          </w:p>
        </w:tc>
        <w:tc>
          <w:tcPr>
            <w:tcW w:w="1269" w:type="dxa"/>
            <w:vAlign w:val="bottom"/>
          </w:tcPr>
          <w:p w14:paraId="3681FDFA" w14:textId="77777777" w:rsidR="002D2080" w:rsidRPr="00FB29BD"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-1.8</w:t>
            </w:r>
            <w:r w:rsidRPr="00FB29BD">
              <w:rPr>
                <w:rFonts w:ascii="Arial" w:hAnsi="Arial" w:cs="Arial"/>
                <w:color w:val="215868" w:themeColor="accent5" w:themeShade="80"/>
                <w:sz w:val="18"/>
                <w:szCs w:val="18"/>
              </w:rPr>
              <w:t>%</w:t>
            </w:r>
          </w:p>
        </w:tc>
        <w:tc>
          <w:tcPr>
            <w:tcW w:w="1100" w:type="dxa"/>
            <w:vAlign w:val="bottom"/>
          </w:tcPr>
          <w:p w14:paraId="33F937CA" w14:textId="77777777" w:rsidR="002D2080" w:rsidRPr="00FB29BD"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-2.5</w:t>
            </w:r>
            <w:r w:rsidRPr="00FB29BD">
              <w:rPr>
                <w:rFonts w:ascii="Arial" w:hAnsi="Arial" w:cs="Arial"/>
                <w:color w:val="215868" w:themeColor="accent5" w:themeShade="80"/>
                <w:sz w:val="18"/>
                <w:szCs w:val="18"/>
              </w:rPr>
              <w:t>%</w:t>
            </w:r>
          </w:p>
        </w:tc>
        <w:tc>
          <w:tcPr>
            <w:tcW w:w="1098" w:type="dxa"/>
            <w:vAlign w:val="bottom"/>
          </w:tcPr>
          <w:p w14:paraId="7ADDFD4C" w14:textId="77777777" w:rsidR="002D2080" w:rsidRPr="00FB29BD" w:rsidRDefault="002D2080" w:rsidP="00D90D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+2.6</w:t>
            </w:r>
            <w:r w:rsidRPr="00FB29BD">
              <w:rPr>
                <w:rFonts w:ascii="Arial" w:hAnsi="Arial" w:cs="Arial"/>
                <w:color w:val="215868" w:themeColor="accent5" w:themeShade="80"/>
                <w:sz w:val="18"/>
                <w:szCs w:val="18"/>
              </w:rPr>
              <w:t>%</w:t>
            </w:r>
          </w:p>
        </w:tc>
      </w:tr>
    </w:tbl>
    <w:p w14:paraId="47702C33" w14:textId="77777777" w:rsidR="002D2080" w:rsidRPr="00B64ECF" w:rsidRDefault="002D2080" w:rsidP="002D2080">
      <w:pPr>
        <w:pStyle w:val="NoSpacing"/>
        <w:rPr>
          <w:rFonts w:ascii="Arial" w:hAnsi="Arial" w:cs="Arial"/>
          <w:sz w:val="12"/>
          <w:szCs w:val="16"/>
        </w:rPr>
      </w:pPr>
    </w:p>
    <w:p w14:paraId="355C714D" w14:textId="77777777" w:rsidR="002D2080" w:rsidRPr="008B064E" w:rsidRDefault="002D2080" w:rsidP="002D2080">
      <w:pPr>
        <w:pStyle w:val="NoSpacing"/>
        <w:rPr>
          <w:rFonts w:ascii="Arial" w:hAnsi="Arial" w:cs="Arial"/>
          <w:color w:val="000000" w:themeColor="text1"/>
          <w:sz w:val="16"/>
          <w:szCs w:val="16"/>
        </w:rPr>
      </w:pPr>
      <w:r w:rsidRPr="008B064E">
        <w:rPr>
          <w:rFonts w:ascii="Arial" w:hAnsi="Arial" w:cs="Arial"/>
          <w:color w:val="000000" w:themeColor="text1"/>
          <w:sz w:val="16"/>
          <w:szCs w:val="16"/>
        </w:rPr>
        <w:t>Source: IRI, Integrated Fresh, Total US, MULO</w:t>
      </w:r>
    </w:p>
    <w:bookmarkEnd w:id="2"/>
    <w:p w14:paraId="2359F070" w14:textId="77777777" w:rsidR="00BD7CB1" w:rsidRDefault="00BD7CB1" w:rsidP="001210D2">
      <w:pPr>
        <w:pStyle w:val="NoSpacing"/>
        <w:rPr>
          <w:rFonts w:ascii="Arial" w:hAnsi="Arial" w:cs="Arial"/>
          <w:sz w:val="20"/>
          <w:szCs w:val="20"/>
        </w:rPr>
      </w:pPr>
    </w:p>
    <w:p w14:paraId="5C40F56A" w14:textId="3D40C9E6" w:rsidR="001C641C" w:rsidRDefault="00F26464" w:rsidP="00CF43CE">
      <w:pPr>
        <w:pStyle w:val="NoSpacing"/>
        <w:rPr>
          <w:rFonts w:ascii="Arial" w:hAnsi="Arial" w:cs="Arial"/>
          <w:sz w:val="20"/>
          <w:szCs w:val="20"/>
        </w:rPr>
      </w:pPr>
      <w:r>
        <w:rPr>
          <w:rFonts w:ascii="Arial" w:hAnsi="Arial" w:cs="Arial"/>
          <w:sz w:val="20"/>
          <w:szCs w:val="20"/>
        </w:rPr>
        <w:t>December</w:t>
      </w:r>
      <w:r w:rsidR="00CF005A">
        <w:rPr>
          <w:rFonts w:ascii="Arial" w:hAnsi="Arial" w:cs="Arial"/>
          <w:sz w:val="20"/>
          <w:szCs w:val="20"/>
        </w:rPr>
        <w:t xml:space="preserve"> </w:t>
      </w:r>
      <w:r w:rsidR="00647DD6" w:rsidRPr="00854F55">
        <w:rPr>
          <w:rFonts w:ascii="Arial" w:hAnsi="Arial" w:cs="Arial"/>
          <w:sz w:val="20"/>
          <w:szCs w:val="20"/>
        </w:rPr>
        <w:t xml:space="preserve">2022 </w:t>
      </w:r>
      <w:r w:rsidR="00A96063" w:rsidRPr="00854F55">
        <w:rPr>
          <w:rFonts w:ascii="Arial" w:hAnsi="Arial" w:cs="Arial"/>
          <w:sz w:val="20"/>
          <w:szCs w:val="20"/>
        </w:rPr>
        <w:t xml:space="preserve">fresh </w:t>
      </w:r>
      <w:r w:rsidR="00891C7E" w:rsidRPr="00854F55">
        <w:rPr>
          <w:rFonts w:ascii="Arial" w:hAnsi="Arial" w:cs="Arial"/>
          <w:sz w:val="20"/>
          <w:szCs w:val="20"/>
        </w:rPr>
        <w:t xml:space="preserve">produce sales </w:t>
      </w:r>
      <w:r w:rsidR="00D046CF" w:rsidRPr="00854F55">
        <w:rPr>
          <w:rFonts w:ascii="Arial" w:hAnsi="Arial" w:cs="Arial"/>
          <w:sz w:val="20"/>
          <w:szCs w:val="20"/>
        </w:rPr>
        <w:t>reached $</w:t>
      </w:r>
      <w:r w:rsidR="00977224">
        <w:rPr>
          <w:rFonts w:ascii="Arial" w:hAnsi="Arial" w:cs="Arial"/>
          <w:sz w:val="20"/>
          <w:szCs w:val="20"/>
        </w:rPr>
        <w:t>5.5</w:t>
      </w:r>
      <w:r w:rsidR="00D046CF" w:rsidRPr="00854F55">
        <w:rPr>
          <w:rFonts w:ascii="Arial" w:hAnsi="Arial" w:cs="Arial"/>
          <w:sz w:val="20"/>
          <w:szCs w:val="20"/>
        </w:rPr>
        <w:t xml:space="preserve"> billion</w:t>
      </w:r>
      <w:r w:rsidR="001C641C" w:rsidRPr="00854F55">
        <w:rPr>
          <w:rFonts w:ascii="Arial" w:hAnsi="Arial" w:cs="Arial"/>
          <w:sz w:val="20"/>
          <w:szCs w:val="20"/>
        </w:rPr>
        <w:t xml:space="preserve">, surpassing the record set </w:t>
      </w:r>
      <w:r w:rsidR="008A426C" w:rsidRPr="00854F55">
        <w:rPr>
          <w:rFonts w:ascii="Arial" w:hAnsi="Arial" w:cs="Arial"/>
          <w:sz w:val="20"/>
          <w:szCs w:val="20"/>
        </w:rPr>
        <w:t xml:space="preserve">the prior year </w:t>
      </w:r>
      <w:r w:rsidR="00576505" w:rsidRPr="00854F55">
        <w:rPr>
          <w:rFonts w:ascii="Arial" w:hAnsi="Arial" w:cs="Arial"/>
          <w:sz w:val="20"/>
          <w:szCs w:val="20"/>
        </w:rPr>
        <w:t xml:space="preserve">by </w:t>
      </w:r>
      <w:r w:rsidR="00676B67" w:rsidRPr="00854F55">
        <w:rPr>
          <w:rFonts w:ascii="Arial" w:hAnsi="Arial" w:cs="Arial"/>
          <w:sz w:val="20"/>
          <w:szCs w:val="20"/>
        </w:rPr>
        <w:t>+</w:t>
      </w:r>
      <w:r w:rsidR="00977224">
        <w:rPr>
          <w:rFonts w:ascii="Arial" w:hAnsi="Arial" w:cs="Arial"/>
          <w:sz w:val="20"/>
          <w:szCs w:val="20"/>
        </w:rPr>
        <w:t>4.4</w:t>
      </w:r>
      <w:r w:rsidR="00576505" w:rsidRPr="00854F55">
        <w:rPr>
          <w:rFonts w:ascii="Arial" w:hAnsi="Arial" w:cs="Arial"/>
          <w:sz w:val="20"/>
          <w:szCs w:val="20"/>
        </w:rPr>
        <w:t>%</w:t>
      </w:r>
      <w:r w:rsidR="001C641C" w:rsidRPr="00854F55">
        <w:rPr>
          <w:rFonts w:ascii="Arial" w:hAnsi="Arial" w:cs="Arial"/>
          <w:sz w:val="20"/>
          <w:szCs w:val="20"/>
        </w:rPr>
        <w:t xml:space="preserve">. </w:t>
      </w:r>
      <w:r w:rsidR="00977224">
        <w:rPr>
          <w:rFonts w:ascii="Arial" w:hAnsi="Arial" w:cs="Arial"/>
          <w:sz w:val="20"/>
          <w:szCs w:val="20"/>
        </w:rPr>
        <w:t>“Fresh produce units and volume had been trending closer and closer to year ago levels each month,” Parker said, “and December closed out the year in a strong way. Fruit sales were up in units and vegetables up in pounds as celebrations remained home-centric.”</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782AAD">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772610F7" w:rsidR="001729EA" w:rsidRPr="001729EA" w:rsidRDefault="00F26464" w:rsidP="00951B01">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December</w:t>
            </w:r>
            <w:r w:rsidR="00B75D3A">
              <w:rPr>
                <w:rFonts w:ascii="Arial" w:eastAsia="Times New Roman" w:hAnsi="Arial" w:cs="Arial"/>
                <w:color w:val="FFFFFF" w:themeColor="background1"/>
                <w:sz w:val="18"/>
                <w:szCs w:val="20"/>
              </w:rPr>
              <w:t xml:space="preserve">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58249360"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782AAD">
              <w:rPr>
                <w:rFonts w:ascii="Arial" w:eastAsia="Times New Roman" w:hAnsi="Arial" w:cs="Arial"/>
                <w:color w:val="FFFFFF" w:themeColor="background1"/>
                <w:sz w:val="18"/>
                <w:szCs w:val="20"/>
              </w:rPr>
              <w:t>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69DBC3E2"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782AAD">
              <w:rPr>
                <w:rFonts w:ascii="Arial" w:eastAsia="Times New Roman" w:hAnsi="Arial" w:cs="Arial"/>
                <w:color w:val="FFFFFF" w:themeColor="background1"/>
                <w:sz w:val="18"/>
                <w:szCs w:val="20"/>
              </w:rPr>
              <w:t>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3170DAA1"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782AAD">
              <w:rPr>
                <w:rFonts w:ascii="Arial" w:eastAsia="Times New Roman" w:hAnsi="Arial" w:cs="Arial"/>
                <w:color w:val="FFFFFF" w:themeColor="background1"/>
                <w:sz w:val="18"/>
                <w:szCs w:val="20"/>
              </w:rPr>
              <w:t>19</w:t>
            </w:r>
          </w:p>
        </w:tc>
      </w:tr>
      <w:tr w:rsidR="00977224" w:rsidRPr="00977224" w14:paraId="4C79F54A" w14:textId="77777777" w:rsidTr="00667DC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6530B6D0" w14:textId="77777777" w:rsidR="00977224" w:rsidRPr="00977224" w:rsidRDefault="00977224" w:rsidP="00977224">
            <w:pPr>
              <w:rPr>
                <w:rFonts w:ascii="Arial" w:eastAsia="Times New Roman" w:hAnsi="Arial" w:cs="Arial"/>
                <w:b w:val="0"/>
                <w:sz w:val="18"/>
                <w:szCs w:val="18"/>
              </w:rPr>
            </w:pPr>
            <w:r w:rsidRPr="00977224">
              <w:rPr>
                <w:rFonts w:ascii="Arial" w:eastAsia="Times New Roman" w:hAnsi="Arial" w:cs="Arial"/>
                <w:b w:val="0"/>
                <w:sz w:val="18"/>
                <w:szCs w:val="18"/>
              </w:rPr>
              <w:t>Total fresh produce</w:t>
            </w:r>
          </w:p>
        </w:tc>
        <w:tc>
          <w:tcPr>
            <w:tcW w:w="1265" w:type="dxa"/>
            <w:vAlign w:val="bottom"/>
          </w:tcPr>
          <w:p w14:paraId="18E23756" w14:textId="50218B0B"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77224">
              <w:rPr>
                <w:rFonts w:ascii="Arial" w:hAnsi="Arial" w:cs="Arial"/>
                <w:sz w:val="18"/>
                <w:szCs w:val="18"/>
              </w:rPr>
              <w:t>$5.446B</w:t>
            </w:r>
          </w:p>
        </w:tc>
        <w:tc>
          <w:tcPr>
            <w:tcW w:w="1265" w:type="dxa"/>
            <w:vAlign w:val="bottom"/>
          </w:tcPr>
          <w:p w14:paraId="397195B1" w14:textId="50EF9347"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4.4%</w:t>
            </w:r>
          </w:p>
        </w:tc>
        <w:tc>
          <w:tcPr>
            <w:tcW w:w="1265" w:type="dxa"/>
            <w:vAlign w:val="bottom"/>
          </w:tcPr>
          <w:p w14:paraId="55886AA9" w14:textId="4AED1E63"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t>+</w:t>
            </w:r>
            <w:r w:rsidRPr="00977224">
              <w:rPr>
                <w:rFonts w:ascii="Arial" w:hAnsi="Arial" w:cs="Arial"/>
                <w:sz w:val="18"/>
                <w:szCs w:val="18"/>
              </w:rPr>
              <w:t>25.2%</w:t>
            </w:r>
          </w:p>
        </w:tc>
        <w:tc>
          <w:tcPr>
            <w:tcW w:w="1265" w:type="dxa"/>
            <w:vAlign w:val="bottom"/>
          </w:tcPr>
          <w:p w14:paraId="6D70BA8C" w14:textId="025B82DC"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0.0%</w:t>
            </w:r>
          </w:p>
        </w:tc>
        <w:tc>
          <w:tcPr>
            <w:tcW w:w="1265" w:type="dxa"/>
            <w:vAlign w:val="bottom"/>
          </w:tcPr>
          <w:p w14:paraId="18B16EF1" w14:textId="25FCED5B"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8.6%</w:t>
            </w:r>
          </w:p>
        </w:tc>
        <w:tc>
          <w:tcPr>
            <w:tcW w:w="1265" w:type="dxa"/>
            <w:vAlign w:val="bottom"/>
          </w:tcPr>
          <w:p w14:paraId="69F9E48C" w14:textId="13D07041"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0.1%</w:t>
            </w:r>
          </w:p>
        </w:tc>
        <w:tc>
          <w:tcPr>
            <w:tcW w:w="1266" w:type="dxa"/>
            <w:vAlign w:val="bottom"/>
          </w:tcPr>
          <w:p w14:paraId="32C1B643" w14:textId="49B11161"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6.9%</w:t>
            </w:r>
          </w:p>
        </w:tc>
      </w:tr>
      <w:tr w:rsidR="00977224" w:rsidRPr="00977224" w14:paraId="00EC79C9" w14:textId="77777777" w:rsidTr="00667DC9">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977224" w:rsidRPr="00977224" w:rsidRDefault="00977224" w:rsidP="00977224">
            <w:pPr>
              <w:rPr>
                <w:rFonts w:ascii="Arial" w:eastAsia="Times New Roman" w:hAnsi="Arial" w:cs="Arial"/>
                <w:b w:val="0"/>
                <w:sz w:val="18"/>
                <w:szCs w:val="18"/>
              </w:rPr>
            </w:pPr>
            <w:r w:rsidRPr="00977224">
              <w:rPr>
                <w:rFonts w:ascii="Arial" w:eastAsia="Times New Roman" w:hAnsi="Arial" w:cs="Arial"/>
                <w:b w:val="0"/>
                <w:sz w:val="18"/>
                <w:szCs w:val="18"/>
              </w:rPr>
              <w:t>Fresh fruit</w:t>
            </w:r>
          </w:p>
        </w:tc>
        <w:tc>
          <w:tcPr>
            <w:tcW w:w="1265" w:type="dxa"/>
            <w:vAlign w:val="bottom"/>
          </w:tcPr>
          <w:p w14:paraId="48DCBDB3" w14:textId="4E56C764"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977224">
              <w:rPr>
                <w:rFonts w:ascii="Arial" w:hAnsi="Arial" w:cs="Arial"/>
                <w:sz w:val="18"/>
                <w:szCs w:val="18"/>
              </w:rPr>
              <w:t>$2.445B</w:t>
            </w:r>
          </w:p>
        </w:tc>
        <w:tc>
          <w:tcPr>
            <w:tcW w:w="1265" w:type="dxa"/>
            <w:vAlign w:val="bottom"/>
          </w:tcPr>
          <w:p w14:paraId="57664D8C" w14:textId="11F1F21F"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1.3%</w:t>
            </w:r>
          </w:p>
        </w:tc>
        <w:tc>
          <w:tcPr>
            <w:tcW w:w="1265" w:type="dxa"/>
            <w:vAlign w:val="bottom"/>
          </w:tcPr>
          <w:p w14:paraId="0AB9E5AE" w14:textId="0E36A225"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szCs w:val="18"/>
              </w:rPr>
              <w:t>+</w:t>
            </w:r>
            <w:r w:rsidRPr="00977224">
              <w:rPr>
                <w:rFonts w:ascii="Arial" w:hAnsi="Arial" w:cs="Arial"/>
                <w:sz w:val="18"/>
                <w:szCs w:val="18"/>
              </w:rPr>
              <w:t>25.6%</w:t>
            </w:r>
          </w:p>
        </w:tc>
        <w:tc>
          <w:tcPr>
            <w:tcW w:w="1265" w:type="dxa"/>
            <w:vAlign w:val="bottom"/>
          </w:tcPr>
          <w:p w14:paraId="18ACF451" w14:textId="0BB7D1EB"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1.1%</w:t>
            </w:r>
          </w:p>
        </w:tc>
        <w:tc>
          <w:tcPr>
            <w:tcW w:w="1265" w:type="dxa"/>
            <w:vAlign w:val="bottom"/>
          </w:tcPr>
          <w:p w14:paraId="3E25926E" w14:textId="732A8361"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11.8%</w:t>
            </w:r>
          </w:p>
        </w:tc>
        <w:tc>
          <w:tcPr>
            <w:tcW w:w="1265" w:type="dxa"/>
            <w:vAlign w:val="bottom"/>
          </w:tcPr>
          <w:p w14:paraId="426F58FB" w14:textId="183BED5D"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77224">
              <w:rPr>
                <w:rFonts w:ascii="Arial" w:hAnsi="Arial" w:cs="Arial"/>
                <w:sz w:val="18"/>
                <w:szCs w:val="18"/>
              </w:rPr>
              <w:t>-0.2%</w:t>
            </w:r>
          </w:p>
        </w:tc>
        <w:tc>
          <w:tcPr>
            <w:tcW w:w="1266" w:type="dxa"/>
            <w:vAlign w:val="bottom"/>
          </w:tcPr>
          <w:p w14:paraId="44B578EA" w14:textId="28F48FB4"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7.2%</w:t>
            </w:r>
          </w:p>
        </w:tc>
      </w:tr>
      <w:tr w:rsidR="00977224" w:rsidRPr="00977224" w14:paraId="52DE1385" w14:textId="77777777" w:rsidTr="00667DC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977224" w:rsidRPr="00977224" w:rsidRDefault="00977224" w:rsidP="00977224">
            <w:pPr>
              <w:rPr>
                <w:rFonts w:ascii="Arial" w:eastAsia="Times New Roman" w:hAnsi="Arial" w:cs="Arial"/>
                <w:b w:val="0"/>
                <w:sz w:val="18"/>
                <w:szCs w:val="18"/>
              </w:rPr>
            </w:pPr>
            <w:r w:rsidRPr="00977224">
              <w:rPr>
                <w:rFonts w:ascii="Arial" w:eastAsia="Times New Roman" w:hAnsi="Arial" w:cs="Arial"/>
                <w:b w:val="0"/>
                <w:sz w:val="18"/>
                <w:szCs w:val="18"/>
              </w:rPr>
              <w:t>Fresh vegetables</w:t>
            </w:r>
          </w:p>
        </w:tc>
        <w:tc>
          <w:tcPr>
            <w:tcW w:w="1265" w:type="dxa"/>
            <w:vAlign w:val="bottom"/>
          </w:tcPr>
          <w:p w14:paraId="643F13CC" w14:textId="47798DF1"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7224">
              <w:rPr>
                <w:rFonts w:ascii="Arial" w:hAnsi="Arial" w:cs="Arial"/>
                <w:sz w:val="18"/>
                <w:szCs w:val="18"/>
              </w:rPr>
              <w:t>$2.892B</w:t>
            </w:r>
          </w:p>
        </w:tc>
        <w:tc>
          <w:tcPr>
            <w:tcW w:w="1265" w:type="dxa"/>
            <w:vAlign w:val="bottom"/>
          </w:tcPr>
          <w:p w14:paraId="62E753B2" w14:textId="09E25540"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7.3%</w:t>
            </w:r>
          </w:p>
        </w:tc>
        <w:tc>
          <w:tcPr>
            <w:tcW w:w="1265" w:type="dxa"/>
            <w:vAlign w:val="bottom"/>
          </w:tcPr>
          <w:p w14:paraId="5F82C4A8" w14:textId="60F717DE"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t>+</w:t>
            </w:r>
            <w:r w:rsidRPr="00977224">
              <w:rPr>
                <w:rFonts w:ascii="Arial" w:hAnsi="Arial" w:cs="Arial"/>
                <w:sz w:val="18"/>
                <w:szCs w:val="18"/>
              </w:rPr>
              <w:t>25.8%</w:t>
            </w:r>
          </w:p>
        </w:tc>
        <w:tc>
          <w:tcPr>
            <w:tcW w:w="1265" w:type="dxa"/>
            <w:vAlign w:val="bottom"/>
          </w:tcPr>
          <w:p w14:paraId="36BF3793" w14:textId="502B747D"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77224">
              <w:rPr>
                <w:rFonts w:ascii="Arial" w:hAnsi="Arial" w:cs="Arial"/>
                <w:sz w:val="18"/>
                <w:szCs w:val="18"/>
              </w:rPr>
              <w:t>-0.9%</w:t>
            </w:r>
          </w:p>
        </w:tc>
        <w:tc>
          <w:tcPr>
            <w:tcW w:w="1265" w:type="dxa"/>
            <w:vAlign w:val="bottom"/>
          </w:tcPr>
          <w:p w14:paraId="60C3D45F" w14:textId="40FF0E32"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6.6%</w:t>
            </w:r>
          </w:p>
        </w:tc>
        <w:tc>
          <w:tcPr>
            <w:tcW w:w="1265" w:type="dxa"/>
            <w:vAlign w:val="bottom"/>
          </w:tcPr>
          <w:p w14:paraId="53B735C6" w14:textId="3E6F2A28"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0.3%</w:t>
            </w:r>
          </w:p>
        </w:tc>
        <w:tc>
          <w:tcPr>
            <w:tcW w:w="1266" w:type="dxa"/>
            <w:vAlign w:val="bottom"/>
          </w:tcPr>
          <w:p w14:paraId="3696D109" w14:textId="4939C195"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977224">
              <w:rPr>
                <w:rFonts w:ascii="Arial" w:hAnsi="Arial" w:cs="Arial"/>
                <w:sz w:val="18"/>
                <w:szCs w:val="18"/>
              </w:rPr>
              <w:t>6.7%</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20EC010E"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143"/>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545DC5" w:rsidRPr="00DE633B" w14:paraId="405E707F" w14:textId="77777777" w:rsidTr="00545DC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EF140AF" w14:textId="77777777" w:rsidR="00545DC5" w:rsidRPr="00DE633B" w:rsidRDefault="00545DC5" w:rsidP="00545DC5">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84B463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6AD1F1F0"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133B8059"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6CB7890E"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lbs </w:t>
            </w:r>
          </w:p>
          <w:p w14:paraId="5811DD2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977224" w:rsidRPr="00361BCC" w14:paraId="0BDAE573" w14:textId="77777777" w:rsidTr="00BB309A">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020E829F" w14:textId="1EA53256" w:rsidR="00977224" w:rsidRPr="00361BCC" w:rsidRDefault="00977224" w:rsidP="00977224">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December 2022</w:t>
            </w:r>
          </w:p>
        </w:tc>
        <w:tc>
          <w:tcPr>
            <w:tcW w:w="1276" w:type="dxa"/>
            <w:tcBorders>
              <w:left w:val="none" w:sz="0" w:space="0" w:color="auto"/>
              <w:right w:val="none" w:sz="0" w:space="0" w:color="auto"/>
            </w:tcBorders>
            <w:vAlign w:val="bottom"/>
          </w:tcPr>
          <w:p w14:paraId="01B5B002" w14:textId="40A2BB68"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977224">
              <w:rPr>
                <w:rFonts w:ascii="Arial" w:hAnsi="Arial" w:cs="Arial"/>
                <w:sz w:val="18"/>
                <w:szCs w:val="18"/>
              </w:rPr>
              <w:t>$5.446B</w:t>
            </w:r>
          </w:p>
        </w:tc>
        <w:tc>
          <w:tcPr>
            <w:tcW w:w="1291" w:type="dxa"/>
            <w:tcBorders>
              <w:left w:val="none" w:sz="0" w:space="0" w:color="auto"/>
              <w:right w:val="none" w:sz="0" w:space="0" w:color="auto"/>
            </w:tcBorders>
            <w:vAlign w:val="bottom"/>
          </w:tcPr>
          <w:p w14:paraId="322DF095" w14:textId="5842B292"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sz w:val="18"/>
                <w:szCs w:val="18"/>
              </w:rPr>
              <w:t>+</w:t>
            </w:r>
            <w:r w:rsidRPr="00977224">
              <w:rPr>
                <w:rFonts w:ascii="Arial" w:hAnsi="Arial" w:cs="Arial"/>
                <w:sz w:val="18"/>
                <w:szCs w:val="18"/>
              </w:rPr>
              <w:t>4.4%</w:t>
            </w:r>
          </w:p>
        </w:tc>
        <w:tc>
          <w:tcPr>
            <w:tcW w:w="1291" w:type="dxa"/>
            <w:tcBorders>
              <w:left w:val="none" w:sz="0" w:space="0" w:color="auto"/>
              <w:right w:val="none" w:sz="0" w:space="0" w:color="auto"/>
            </w:tcBorders>
            <w:vAlign w:val="bottom"/>
          </w:tcPr>
          <w:p w14:paraId="277342EA" w14:textId="78808413"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sz w:val="18"/>
                <w:szCs w:val="18"/>
              </w:rPr>
              <w:t>+</w:t>
            </w:r>
            <w:r w:rsidRPr="00977224">
              <w:rPr>
                <w:rFonts w:ascii="Arial" w:hAnsi="Arial" w:cs="Arial"/>
                <w:sz w:val="18"/>
                <w:szCs w:val="18"/>
              </w:rPr>
              <w:t>0.1%</w:t>
            </w:r>
          </w:p>
        </w:tc>
      </w:tr>
      <w:tr w:rsidR="00977224" w:rsidRPr="00E736B9" w14:paraId="0C6B555F" w14:textId="77777777" w:rsidTr="00BB309A">
        <w:trPr>
          <w:trHeight w:val="158"/>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789929E" w14:textId="1B4F1A08" w:rsidR="00977224" w:rsidRPr="00E736B9" w:rsidRDefault="00977224" w:rsidP="00977224">
            <w:pPr>
              <w:rPr>
                <w:color w:val="215868" w:themeColor="accent5" w:themeShade="80"/>
              </w:rPr>
            </w:pPr>
            <w:r>
              <w:rPr>
                <w:rFonts w:ascii="Arial" w:hAnsi="Arial" w:cs="Arial"/>
                <w:b w:val="0"/>
                <w:color w:val="215868" w:themeColor="accent5" w:themeShade="80"/>
                <w:sz w:val="18"/>
                <w:szCs w:val="18"/>
              </w:rPr>
              <w:t>w.e. 12/4/2022</w:t>
            </w:r>
          </w:p>
        </w:tc>
        <w:tc>
          <w:tcPr>
            <w:tcW w:w="1276" w:type="dxa"/>
            <w:vAlign w:val="bottom"/>
          </w:tcPr>
          <w:p w14:paraId="53CA9B6D" w14:textId="1EA95B73"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77224">
              <w:rPr>
                <w:rFonts w:ascii="Arial" w:hAnsi="Arial" w:cs="Arial"/>
                <w:sz w:val="18"/>
                <w:szCs w:val="18"/>
              </w:rPr>
              <w:t>$1.263B</w:t>
            </w:r>
          </w:p>
        </w:tc>
        <w:tc>
          <w:tcPr>
            <w:tcW w:w="1291" w:type="dxa"/>
            <w:vAlign w:val="bottom"/>
          </w:tcPr>
          <w:p w14:paraId="1EB9913F" w14:textId="11C97F68"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w:t>
            </w:r>
            <w:r w:rsidRPr="00977224">
              <w:rPr>
                <w:rFonts w:ascii="Arial" w:hAnsi="Arial" w:cs="Arial"/>
                <w:sz w:val="18"/>
                <w:szCs w:val="18"/>
              </w:rPr>
              <w:t>3.3%</w:t>
            </w:r>
          </w:p>
        </w:tc>
        <w:tc>
          <w:tcPr>
            <w:tcW w:w="1291" w:type="dxa"/>
            <w:vAlign w:val="bottom"/>
          </w:tcPr>
          <w:p w14:paraId="5005DFE6" w14:textId="692F2F9B"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77224">
              <w:rPr>
                <w:rFonts w:ascii="Arial" w:hAnsi="Arial" w:cs="Arial"/>
                <w:sz w:val="18"/>
                <w:szCs w:val="18"/>
              </w:rPr>
              <w:t>-1.7%</w:t>
            </w:r>
          </w:p>
        </w:tc>
      </w:tr>
      <w:tr w:rsidR="00977224" w:rsidRPr="00E736B9" w14:paraId="5D8AA84A" w14:textId="77777777" w:rsidTr="00BB309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CB6D6AF" w14:textId="6E9F249B" w:rsidR="00977224" w:rsidRPr="00E736B9" w:rsidRDefault="00977224" w:rsidP="00977224">
            <w:pPr>
              <w:rPr>
                <w:color w:val="215868" w:themeColor="accent5" w:themeShade="80"/>
              </w:rPr>
            </w:pPr>
            <w:r>
              <w:rPr>
                <w:rFonts w:ascii="Arial" w:hAnsi="Arial" w:cs="Arial"/>
                <w:b w:val="0"/>
                <w:color w:val="215868" w:themeColor="accent5" w:themeShade="80"/>
                <w:sz w:val="18"/>
                <w:szCs w:val="18"/>
              </w:rPr>
              <w:t>w.e. 12/11/2022</w:t>
            </w:r>
          </w:p>
        </w:tc>
        <w:tc>
          <w:tcPr>
            <w:tcW w:w="1276" w:type="dxa"/>
            <w:vAlign w:val="bottom"/>
          </w:tcPr>
          <w:p w14:paraId="5D56C1C0" w14:textId="51DB8C55"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pPr>
            <w:r w:rsidRPr="00977224">
              <w:rPr>
                <w:rFonts w:ascii="Arial" w:hAnsi="Arial" w:cs="Arial"/>
                <w:sz w:val="18"/>
                <w:szCs w:val="18"/>
              </w:rPr>
              <w:t>$1.298B</w:t>
            </w:r>
          </w:p>
        </w:tc>
        <w:tc>
          <w:tcPr>
            <w:tcW w:w="1291" w:type="dxa"/>
            <w:vAlign w:val="bottom"/>
          </w:tcPr>
          <w:p w14:paraId="6453DC35" w14:textId="7A296FA0"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18"/>
              </w:rPr>
              <w:t>+</w:t>
            </w:r>
            <w:r w:rsidRPr="00977224">
              <w:rPr>
                <w:rFonts w:ascii="Arial" w:hAnsi="Arial" w:cs="Arial"/>
                <w:sz w:val="18"/>
                <w:szCs w:val="18"/>
              </w:rPr>
              <w:t>3.6%</w:t>
            </w:r>
          </w:p>
        </w:tc>
        <w:tc>
          <w:tcPr>
            <w:tcW w:w="1291" w:type="dxa"/>
            <w:vAlign w:val="bottom"/>
          </w:tcPr>
          <w:p w14:paraId="0033C7F5" w14:textId="04A31A7D"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77224">
              <w:rPr>
                <w:rFonts w:ascii="Arial" w:hAnsi="Arial" w:cs="Arial"/>
                <w:sz w:val="18"/>
                <w:szCs w:val="18"/>
              </w:rPr>
              <w:t>-1.1%</w:t>
            </w:r>
          </w:p>
        </w:tc>
      </w:tr>
      <w:tr w:rsidR="00977224" w:rsidRPr="00E736B9" w14:paraId="1B947347" w14:textId="77777777" w:rsidTr="00BB309A">
        <w:trPr>
          <w:trHeight w:val="6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67181F" w14:textId="1A370168" w:rsidR="00977224" w:rsidRPr="00E736B9" w:rsidRDefault="00977224" w:rsidP="00977224">
            <w:pPr>
              <w:rPr>
                <w:color w:val="215868" w:themeColor="accent5" w:themeShade="80"/>
              </w:rPr>
            </w:pPr>
            <w:r>
              <w:rPr>
                <w:rFonts w:ascii="Arial" w:hAnsi="Arial" w:cs="Arial"/>
                <w:b w:val="0"/>
                <w:color w:val="215868" w:themeColor="accent5" w:themeShade="80"/>
                <w:sz w:val="18"/>
                <w:szCs w:val="18"/>
              </w:rPr>
              <w:t>w.e. 12/18/2022</w:t>
            </w:r>
          </w:p>
        </w:tc>
        <w:tc>
          <w:tcPr>
            <w:tcW w:w="1276" w:type="dxa"/>
            <w:vAlign w:val="bottom"/>
          </w:tcPr>
          <w:p w14:paraId="2D151B14" w14:textId="149C713A"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pPr>
            <w:r w:rsidRPr="00977224">
              <w:rPr>
                <w:rFonts w:ascii="Arial" w:hAnsi="Arial" w:cs="Arial"/>
                <w:sz w:val="18"/>
                <w:szCs w:val="18"/>
              </w:rPr>
              <w:t>$1.315B</w:t>
            </w:r>
          </w:p>
        </w:tc>
        <w:tc>
          <w:tcPr>
            <w:tcW w:w="1291" w:type="dxa"/>
            <w:vAlign w:val="bottom"/>
          </w:tcPr>
          <w:p w14:paraId="1DBCA27D" w14:textId="22AC4BD5"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w:t>
            </w:r>
            <w:r w:rsidRPr="00977224">
              <w:rPr>
                <w:rFonts w:ascii="Arial" w:hAnsi="Arial" w:cs="Arial"/>
                <w:sz w:val="18"/>
                <w:szCs w:val="18"/>
              </w:rPr>
              <w:t>2.6%</w:t>
            </w:r>
          </w:p>
        </w:tc>
        <w:tc>
          <w:tcPr>
            <w:tcW w:w="1291" w:type="dxa"/>
            <w:vAlign w:val="bottom"/>
          </w:tcPr>
          <w:p w14:paraId="68B24F2D" w14:textId="63A8521A" w:rsidR="00977224" w:rsidRPr="00977224" w:rsidRDefault="00977224" w:rsidP="0097722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77224">
              <w:rPr>
                <w:rFonts w:ascii="Arial" w:hAnsi="Arial" w:cs="Arial"/>
                <w:sz w:val="18"/>
                <w:szCs w:val="18"/>
              </w:rPr>
              <w:t>-1.8%</w:t>
            </w:r>
          </w:p>
        </w:tc>
      </w:tr>
      <w:tr w:rsidR="00977224" w:rsidRPr="00E736B9" w14:paraId="65358342" w14:textId="77777777" w:rsidTr="00BB309A">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9171CEC" w14:textId="0856E77E" w:rsidR="00977224" w:rsidRDefault="00977224" w:rsidP="00977224">
            <w:pPr>
              <w:rPr>
                <w:rFonts w:ascii="Arial" w:hAnsi="Arial" w:cs="Arial"/>
                <w:color w:val="215868" w:themeColor="accent5" w:themeShade="80"/>
                <w:sz w:val="18"/>
                <w:szCs w:val="18"/>
              </w:rPr>
            </w:pPr>
            <w:r>
              <w:rPr>
                <w:rFonts w:ascii="Arial" w:hAnsi="Arial" w:cs="Arial"/>
                <w:b w:val="0"/>
                <w:color w:val="215868" w:themeColor="accent5" w:themeShade="80"/>
                <w:sz w:val="18"/>
                <w:szCs w:val="18"/>
              </w:rPr>
              <w:t>w.e. 12/25/2022</w:t>
            </w:r>
          </w:p>
        </w:tc>
        <w:tc>
          <w:tcPr>
            <w:tcW w:w="1276" w:type="dxa"/>
            <w:vAlign w:val="bottom"/>
          </w:tcPr>
          <w:p w14:paraId="76BD5110" w14:textId="21DFBD2A"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77224">
              <w:rPr>
                <w:rFonts w:ascii="Arial" w:hAnsi="Arial" w:cs="Arial"/>
                <w:sz w:val="18"/>
                <w:szCs w:val="18"/>
              </w:rPr>
              <w:t>$1.571B</w:t>
            </w:r>
          </w:p>
        </w:tc>
        <w:tc>
          <w:tcPr>
            <w:tcW w:w="1291" w:type="dxa"/>
            <w:vAlign w:val="bottom"/>
          </w:tcPr>
          <w:p w14:paraId="57DBD004" w14:textId="46E5E3D9"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18"/>
              </w:rPr>
              <w:t>+</w:t>
            </w:r>
            <w:r w:rsidRPr="00977224">
              <w:rPr>
                <w:rFonts w:ascii="Arial" w:hAnsi="Arial" w:cs="Arial"/>
                <w:sz w:val="18"/>
                <w:szCs w:val="18"/>
              </w:rPr>
              <w:t>7.7%</w:t>
            </w:r>
          </w:p>
        </w:tc>
        <w:tc>
          <w:tcPr>
            <w:tcW w:w="1291" w:type="dxa"/>
            <w:vAlign w:val="bottom"/>
          </w:tcPr>
          <w:p w14:paraId="26C81760" w14:textId="7C62E1E2" w:rsidR="00977224" w:rsidRPr="00977224" w:rsidRDefault="00977224" w:rsidP="0097722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18"/>
              </w:rPr>
              <w:t>+</w:t>
            </w:r>
            <w:r w:rsidRPr="00977224">
              <w:rPr>
                <w:rFonts w:ascii="Arial" w:hAnsi="Arial" w:cs="Arial"/>
                <w:sz w:val="18"/>
                <w:szCs w:val="18"/>
              </w:rPr>
              <w:t>4.3%</w:t>
            </w:r>
          </w:p>
        </w:tc>
      </w:tr>
    </w:tbl>
    <w:p w14:paraId="2E1C73C4" w14:textId="11D8303C" w:rsidR="00253765" w:rsidRDefault="00DE78A5" w:rsidP="00D4285A">
      <w:pPr>
        <w:spacing w:after="0" w:line="240" w:lineRule="auto"/>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251662336" behindDoc="0" locked="0" layoutInCell="1" allowOverlap="1" wp14:anchorId="521DE452" wp14:editId="1846AEFF">
                <wp:simplePos x="0" y="0"/>
                <wp:positionH relativeFrom="column">
                  <wp:posOffset>3070225</wp:posOffset>
                </wp:positionH>
                <wp:positionV relativeFrom="paragraph">
                  <wp:posOffset>1052830</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F26464" w:rsidRDefault="00F26464"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1.75pt;margin-top:82.9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" stroked="f">
                <v:textbox>
                  <w:txbxContent>
                    <w:p w14:paraId="61B6AA1E" w14:textId="77777777" w:rsidR="00F26464" w:rsidRDefault="00F26464" w:rsidP="0053257C">
                      <w:pPr>
                        <w:pStyle w:val="NoSpacing"/>
                      </w:pPr>
                      <w:r>
                        <w:rPr>
                          <w:rFonts w:ascii="Arial" w:hAnsi="Arial" w:cs="Arial"/>
                          <w:sz w:val="16"/>
                          <w:szCs w:val="16"/>
                        </w:rPr>
                        <w:t>Source: IRI, Integrated Fresh, Total US, MULO</w:t>
                      </w:r>
                    </w:p>
                  </w:txbxContent>
                </v:textbox>
                <w10:wrap type="square"/>
              </v:shape>
            </w:pict>
          </mc:Fallback>
        </mc:AlternateContent>
      </w:r>
      <w:r w:rsidR="00977224">
        <w:rPr>
          <w:rFonts w:ascii="Arial" w:hAnsi="Arial" w:cs="Arial"/>
          <w:sz w:val="20"/>
          <w:szCs w:val="20"/>
        </w:rPr>
        <w:t>The last two weeks leading up to the holiday were big for fresh produce, topping $1.5 billion. “The 4.3% increase in pound sales in the holiday week is a very encouraging sign for</w:t>
      </w:r>
      <w:r>
        <w:rPr>
          <w:rFonts w:ascii="Arial" w:hAnsi="Arial" w:cs="Arial"/>
          <w:sz w:val="20"/>
          <w:szCs w:val="20"/>
        </w:rPr>
        <w:t xml:space="preserve"> continued wins in 2023,” Watson noted. “New Year’s sales are not yet included in these December numbers and we have Valentine’s Day around the corner. That was traditionally one of the biggest restaurant days of </w:t>
      </w:r>
      <w:r>
        <w:rPr>
          <w:rFonts w:ascii="Arial" w:hAnsi="Arial" w:cs="Arial"/>
          <w:sz w:val="20"/>
          <w:szCs w:val="20"/>
        </w:rPr>
        <w:br/>
        <w:t>the year, but one where retail has made significant inroads in the past few years.</w:t>
      </w:r>
    </w:p>
    <w:p w14:paraId="3D60D6F7" w14:textId="0DC9DD1F" w:rsidR="00253765" w:rsidRDefault="00253765" w:rsidP="00D4285A">
      <w:pPr>
        <w:spacing w:after="0" w:line="240" w:lineRule="auto"/>
        <w:rPr>
          <w:rFonts w:ascii="Arial" w:hAnsi="Arial" w:cs="Arial"/>
          <w:sz w:val="20"/>
          <w:szCs w:val="20"/>
        </w:rPr>
      </w:pPr>
    </w:p>
    <w:p w14:paraId="7AF020BD" w14:textId="49FB7DE6" w:rsidR="00824EAC" w:rsidRDefault="009A10DA" w:rsidP="00D4285A">
      <w:pPr>
        <w:spacing w:after="0" w:line="240" w:lineRule="auto"/>
        <w:rPr>
          <w:rFonts w:ascii="Arial" w:hAnsi="Arial" w:cs="Arial"/>
          <w:sz w:val="20"/>
          <w:szCs w:val="20"/>
        </w:rPr>
      </w:pPr>
      <w:r>
        <w:rPr>
          <w:rFonts w:ascii="Arial" w:hAnsi="Arial" w:cs="Arial"/>
          <w:sz w:val="20"/>
          <w:szCs w:val="20"/>
        </w:rPr>
        <w:t>“</w:t>
      </w:r>
      <w:r w:rsidR="00742FB5">
        <w:rPr>
          <w:rFonts w:ascii="Arial" w:hAnsi="Arial" w:cs="Arial"/>
          <w:sz w:val="20"/>
          <w:szCs w:val="20"/>
        </w:rPr>
        <w:t>Growth for fruit is slowing down due to moderating levels of inflation</w:t>
      </w:r>
      <w:r w:rsidR="00637FD9">
        <w:rPr>
          <w:rFonts w:ascii="Arial" w:hAnsi="Arial" w:cs="Arial"/>
          <w:sz w:val="20"/>
          <w:szCs w:val="20"/>
        </w:rPr>
        <w:t>,” said Watson</w:t>
      </w:r>
      <w:r w:rsidR="00003384">
        <w:rPr>
          <w:rFonts w:ascii="Arial" w:hAnsi="Arial" w:cs="Arial"/>
          <w:sz w:val="20"/>
          <w:szCs w:val="20"/>
        </w:rPr>
        <w:t>. “</w:t>
      </w:r>
      <w:r w:rsidR="00314133">
        <w:rPr>
          <w:rFonts w:ascii="Arial" w:hAnsi="Arial" w:cs="Arial"/>
          <w:sz w:val="20"/>
          <w:szCs w:val="20"/>
        </w:rPr>
        <w:t>The percentage increase versus 2019 demonstrates why we have seen record dollar sales in 2020, 2021 and 2022.”</w:t>
      </w:r>
      <w:r w:rsidR="00F026CE">
        <w:rPr>
          <w:rFonts w:ascii="Arial" w:hAnsi="Arial" w:cs="Arial"/>
          <w:sz w:val="20"/>
          <w:szCs w:val="20"/>
        </w:rPr>
        <w:t xml:space="preserve"> </w:t>
      </w:r>
    </w:p>
    <w:p w14:paraId="3AE2F20C" w14:textId="75917B3B" w:rsidR="00824EAC" w:rsidRDefault="00314133" w:rsidP="00D4285A">
      <w:pPr>
        <w:spacing w:after="0" w:line="240" w:lineRule="auto"/>
        <w:rPr>
          <w:rFonts w:ascii="Arial" w:hAnsi="Arial" w:cs="Arial"/>
          <w:sz w:val="20"/>
          <w:szCs w:val="20"/>
        </w:rPr>
      </w:pPr>
      <w:r>
        <w:rPr>
          <w:noProof/>
        </w:rPr>
        <w:drawing>
          <wp:inline distT="0" distB="0" distL="0" distR="0" wp14:anchorId="69317C5E" wp14:editId="3528D986">
            <wp:extent cx="6750685" cy="2703443"/>
            <wp:effectExtent l="0" t="0" r="0" b="1905"/>
            <wp:docPr id="13" name="Chart 13">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15906011" w:rsidR="00AC0CDA" w:rsidRDefault="0028208D" w:rsidP="00AC0CDA">
      <w:pPr>
        <w:pStyle w:val="NoSpacing"/>
        <w:rPr>
          <w:rFonts w:ascii="Arial" w:hAnsi="Arial" w:cs="Arial"/>
          <w:sz w:val="20"/>
          <w:szCs w:val="20"/>
        </w:rPr>
      </w:pPr>
      <w:r>
        <w:rPr>
          <w:rFonts w:ascii="Arial" w:hAnsi="Arial" w:cs="Arial"/>
          <w:sz w:val="20"/>
          <w:szCs w:val="20"/>
        </w:rPr>
        <w:t>“</w:t>
      </w:r>
      <w:r w:rsidR="00390E81">
        <w:rPr>
          <w:rFonts w:ascii="Arial" w:hAnsi="Arial" w:cs="Arial"/>
          <w:sz w:val="20"/>
          <w:szCs w:val="20"/>
        </w:rPr>
        <w:t>Despite the strong December results when comparing sales to last year and 2019, the growth in fresh produce dollars was far below the levels seen in canned and frozen</w:t>
      </w:r>
      <w:r>
        <w:rPr>
          <w:rFonts w:ascii="Arial" w:hAnsi="Arial" w:cs="Arial"/>
          <w:sz w:val="20"/>
          <w:szCs w:val="20"/>
        </w:rPr>
        <w:t xml:space="preserve">,” Watson commented.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069649D8" w:rsidR="00770809" w:rsidRPr="00B265F0" w:rsidRDefault="00A61E56"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December</w:t>
            </w:r>
            <w:r w:rsidR="00253765">
              <w:rPr>
                <w:rFonts w:ascii="Arial" w:hAnsi="Arial" w:cs="Arial"/>
                <w:color w:val="FFFFFF" w:themeColor="background1"/>
                <w:sz w:val="18"/>
                <w:szCs w:val="20"/>
              </w:rPr>
              <w:t xml:space="preserve"> </w:t>
            </w:r>
            <w:r w:rsidR="00112E9A">
              <w:rPr>
                <w:rFonts w:ascii="Arial" w:hAnsi="Arial" w:cs="Arial"/>
                <w:color w:val="FFFFFF" w:themeColor="background1"/>
                <w:sz w:val="18"/>
                <w:szCs w:val="20"/>
              </w:rPr>
              <w:t>2022</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291A5585"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414828">
              <w:rPr>
                <w:rFonts w:ascii="Arial" w:hAnsi="Arial" w:cs="Arial"/>
                <w:color w:val="FFFFFF" w:themeColor="background1"/>
                <w:sz w:val="18"/>
                <w:szCs w:val="20"/>
              </w:rPr>
              <w:t>19</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390E81" w:rsidRPr="00390E81" w14:paraId="28B74F40" w14:textId="77777777" w:rsidTr="002B56AC">
        <w:tblPrEx>
          <w:tblBorders>
            <w:top w:val="single" w:sz="8" w:space="0" w:color="4BACC6" w:themeColor="accent5"/>
            <w:bottom w:val="single" w:sz="8" w:space="0" w:color="4BACC6" w:themeColor="accent5"/>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3DC9A607" w14:textId="77777777" w:rsidR="00390E81" w:rsidRPr="00390E81" w:rsidRDefault="00390E81" w:rsidP="00390E81">
            <w:pPr>
              <w:pStyle w:val="NoSpacing"/>
              <w:rPr>
                <w:rFonts w:ascii="Arial" w:hAnsi="Arial" w:cs="Arial"/>
                <w:bCs w:val="0"/>
                <w:color w:val="215868" w:themeColor="accent5" w:themeShade="80"/>
                <w:sz w:val="18"/>
                <w:szCs w:val="20"/>
              </w:rPr>
            </w:pPr>
            <w:r w:rsidRPr="00390E81">
              <w:rPr>
                <w:rFonts w:ascii="Arial" w:hAnsi="Arial" w:cs="Arial"/>
                <w:bCs w:val="0"/>
                <w:color w:val="215868" w:themeColor="accent5" w:themeShade="80"/>
                <w:sz w:val="18"/>
                <w:szCs w:val="20"/>
              </w:rPr>
              <w:t>Fresh produce department</w:t>
            </w:r>
          </w:p>
        </w:tc>
        <w:tc>
          <w:tcPr>
            <w:tcW w:w="1584" w:type="dxa"/>
            <w:vAlign w:val="bottom"/>
          </w:tcPr>
          <w:p w14:paraId="7BF32325" w14:textId="2EB6A28F"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$5.4B</w:t>
            </w:r>
          </w:p>
        </w:tc>
        <w:tc>
          <w:tcPr>
            <w:tcW w:w="1584" w:type="dxa"/>
            <w:vAlign w:val="bottom"/>
          </w:tcPr>
          <w:p w14:paraId="39984305" w14:textId="6BB42A2D"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+4.4%</w:t>
            </w:r>
          </w:p>
        </w:tc>
        <w:tc>
          <w:tcPr>
            <w:tcW w:w="1584" w:type="dxa"/>
            <w:vAlign w:val="bottom"/>
          </w:tcPr>
          <w:p w14:paraId="214FE4F8" w14:textId="726E8C9E"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90E81">
              <w:rPr>
                <w:rFonts w:ascii="Arial" w:hAnsi="Arial" w:cs="Arial"/>
                <w:b/>
                <w:sz w:val="18"/>
                <w:szCs w:val="18"/>
              </w:rPr>
              <w:t>+25.2%</w:t>
            </w:r>
          </w:p>
        </w:tc>
        <w:tc>
          <w:tcPr>
            <w:tcW w:w="1584" w:type="dxa"/>
            <w:vAlign w:val="bottom"/>
          </w:tcPr>
          <w:p w14:paraId="110FC2E2" w14:textId="4F814AD2"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$1.90</w:t>
            </w:r>
          </w:p>
        </w:tc>
        <w:tc>
          <w:tcPr>
            <w:tcW w:w="1584" w:type="dxa"/>
            <w:vAlign w:val="bottom"/>
          </w:tcPr>
          <w:p w14:paraId="24B401D7" w14:textId="387DE53E"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+4.3%</w:t>
            </w:r>
          </w:p>
        </w:tc>
      </w:tr>
      <w:tr w:rsidR="00390E81" w:rsidRPr="00E43E81" w14:paraId="53607A39" w14:textId="77777777" w:rsidTr="002B56AC">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063DF506" w14:textId="77777777" w:rsidR="00390E81" w:rsidRPr="000D5031" w:rsidRDefault="00390E81" w:rsidP="00390E81">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vAlign w:val="bottom"/>
          </w:tcPr>
          <w:p w14:paraId="11ED8EE5" w14:textId="0669DA13"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0E81">
              <w:rPr>
                <w:rFonts w:ascii="Arial" w:hAnsi="Arial" w:cs="Arial"/>
                <w:sz w:val="18"/>
                <w:szCs w:val="18"/>
              </w:rPr>
              <w:t>$643M</w:t>
            </w:r>
          </w:p>
        </w:tc>
        <w:tc>
          <w:tcPr>
            <w:tcW w:w="1584" w:type="dxa"/>
            <w:vAlign w:val="bottom"/>
          </w:tcPr>
          <w:p w14:paraId="618FA501" w14:textId="79C2E559"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390E81">
              <w:rPr>
                <w:rFonts w:ascii="Arial" w:hAnsi="Arial" w:cs="Arial"/>
                <w:sz w:val="18"/>
                <w:szCs w:val="18"/>
              </w:rPr>
              <w:t>19.0%</w:t>
            </w:r>
          </w:p>
        </w:tc>
        <w:tc>
          <w:tcPr>
            <w:tcW w:w="1584" w:type="dxa"/>
            <w:vAlign w:val="bottom"/>
          </w:tcPr>
          <w:p w14:paraId="5EBA11F2" w14:textId="161583C2"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w:t>
            </w:r>
            <w:r w:rsidRPr="00390E81">
              <w:rPr>
                <w:rFonts w:ascii="Arial" w:hAnsi="Arial" w:cs="Arial"/>
                <w:sz w:val="18"/>
                <w:szCs w:val="18"/>
              </w:rPr>
              <w:t>36.4%</w:t>
            </w:r>
          </w:p>
        </w:tc>
        <w:tc>
          <w:tcPr>
            <w:tcW w:w="1584" w:type="dxa"/>
            <w:vAlign w:val="bottom"/>
          </w:tcPr>
          <w:p w14:paraId="234F510D" w14:textId="44B09111"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0E81">
              <w:rPr>
                <w:rFonts w:ascii="Arial" w:hAnsi="Arial" w:cs="Arial"/>
                <w:sz w:val="18"/>
                <w:szCs w:val="18"/>
              </w:rPr>
              <w:t>$2.11</w:t>
            </w:r>
          </w:p>
        </w:tc>
        <w:tc>
          <w:tcPr>
            <w:tcW w:w="1584" w:type="dxa"/>
            <w:vAlign w:val="bottom"/>
          </w:tcPr>
          <w:p w14:paraId="34E514EC" w14:textId="50D04F25"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Pr="00390E81">
              <w:rPr>
                <w:rFonts w:ascii="Arial" w:hAnsi="Arial" w:cs="Arial"/>
                <w:sz w:val="18"/>
                <w:szCs w:val="18"/>
              </w:rPr>
              <w:t>20.9%</w:t>
            </w:r>
          </w:p>
        </w:tc>
      </w:tr>
      <w:tr w:rsidR="00390E81" w:rsidRPr="00E43E81" w14:paraId="6436AB32" w14:textId="77777777" w:rsidTr="002B56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390E81" w:rsidRPr="000D5031" w:rsidRDefault="00390E81" w:rsidP="00390E81">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vAlign w:val="bottom"/>
          </w:tcPr>
          <w:p w14:paraId="762ADF8F" w14:textId="3752CEF9"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390E81">
              <w:rPr>
                <w:rFonts w:ascii="Arial" w:hAnsi="Arial" w:cs="Arial"/>
                <w:sz w:val="18"/>
                <w:szCs w:val="18"/>
              </w:rPr>
              <w:t>$398M</w:t>
            </w:r>
          </w:p>
        </w:tc>
        <w:tc>
          <w:tcPr>
            <w:tcW w:w="1584" w:type="dxa"/>
            <w:vAlign w:val="bottom"/>
          </w:tcPr>
          <w:p w14:paraId="65CF6948" w14:textId="44E581D7"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18"/>
              </w:rPr>
              <w:t>+</w:t>
            </w:r>
            <w:r w:rsidRPr="00390E81">
              <w:rPr>
                <w:rFonts w:ascii="Arial" w:hAnsi="Arial" w:cs="Arial"/>
                <w:sz w:val="18"/>
                <w:szCs w:val="18"/>
              </w:rPr>
              <w:t>13.2%</w:t>
            </w:r>
          </w:p>
        </w:tc>
        <w:tc>
          <w:tcPr>
            <w:tcW w:w="1584" w:type="dxa"/>
            <w:vAlign w:val="bottom"/>
          </w:tcPr>
          <w:p w14:paraId="6106E491" w14:textId="526C74C7"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highlight w:val="red"/>
              </w:rPr>
            </w:pPr>
            <w:r>
              <w:rPr>
                <w:rFonts w:ascii="Arial" w:hAnsi="Arial" w:cs="Arial"/>
                <w:sz w:val="18"/>
                <w:szCs w:val="18"/>
              </w:rPr>
              <w:t>+</w:t>
            </w:r>
            <w:r w:rsidRPr="00390E81">
              <w:rPr>
                <w:rFonts w:ascii="Arial" w:hAnsi="Arial" w:cs="Arial"/>
                <w:sz w:val="18"/>
                <w:szCs w:val="18"/>
              </w:rPr>
              <w:t>33.8%</w:t>
            </w:r>
          </w:p>
        </w:tc>
        <w:tc>
          <w:tcPr>
            <w:tcW w:w="1584" w:type="dxa"/>
            <w:vAlign w:val="bottom"/>
          </w:tcPr>
          <w:p w14:paraId="607B80B7" w14:textId="466C46EE"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390E81">
              <w:rPr>
                <w:rFonts w:ascii="Arial" w:hAnsi="Arial" w:cs="Arial"/>
                <w:sz w:val="18"/>
                <w:szCs w:val="18"/>
              </w:rPr>
              <w:t>$2.64</w:t>
            </w:r>
          </w:p>
        </w:tc>
        <w:tc>
          <w:tcPr>
            <w:tcW w:w="1584" w:type="dxa"/>
            <w:vAlign w:val="bottom"/>
          </w:tcPr>
          <w:p w14:paraId="7D05D7D9" w14:textId="62790D30"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18"/>
              </w:rPr>
              <w:t>+</w:t>
            </w:r>
            <w:r w:rsidRPr="00390E81">
              <w:rPr>
                <w:rFonts w:ascii="Arial" w:hAnsi="Arial" w:cs="Arial"/>
                <w:sz w:val="18"/>
                <w:szCs w:val="18"/>
              </w:rPr>
              <w:t>18.8%</w:t>
            </w:r>
          </w:p>
        </w:tc>
      </w:tr>
      <w:tr w:rsidR="00390E81" w:rsidRPr="00E43E81" w14:paraId="136DBAD7" w14:textId="77777777" w:rsidTr="002B56AC">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05297AD" w14:textId="77777777" w:rsidR="00390E81" w:rsidRPr="000D5031" w:rsidRDefault="00390E81" w:rsidP="00390E81">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vAlign w:val="bottom"/>
          </w:tcPr>
          <w:p w14:paraId="1B917AA7" w14:textId="07FD8BAE"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90E81">
              <w:rPr>
                <w:rFonts w:ascii="Arial" w:hAnsi="Arial" w:cs="Arial"/>
                <w:sz w:val="18"/>
                <w:szCs w:val="18"/>
              </w:rPr>
              <w:t>$615M</w:t>
            </w:r>
          </w:p>
        </w:tc>
        <w:tc>
          <w:tcPr>
            <w:tcW w:w="1584" w:type="dxa"/>
            <w:vAlign w:val="bottom"/>
          </w:tcPr>
          <w:p w14:paraId="371B11FD" w14:textId="33B2EE59"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w:t>
            </w:r>
            <w:r w:rsidRPr="00390E81">
              <w:rPr>
                <w:rFonts w:ascii="Arial" w:hAnsi="Arial" w:cs="Arial"/>
                <w:sz w:val="18"/>
                <w:szCs w:val="18"/>
              </w:rPr>
              <w:t>21.5%</w:t>
            </w:r>
          </w:p>
        </w:tc>
        <w:tc>
          <w:tcPr>
            <w:tcW w:w="1584" w:type="dxa"/>
            <w:vAlign w:val="bottom"/>
          </w:tcPr>
          <w:p w14:paraId="248DEF07" w14:textId="40D14CD9"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hAnsi="Arial" w:cs="Arial"/>
                <w:highlight w:val="red"/>
              </w:rPr>
            </w:pPr>
            <w:r>
              <w:rPr>
                <w:rFonts w:ascii="Arial" w:hAnsi="Arial" w:cs="Arial"/>
                <w:sz w:val="18"/>
                <w:szCs w:val="18"/>
              </w:rPr>
              <w:t>+</w:t>
            </w:r>
            <w:r w:rsidRPr="00390E81">
              <w:rPr>
                <w:rFonts w:ascii="Arial" w:hAnsi="Arial" w:cs="Arial"/>
                <w:sz w:val="18"/>
                <w:szCs w:val="18"/>
              </w:rPr>
              <w:t>27.1%</w:t>
            </w:r>
          </w:p>
        </w:tc>
        <w:tc>
          <w:tcPr>
            <w:tcW w:w="1584" w:type="dxa"/>
            <w:vAlign w:val="bottom"/>
          </w:tcPr>
          <w:p w14:paraId="7417AA65" w14:textId="3981E1C0"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90E81">
              <w:rPr>
                <w:rFonts w:ascii="Arial" w:hAnsi="Arial" w:cs="Arial"/>
                <w:sz w:val="18"/>
                <w:szCs w:val="18"/>
              </w:rPr>
              <w:t>$1.35</w:t>
            </w:r>
          </w:p>
        </w:tc>
        <w:tc>
          <w:tcPr>
            <w:tcW w:w="1584" w:type="dxa"/>
            <w:vAlign w:val="bottom"/>
          </w:tcPr>
          <w:p w14:paraId="4AF0D023" w14:textId="58FBE6F8"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w:t>
            </w:r>
            <w:r w:rsidRPr="00390E81">
              <w:rPr>
                <w:rFonts w:ascii="Arial" w:hAnsi="Arial" w:cs="Arial"/>
                <w:sz w:val="18"/>
                <w:szCs w:val="18"/>
              </w:rPr>
              <w:t>18.5%</w:t>
            </w:r>
          </w:p>
        </w:tc>
      </w:tr>
    </w:tbl>
    <w:p w14:paraId="788E9F0B" w14:textId="77777777" w:rsidR="00770809" w:rsidRPr="008B064E" w:rsidRDefault="00770809" w:rsidP="00770809">
      <w:pPr>
        <w:pStyle w:val="NoSpacing"/>
        <w:rPr>
          <w:rFonts w:ascii="Arial" w:hAnsi="Arial" w:cs="Arial"/>
          <w:sz w:val="4"/>
          <w:szCs w:val="4"/>
        </w:rPr>
      </w:pPr>
    </w:p>
    <w:p w14:paraId="127869F3" w14:textId="1128B80A"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4BF058D3" w:rsidR="00770809" w:rsidRDefault="00770809" w:rsidP="00770809">
      <w:pPr>
        <w:pStyle w:val="NoSpacing"/>
        <w:rPr>
          <w:rFonts w:ascii="Arial" w:hAnsi="Arial" w:cs="Arial"/>
          <w:sz w:val="20"/>
          <w:szCs w:val="20"/>
        </w:rPr>
      </w:pPr>
    </w:p>
    <w:p w14:paraId="53C7F7C1" w14:textId="2EBEE177" w:rsidR="00E33D11" w:rsidRDefault="00390E81" w:rsidP="00770809">
      <w:pPr>
        <w:pStyle w:val="NoSpacing"/>
        <w:rPr>
          <w:rFonts w:ascii="Arial" w:hAnsi="Arial" w:cs="Arial"/>
          <w:sz w:val="20"/>
          <w:szCs w:val="20"/>
        </w:rPr>
      </w:pPr>
      <w:r>
        <w:rPr>
          <w:noProof/>
        </w:rPr>
        <w:drawing>
          <wp:anchor distT="0" distB="0" distL="114300" distR="114300" simplePos="0" relativeHeight="251663360" behindDoc="0" locked="0" layoutInCell="1" allowOverlap="1" wp14:anchorId="68B3F5E7" wp14:editId="4057D0C3">
            <wp:simplePos x="0" y="0"/>
            <wp:positionH relativeFrom="margin">
              <wp:align>right</wp:align>
            </wp:positionH>
            <wp:positionV relativeFrom="paragraph">
              <wp:posOffset>20955</wp:posOffset>
            </wp:positionV>
            <wp:extent cx="5052060" cy="2796540"/>
            <wp:effectExtent l="0" t="0" r="0" b="3810"/>
            <wp:wrapSquare wrapText="bothSides"/>
            <wp:docPr id="14" name="Chart 14">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Arial" w:hAnsi="Arial" w:cs="Arial"/>
          <w:sz w:val="20"/>
          <w:szCs w:val="20"/>
        </w:rPr>
        <w:t>Winter holiday</w:t>
      </w:r>
      <w:r w:rsidR="00F801C4">
        <w:rPr>
          <w:rFonts w:ascii="Arial" w:hAnsi="Arial" w:cs="Arial"/>
          <w:sz w:val="20"/>
          <w:szCs w:val="20"/>
        </w:rPr>
        <w:t xml:space="preserve"> buying patterns, such as canned green beans, cranberries and corn, in combination with the </w:t>
      </w:r>
      <w:r w:rsidR="009A4953">
        <w:rPr>
          <w:rFonts w:ascii="Arial" w:hAnsi="Arial" w:cs="Arial"/>
          <w:sz w:val="20"/>
          <w:szCs w:val="20"/>
        </w:rPr>
        <w:t xml:space="preserve">below-average </w:t>
      </w:r>
      <w:r w:rsidR="00524065">
        <w:rPr>
          <w:rFonts w:ascii="Arial" w:hAnsi="Arial" w:cs="Arial"/>
          <w:sz w:val="20"/>
          <w:szCs w:val="20"/>
        </w:rPr>
        <w:t xml:space="preserve">rate of </w:t>
      </w:r>
      <w:r w:rsidR="00460E70">
        <w:rPr>
          <w:rFonts w:ascii="Arial" w:hAnsi="Arial" w:cs="Arial"/>
          <w:sz w:val="20"/>
          <w:szCs w:val="20"/>
        </w:rPr>
        <w:t>inflation</w:t>
      </w:r>
      <w:r w:rsidR="009A4953">
        <w:rPr>
          <w:rFonts w:ascii="Arial" w:hAnsi="Arial" w:cs="Arial"/>
          <w:sz w:val="20"/>
          <w:szCs w:val="20"/>
        </w:rPr>
        <w:t xml:space="preserve"> for fresh produce meant a </w:t>
      </w:r>
      <w:r w:rsidR="00817522">
        <w:rPr>
          <w:rFonts w:ascii="Arial" w:hAnsi="Arial" w:cs="Arial"/>
          <w:sz w:val="20"/>
          <w:szCs w:val="20"/>
        </w:rPr>
        <w:t xml:space="preserve">fourth quarter </w:t>
      </w:r>
      <w:r w:rsidR="009A4953">
        <w:rPr>
          <w:rFonts w:ascii="Arial" w:hAnsi="Arial" w:cs="Arial"/>
          <w:sz w:val="20"/>
          <w:szCs w:val="20"/>
        </w:rPr>
        <w:t xml:space="preserve">drop in the share of fresh fruit and vegetables </w:t>
      </w:r>
      <w:r w:rsidR="00F801C4">
        <w:rPr>
          <w:rFonts w:ascii="Arial" w:hAnsi="Arial" w:cs="Arial"/>
          <w:sz w:val="20"/>
          <w:szCs w:val="20"/>
        </w:rPr>
        <w:t>(7</w:t>
      </w:r>
      <w:r w:rsidR="00817522">
        <w:rPr>
          <w:rFonts w:ascii="Arial" w:hAnsi="Arial" w:cs="Arial"/>
          <w:sz w:val="20"/>
          <w:szCs w:val="20"/>
        </w:rPr>
        <w:t>7.4</w:t>
      </w:r>
      <w:r w:rsidR="00F801C4">
        <w:rPr>
          <w:rFonts w:ascii="Arial" w:hAnsi="Arial" w:cs="Arial"/>
          <w:sz w:val="20"/>
          <w:szCs w:val="20"/>
        </w:rPr>
        <w:t xml:space="preserve">%) </w:t>
      </w:r>
      <w:r w:rsidR="009A4953">
        <w:rPr>
          <w:rFonts w:ascii="Arial" w:hAnsi="Arial" w:cs="Arial"/>
          <w:sz w:val="20"/>
          <w:szCs w:val="20"/>
        </w:rPr>
        <w:t>versus the share represented by frozen (</w:t>
      </w:r>
      <w:r w:rsidR="00460E70">
        <w:rPr>
          <w:rFonts w:ascii="Arial" w:hAnsi="Arial" w:cs="Arial"/>
          <w:sz w:val="20"/>
          <w:szCs w:val="20"/>
        </w:rPr>
        <w:t>8.</w:t>
      </w:r>
      <w:r w:rsidR="00817522">
        <w:rPr>
          <w:rFonts w:ascii="Arial" w:hAnsi="Arial" w:cs="Arial"/>
          <w:sz w:val="20"/>
          <w:szCs w:val="20"/>
        </w:rPr>
        <w:t>5</w:t>
      </w:r>
      <w:r w:rsidR="009A4953">
        <w:rPr>
          <w:rFonts w:ascii="Arial" w:hAnsi="Arial" w:cs="Arial"/>
          <w:sz w:val="20"/>
          <w:szCs w:val="20"/>
        </w:rPr>
        <w:t>%) and shelf-stable (</w:t>
      </w:r>
      <w:r w:rsidR="000833C6">
        <w:rPr>
          <w:rFonts w:ascii="Arial" w:hAnsi="Arial" w:cs="Arial"/>
          <w:sz w:val="20"/>
          <w:szCs w:val="20"/>
        </w:rPr>
        <w:t>1</w:t>
      </w:r>
      <w:r w:rsidR="00817522">
        <w:rPr>
          <w:rFonts w:ascii="Arial" w:hAnsi="Arial" w:cs="Arial"/>
          <w:sz w:val="20"/>
          <w:szCs w:val="20"/>
        </w:rPr>
        <w:t>4.1</w:t>
      </w:r>
      <w:r w:rsidR="009A4953">
        <w:rPr>
          <w:rFonts w:ascii="Arial" w:hAnsi="Arial" w:cs="Arial"/>
          <w:sz w:val="20"/>
          <w:szCs w:val="20"/>
        </w:rPr>
        <w:t>%)</w:t>
      </w:r>
      <w:r w:rsidR="00313611">
        <w:rPr>
          <w:rFonts w:ascii="Arial" w:hAnsi="Arial" w:cs="Arial"/>
          <w:sz w:val="20"/>
          <w:szCs w:val="20"/>
        </w:rPr>
        <w:t>.</w:t>
      </w:r>
      <w:r w:rsidR="00F801C4">
        <w:rPr>
          <w:rFonts w:ascii="Arial" w:hAnsi="Arial" w:cs="Arial"/>
          <w:sz w:val="20"/>
          <w:szCs w:val="20"/>
        </w:rPr>
        <w:t xml:space="preserve"> </w:t>
      </w:r>
      <w:r w:rsidR="00AB5F33">
        <w:rPr>
          <w:rFonts w:ascii="Arial" w:hAnsi="Arial" w:cs="Arial"/>
          <w:sz w:val="20"/>
          <w:szCs w:val="20"/>
        </w:rPr>
        <w:t xml:space="preserve">Prices for frozen fruit and vegetables increased </w:t>
      </w:r>
      <w:r w:rsidR="00817522">
        <w:rPr>
          <w:rFonts w:ascii="Arial" w:hAnsi="Arial" w:cs="Arial"/>
          <w:sz w:val="20"/>
          <w:szCs w:val="20"/>
        </w:rPr>
        <w:t>more than 20% in Q4</w:t>
      </w:r>
      <w:r w:rsidR="00AB5F33">
        <w:rPr>
          <w:rFonts w:ascii="Arial" w:hAnsi="Arial" w:cs="Arial"/>
          <w:sz w:val="20"/>
          <w:szCs w:val="20"/>
        </w:rPr>
        <w:t xml:space="preserve">. </w:t>
      </w:r>
      <w:r w:rsidR="00F801C4">
        <w:rPr>
          <w:rFonts w:ascii="Arial" w:hAnsi="Arial" w:cs="Arial"/>
          <w:sz w:val="20"/>
          <w:szCs w:val="20"/>
        </w:rPr>
        <w:t>Fresh produce sales represented 7</w:t>
      </w:r>
      <w:r w:rsidR="00817522">
        <w:rPr>
          <w:rFonts w:ascii="Arial" w:hAnsi="Arial" w:cs="Arial"/>
          <w:sz w:val="20"/>
          <w:szCs w:val="20"/>
        </w:rPr>
        <w:t>7</w:t>
      </w:r>
      <w:r w:rsidR="00F801C4">
        <w:rPr>
          <w:rFonts w:ascii="Arial" w:hAnsi="Arial" w:cs="Arial"/>
          <w:sz w:val="20"/>
          <w:szCs w:val="20"/>
        </w:rPr>
        <w:t>% of total pounds sold across the three zones.</w:t>
      </w:r>
    </w:p>
    <w:p w14:paraId="55311572" w14:textId="4D20DB5F" w:rsidR="003508FD" w:rsidRPr="00983F3F" w:rsidRDefault="003508FD" w:rsidP="00983F3F">
      <w:pPr>
        <w:spacing w:after="0" w:line="240" w:lineRule="auto"/>
        <w:rPr>
          <w:rFonts w:ascii="Arial" w:hAnsi="Arial" w:cs="Arial"/>
          <w:color w:val="000000" w:themeColor="text1"/>
          <w:sz w:val="10"/>
          <w:szCs w:val="10"/>
          <w:shd w:val="clear" w:color="auto" w:fill="FFFFFF"/>
        </w:rPr>
      </w:pPr>
    </w:p>
    <w:p w14:paraId="0751DC13" w14:textId="15B554A3"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32DB7BC7" w:rsidR="008111C0" w:rsidRDefault="008111C0" w:rsidP="0053257C">
      <w:pPr>
        <w:spacing w:after="0" w:line="240" w:lineRule="auto"/>
        <w:rPr>
          <w:rFonts w:ascii="Arial" w:hAnsi="Arial" w:cs="Arial"/>
          <w:sz w:val="20"/>
          <w:shd w:val="clear" w:color="auto" w:fill="FFFFFF"/>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0E229E7E" w:rsidR="0005157F" w:rsidRDefault="00223410" w:rsidP="006069A6">
      <w:pPr>
        <w:pStyle w:val="NoSpacing"/>
        <w:rPr>
          <w:rFonts w:ascii="Arial" w:hAnsi="Arial" w:cs="Arial"/>
          <w:sz w:val="20"/>
          <w:szCs w:val="20"/>
        </w:rPr>
      </w:pPr>
      <w:r>
        <w:rPr>
          <w:rFonts w:ascii="Arial" w:hAnsi="Arial" w:cs="Arial"/>
          <w:sz w:val="20"/>
          <w:szCs w:val="20"/>
        </w:rPr>
        <w:t xml:space="preserve">Fresh produce pound sales </w:t>
      </w:r>
      <w:r w:rsidR="00D36C5A">
        <w:rPr>
          <w:rFonts w:ascii="Arial" w:hAnsi="Arial" w:cs="Arial"/>
          <w:sz w:val="20"/>
          <w:szCs w:val="20"/>
        </w:rPr>
        <w:t>ha</w:t>
      </w:r>
      <w:r w:rsidR="00034C1B">
        <w:rPr>
          <w:rFonts w:ascii="Arial" w:hAnsi="Arial" w:cs="Arial"/>
          <w:sz w:val="20"/>
          <w:szCs w:val="20"/>
        </w:rPr>
        <w:t>ve</w:t>
      </w:r>
      <w:r w:rsidR="00D36C5A">
        <w:rPr>
          <w:rFonts w:ascii="Arial" w:hAnsi="Arial" w:cs="Arial"/>
          <w:sz w:val="20"/>
          <w:szCs w:val="20"/>
        </w:rPr>
        <w:t xml:space="preserve"> </w:t>
      </w:r>
      <w:r>
        <w:rPr>
          <w:rFonts w:ascii="Arial" w:hAnsi="Arial" w:cs="Arial"/>
          <w:sz w:val="20"/>
          <w:szCs w:val="20"/>
        </w:rPr>
        <w:t xml:space="preserve">trailed behind year ago levels </w:t>
      </w:r>
      <w:r w:rsidR="00D36C5A">
        <w:rPr>
          <w:rFonts w:ascii="Arial" w:hAnsi="Arial" w:cs="Arial"/>
          <w:sz w:val="20"/>
          <w:szCs w:val="20"/>
        </w:rPr>
        <w:t xml:space="preserve">since March 2021, but volume </w:t>
      </w:r>
      <w:r w:rsidR="00F801C4">
        <w:rPr>
          <w:rFonts w:ascii="Arial" w:hAnsi="Arial" w:cs="Arial"/>
          <w:sz w:val="20"/>
          <w:szCs w:val="20"/>
        </w:rPr>
        <w:t xml:space="preserve">moved </w:t>
      </w:r>
      <w:r w:rsidR="00817522">
        <w:rPr>
          <w:rFonts w:ascii="Arial" w:hAnsi="Arial" w:cs="Arial"/>
          <w:sz w:val="20"/>
          <w:szCs w:val="20"/>
        </w:rPr>
        <w:t xml:space="preserve">within 1.6% of year ago levels in the fourth quarter of 2022. </w:t>
      </w:r>
    </w:p>
    <w:p w14:paraId="33F0DBEC" w14:textId="73A4EF68" w:rsidR="00BA5935" w:rsidRDefault="00390E81" w:rsidP="009D1A60">
      <w:pPr>
        <w:pStyle w:val="NoSpacing"/>
        <w:rPr>
          <w:noProof/>
        </w:rPr>
      </w:pPr>
      <w:r>
        <w:rPr>
          <w:noProof/>
        </w:rPr>
        <w:drawing>
          <wp:inline distT="0" distB="0" distL="0" distR="0" wp14:anchorId="19816264" wp14:editId="167AD0C4">
            <wp:extent cx="6750685" cy="2778125"/>
            <wp:effectExtent l="0" t="0" r="0" b="3175"/>
            <wp:docPr id="15" name="Chart 15">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14CF2F77" w14:textId="7C77D16D" w:rsidR="00EF524A" w:rsidRDefault="00477FBF"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Fruit and vegetable volume got very close to December 2021 level</w:t>
      </w:r>
      <w:r w:rsidR="00F515F4">
        <w:rPr>
          <w:rFonts w:ascii="Arial" w:hAnsi="Arial" w:cs="Arial"/>
          <w:color w:val="000000" w:themeColor="text1"/>
          <w:sz w:val="20"/>
          <w:szCs w:val="18"/>
          <w:shd w:val="clear" w:color="auto" w:fill="FFFFFF"/>
        </w:rPr>
        <w:t xml:space="preserve">s, pulling up the results for the quarter. </w:t>
      </w:r>
    </w:p>
    <w:p w14:paraId="18A8E37F"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553" w:type="dxa"/>
        <w:tblBorders>
          <w:top w:val="none" w:sz="0" w:space="0" w:color="auto"/>
          <w:bottom w:val="none" w:sz="0" w:space="0" w:color="auto"/>
        </w:tblBorders>
        <w:tblLook w:val="04A0" w:firstRow="1" w:lastRow="0" w:firstColumn="1" w:lastColumn="0" w:noHBand="0" w:noVBand="1"/>
      </w:tblPr>
      <w:tblGrid>
        <w:gridCol w:w="1160"/>
        <w:gridCol w:w="342"/>
        <w:gridCol w:w="549"/>
        <w:gridCol w:w="217"/>
        <w:gridCol w:w="851"/>
        <w:gridCol w:w="857"/>
        <w:gridCol w:w="986"/>
        <w:gridCol w:w="850"/>
        <w:gridCol w:w="992"/>
        <w:gridCol w:w="829"/>
        <w:gridCol w:w="949"/>
        <w:gridCol w:w="934"/>
        <w:gridCol w:w="1037"/>
      </w:tblGrid>
      <w:tr w:rsidR="002A3B9B" w:rsidRPr="00CF309B" w14:paraId="54D27BD5" w14:textId="77777777" w:rsidTr="001841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D9731B" w14:textId="77777777" w:rsidR="002A3B9B" w:rsidRPr="00B7196D" w:rsidRDefault="002A3B9B" w:rsidP="00EC62BA">
            <w:pPr>
              <w:pStyle w:val="NoSpacing"/>
              <w:jc w:val="center"/>
              <w:rPr>
                <w:rFonts w:ascii="Arial" w:hAnsi="Arial" w:cs="Arial"/>
                <w:color w:val="FFFFFF" w:themeColor="background1"/>
                <w:sz w:val="18"/>
                <w:szCs w:val="18"/>
              </w:rPr>
            </w:pPr>
            <w:bookmarkStart w:id="3" w:name="_Hlk114217515"/>
          </w:p>
        </w:tc>
        <w:tc>
          <w:tcPr>
            <w:tcW w:w="89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CFA624D" w14:textId="77777777" w:rsidR="002A3B9B" w:rsidRPr="00CF309B" w:rsidRDefault="002A3B9B"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502" w:type="dxa"/>
            <w:gridSpan w:val="10"/>
            <w:tcBorders>
              <w:top w:val="none" w:sz="0" w:space="0" w:color="auto"/>
              <w:left w:val="none" w:sz="0" w:space="0" w:color="auto"/>
              <w:bottom w:val="none" w:sz="0" w:space="0" w:color="auto"/>
              <w:right w:val="none" w:sz="0" w:space="0" w:color="auto"/>
            </w:tcBorders>
            <w:shd w:val="clear" w:color="auto" w:fill="17365D" w:themeFill="text2" w:themeFillShade="BF"/>
          </w:tcPr>
          <w:p w14:paraId="5C2A10C7" w14:textId="7C02BD85" w:rsidR="002A3B9B" w:rsidRPr="00CF309B" w:rsidRDefault="002A3B9B"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A61E56" w:rsidRPr="00CF309B" w14:paraId="2188E4FF" w14:textId="77777777" w:rsidTr="001841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shd w:val="clear" w:color="auto" w:fill="17365D" w:themeFill="text2" w:themeFillShade="BF"/>
            <w:vAlign w:val="center"/>
          </w:tcPr>
          <w:p w14:paraId="29E5768B" w14:textId="77777777" w:rsidR="00A61E56" w:rsidRPr="00B7196D" w:rsidRDefault="00A61E56" w:rsidP="00494940">
            <w:pPr>
              <w:pStyle w:val="NoSpacing"/>
              <w:jc w:val="right"/>
              <w:rPr>
                <w:rFonts w:ascii="Arial" w:hAnsi="Arial" w:cs="Arial"/>
                <w:color w:val="FFFFFF" w:themeColor="background1"/>
                <w:sz w:val="18"/>
                <w:szCs w:val="18"/>
              </w:rPr>
            </w:pPr>
          </w:p>
        </w:tc>
        <w:tc>
          <w:tcPr>
            <w:tcW w:w="766" w:type="dxa"/>
            <w:gridSpan w:val="2"/>
            <w:tcBorders>
              <w:left w:val="none" w:sz="0" w:space="0" w:color="auto"/>
              <w:right w:val="none" w:sz="0" w:space="0" w:color="auto"/>
            </w:tcBorders>
            <w:shd w:val="clear" w:color="auto" w:fill="17365D" w:themeFill="text2" w:themeFillShade="BF"/>
            <w:vAlign w:val="center"/>
          </w:tcPr>
          <w:p w14:paraId="63017601" w14:textId="77777777" w:rsidR="00A61E56" w:rsidRPr="003C245B"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51" w:type="dxa"/>
            <w:tcBorders>
              <w:left w:val="none" w:sz="0" w:space="0" w:color="auto"/>
              <w:right w:val="none" w:sz="0" w:space="0" w:color="auto"/>
            </w:tcBorders>
            <w:shd w:val="clear" w:color="auto" w:fill="17365D" w:themeFill="text2" w:themeFillShade="BF"/>
            <w:vAlign w:val="center"/>
          </w:tcPr>
          <w:p w14:paraId="4A18F774" w14:textId="77777777" w:rsidR="00A61E56" w:rsidRPr="003C245B"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857" w:type="dxa"/>
            <w:tcBorders>
              <w:left w:val="none" w:sz="0" w:space="0" w:color="auto"/>
              <w:right w:val="none" w:sz="0" w:space="0" w:color="auto"/>
            </w:tcBorders>
            <w:shd w:val="clear" w:color="auto" w:fill="17365D" w:themeFill="text2" w:themeFillShade="BF"/>
            <w:vAlign w:val="center"/>
          </w:tcPr>
          <w:p w14:paraId="1A442681" w14:textId="71F4D752"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2021</w:t>
            </w:r>
          </w:p>
        </w:tc>
        <w:tc>
          <w:tcPr>
            <w:tcW w:w="986" w:type="dxa"/>
            <w:tcBorders>
              <w:left w:val="none" w:sz="0" w:space="0" w:color="auto"/>
              <w:right w:val="none" w:sz="0" w:space="0" w:color="auto"/>
            </w:tcBorders>
            <w:shd w:val="clear" w:color="auto" w:fill="17365D" w:themeFill="text2" w:themeFillShade="BF"/>
            <w:vAlign w:val="center"/>
          </w:tcPr>
          <w:p w14:paraId="4385EE9E" w14:textId="22D4D9C4"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50" w:type="dxa"/>
            <w:tcBorders>
              <w:left w:val="none" w:sz="0" w:space="0" w:color="auto"/>
              <w:right w:val="none" w:sz="0" w:space="0" w:color="auto"/>
            </w:tcBorders>
            <w:shd w:val="clear" w:color="auto" w:fill="17365D" w:themeFill="text2" w:themeFillShade="BF"/>
            <w:vAlign w:val="center"/>
          </w:tcPr>
          <w:p w14:paraId="1C76D19F" w14:textId="11890A13"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992" w:type="dxa"/>
            <w:tcBorders>
              <w:left w:val="none" w:sz="0" w:space="0" w:color="auto"/>
              <w:right w:val="none" w:sz="0" w:space="0" w:color="auto"/>
            </w:tcBorders>
            <w:shd w:val="clear" w:color="auto" w:fill="17365D" w:themeFill="text2" w:themeFillShade="BF"/>
            <w:vAlign w:val="center"/>
          </w:tcPr>
          <w:p w14:paraId="49CD60B3" w14:textId="22F34E36"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22</w:t>
            </w:r>
          </w:p>
        </w:tc>
        <w:tc>
          <w:tcPr>
            <w:tcW w:w="829" w:type="dxa"/>
            <w:tcBorders>
              <w:left w:val="none" w:sz="0" w:space="0" w:color="auto"/>
              <w:right w:val="none" w:sz="0" w:space="0" w:color="auto"/>
            </w:tcBorders>
            <w:shd w:val="clear" w:color="auto" w:fill="17365D" w:themeFill="text2" w:themeFillShade="BF"/>
            <w:vAlign w:val="center"/>
          </w:tcPr>
          <w:p w14:paraId="518A748D" w14:textId="7BFF7048"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22</w:t>
            </w:r>
          </w:p>
        </w:tc>
        <w:tc>
          <w:tcPr>
            <w:tcW w:w="949" w:type="dxa"/>
            <w:tcBorders>
              <w:left w:val="none" w:sz="0" w:space="0" w:color="auto"/>
              <w:right w:val="none" w:sz="0" w:space="0" w:color="auto"/>
            </w:tcBorders>
            <w:shd w:val="clear" w:color="auto" w:fill="17365D" w:themeFill="text2" w:themeFillShade="BF"/>
            <w:vAlign w:val="center"/>
          </w:tcPr>
          <w:p w14:paraId="7DD4E35E" w14:textId="41CF8768"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 22</w:t>
            </w:r>
          </w:p>
        </w:tc>
        <w:tc>
          <w:tcPr>
            <w:tcW w:w="934" w:type="dxa"/>
            <w:tcBorders>
              <w:left w:val="none" w:sz="0" w:space="0" w:color="auto"/>
              <w:right w:val="none" w:sz="0" w:space="0" w:color="auto"/>
            </w:tcBorders>
            <w:shd w:val="clear" w:color="auto" w:fill="17365D" w:themeFill="text2" w:themeFillShade="BF"/>
            <w:vAlign w:val="center"/>
          </w:tcPr>
          <w:p w14:paraId="041FEF61" w14:textId="4E21B2CB"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1037" w:type="dxa"/>
            <w:tcBorders>
              <w:left w:val="none" w:sz="0" w:space="0" w:color="auto"/>
              <w:right w:val="none" w:sz="0" w:space="0" w:color="auto"/>
            </w:tcBorders>
            <w:shd w:val="clear" w:color="auto" w:fill="17365D" w:themeFill="text2" w:themeFillShade="BF"/>
            <w:vAlign w:val="center"/>
          </w:tcPr>
          <w:p w14:paraId="582F16C2" w14:textId="2A0FD017"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2019</w:t>
            </w:r>
          </w:p>
        </w:tc>
      </w:tr>
      <w:tr w:rsidR="00A61E56" w:rsidRPr="00E43E81" w14:paraId="63E25688" w14:textId="77777777" w:rsidTr="00BD7A5B">
        <w:trPr>
          <w:trHeight w:val="300"/>
        </w:trPr>
        <w:tc>
          <w:tcPr>
            <w:cnfStyle w:val="001000000000" w:firstRow="0" w:lastRow="0" w:firstColumn="1" w:lastColumn="0" w:oddVBand="0" w:evenVBand="0" w:oddHBand="0" w:evenHBand="0" w:firstRowFirstColumn="0" w:firstRowLastColumn="0" w:lastRowFirstColumn="0" w:lastRowLastColumn="0"/>
            <w:tcW w:w="1502" w:type="dxa"/>
            <w:gridSpan w:val="2"/>
            <w:vAlign w:val="center"/>
          </w:tcPr>
          <w:p w14:paraId="1BC5E048" w14:textId="77777777" w:rsidR="00A61E56" w:rsidRPr="00E43E81" w:rsidRDefault="00A61E56"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766" w:type="dxa"/>
            <w:gridSpan w:val="2"/>
            <w:vAlign w:val="center"/>
          </w:tcPr>
          <w:p w14:paraId="1139F53D"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1" w:type="dxa"/>
            <w:vAlign w:val="center"/>
          </w:tcPr>
          <w:p w14:paraId="7781D8C8"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7" w:type="dxa"/>
          </w:tcPr>
          <w:p w14:paraId="2AA16F83" w14:textId="77777777" w:rsidR="00A61E56" w:rsidRPr="00E43E81" w:rsidRDefault="00A61E56"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86" w:type="dxa"/>
          </w:tcPr>
          <w:p w14:paraId="0E3FBDB9"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63E23AFE"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92" w:type="dxa"/>
            <w:vAlign w:val="center"/>
          </w:tcPr>
          <w:p w14:paraId="0DF8158F" w14:textId="77777777"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29" w:type="dxa"/>
          </w:tcPr>
          <w:p w14:paraId="4B6FB592"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9" w:type="dxa"/>
          </w:tcPr>
          <w:p w14:paraId="4EFAFB8B" w14:textId="47A621E9"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34" w:type="dxa"/>
          </w:tcPr>
          <w:p w14:paraId="3E5E2079" w14:textId="6B23943E"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1037" w:type="dxa"/>
          </w:tcPr>
          <w:p w14:paraId="3C1099A0"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A61E56" w:rsidRPr="00EF524A" w14:paraId="5AEC7600" w14:textId="77777777" w:rsidTr="00184177">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vAlign w:val="center"/>
          </w:tcPr>
          <w:p w14:paraId="7D1E7D37" w14:textId="4D3D1D32" w:rsidR="00A61E56" w:rsidRPr="00D642D0" w:rsidRDefault="00A61E56"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Dollars</w:t>
            </w:r>
          </w:p>
        </w:tc>
        <w:tc>
          <w:tcPr>
            <w:tcW w:w="766" w:type="dxa"/>
            <w:gridSpan w:val="2"/>
            <w:tcBorders>
              <w:left w:val="none" w:sz="0" w:space="0" w:color="auto"/>
              <w:right w:val="none" w:sz="0" w:space="0" w:color="auto"/>
            </w:tcBorders>
            <w:vAlign w:val="center"/>
          </w:tcPr>
          <w:p w14:paraId="15B690B5" w14:textId="587D8887"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+0%</w:t>
            </w:r>
          </w:p>
        </w:tc>
        <w:tc>
          <w:tcPr>
            <w:tcW w:w="851" w:type="dxa"/>
            <w:tcBorders>
              <w:left w:val="none" w:sz="0" w:space="0" w:color="auto"/>
              <w:right w:val="none" w:sz="0" w:space="0" w:color="auto"/>
            </w:tcBorders>
            <w:vAlign w:val="center"/>
          </w:tcPr>
          <w:p w14:paraId="17DA2E9F" w14:textId="0EA60C18"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+9%</w:t>
            </w:r>
          </w:p>
        </w:tc>
        <w:tc>
          <w:tcPr>
            <w:tcW w:w="857" w:type="dxa"/>
            <w:tcBorders>
              <w:left w:val="none" w:sz="0" w:space="0" w:color="auto"/>
              <w:right w:val="none" w:sz="0" w:space="0" w:color="auto"/>
            </w:tcBorders>
            <w:vAlign w:val="center"/>
          </w:tcPr>
          <w:p w14:paraId="59F7AEF4" w14:textId="7581E355" w:rsidR="00A61E56" w:rsidRPr="00EF524A"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+6.5</w:t>
            </w:r>
            <w:r w:rsidR="00A61E56">
              <w:rPr>
                <w:rFonts w:ascii="Arial" w:hAnsi="Arial" w:cs="Arial"/>
                <w:b/>
                <w:bCs/>
                <w:color w:val="215868"/>
                <w:sz w:val="18"/>
                <w:szCs w:val="18"/>
              </w:rPr>
              <w:t>%</w:t>
            </w:r>
          </w:p>
        </w:tc>
        <w:tc>
          <w:tcPr>
            <w:tcW w:w="986" w:type="dxa"/>
            <w:tcBorders>
              <w:left w:val="none" w:sz="0" w:space="0" w:color="auto"/>
              <w:right w:val="none" w:sz="0" w:space="0" w:color="auto"/>
            </w:tcBorders>
            <w:vAlign w:val="center"/>
          </w:tcPr>
          <w:p w14:paraId="0DFFA07C" w14:textId="31614361"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+10%</w:t>
            </w:r>
          </w:p>
        </w:tc>
        <w:tc>
          <w:tcPr>
            <w:tcW w:w="850" w:type="dxa"/>
            <w:tcBorders>
              <w:left w:val="none" w:sz="0" w:space="0" w:color="auto"/>
              <w:right w:val="none" w:sz="0" w:space="0" w:color="auto"/>
            </w:tcBorders>
            <w:vAlign w:val="center"/>
          </w:tcPr>
          <w:p w14:paraId="483B56F7" w14:textId="7B62B4E7"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+4%</w:t>
            </w:r>
          </w:p>
        </w:tc>
        <w:tc>
          <w:tcPr>
            <w:tcW w:w="992" w:type="dxa"/>
            <w:tcBorders>
              <w:left w:val="none" w:sz="0" w:space="0" w:color="auto"/>
              <w:right w:val="none" w:sz="0" w:space="0" w:color="auto"/>
            </w:tcBorders>
            <w:vAlign w:val="center"/>
          </w:tcPr>
          <w:p w14:paraId="4FD296DE" w14:textId="2B93212B"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+4.6%</w:t>
            </w:r>
          </w:p>
        </w:tc>
        <w:tc>
          <w:tcPr>
            <w:tcW w:w="829" w:type="dxa"/>
            <w:tcBorders>
              <w:left w:val="none" w:sz="0" w:space="0" w:color="auto"/>
              <w:right w:val="none" w:sz="0" w:space="0" w:color="auto"/>
            </w:tcBorders>
          </w:tcPr>
          <w:p w14:paraId="5C343E9E" w14:textId="3F161A55" w:rsidR="00A61E56"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+1.3</w:t>
            </w:r>
            <w:r w:rsidR="00A61E56">
              <w:rPr>
                <w:rFonts w:ascii="Arial" w:hAnsi="Arial" w:cs="Arial"/>
                <w:b/>
                <w:bCs/>
                <w:color w:val="215868"/>
                <w:sz w:val="18"/>
                <w:szCs w:val="18"/>
              </w:rPr>
              <w:t>%</w:t>
            </w:r>
          </w:p>
        </w:tc>
        <w:tc>
          <w:tcPr>
            <w:tcW w:w="949" w:type="dxa"/>
            <w:tcBorders>
              <w:left w:val="none" w:sz="0" w:space="0" w:color="auto"/>
              <w:right w:val="none" w:sz="0" w:space="0" w:color="auto"/>
            </w:tcBorders>
            <w:vAlign w:val="center"/>
          </w:tcPr>
          <w:p w14:paraId="0B316AC7" w14:textId="68B62566"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477FBF">
              <w:rPr>
                <w:rFonts w:ascii="Arial" w:hAnsi="Arial" w:cs="Arial"/>
                <w:b/>
                <w:bCs/>
                <w:color w:val="215868"/>
                <w:sz w:val="18"/>
                <w:szCs w:val="18"/>
              </w:rPr>
              <w:t>2.5</w:t>
            </w:r>
            <w:r>
              <w:rPr>
                <w:rFonts w:ascii="Arial" w:hAnsi="Arial" w:cs="Arial"/>
                <w:b/>
                <w:bCs/>
                <w:color w:val="215868"/>
                <w:sz w:val="18"/>
                <w:szCs w:val="18"/>
              </w:rPr>
              <w:t>B</w:t>
            </w:r>
          </w:p>
        </w:tc>
        <w:tc>
          <w:tcPr>
            <w:tcW w:w="934" w:type="dxa"/>
            <w:tcBorders>
              <w:left w:val="none" w:sz="0" w:space="0" w:color="auto"/>
              <w:right w:val="none" w:sz="0" w:space="0" w:color="auto"/>
            </w:tcBorders>
            <w:vAlign w:val="center"/>
          </w:tcPr>
          <w:p w14:paraId="22BC605C" w14:textId="60230EDD"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477FBF">
              <w:rPr>
                <w:rFonts w:ascii="Arial" w:hAnsi="Arial" w:cs="Arial"/>
                <w:b/>
                <w:bCs/>
                <w:color w:val="215868"/>
                <w:sz w:val="18"/>
                <w:szCs w:val="18"/>
              </w:rPr>
              <w:t>1.3</w:t>
            </w:r>
            <w:r>
              <w:rPr>
                <w:rFonts w:ascii="Arial" w:hAnsi="Arial" w:cs="Arial"/>
                <w:b/>
                <w:bCs/>
                <w:color w:val="215868"/>
                <w:sz w:val="18"/>
                <w:szCs w:val="18"/>
              </w:rPr>
              <w:t>%</w:t>
            </w:r>
          </w:p>
        </w:tc>
        <w:tc>
          <w:tcPr>
            <w:tcW w:w="1037" w:type="dxa"/>
            <w:tcBorders>
              <w:left w:val="none" w:sz="0" w:space="0" w:color="auto"/>
              <w:right w:val="none" w:sz="0" w:space="0" w:color="auto"/>
            </w:tcBorders>
            <w:vAlign w:val="center"/>
          </w:tcPr>
          <w:p w14:paraId="2FC95C73" w14:textId="3F3304D6" w:rsidR="00A61E56" w:rsidRPr="00EF524A" w:rsidRDefault="00A61E56" w:rsidP="00797A8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477FBF">
              <w:rPr>
                <w:rFonts w:ascii="Arial" w:hAnsi="Arial" w:cs="Arial"/>
                <w:b/>
                <w:bCs/>
                <w:color w:val="215868"/>
                <w:sz w:val="18"/>
                <w:szCs w:val="18"/>
              </w:rPr>
              <w:t>25.6</w:t>
            </w:r>
            <w:r>
              <w:rPr>
                <w:rFonts w:ascii="Arial" w:hAnsi="Arial" w:cs="Arial"/>
                <w:b/>
                <w:bCs/>
                <w:color w:val="215868"/>
                <w:sz w:val="18"/>
                <w:szCs w:val="18"/>
              </w:rPr>
              <w:t>%</w:t>
            </w:r>
          </w:p>
        </w:tc>
      </w:tr>
      <w:tr w:rsidR="00A61E56" w:rsidRPr="00E43E81" w14:paraId="3476271B" w14:textId="77777777" w:rsidTr="00A61E56">
        <w:trPr>
          <w:trHeight w:val="146"/>
        </w:trPr>
        <w:tc>
          <w:tcPr>
            <w:cnfStyle w:val="001000000000" w:firstRow="0" w:lastRow="0" w:firstColumn="1" w:lastColumn="0" w:oddVBand="0" w:evenVBand="0" w:oddHBand="0" w:evenHBand="0" w:firstRowFirstColumn="0" w:firstRowLastColumn="0" w:lastRowFirstColumn="0" w:lastRowLastColumn="0"/>
            <w:tcW w:w="1502" w:type="dxa"/>
            <w:gridSpan w:val="2"/>
            <w:vAlign w:val="center"/>
          </w:tcPr>
          <w:p w14:paraId="3C77D01E" w14:textId="5EB81D7D" w:rsidR="00A61E56" w:rsidRPr="00D642D0" w:rsidRDefault="00A61E56"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66" w:type="dxa"/>
            <w:gridSpan w:val="2"/>
            <w:vAlign w:val="center"/>
          </w:tcPr>
          <w:p w14:paraId="5B77DAE0" w14:textId="19345A6B" w:rsidR="00A61E56" w:rsidRPr="00EF524A"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851" w:type="dxa"/>
            <w:vAlign w:val="center"/>
          </w:tcPr>
          <w:p w14:paraId="2014A442" w14:textId="2792669B"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+9%</w:t>
            </w:r>
          </w:p>
        </w:tc>
        <w:tc>
          <w:tcPr>
            <w:tcW w:w="857" w:type="dxa"/>
            <w:vAlign w:val="center"/>
          </w:tcPr>
          <w:p w14:paraId="75D8DE48" w14:textId="71700AA2"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-1.9</w:t>
            </w:r>
            <w:r w:rsidR="00A61E56">
              <w:rPr>
                <w:rFonts w:ascii="Arial" w:hAnsi="Arial" w:cs="Arial"/>
                <w:color w:val="215868"/>
                <w:sz w:val="18"/>
                <w:szCs w:val="18"/>
              </w:rPr>
              <w:t>%</w:t>
            </w:r>
          </w:p>
        </w:tc>
        <w:tc>
          <w:tcPr>
            <w:tcW w:w="986" w:type="dxa"/>
            <w:vAlign w:val="center"/>
          </w:tcPr>
          <w:p w14:paraId="1BD47635" w14:textId="763C3805"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-4%</w:t>
            </w:r>
          </w:p>
        </w:tc>
        <w:tc>
          <w:tcPr>
            <w:tcW w:w="850" w:type="dxa"/>
            <w:vAlign w:val="center"/>
          </w:tcPr>
          <w:p w14:paraId="14C8E331" w14:textId="0AC7D99A"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992" w:type="dxa"/>
            <w:vAlign w:val="center"/>
          </w:tcPr>
          <w:p w14:paraId="61FFE954" w14:textId="6D12DE22"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-5.0%</w:t>
            </w:r>
          </w:p>
        </w:tc>
        <w:tc>
          <w:tcPr>
            <w:tcW w:w="829" w:type="dxa"/>
          </w:tcPr>
          <w:p w14:paraId="1D046544" w14:textId="0AF0BEC4"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-1.8</w:t>
            </w:r>
            <w:r w:rsidR="00A61E56">
              <w:rPr>
                <w:rFonts w:ascii="Arial" w:hAnsi="Arial" w:cs="Arial"/>
                <w:color w:val="215868"/>
                <w:sz w:val="18"/>
                <w:szCs w:val="18"/>
              </w:rPr>
              <w:t>%</w:t>
            </w:r>
          </w:p>
        </w:tc>
        <w:tc>
          <w:tcPr>
            <w:tcW w:w="949" w:type="dxa"/>
            <w:vAlign w:val="center"/>
          </w:tcPr>
          <w:p w14:paraId="24ED1C4B" w14:textId="4CF9A2F9"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1.4</w:t>
            </w:r>
            <w:r w:rsidR="00A61E56">
              <w:rPr>
                <w:rFonts w:ascii="Arial" w:hAnsi="Arial" w:cs="Arial"/>
                <w:color w:val="215868"/>
                <w:sz w:val="18"/>
                <w:szCs w:val="18"/>
              </w:rPr>
              <w:t>B</w:t>
            </w:r>
          </w:p>
        </w:tc>
        <w:tc>
          <w:tcPr>
            <w:tcW w:w="934" w:type="dxa"/>
            <w:vAlign w:val="center"/>
          </w:tcPr>
          <w:p w14:paraId="40C78115" w14:textId="0AD6C2CE"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w:t>
            </w:r>
            <w:r w:rsidR="00477FBF">
              <w:rPr>
                <w:rFonts w:ascii="Arial" w:hAnsi="Arial" w:cs="Arial"/>
                <w:color w:val="215868"/>
                <w:sz w:val="18"/>
                <w:szCs w:val="18"/>
              </w:rPr>
              <w:t>0.2</w:t>
            </w:r>
            <w:r>
              <w:rPr>
                <w:rFonts w:ascii="Arial" w:hAnsi="Arial" w:cs="Arial"/>
                <w:color w:val="215868"/>
                <w:sz w:val="18"/>
                <w:szCs w:val="18"/>
              </w:rPr>
              <w:t>%</w:t>
            </w:r>
          </w:p>
        </w:tc>
        <w:tc>
          <w:tcPr>
            <w:tcW w:w="1037" w:type="dxa"/>
            <w:vAlign w:val="center"/>
          </w:tcPr>
          <w:p w14:paraId="40AFD473" w14:textId="72B2DB19"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w:t>
            </w:r>
            <w:r w:rsidR="00477FBF">
              <w:rPr>
                <w:rFonts w:ascii="Arial" w:hAnsi="Arial" w:cs="Arial"/>
                <w:color w:val="215868"/>
                <w:sz w:val="18"/>
                <w:szCs w:val="18"/>
              </w:rPr>
              <w:t>7.2</w:t>
            </w:r>
            <w:r>
              <w:rPr>
                <w:rFonts w:ascii="Arial" w:hAnsi="Arial" w:cs="Arial"/>
                <w:color w:val="215868"/>
                <w:sz w:val="18"/>
                <w:szCs w:val="18"/>
              </w:rPr>
              <w:t>%</w:t>
            </w:r>
          </w:p>
        </w:tc>
      </w:tr>
      <w:tr w:rsidR="00A61E56" w:rsidRPr="00E43E81" w14:paraId="086B8DCB" w14:textId="77777777" w:rsidTr="001841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vAlign w:val="center"/>
          </w:tcPr>
          <w:p w14:paraId="33C6FCCB" w14:textId="5B9F8EE3" w:rsidR="00A61E56" w:rsidRPr="00D642D0" w:rsidRDefault="00A61E56" w:rsidP="008674D0">
            <w:pPr>
              <w:pStyle w:val="NoSpacing"/>
              <w:rPr>
                <w:rFonts w:ascii="Arial" w:hAnsi="Arial" w:cs="Arial"/>
                <w:color w:val="215868" w:themeColor="accent5" w:themeShade="80"/>
                <w:sz w:val="18"/>
                <w:szCs w:val="18"/>
              </w:rPr>
            </w:pPr>
            <w:r w:rsidRPr="00D642D0">
              <w:rPr>
                <w:rFonts w:ascii="Arial" w:hAnsi="Arial" w:cs="Arial"/>
                <w:color w:val="215868"/>
                <w:sz w:val="18"/>
                <w:szCs w:val="18"/>
              </w:rPr>
              <w:t>Vegetables</w:t>
            </w:r>
          </w:p>
        </w:tc>
        <w:tc>
          <w:tcPr>
            <w:tcW w:w="766" w:type="dxa"/>
            <w:gridSpan w:val="2"/>
            <w:tcBorders>
              <w:left w:val="none" w:sz="0" w:space="0" w:color="auto"/>
              <w:right w:val="none" w:sz="0" w:space="0" w:color="auto"/>
            </w:tcBorders>
            <w:vAlign w:val="center"/>
          </w:tcPr>
          <w:p w14:paraId="73DCC43F" w14:textId="77777777"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1" w:type="dxa"/>
            <w:tcBorders>
              <w:left w:val="none" w:sz="0" w:space="0" w:color="auto"/>
              <w:right w:val="none" w:sz="0" w:space="0" w:color="auto"/>
            </w:tcBorders>
            <w:vAlign w:val="center"/>
          </w:tcPr>
          <w:p w14:paraId="7761902E" w14:textId="77777777"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7" w:type="dxa"/>
            <w:tcBorders>
              <w:left w:val="none" w:sz="0" w:space="0" w:color="auto"/>
              <w:right w:val="none" w:sz="0" w:space="0" w:color="auto"/>
            </w:tcBorders>
            <w:vAlign w:val="center"/>
          </w:tcPr>
          <w:p w14:paraId="6BD6E949"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86" w:type="dxa"/>
            <w:tcBorders>
              <w:left w:val="none" w:sz="0" w:space="0" w:color="auto"/>
              <w:right w:val="none" w:sz="0" w:space="0" w:color="auto"/>
            </w:tcBorders>
            <w:vAlign w:val="center"/>
          </w:tcPr>
          <w:p w14:paraId="2EC07E7F"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Borders>
              <w:left w:val="none" w:sz="0" w:space="0" w:color="auto"/>
              <w:right w:val="none" w:sz="0" w:space="0" w:color="auto"/>
            </w:tcBorders>
            <w:vAlign w:val="center"/>
          </w:tcPr>
          <w:p w14:paraId="6CFBC54D"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92" w:type="dxa"/>
            <w:tcBorders>
              <w:left w:val="none" w:sz="0" w:space="0" w:color="auto"/>
              <w:right w:val="none" w:sz="0" w:space="0" w:color="auto"/>
            </w:tcBorders>
            <w:vAlign w:val="center"/>
          </w:tcPr>
          <w:p w14:paraId="7640A3CF"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29" w:type="dxa"/>
            <w:tcBorders>
              <w:left w:val="none" w:sz="0" w:space="0" w:color="auto"/>
              <w:right w:val="none" w:sz="0" w:space="0" w:color="auto"/>
            </w:tcBorders>
          </w:tcPr>
          <w:p w14:paraId="3A7A54CC"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49" w:type="dxa"/>
            <w:tcBorders>
              <w:left w:val="none" w:sz="0" w:space="0" w:color="auto"/>
              <w:right w:val="none" w:sz="0" w:space="0" w:color="auto"/>
            </w:tcBorders>
            <w:vAlign w:val="center"/>
          </w:tcPr>
          <w:p w14:paraId="7096CAC7" w14:textId="4CAD96AD"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34" w:type="dxa"/>
            <w:tcBorders>
              <w:left w:val="none" w:sz="0" w:space="0" w:color="auto"/>
              <w:right w:val="none" w:sz="0" w:space="0" w:color="auto"/>
            </w:tcBorders>
            <w:vAlign w:val="center"/>
          </w:tcPr>
          <w:p w14:paraId="29C1AAF9" w14:textId="37631E86"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037" w:type="dxa"/>
            <w:tcBorders>
              <w:left w:val="none" w:sz="0" w:space="0" w:color="auto"/>
              <w:right w:val="none" w:sz="0" w:space="0" w:color="auto"/>
            </w:tcBorders>
            <w:vAlign w:val="center"/>
          </w:tcPr>
          <w:p w14:paraId="05C8EE53"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A61E56" w:rsidRPr="00E43E81" w14:paraId="21073A7E" w14:textId="77777777" w:rsidTr="00A61E56">
        <w:trPr>
          <w:trHeight w:val="146"/>
        </w:trPr>
        <w:tc>
          <w:tcPr>
            <w:cnfStyle w:val="001000000000" w:firstRow="0" w:lastRow="0" w:firstColumn="1" w:lastColumn="0" w:oddVBand="0" w:evenVBand="0" w:oddHBand="0" w:evenHBand="0" w:firstRowFirstColumn="0" w:firstRowLastColumn="0" w:lastRowFirstColumn="0" w:lastRowLastColumn="0"/>
            <w:tcW w:w="1502" w:type="dxa"/>
            <w:gridSpan w:val="2"/>
            <w:vAlign w:val="center"/>
          </w:tcPr>
          <w:p w14:paraId="212B5B99" w14:textId="1EF31D37" w:rsidR="00A61E56" w:rsidRPr="00D642D0" w:rsidRDefault="00A61E56"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Dollars</w:t>
            </w:r>
          </w:p>
        </w:tc>
        <w:tc>
          <w:tcPr>
            <w:tcW w:w="766" w:type="dxa"/>
            <w:gridSpan w:val="2"/>
            <w:vAlign w:val="center"/>
          </w:tcPr>
          <w:p w14:paraId="1765AE90" w14:textId="62EB795C" w:rsidR="00A61E56" w:rsidRPr="00EF524A"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w:t>
            </w:r>
          </w:p>
        </w:tc>
        <w:tc>
          <w:tcPr>
            <w:tcW w:w="851" w:type="dxa"/>
            <w:vAlign w:val="center"/>
          </w:tcPr>
          <w:p w14:paraId="32E683B5" w14:textId="299A82A3"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+15%</w:t>
            </w:r>
          </w:p>
        </w:tc>
        <w:tc>
          <w:tcPr>
            <w:tcW w:w="857" w:type="dxa"/>
            <w:vAlign w:val="center"/>
          </w:tcPr>
          <w:p w14:paraId="04FFBCC4" w14:textId="71A38CE9"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-1.2</w:t>
            </w:r>
            <w:r w:rsidR="00A61E56">
              <w:rPr>
                <w:rFonts w:ascii="Arial" w:hAnsi="Arial" w:cs="Arial"/>
                <w:color w:val="215868"/>
                <w:sz w:val="18"/>
                <w:szCs w:val="18"/>
              </w:rPr>
              <w:t>%</w:t>
            </w:r>
          </w:p>
        </w:tc>
        <w:tc>
          <w:tcPr>
            <w:tcW w:w="986" w:type="dxa"/>
            <w:vAlign w:val="center"/>
          </w:tcPr>
          <w:p w14:paraId="61F9669F" w14:textId="661480E8"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+0%</w:t>
            </w:r>
          </w:p>
        </w:tc>
        <w:tc>
          <w:tcPr>
            <w:tcW w:w="850" w:type="dxa"/>
            <w:vAlign w:val="center"/>
          </w:tcPr>
          <w:p w14:paraId="046A612B" w14:textId="25BD312E"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sz w:val="18"/>
                <w:szCs w:val="18"/>
              </w:rPr>
              <w:t>+3%</w:t>
            </w:r>
          </w:p>
        </w:tc>
        <w:tc>
          <w:tcPr>
            <w:tcW w:w="992" w:type="dxa"/>
            <w:vAlign w:val="center"/>
          </w:tcPr>
          <w:p w14:paraId="2E31ACB9" w14:textId="044143EA"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+4.8%</w:t>
            </w:r>
          </w:p>
        </w:tc>
        <w:tc>
          <w:tcPr>
            <w:tcW w:w="829" w:type="dxa"/>
          </w:tcPr>
          <w:p w14:paraId="50FD598E" w14:textId="273CCC81"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+6.8</w:t>
            </w:r>
            <w:r w:rsidR="00A61E56">
              <w:rPr>
                <w:rFonts w:ascii="Arial" w:hAnsi="Arial" w:cs="Arial"/>
                <w:color w:val="215868"/>
                <w:sz w:val="18"/>
                <w:szCs w:val="18"/>
              </w:rPr>
              <w:t>%</w:t>
            </w:r>
          </w:p>
        </w:tc>
        <w:tc>
          <w:tcPr>
            <w:tcW w:w="949" w:type="dxa"/>
            <w:vAlign w:val="center"/>
          </w:tcPr>
          <w:p w14:paraId="3FA0D484" w14:textId="12C7B4CB"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477FBF">
              <w:rPr>
                <w:rFonts w:ascii="Arial" w:hAnsi="Arial" w:cs="Arial"/>
                <w:color w:val="215868"/>
                <w:sz w:val="18"/>
                <w:szCs w:val="18"/>
              </w:rPr>
              <w:t>2.9</w:t>
            </w:r>
            <w:r>
              <w:rPr>
                <w:rFonts w:ascii="Arial" w:hAnsi="Arial" w:cs="Arial"/>
                <w:color w:val="215868"/>
                <w:sz w:val="18"/>
                <w:szCs w:val="18"/>
              </w:rPr>
              <w:t>B</w:t>
            </w:r>
          </w:p>
        </w:tc>
        <w:tc>
          <w:tcPr>
            <w:tcW w:w="934" w:type="dxa"/>
            <w:vAlign w:val="center"/>
          </w:tcPr>
          <w:p w14:paraId="37E2BD2D" w14:textId="0334DCC7"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477FBF">
              <w:rPr>
                <w:rFonts w:ascii="Arial" w:hAnsi="Arial" w:cs="Arial"/>
                <w:color w:val="215868"/>
                <w:sz w:val="18"/>
                <w:szCs w:val="18"/>
              </w:rPr>
              <w:t>7.3</w:t>
            </w:r>
            <w:r>
              <w:rPr>
                <w:rFonts w:ascii="Arial" w:hAnsi="Arial" w:cs="Arial"/>
                <w:color w:val="215868"/>
                <w:sz w:val="18"/>
                <w:szCs w:val="18"/>
              </w:rPr>
              <w:t>%</w:t>
            </w:r>
          </w:p>
        </w:tc>
        <w:tc>
          <w:tcPr>
            <w:tcW w:w="1037" w:type="dxa"/>
            <w:vAlign w:val="center"/>
          </w:tcPr>
          <w:p w14:paraId="108031E8" w14:textId="37CF3ED8"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477FBF">
              <w:rPr>
                <w:rFonts w:ascii="Arial" w:hAnsi="Arial" w:cs="Arial"/>
                <w:color w:val="215868"/>
                <w:sz w:val="18"/>
                <w:szCs w:val="18"/>
              </w:rPr>
              <w:t>25.8</w:t>
            </w:r>
            <w:r>
              <w:rPr>
                <w:rFonts w:ascii="Arial" w:hAnsi="Arial" w:cs="Arial"/>
                <w:color w:val="215868"/>
                <w:sz w:val="18"/>
                <w:szCs w:val="18"/>
              </w:rPr>
              <w:t>%</w:t>
            </w:r>
          </w:p>
        </w:tc>
      </w:tr>
      <w:tr w:rsidR="00A61E56" w:rsidRPr="00E43E81" w14:paraId="43A744ED" w14:textId="77777777" w:rsidTr="0018417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vAlign w:val="center"/>
          </w:tcPr>
          <w:p w14:paraId="2D5BC9DE" w14:textId="4F82E929" w:rsidR="00A61E56" w:rsidRPr="00D642D0" w:rsidRDefault="00A61E56"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66" w:type="dxa"/>
            <w:gridSpan w:val="2"/>
            <w:tcBorders>
              <w:left w:val="none" w:sz="0" w:space="0" w:color="auto"/>
              <w:right w:val="none" w:sz="0" w:space="0" w:color="auto"/>
            </w:tcBorders>
            <w:vAlign w:val="center"/>
          </w:tcPr>
          <w:p w14:paraId="355C182D" w14:textId="7E9BA1D9"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w:t>
            </w:r>
          </w:p>
        </w:tc>
        <w:tc>
          <w:tcPr>
            <w:tcW w:w="851" w:type="dxa"/>
            <w:tcBorders>
              <w:left w:val="none" w:sz="0" w:space="0" w:color="auto"/>
              <w:right w:val="none" w:sz="0" w:space="0" w:color="auto"/>
            </w:tcBorders>
            <w:vAlign w:val="center"/>
          </w:tcPr>
          <w:p w14:paraId="2918379D" w14:textId="339D0376"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w:t>
            </w:r>
          </w:p>
        </w:tc>
        <w:tc>
          <w:tcPr>
            <w:tcW w:w="857" w:type="dxa"/>
            <w:tcBorders>
              <w:left w:val="none" w:sz="0" w:space="0" w:color="auto"/>
              <w:right w:val="none" w:sz="0" w:space="0" w:color="auto"/>
            </w:tcBorders>
            <w:vAlign w:val="center"/>
          </w:tcPr>
          <w:p w14:paraId="155D24DC" w14:textId="4810F2AE" w:rsidR="00A61E56"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-5.3</w:t>
            </w:r>
            <w:r w:rsidR="00A61E56">
              <w:rPr>
                <w:rFonts w:ascii="Arial" w:hAnsi="Arial" w:cs="Arial"/>
                <w:color w:val="215868"/>
                <w:sz w:val="18"/>
                <w:szCs w:val="18"/>
              </w:rPr>
              <w:t>%</w:t>
            </w:r>
          </w:p>
        </w:tc>
        <w:tc>
          <w:tcPr>
            <w:tcW w:w="986" w:type="dxa"/>
            <w:tcBorders>
              <w:left w:val="none" w:sz="0" w:space="0" w:color="auto"/>
              <w:right w:val="none" w:sz="0" w:space="0" w:color="auto"/>
            </w:tcBorders>
            <w:vAlign w:val="center"/>
          </w:tcPr>
          <w:p w14:paraId="315BB821" w14:textId="0C78CAA8"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-6%</w:t>
            </w:r>
          </w:p>
        </w:tc>
        <w:tc>
          <w:tcPr>
            <w:tcW w:w="850" w:type="dxa"/>
            <w:tcBorders>
              <w:left w:val="none" w:sz="0" w:space="0" w:color="auto"/>
              <w:right w:val="none" w:sz="0" w:space="0" w:color="auto"/>
            </w:tcBorders>
            <w:vAlign w:val="center"/>
          </w:tcPr>
          <w:p w14:paraId="28025221" w14:textId="452F65FE"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992" w:type="dxa"/>
            <w:tcBorders>
              <w:left w:val="none" w:sz="0" w:space="0" w:color="auto"/>
              <w:right w:val="none" w:sz="0" w:space="0" w:color="auto"/>
            </w:tcBorders>
            <w:vAlign w:val="center"/>
          </w:tcPr>
          <w:p w14:paraId="400ADA07" w14:textId="05DA5F96"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-4.7%</w:t>
            </w:r>
          </w:p>
        </w:tc>
        <w:tc>
          <w:tcPr>
            <w:tcW w:w="829" w:type="dxa"/>
            <w:tcBorders>
              <w:left w:val="none" w:sz="0" w:space="0" w:color="auto"/>
              <w:right w:val="none" w:sz="0" w:space="0" w:color="auto"/>
            </w:tcBorders>
          </w:tcPr>
          <w:p w14:paraId="0EDE29BA" w14:textId="51871E22" w:rsidR="00A61E56"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w:t>
            </w:r>
            <w:r w:rsidR="00A61E56">
              <w:rPr>
                <w:rFonts w:ascii="Arial" w:hAnsi="Arial" w:cs="Arial"/>
                <w:color w:val="215868"/>
                <w:sz w:val="18"/>
                <w:szCs w:val="18"/>
              </w:rPr>
              <w:t>%</w:t>
            </w:r>
          </w:p>
        </w:tc>
        <w:tc>
          <w:tcPr>
            <w:tcW w:w="949" w:type="dxa"/>
            <w:tcBorders>
              <w:left w:val="none" w:sz="0" w:space="0" w:color="auto"/>
              <w:right w:val="none" w:sz="0" w:space="0" w:color="auto"/>
            </w:tcBorders>
            <w:vAlign w:val="center"/>
          </w:tcPr>
          <w:p w14:paraId="286BF450" w14:textId="42C879D8" w:rsidR="00A61E56"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1.5</w:t>
            </w:r>
            <w:r w:rsidR="00A61E56">
              <w:rPr>
                <w:rFonts w:ascii="Arial" w:hAnsi="Arial" w:cs="Arial"/>
                <w:color w:val="215868"/>
                <w:sz w:val="18"/>
                <w:szCs w:val="18"/>
              </w:rPr>
              <w:t>B</w:t>
            </w:r>
          </w:p>
        </w:tc>
        <w:tc>
          <w:tcPr>
            <w:tcW w:w="934" w:type="dxa"/>
            <w:tcBorders>
              <w:left w:val="none" w:sz="0" w:space="0" w:color="auto"/>
              <w:right w:val="none" w:sz="0" w:space="0" w:color="auto"/>
            </w:tcBorders>
            <w:vAlign w:val="center"/>
          </w:tcPr>
          <w:p w14:paraId="26B3AA46" w14:textId="7A612BEE" w:rsidR="00A61E56" w:rsidRPr="00E43E81"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+0.3</w:t>
            </w:r>
            <w:r w:rsidR="00A61E56">
              <w:rPr>
                <w:rFonts w:ascii="Arial" w:hAnsi="Arial" w:cs="Arial"/>
                <w:color w:val="215868"/>
                <w:sz w:val="18"/>
                <w:szCs w:val="18"/>
              </w:rPr>
              <w:t>%</w:t>
            </w:r>
          </w:p>
        </w:tc>
        <w:tc>
          <w:tcPr>
            <w:tcW w:w="1037" w:type="dxa"/>
            <w:tcBorders>
              <w:left w:val="none" w:sz="0" w:space="0" w:color="auto"/>
              <w:right w:val="none" w:sz="0" w:space="0" w:color="auto"/>
            </w:tcBorders>
            <w:vAlign w:val="center"/>
          </w:tcPr>
          <w:p w14:paraId="55980290" w14:textId="3ECAA7E8"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477FBF">
              <w:rPr>
                <w:rFonts w:ascii="Arial" w:hAnsi="Arial" w:cs="Arial"/>
                <w:color w:val="215868"/>
                <w:sz w:val="18"/>
                <w:szCs w:val="18"/>
              </w:rPr>
              <w:t>6.7</w:t>
            </w:r>
            <w:r>
              <w:rPr>
                <w:rFonts w:ascii="Arial" w:hAnsi="Arial" w:cs="Arial"/>
                <w:color w:val="215868"/>
                <w:sz w:val="18"/>
                <w:szCs w:val="18"/>
              </w:rPr>
              <w:t>%</w:t>
            </w:r>
          </w:p>
        </w:tc>
      </w:tr>
    </w:tbl>
    <w:bookmarkEnd w:id="3"/>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7EA9214F" w14:textId="1BAA5037"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lastRenderedPageBreak/>
        <w:t>Fresh Fruit</w:t>
      </w:r>
      <w:r w:rsidR="00EB33CE">
        <w:rPr>
          <w:rFonts w:ascii="Arial" w:hAnsi="Arial" w:cs="Arial"/>
          <w:b/>
          <w:color w:val="595959" w:themeColor="text1" w:themeTint="A6"/>
          <w:sz w:val="24"/>
          <w:szCs w:val="24"/>
        </w:rPr>
        <w:t xml:space="preserve"> Sales </w:t>
      </w:r>
    </w:p>
    <w:p w14:paraId="0A2BF398" w14:textId="2377FA6E" w:rsidR="00BB3051" w:rsidRDefault="00CB6454" w:rsidP="00CB6454">
      <w:pPr>
        <w:pStyle w:val="NoSpacing"/>
        <w:rPr>
          <w:rFonts w:ascii="Arial" w:hAnsi="Arial" w:cs="Arial"/>
          <w:sz w:val="20"/>
          <w:szCs w:val="20"/>
        </w:rPr>
      </w:pPr>
      <w:r>
        <w:rPr>
          <w:rFonts w:ascii="Arial" w:hAnsi="Arial" w:cs="Arial"/>
          <w:sz w:val="20"/>
          <w:szCs w:val="20"/>
        </w:rPr>
        <w:t>“</w:t>
      </w:r>
      <w:r w:rsidR="002A3B9B">
        <w:rPr>
          <w:rFonts w:ascii="Arial" w:hAnsi="Arial" w:cs="Arial"/>
          <w:sz w:val="20"/>
          <w:szCs w:val="20"/>
        </w:rPr>
        <w:t>Berries dominate the top 10 fresh fruit sellers list, both in December and for the calendar year</w:t>
      </w:r>
      <w:r w:rsidR="00BE4D67">
        <w:rPr>
          <w:rFonts w:ascii="Arial" w:hAnsi="Arial" w:cs="Arial"/>
          <w:sz w:val="20"/>
          <w:szCs w:val="20"/>
        </w:rPr>
        <w:t xml:space="preserve">,” </w:t>
      </w:r>
      <w:r w:rsidR="002A3B9B">
        <w:rPr>
          <w:rFonts w:ascii="Arial" w:hAnsi="Arial" w:cs="Arial"/>
          <w:sz w:val="20"/>
          <w:szCs w:val="20"/>
        </w:rPr>
        <w:t xml:space="preserve">said </w:t>
      </w:r>
      <w:r w:rsidR="00BE4D67">
        <w:rPr>
          <w:rFonts w:ascii="Arial" w:hAnsi="Arial" w:cs="Arial"/>
          <w:sz w:val="20"/>
          <w:szCs w:val="20"/>
        </w:rPr>
        <w:t xml:space="preserve">Parker. </w:t>
      </w:r>
      <w:r w:rsidR="002A3B9B">
        <w:rPr>
          <w:rFonts w:ascii="Arial" w:hAnsi="Arial" w:cs="Arial"/>
          <w:sz w:val="20"/>
          <w:szCs w:val="20"/>
        </w:rPr>
        <w:t>“In 2022, berries were nearly twice the size of the number two seller, apples, and yet grew both dollars and pounds</w:t>
      </w:r>
      <w:r w:rsidR="00AB5F33">
        <w:rPr>
          <w:rFonts w:ascii="Arial" w:hAnsi="Arial" w:cs="Arial"/>
          <w:sz w:val="20"/>
          <w:szCs w:val="20"/>
        </w:rPr>
        <w:t>.</w:t>
      </w:r>
      <w:r w:rsidR="002A3B9B">
        <w:rPr>
          <w:rFonts w:ascii="Arial" w:hAnsi="Arial" w:cs="Arial"/>
          <w:sz w:val="20"/>
          <w:szCs w:val="20"/>
        </w:rPr>
        <w:t>” The full-year view shows the impact of inflation when regarding the difference in dollar versus volume. Pound sales were down for many top 10 sellers, with the notable exceptions of berries and grapes.</w:t>
      </w:r>
      <w:r w:rsidR="00AB5F33">
        <w:rPr>
          <w:rFonts w:ascii="Arial" w:hAnsi="Arial" w:cs="Arial"/>
          <w:sz w:val="20"/>
          <w:szCs w:val="20"/>
        </w:rPr>
        <w:t xml:space="preserve"> </w:t>
      </w:r>
      <w:r w:rsidR="001404B7">
        <w:rPr>
          <w:rFonts w:ascii="Arial" w:hAnsi="Arial" w:cs="Arial"/>
          <w:sz w:val="20"/>
          <w:szCs w:val="20"/>
        </w:rPr>
        <w:t xml:space="preserve"> </w:t>
      </w:r>
    </w:p>
    <w:p w14:paraId="114F402F" w14:textId="77777777" w:rsidR="005E2F61" w:rsidRPr="000361C6" w:rsidRDefault="005E2F61" w:rsidP="00CB6454">
      <w:pPr>
        <w:pStyle w:val="NoSpacing"/>
        <w:rPr>
          <w:rFonts w:ascii="Arial" w:hAnsi="Arial" w:cs="Arial"/>
          <w:sz w:val="20"/>
          <w:szCs w:val="20"/>
        </w:rPr>
      </w:pPr>
    </w:p>
    <w:tbl>
      <w:tblPr>
        <w:tblStyle w:val="LightShading-Accent5"/>
        <w:tblW w:w="10440" w:type="dxa"/>
        <w:tblLayout w:type="fixed"/>
        <w:tblLook w:val="04A0" w:firstRow="1" w:lastRow="0" w:firstColumn="1" w:lastColumn="0" w:noHBand="0" w:noVBand="1"/>
      </w:tblPr>
      <w:tblGrid>
        <w:gridCol w:w="1109"/>
        <w:gridCol w:w="543"/>
        <w:gridCol w:w="790"/>
        <w:gridCol w:w="168"/>
        <w:gridCol w:w="844"/>
        <w:gridCol w:w="321"/>
        <w:gridCol w:w="1333"/>
        <w:gridCol w:w="1333"/>
        <w:gridCol w:w="506"/>
        <w:gridCol w:w="827"/>
        <w:gridCol w:w="1333"/>
        <w:gridCol w:w="1333"/>
      </w:tblGrid>
      <w:tr w:rsidR="00F515F4" w:rsidRPr="0003007F" w14:paraId="3DFD75C2" w14:textId="77777777" w:rsidTr="00B117E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52" w:type="dxa"/>
            <w:gridSpan w:val="2"/>
            <w:tcBorders>
              <w:top w:val="nil"/>
              <w:bottom w:val="nil"/>
            </w:tcBorders>
            <w:shd w:val="clear" w:color="auto" w:fill="17365D" w:themeFill="text2" w:themeFillShade="BF"/>
          </w:tcPr>
          <w:p w14:paraId="285E05F8" w14:textId="77777777" w:rsidR="00F515F4" w:rsidRPr="00AB1306" w:rsidRDefault="00F515F4"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1802" w:type="dxa"/>
            <w:gridSpan w:val="3"/>
            <w:tcBorders>
              <w:top w:val="nil"/>
              <w:bottom w:val="nil"/>
            </w:tcBorders>
            <w:shd w:val="clear" w:color="auto" w:fill="17365D" w:themeFill="text2" w:themeFillShade="BF"/>
          </w:tcPr>
          <w:p w14:paraId="7F8F42C7" w14:textId="288169E0" w:rsidR="00F515F4" w:rsidRPr="00AB1306" w:rsidRDefault="002E6137" w:rsidP="002E6137">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15F4">
              <w:rPr>
                <w:rFonts w:ascii="Arial" w:hAnsi="Arial" w:cs="Arial"/>
                <w:color w:val="FFFFFF" w:themeColor="background1"/>
                <w:sz w:val="18"/>
                <w:szCs w:val="18"/>
              </w:rPr>
              <w:t>December 2022</w:t>
            </w:r>
          </w:p>
        </w:tc>
        <w:tc>
          <w:tcPr>
            <w:tcW w:w="3493" w:type="dxa"/>
            <w:gridSpan w:val="4"/>
            <w:tcBorders>
              <w:top w:val="nil"/>
              <w:bottom w:val="nil"/>
            </w:tcBorders>
            <w:shd w:val="clear" w:color="auto" w:fill="17365D" w:themeFill="text2" w:themeFillShade="BF"/>
          </w:tcPr>
          <w:p w14:paraId="6A38FF79" w14:textId="71BADB71" w:rsidR="00F515F4" w:rsidRPr="00F515F4" w:rsidRDefault="00F515F4" w:rsidP="002A3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3493" w:type="dxa"/>
            <w:gridSpan w:val="3"/>
            <w:tcBorders>
              <w:top w:val="nil"/>
              <w:bottom w:val="nil"/>
            </w:tcBorders>
            <w:shd w:val="clear" w:color="auto" w:fill="17365D" w:themeFill="text2" w:themeFillShade="BF"/>
          </w:tcPr>
          <w:p w14:paraId="3A17CC18" w14:textId="7E6B64EA" w:rsidR="00F515F4" w:rsidRPr="0003007F" w:rsidRDefault="00F515F4" w:rsidP="002A3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Calendar Year 2022</w:t>
            </w:r>
          </w:p>
        </w:tc>
      </w:tr>
      <w:tr w:rsidR="00F515F4" w:rsidRPr="00F515F4" w14:paraId="74BF3700" w14:textId="77777777" w:rsidTr="00F515F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shd w:val="clear" w:color="auto" w:fill="17365D" w:themeFill="text2" w:themeFillShade="BF"/>
          </w:tcPr>
          <w:p w14:paraId="3F9B606E" w14:textId="2747A026" w:rsidR="00F515F4" w:rsidRPr="002A3B9B" w:rsidRDefault="00F515F4" w:rsidP="00F515F4">
            <w:pPr>
              <w:pStyle w:val="NoSpacing"/>
              <w:rPr>
                <w:rFonts w:ascii="Arial" w:hAnsi="Arial" w:cs="Arial"/>
                <w:color w:val="FFFFFF" w:themeColor="background1"/>
                <w:sz w:val="18"/>
                <w:szCs w:val="18"/>
              </w:rPr>
            </w:pPr>
            <w:r w:rsidRPr="002A3B9B">
              <w:rPr>
                <w:rFonts w:ascii="Arial" w:hAnsi="Arial" w:cs="Arial"/>
                <w:color w:val="FFFFFF" w:themeColor="background1"/>
                <w:sz w:val="18"/>
                <w:szCs w:val="18"/>
              </w:rPr>
              <w:t>Type</w:t>
            </w:r>
          </w:p>
        </w:tc>
        <w:tc>
          <w:tcPr>
            <w:tcW w:w="1501" w:type="dxa"/>
            <w:gridSpan w:val="3"/>
            <w:tcBorders>
              <w:top w:val="nil"/>
              <w:bottom w:val="nil"/>
            </w:tcBorders>
            <w:shd w:val="clear" w:color="auto" w:fill="17365D" w:themeFill="text2" w:themeFillShade="BF"/>
          </w:tcPr>
          <w:p w14:paraId="46CF2457" w14:textId="020F0342" w:rsidR="00F515F4" w:rsidRPr="002A3B9B" w:rsidRDefault="00F515F4" w:rsidP="00F515F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165" w:type="dxa"/>
            <w:gridSpan w:val="2"/>
            <w:tcBorders>
              <w:top w:val="nil"/>
              <w:bottom w:val="nil"/>
            </w:tcBorders>
            <w:shd w:val="clear" w:color="auto" w:fill="17365D" w:themeFill="text2" w:themeFillShade="BF"/>
          </w:tcPr>
          <w:p w14:paraId="13B20948" w14:textId="32DD79EF" w:rsidR="00F515F4" w:rsidRPr="002A3B9B" w:rsidRDefault="00F515F4" w:rsidP="00F515F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333" w:type="dxa"/>
            <w:tcBorders>
              <w:top w:val="nil"/>
              <w:bottom w:val="nil"/>
            </w:tcBorders>
            <w:shd w:val="clear" w:color="auto" w:fill="17365D" w:themeFill="text2" w:themeFillShade="BF"/>
          </w:tcPr>
          <w:p w14:paraId="301AC34F" w14:textId="4A916615" w:rsidR="00F515F4" w:rsidRPr="002A3B9B" w:rsidRDefault="00F515F4" w:rsidP="00F515F4">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c>
          <w:tcPr>
            <w:tcW w:w="1333" w:type="dxa"/>
            <w:tcBorders>
              <w:top w:val="nil"/>
              <w:bottom w:val="nil"/>
            </w:tcBorders>
            <w:shd w:val="clear" w:color="auto" w:fill="17365D" w:themeFill="text2" w:themeFillShade="BF"/>
          </w:tcPr>
          <w:p w14:paraId="147A02D7" w14:textId="2C4D19F1" w:rsidR="00F515F4" w:rsidRPr="002A3B9B" w:rsidRDefault="00F515F4" w:rsidP="00F515F4">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Type</w:t>
            </w:r>
          </w:p>
        </w:tc>
        <w:tc>
          <w:tcPr>
            <w:tcW w:w="1333" w:type="dxa"/>
            <w:gridSpan w:val="2"/>
            <w:tcBorders>
              <w:top w:val="nil"/>
              <w:bottom w:val="nil"/>
            </w:tcBorders>
            <w:shd w:val="clear" w:color="auto" w:fill="17365D" w:themeFill="text2" w:themeFillShade="BF"/>
          </w:tcPr>
          <w:p w14:paraId="4B0DB5D5" w14:textId="5446D34C" w:rsidR="00F515F4" w:rsidRPr="002A3B9B" w:rsidRDefault="00F515F4" w:rsidP="00F515F4">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333" w:type="dxa"/>
            <w:tcBorders>
              <w:top w:val="nil"/>
              <w:bottom w:val="nil"/>
            </w:tcBorders>
            <w:shd w:val="clear" w:color="auto" w:fill="17365D" w:themeFill="text2" w:themeFillShade="BF"/>
          </w:tcPr>
          <w:p w14:paraId="6140FD35" w14:textId="710902AB" w:rsidR="00F515F4" w:rsidRPr="002A3B9B" w:rsidRDefault="00F515F4" w:rsidP="00F515F4">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333" w:type="dxa"/>
            <w:tcBorders>
              <w:top w:val="nil"/>
              <w:bottom w:val="nil"/>
            </w:tcBorders>
            <w:shd w:val="clear" w:color="auto" w:fill="17365D" w:themeFill="text2" w:themeFillShade="BF"/>
          </w:tcPr>
          <w:p w14:paraId="7B20B7B6" w14:textId="151B1A2F" w:rsidR="00F515F4" w:rsidRPr="002A3B9B" w:rsidRDefault="00F515F4" w:rsidP="00F515F4">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r>
      <w:tr w:rsidR="002A3B9B" w:rsidRPr="002A3B9B" w14:paraId="0CA2F74A" w14:textId="77777777" w:rsidTr="002A3B9B">
        <w:trPr>
          <w:trHeight w:val="303"/>
        </w:trPr>
        <w:tc>
          <w:tcPr>
            <w:cnfStyle w:val="001000000000" w:firstRow="0" w:lastRow="0" w:firstColumn="1" w:lastColumn="0" w:oddVBand="0" w:evenVBand="0" w:oddHBand="0" w:evenHBand="0" w:firstRowFirstColumn="0" w:firstRowLastColumn="0" w:lastRowFirstColumn="0" w:lastRowLastColumn="0"/>
            <w:tcW w:w="1109" w:type="dxa"/>
            <w:tcBorders>
              <w:top w:val="nil"/>
            </w:tcBorders>
            <w:vAlign w:val="center"/>
          </w:tcPr>
          <w:p w14:paraId="66ADF07C" w14:textId="07600578" w:rsidR="002A3B9B" w:rsidRPr="002A3B9B" w:rsidRDefault="002A3B9B" w:rsidP="002A3B9B">
            <w:pPr>
              <w:pStyle w:val="NoSpacing"/>
              <w:jc w:val="right"/>
              <w:rPr>
                <w:rFonts w:ascii="Arial" w:hAnsi="Arial" w:cs="Arial"/>
                <w:sz w:val="18"/>
                <w:szCs w:val="18"/>
              </w:rPr>
            </w:pPr>
            <w:r w:rsidRPr="002A3B9B">
              <w:rPr>
                <w:rFonts w:ascii="Arial" w:hAnsi="Arial" w:cs="Arial"/>
                <w:sz w:val="18"/>
                <w:szCs w:val="18"/>
              </w:rPr>
              <w:t>Fresh fruit</w:t>
            </w:r>
          </w:p>
        </w:tc>
        <w:tc>
          <w:tcPr>
            <w:tcW w:w="1333" w:type="dxa"/>
            <w:gridSpan w:val="2"/>
            <w:tcBorders>
              <w:top w:val="nil"/>
            </w:tcBorders>
            <w:vAlign w:val="center"/>
          </w:tcPr>
          <w:p w14:paraId="39EFBE0F" w14:textId="3CE3732C"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$2.5B</w:t>
            </w:r>
          </w:p>
        </w:tc>
        <w:tc>
          <w:tcPr>
            <w:tcW w:w="1333" w:type="dxa"/>
            <w:gridSpan w:val="3"/>
            <w:tcBorders>
              <w:top w:val="nil"/>
            </w:tcBorders>
            <w:vAlign w:val="center"/>
          </w:tcPr>
          <w:p w14:paraId="3D5B0656" w14:textId="2FEC6E67"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+1.3%</w:t>
            </w:r>
          </w:p>
        </w:tc>
        <w:tc>
          <w:tcPr>
            <w:tcW w:w="1333" w:type="dxa"/>
            <w:tcBorders>
              <w:top w:val="nil"/>
              <w:right w:val="single" w:sz="4" w:space="0" w:color="31849B" w:themeColor="accent5" w:themeShade="BF"/>
            </w:tcBorders>
            <w:vAlign w:val="center"/>
          </w:tcPr>
          <w:p w14:paraId="680EF69E" w14:textId="344FD5F5"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-0.2%</w:t>
            </w:r>
          </w:p>
        </w:tc>
        <w:tc>
          <w:tcPr>
            <w:tcW w:w="1333" w:type="dxa"/>
            <w:tcBorders>
              <w:top w:val="nil"/>
              <w:left w:val="single" w:sz="4" w:space="0" w:color="31849B" w:themeColor="accent5" w:themeShade="BF"/>
              <w:bottom w:val="nil"/>
            </w:tcBorders>
            <w:vAlign w:val="center"/>
          </w:tcPr>
          <w:p w14:paraId="4976E3FE" w14:textId="3046965D"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Fresh fruit</w:t>
            </w:r>
          </w:p>
        </w:tc>
        <w:tc>
          <w:tcPr>
            <w:tcW w:w="1333" w:type="dxa"/>
            <w:gridSpan w:val="2"/>
            <w:tcBorders>
              <w:top w:val="nil"/>
            </w:tcBorders>
            <w:vAlign w:val="center"/>
          </w:tcPr>
          <w:p w14:paraId="355736E6" w14:textId="07815F88"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$37.1B</w:t>
            </w:r>
          </w:p>
        </w:tc>
        <w:tc>
          <w:tcPr>
            <w:tcW w:w="1333" w:type="dxa"/>
            <w:tcBorders>
              <w:top w:val="nil"/>
            </w:tcBorders>
            <w:vAlign w:val="center"/>
          </w:tcPr>
          <w:p w14:paraId="22BDA0D0" w14:textId="5958C580"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+5.7%</w:t>
            </w:r>
          </w:p>
        </w:tc>
        <w:tc>
          <w:tcPr>
            <w:tcW w:w="1333" w:type="dxa"/>
            <w:tcBorders>
              <w:top w:val="nil"/>
            </w:tcBorders>
            <w:vAlign w:val="center"/>
          </w:tcPr>
          <w:p w14:paraId="4C658117" w14:textId="3E40642C"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-3.5%</w:t>
            </w:r>
          </w:p>
        </w:tc>
      </w:tr>
      <w:tr w:rsidR="002A3B9B" w:rsidRPr="002A3B9B" w14:paraId="5BEE13FC" w14:textId="77777777" w:rsidTr="002A3B9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62F5917F" w14:textId="440DCDB2"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Berries</w:t>
            </w:r>
          </w:p>
        </w:tc>
        <w:tc>
          <w:tcPr>
            <w:tcW w:w="1333" w:type="dxa"/>
            <w:gridSpan w:val="2"/>
            <w:vAlign w:val="center"/>
          </w:tcPr>
          <w:p w14:paraId="01DB9726" w14:textId="09E0788B"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$598M</w:t>
            </w:r>
          </w:p>
        </w:tc>
        <w:tc>
          <w:tcPr>
            <w:tcW w:w="1333" w:type="dxa"/>
            <w:gridSpan w:val="3"/>
            <w:vAlign w:val="center"/>
          </w:tcPr>
          <w:p w14:paraId="60423065" w14:textId="1C542915"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0.6%</w:t>
            </w:r>
          </w:p>
        </w:tc>
        <w:tc>
          <w:tcPr>
            <w:tcW w:w="1333" w:type="dxa"/>
            <w:tcBorders>
              <w:right w:val="single" w:sz="4" w:space="0" w:color="31849B" w:themeColor="accent5" w:themeShade="BF"/>
            </w:tcBorders>
            <w:vAlign w:val="center"/>
          </w:tcPr>
          <w:p w14:paraId="6647773F" w14:textId="3C96BBC8"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-0.7%</w:t>
            </w:r>
          </w:p>
        </w:tc>
        <w:tc>
          <w:tcPr>
            <w:tcW w:w="1333" w:type="dxa"/>
            <w:tcBorders>
              <w:top w:val="nil"/>
              <w:left w:val="single" w:sz="4" w:space="0" w:color="31849B" w:themeColor="accent5" w:themeShade="BF"/>
              <w:bottom w:val="nil"/>
            </w:tcBorders>
            <w:vAlign w:val="center"/>
          </w:tcPr>
          <w:p w14:paraId="5BEAEAD4" w14:textId="2640A175"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Berries</w:t>
            </w:r>
          </w:p>
        </w:tc>
        <w:tc>
          <w:tcPr>
            <w:tcW w:w="1333" w:type="dxa"/>
            <w:gridSpan w:val="2"/>
            <w:vAlign w:val="center"/>
          </w:tcPr>
          <w:p w14:paraId="0DC6DD18" w14:textId="58FF8B54"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$8.6B</w:t>
            </w:r>
          </w:p>
        </w:tc>
        <w:tc>
          <w:tcPr>
            <w:tcW w:w="1333" w:type="dxa"/>
            <w:vAlign w:val="center"/>
          </w:tcPr>
          <w:p w14:paraId="272E655C" w14:textId="21B14470"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+5.4%</w:t>
            </w:r>
          </w:p>
        </w:tc>
        <w:tc>
          <w:tcPr>
            <w:tcW w:w="1333" w:type="dxa"/>
            <w:vAlign w:val="center"/>
          </w:tcPr>
          <w:p w14:paraId="0611D685" w14:textId="6BC58717"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+3.9%</w:t>
            </w:r>
          </w:p>
        </w:tc>
      </w:tr>
      <w:tr w:rsidR="002A3B9B" w:rsidRPr="002A3B9B" w14:paraId="718F9D15" w14:textId="77777777" w:rsidTr="002A3B9B">
        <w:trPr>
          <w:trHeight w:val="257"/>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224BE501" w14:textId="32C0C824"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Apples</w:t>
            </w:r>
          </w:p>
        </w:tc>
        <w:tc>
          <w:tcPr>
            <w:tcW w:w="1333" w:type="dxa"/>
            <w:gridSpan w:val="2"/>
            <w:vAlign w:val="center"/>
          </w:tcPr>
          <w:p w14:paraId="549D1182" w14:textId="44EA92F3"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$347M</w:t>
            </w:r>
          </w:p>
        </w:tc>
        <w:tc>
          <w:tcPr>
            <w:tcW w:w="1333" w:type="dxa"/>
            <w:gridSpan w:val="3"/>
            <w:vAlign w:val="center"/>
          </w:tcPr>
          <w:p w14:paraId="28B58045" w14:textId="63B8BEED"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2.5%</w:t>
            </w:r>
          </w:p>
        </w:tc>
        <w:tc>
          <w:tcPr>
            <w:tcW w:w="1333" w:type="dxa"/>
            <w:tcBorders>
              <w:right w:val="single" w:sz="4" w:space="0" w:color="31849B" w:themeColor="accent5" w:themeShade="BF"/>
            </w:tcBorders>
            <w:vAlign w:val="center"/>
          </w:tcPr>
          <w:p w14:paraId="56069AF3" w14:textId="6347BA33"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-2.4%</w:t>
            </w:r>
          </w:p>
        </w:tc>
        <w:tc>
          <w:tcPr>
            <w:tcW w:w="1333" w:type="dxa"/>
            <w:tcBorders>
              <w:top w:val="nil"/>
              <w:left w:val="single" w:sz="4" w:space="0" w:color="31849B" w:themeColor="accent5" w:themeShade="BF"/>
              <w:bottom w:val="nil"/>
            </w:tcBorders>
            <w:vAlign w:val="center"/>
          </w:tcPr>
          <w:p w14:paraId="47E194FD" w14:textId="187EC75E"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Apples</w:t>
            </w:r>
          </w:p>
        </w:tc>
        <w:tc>
          <w:tcPr>
            <w:tcW w:w="1333" w:type="dxa"/>
            <w:gridSpan w:val="2"/>
            <w:vAlign w:val="center"/>
          </w:tcPr>
          <w:p w14:paraId="341D8833" w14:textId="74037147"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$4.4B</w:t>
            </w:r>
          </w:p>
        </w:tc>
        <w:tc>
          <w:tcPr>
            <w:tcW w:w="1333" w:type="dxa"/>
            <w:vAlign w:val="center"/>
          </w:tcPr>
          <w:p w14:paraId="6BFEE1A5" w14:textId="14F5B711"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+5.4%</w:t>
            </w:r>
          </w:p>
        </w:tc>
        <w:tc>
          <w:tcPr>
            <w:tcW w:w="1333" w:type="dxa"/>
            <w:vAlign w:val="center"/>
          </w:tcPr>
          <w:p w14:paraId="6923E6CF" w14:textId="19DBEA76"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-3.0%</w:t>
            </w:r>
          </w:p>
        </w:tc>
      </w:tr>
      <w:tr w:rsidR="002A3B9B" w:rsidRPr="002A3B9B" w14:paraId="09F4F97D" w14:textId="77777777" w:rsidTr="002A3B9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77260FAB" w14:textId="2F4499E0"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Grapes</w:t>
            </w:r>
          </w:p>
        </w:tc>
        <w:tc>
          <w:tcPr>
            <w:tcW w:w="1333" w:type="dxa"/>
            <w:gridSpan w:val="2"/>
            <w:vAlign w:val="center"/>
          </w:tcPr>
          <w:p w14:paraId="0A341114" w14:textId="4E287970"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$274M</w:t>
            </w:r>
          </w:p>
        </w:tc>
        <w:tc>
          <w:tcPr>
            <w:tcW w:w="1333" w:type="dxa"/>
            <w:gridSpan w:val="3"/>
            <w:vAlign w:val="center"/>
          </w:tcPr>
          <w:p w14:paraId="0A7FECC8" w14:textId="4181820F"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3.9%</w:t>
            </w:r>
          </w:p>
        </w:tc>
        <w:tc>
          <w:tcPr>
            <w:tcW w:w="1333" w:type="dxa"/>
            <w:tcBorders>
              <w:right w:val="single" w:sz="4" w:space="0" w:color="31849B" w:themeColor="accent5" w:themeShade="BF"/>
            </w:tcBorders>
            <w:vAlign w:val="center"/>
          </w:tcPr>
          <w:p w14:paraId="68AB7731" w14:textId="153ECA96"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1.6%</w:t>
            </w:r>
          </w:p>
        </w:tc>
        <w:tc>
          <w:tcPr>
            <w:tcW w:w="1333" w:type="dxa"/>
            <w:tcBorders>
              <w:top w:val="nil"/>
              <w:left w:val="single" w:sz="4" w:space="0" w:color="31849B" w:themeColor="accent5" w:themeShade="BF"/>
              <w:bottom w:val="nil"/>
            </w:tcBorders>
            <w:vAlign w:val="center"/>
          </w:tcPr>
          <w:p w14:paraId="04B319A1" w14:textId="52B32E06"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Grapes</w:t>
            </w:r>
          </w:p>
        </w:tc>
        <w:tc>
          <w:tcPr>
            <w:tcW w:w="1333" w:type="dxa"/>
            <w:gridSpan w:val="2"/>
            <w:vAlign w:val="center"/>
          </w:tcPr>
          <w:p w14:paraId="65EAE823" w14:textId="11127975"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$3.8B</w:t>
            </w:r>
          </w:p>
        </w:tc>
        <w:tc>
          <w:tcPr>
            <w:tcW w:w="1333" w:type="dxa"/>
            <w:vAlign w:val="center"/>
          </w:tcPr>
          <w:p w14:paraId="7FD87ED2" w14:textId="1CD06BF8"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+5.9%</w:t>
            </w:r>
          </w:p>
        </w:tc>
        <w:tc>
          <w:tcPr>
            <w:tcW w:w="1333" w:type="dxa"/>
            <w:vAlign w:val="center"/>
          </w:tcPr>
          <w:p w14:paraId="2937BAB7" w14:textId="05717A88"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+1.9%</w:t>
            </w:r>
          </w:p>
        </w:tc>
      </w:tr>
      <w:tr w:rsidR="002A3B9B" w:rsidRPr="002A3B9B" w14:paraId="58588B64" w14:textId="77777777" w:rsidTr="002A3B9B">
        <w:trPr>
          <w:trHeight w:val="257"/>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60980BDF" w14:textId="5354FD34"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Bananas</w:t>
            </w:r>
          </w:p>
        </w:tc>
        <w:tc>
          <w:tcPr>
            <w:tcW w:w="1333" w:type="dxa"/>
            <w:gridSpan w:val="2"/>
            <w:vAlign w:val="center"/>
          </w:tcPr>
          <w:p w14:paraId="440C6678" w14:textId="0C4C707A"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$246M</w:t>
            </w:r>
          </w:p>
        </w:tc>
        <w:tc>
          <w:tcPr>
            <w:tcW w:w="1333" w:type="dxa"/>
            <w:gridSpan w:val="3"/>
            <w:vAlign w:val="center"/>
          </w:tcPr>
          <w:p w14:paraId="2AC3D81F" w14:textId="20674BDF"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5.0%</w:t>
            </w:r>
          </w:p>
        </w:tc>
        <w:tc>
          <w:tcPr>
            <w:tcW w:w="1333" w:type="dxa"/>
            <w:tcBorders>
              <w:right w:val="single" w:sz="4" w:space="0" w:color="31849B" w:themeColor="accent5" w:themeShade="BF"/>
            </w:tcBorders>
            <w:vAlign w:val="center"/>
          </w:tcPr>
          <w:p w14:paraId="3646DE86" w14:textId="24EE9447"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1.7%</w:t>
            </w:r>
          </w:p>
        </w:tc>
        <w:tc>
          <w:tcPr>
            <w:tcW w:w="1333" w:type="dxa"/>
            <w:tcBorders>
              <w:top w:val="nil"/>
              <w:left w:val="single" w:sz="4" w:space="0" w:color="31849B" w:themeColor="accent5" w:themeShade="BF"/>
              <w:bottom w:val="nil"/>
            </w:tcBorders>
            <w:vAlign w:val="center"/>
          </w:tcPr>
          <w:p w14:paraId="5FDB8FE4" w14:textId="3EF983F5"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Melons</w:t>
            </w:r>
          </w:p>
        </w:tc>
        <w:tc>
          <w:tcPr>
            <w:tcW w:w="1333" w:type="dxa"/>
            <w:gridSpan w:val="2"/>
            <w:vAlign w:val="center"/>
          </w:tcPr>
          <w:p w14:paraId="052C16D7" w14:textId="20DD1B6B"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$3.4B</w:t>
            </w:r>
          </w:p>
        </w:tc>
        <w:tc>
          <w:tcPr>
            <w:tcW w:w="1333" w:type="dxa"/>
            <w:vAlign w:val="center"/>
          </w:tcPr>
          <w:p w14:paraId="0774F6FF" w14:textId="032690AB"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+10.2%</w:t>
            </w:r>
          </w:p>
        </w:tc>
        <w:tc>
          <w:tcPr>
            <w:tcW w:w="1333" w:type="dxa"/>
            <w:vAlign w:val="center"/>
          </w:tcPr>
          <w:p w14:paraId="3712776A" w14:textId="31FCD76B"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-3.1%</w:t>
            </w:r>
          </w:p>
        </w:tc>
      </w:tr>
      <w:tr w:rsidR="002A3B9B" w:rsidRPr="002A3B9B" w14:paraId="643FC440" w14:textId="77777777" w:rsidTr="002A3B9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079B57F6" w14:textId="7753E080"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Mandarins</w:t>
            </w:r>
          </w:p>
        </w:tc>
        <w:tc>
          <w:tcPr>
            <w:tcW w:w="1333" w:type="dxa"/>
            <w:gridSpan w:val="2"/>
            <w:vAlign w:val="center"/>
          </w:tcPr>
          <w:p w14:paraId="6D8A1FC7" w14:textId="379816DB"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$163M</w:t>
            </w:r>
          </w:p>
        </w:tc>
        <w:tc>
          <w:tcPr>
            <w:tcW w:w="1333" w:type="dxa"/>
            <w:gridSpan w:val="3"/>
            <w:vAlign w:val="center"/>
          </w:tcPr>
          <w:p w14:paraId="66F203F6" w14:textId="6F28F840"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-9.2%</w:t>
            </w:r>
          </w:p>
        </w:tc>
        <w:tc>
          <w:tcPr>
            <w:tcW w:w="1333" w:type="dxa"/>
            <w:tcBorders>
              <w:right w:val="single" w:sz="4" w:space="0" w:color="31849B" w:themeColor="accent5" w:themeShade="BF"/>
            </w:tcBorders>
            <w:vAlign w:val="center"/>
          </w:tcPr>
          <w:p w14:paraId="6D8ED925" w14:textId="5BC05E4C"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-9.4%</w:t>
            </w:r>
          </w:p>
        </w:tc>
        <w:tc>
          <w:tcPr>
            <w:tcW w:w="1333" w:type="dxa"/>
            <w:tcBorders>
              <w:top w:val="nil"/>
              <w:left w:val="single" w:sz="4" w:space="0" w:color="31849B" w:themeColor="accent5" w:themeShade="BF"/>
              <w:bottom w:val="nil"/>
            </w:tcBorders>
            <w:vAlign w:val="center"/>
          </w:tcPr>
          <w:p w14:paraId="27BCCED8" w14:textId="05481770"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Bananas</w:t>
            </w:r>
          </w:p>
        </w:tc>
        <w:tc>
          <w:tcPr>
            <w:tcW w:w="1333" w:type="dxa"/>
            <w:gridSpan w:val="2"/>
            <w:vAlign w:val="center"/>
          </w:tcPr>
          <w:p w14:paraId="1157F06A" w14:textId="2BB54A11"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$3.3B</w:t>
            </w:r>
          </w:p>
        </w:tc>
        <w:tc>
          <w:tcPr>
            <w:tcW w:w="1333" w:type="dxa"/>
            <w:vAlign w:val="center"/>
          </w:tcPr>
          <w:p w14:paraId="75AED1F8" w14:textId="7E48A369"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+2.5%</w:t>
            </w:r>
          </w:p>
        </w:tc>
        <w:tc>
          <w:tcPr>
            <w:tcW w:w="1333" w:type="dxa"/>
            <w:vAlign w:val="center"/>
          </w:tcPr>
          <w:p w14:paraId="5FF26CD5" w14:textId="2FE97317"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-2.5%</w:t>
            </w:r>
          </w:p>
        </w:tc>
      </w:tr>
      <w:tr w:rsidR="002A3B9B" w:rsidRPr="002A3B9B" w14:paraId="5789B794" w14:textId="77777777" w:rsidTr="002A3B9B">
        <w:trPr>
          <w:trHeight w:val="257"/>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6699320C" w14:textId="3E4D1A3C"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Avocados</w:t>
            </w:r>
          </w:p>
        </w:tc>
        <w:tc>
          <w:tcPr>
            <w:tcW w:w="1333" w:type="dxa"/>
            <w:gridSpan w:val="2"/>
            <w:vAlign w:val="center"/>
          </w:tcPr>
          <w:p w14:paraId="1E21E0FA" w14:textId="2933D90E"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$159M</w:t>
            </w:r>
          </w:p>
        </w:tc>
        <w:tc>
          <w:tcPr>
            <w:tcW w:w="1333" w:type="dxa"/>
            <w:gridSpan w:val="3"/>
            <w:vAlign w:val="center"/>
          </w:tcPr>
          <w:p w14:paraId="14C08D39" w14:textId="2A1B7048"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-7.2%</w:t>
            </w:r>
          </w:p>
        </w:tc>
        <w:tc>
          <w:tcPr>
            <w:tcW w:w="1333" w:type="dxa"/>
            <w:tcBorders>
              <w:right w:val="single" w:sz="4" w:space="0" w:color="31849B" w:themeColor="accent5" w:themeShade="BF"/>
            </w:tcBorders>
            <w:vAlign w:val="center"/>
          </w:tcPr>
          <w:p w14:paraId="39F6723D" w14:textId="6FBB3754"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2.8%</w:t>
            </w:r>
          </w:p>
        </w:tc>
        <w:tc>
          <w:tcPr>
            <w:tcW w:w="1333" w:type="dxa"/>
            <w:tcBorders>
              <w:top w:val="nil"/>
              <w:left w:val="single" w:sz="4" w:space="0" w:color="31849B" w:themeColor="accent5" w:themeShade="BF"/>
              <w:bottom w:val="nil"/>
            </w:tcBorders>
            <w:vAlign w:val="center"/>
          </w:tcPr>
          <w:p w14:paraId="4C67FEB7" w14:textId="39B7D777"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Avocados</w:t>
            </w:r>
          </w:p>
        </w:tc>
        <w:tc>
          <w:tcPr>
            <w:tcW w:w="1333" w:type="dxa"/>
            <w:gridSpan w:val="2"/>
            <w:vAlign w:val="center"/>
          </w:tcPr>
          <w:p w14:paraId="4CA38FB1" w14:textId="53DEEB73"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$2.7B</w:t>
            </w:r>
          </w:p>
        </w:tc>
        <w:tc>
          <w:tcPr>
            <w:tcW w:w="1333" w:type="dxa"/>
            <w:vAlign w:val="center"/>
          </w:tcPr>
          <w:p w14:paraId="39CC51A4" w14:textId="07F6AD3C"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+7.7%</w:t>
            </w:r>
          </w:p>
        </w:tc>
        <w:tc>
          <w:tcPr>
            <w:tcW w:w="1333" w:type="dxa"/>
            <w:vAlign w:val="center"/>
          </w:tcPr>
          <w:p w14:paraId="0389C8EF" w14:textId="35CF33B4"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-8.5%</w:t>
            </w:r>
          </w:p>
        </w:tc>
      </w:tr>
      <w:tr w:rsidR="002A3B9B" w:rsidRPr="002A3B9B" w14:paraId="0B0B227B" w14:textId="77777777" w:rsidTr="002A3B9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279EFDF1" w14:textId="09A5F250"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Melons</w:t>
            </w:r>
          </w:p>
        </w:tc>
        <w:tc>
          <w:tcPr>
            <w:tcW w:w="1333" w:type="dxa"/>
            <w:gridSpan w:val="2"/>
            <w:vAlign w:val="center"/>
          </w:tcPr>
          <w:p w14:paraId="1980E064" w14:textId="7B7815BD"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$123M</w:t>
            </w:r>
          </w:p>
        </w:tc>
        <w:tc>
          <w:tcPr>
            <w:tcW w:w="1333" w:type="dxa"/>
            <w:gridSpan w:val="3"/>
            <w:vAlign w:val="center"/>
          </w:tcPr>
          <w:p w14:paraId="002D2E01" w14:textId="35D67C5C"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6.4%</w:t>
            </w:r>
          </w:p>
        </w:tc>
        <w:tc>
          <w:tcPr>
            <w:tcW w:w="1333" w:type="dxa"/>
            <w:tcBorders>
              <w:right w:val="single" w:sz="4" w:space="0" w:color="31849B" w:themeColor="accent5" w:themeShade="BF"/>
            </w:tcBorders>
            <w:vAlign w:val="center"/>
          </w:tcPr>
          <w:p w14:paraId="604A8F63" w14:textId="707BFBD3"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-1.2%</w:t>
            </w:r>
          </w:p>
        </w:tc>
        <w:tc>
          <w:tcPr>
            <w:tcW w:w="1333" w:type="dxa"/>
            <w:tcBorders>
              <w:top w:val="nil"/>
              <w:left w:val="single" w:sz="4" w:space="0" w:color="31849B" w:themeColor="accent5" w:themeShade="BF"/>
              <w:bottom w:val="nil"/>
            </w:tcBorders>
            <w:vAlign w:val="center"/>
          </w:tcPr>
          <w:p w14:paraId="587D9D2B" w14:textId="5CD1B769"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Mandarins</w:t>
            </w:r>
          </w:p>
        </w:tc>
        <w:tc>
          <w:tcPr>
            <w:tcW w:w="1333" w:type="dxa"/>
            <w:gridSpan w:val="2"/>
            <w:vAlign w:val="center"/>
          </w:tcPr>
          <w:p w14:paraId="66035848" w14:textId="5BEACB12"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$1.8B</w:t>
            </w:r>
          </w:p>
        </w:tc>
        <w:tc>
          <w:tcPr>
            <w:tcW w:w="1333" w:type="dxa"/>
            <w:vAlign w:val="center"/>
          </w:tcPr>
          <w:p w14:paraId="295E9DF2" w14:textId="6899AE18"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-4.4%</w:t>
            </w:r>
          </w:p>
        </w:tc>
        <w:tc>
          <w:tcPr>
            <w:tcW w:w="1333" w:type="dxa"/>
            <w:vAlign w:val="center"/>
          </w:tcPr>
          <w:p w14:paraId="64E77182" w14:textId="2DB8F2A6"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-16.1%</w:t>
            </w:r>
          </w:p>
        </w:tc>
      </w:tr>
      <w:tr w:rsidR="002A3B9B" w:rsidRPr="002A3B9B" w14:paraId="59003286" w14:textId="77777777" w:rsidTr="002A3B9B">
        <w:trPr>
          <w:trHeight w:val="257"/>
        </w:trPr>
        <w:tc>
          <w:tcPr>
            <w:cnfStyle w:val="001000000000" w:firstRow="0" w:lastRow="0" w:firstColumn="1" w:lastColumn="0" w:oddVBand="0" w:evenVBand="0" w:oddHBand="0" w:evenHBand="0" w:firstRowFirstColumn="0" w:firstRowLastColumn="0" w:lastRowFirstColumn="0" w:lastRowLastColumn="0"/>
            <w:tcW w:w="1109" w:type="dxa"/>
            <w:tcBorders>
              <w:bottom w:val="nil"/>
            </w:tcBorders>
            <w:vAlign w:val="center"/>
          </w:tcPr>
          <w:p w14:paraId="3E984213" w14:textId="369B3208"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Oranges</w:t>
            </w:r>
          </w:p>
        </w:tc>
        <w:tc>
          <w:tcPr>
            <w:tcW w:w="1333" w:type="dxa"/>
            <w:gridSpan w:val="2"/>
            <w:tcBorders>
              <w:bottom w:val="nil"/>
            </w:tcBorders>
            <w:vAlign w:val="center"/>
          </w:tcPr>
          <w:p w14:paraId="722BBB5A" w14:textId="07420676"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$104M</w:t>
            </w:r>
          </w:p>
        </w:tc>
        <w:tc>
          <w:tcPr>
            <w:tcW w:w="1333" w:type="dxa"/>
            <w:gridSpan w:val="3"/>
            <w:tcBorders>
              <w:bottom w:val="nil"/>
            </w:tcBorders>
            <w:vAlign w:val="center"/>
          </w:tcPr>
          <w:p w14:paraId="12BF4D7B" w14:textId="006DA0CE"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3.6%</w:t>
            </w:r>
          </w:p>
        </w:tc>
        <w:tc>
          <w:tcPr>
            <w:tcW w:w="1333" w:type="dxa"/>
            <w:tcBorders>
              <w:bottom w:val="nil"/>
              <w:right w:val="single" w:sz="4" w:space="0" w:color="31849B" w:themeColor="accent5" w:themeShade="BF"/>
            </w:tcBorders>
            <w:vAlign w:val="center"/>
          </w:tcPr>
          <w:p w14:paraId="500C1CCF" w14:textId="7C46774D"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0.2%</w:t>
            </w:r>
          </w:p>
        </w:tc>
        <w:tc>
          <w:tcPr>
            <w:tcW w:w="1333" w:type="dxa"/>
            <w:tcBorders>
              <w:top w:val="nil"/>
              <w:left w:val="single" w:sz="4" w:space="0" w:color="31849B" w:themeColor="accent5" w:themeShade="BF"/>
              <w:bottom w:val="nil"/>
            </w:tcBorders>
            <w:vAlign w:val="center"/>
          </w:tcPr>
          <w:p w14:paraId="3C995C29" w14:textId="74762669"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Oranges</w:t>
            </w:r>
          </w:p>
        </w:tc>
        <w:tc>
          <w:tcPr>
            <w:tcW w:w="1333" w:type="dxa"/>
            <w:gridSpan w:val="2"/>
            <w:tcBorders>
              <w:bottom w:val="nil"/>
            </w:tcBorders>
            <w:vAlign w:val="center"/>
          </w:tcPr>
          <w:p w14:paraId="62715FF1" w14:textId="7D97FC0E"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$1.2B</w:t>
            </w:r>
          </w:p>
        </w:tc>
        <w:tc>
          <w:tcPr>
            <w:tcW w:w="1333" w:type="dxa"/>
            <w:tcBorders>
              <w:bottom w:val="nil"/>
            </w:tcBorders>
            <w:vAlign w:val="center"/>
          </w:tcPr>
          <w:p w14:paraId="327A9298" w14:textId="33D5FDED"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+9.3%</w:t>
            </w:r>
          </w:p>
        </w:tc>
        <w:tc>
          <w:tcPr>
            <w:tcW w:w="1333" w:type="dxa"/>
            <w:tcBorders>
              <w:bottom w:val="nil"/>
            </w:tcBorders>
            <w:vAlign w:val="center"/>
          </w:tcPr>
          <w:p w14:paraId="2C48988D" w14:textId="7B933EC6"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-5.1%</w:t>
            </w:r>
          </w:p>
        </w:tc>
      </w:tr>
      <w:tr w:rsidR="002A3B9B" w:rsidRPr="002A3B9B" w14:paraId="2BCEF1C3" w14:textId="77777777" w:rsidTr="002A3B9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6CACC157" w14:textId="603C1597" w:rsidR="002A3B9B" w:rsidRPr="002A3B9B" w:rsidRDefault="002A3B9B" w:rsidP="002A3B9B">
            <w:pPr>
              <w:pStyle w:val="NoSpacing"/>
              <w:jc w:val="right"/>
              <w:rPr>
                <w:rFonts w:ascii="Arial" w:hAnsi="Arial" w:cs="Arial"/>
                <w:b w:val="0"/>
                <w:bCs w:val="0"/>
                <w:sz w:val="18"/>
                <w:szCs w:val="18"/>
              </w:rPr>
            </w:pPr>
            <w:r w:rsidRPr="002A3B9B">
              <w:rPr>
                <w:rFonts w:ascii="Arial" w:hAnsi="Arial" w:cs="Arial"/>
                <w:b w:val="0"/>
                <w:bCs w:val="0"/>
                <w:sz w:val="18"/>
                <w:szCs w:val="18"/>
              </w:rPr>
              <w:t>Mixed fruit</w:t>
            </w:r>
          </w:p>
        </w:tc>
        <w:tc>
          <w:tcPr>
            <w:tcW w:w="1333" w:type="dxa"/>
            <w:gridSpan w:val="2"/>
            <w:tcBorders>
              <w:top w:val="nil"/>
              <w:bottom w:val="nil"/>
            </w:tcBorders>
            <w:vAlign w:val="center"/>
          </w:tcPr>
          <w:p w14:paraId="3A820577" w14:textId="4B230032"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$74M</w:t>
            </w:r>
          </w:p>
        </w:tc>
        <w:tc>
          <w:tcPr>
            <w:tcW w:w="1333" w:type="dxa"/>
            <w:gridSpan w:val="3"/>
            <w:tcBorders>
              <w:top w:val="nil"/>
              <w:bottom w:val="nil"/>
            </w:tcBorders>
            <w:vAlign w:val="center"/>
          </w:tcPr>
          <w:p w14:paraId="29187E93" w14:textId="08BEA7FA"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w:t>
            </w:r>
            <w:r w:rsidRPr="002A3B9B">
              <w:rPr>
                <w:rFonts w:ascii="Arial" w:hAnsi="Arial" w:cs="Arial"/>
                <w:sz w:val="18"/>
                <w:szCs w:val="18"/>
              </w:rPr>
              <w:t>0.9%</w:t>
            </w:r>
          </w:p>
        </w:tc>
        <w:tc>
          <w:tcPr>
            <w:tcW w:w="1333" w:type="dxa"/>
            <w:tcBorders>
              <w:top w:val="nil"/>
              <w:bottom w:val="nil"/>
              <w:right w:val="single" w:sz="4" w:space="0" w:color="31849B" w:themeColor="accent5" w:themeShade="BF"/>
            </w:tcBorders>
            <w:vAlign w:val="center"/>
          </w:tcPr>
          <w:p w14:paraId="2BBC86CD" w14:textId="5C15D71C"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-3.8%</w:t>
            </w:r>
          </w:p>
        </w:tc>
        <w:tc>
          <w:tcPr>
            <w:tcW w:w="1333" w:type="dxa"/>
            <w:tcBorders>
              <w:top w:val="nil"/>
              <w:left w:val="single" w:sz="4" w:space="0" w:color="31849B" w:themeColor="accent5" w:themeShade="BF"/>
              <w:bottom w:val="nil"/>
            </w:tcBorders>
            <w:vAlign w:val="center"/>
          </w:tcPr>
          <w:p w14:paraId="5D56839D" w14:textId="73AC803B"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Cherries</w:t>
            </w:r>
          </w:p>
        </w:tc>
        <w:tc>
          <w:tcPr>
            <w:tcW w:w="1333" w:type="dxa"/>
            <w:gridSpan w:val="2"/>
            <w:tcBorders>
              <w:top w:val="nil"/>
              <w:bottom w:val="nil"/>
            </w:tcBorders>
            <w:vAlign w:val="center"/>
          </w:tcPr>
          <w:p w14:paraId="5B0406C9" w14:textId="0EB102C0"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$1.1B</w:t>
            </w:r>
          </w:p>
        </w:tc>
        <w:tc>
          <w:tcPr>
            <w:tcW w:w="1333" w:type="dxa"/>
            <w:tcBorders>
              <w:top w:val="nil"/>
              <w:bottom w:val="nil"/>
            </w:tcBorders>
            <w:vAlign w:val="center"/>
          </w:tcPr>
          <w:p w14:paraId="44852450" w14:textId="78315F14"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+0.0%</w:t>
            </w:r>
          </w:p>
        </w:tc>
        <w:tc>
          <w:tcPr>
            <w:tcW w:w="1333" w:type="dxa"/>
            <w:tcBorders>
              <w:top w:val="nil"/>
              <w:bottom w:val="nil"/>
            </w:tcBorders>
            <w:vAlign w:val="center"/>
          </w:tcPr>
          <w:p w14:paraId="46D53F00" w14:textId="7087191C"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-27.8%</w:t>
            </w:r>
          </w:p>
        </w:tc>
      </w:tr>
      <w:tr w:rsidR="002A3B9B" w:rsidRPr="002A3B9B" w14:paraId="311D074E" w14:textId="77777777" w:rsidTr="002A3B9B">
        <w:trPr>
          <w:trHeight w:val="257"/>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0A45A184" w14:textId="0D8217DF" w:rsidR="002A3B9B" w:rsidRPr="002A3B9B" w:rsidRDefault="002A3B9B" w:rsidP="002A3B9B">
            <w:pPr>
              <w:pStyle w:val="NoSpacing"/>
              <w:jc w:val="right"/>
              <w:rPr>
                <w:rFonts w:ascii="Arial" w:hAnsi="Arial" w:cs="Arial"/>
                <w:b w:val="0"/>
                <w:sz w:val="18"/>
                <w:szCs w:val="18"/>
              </w:rPr>
            </w:pPr>
            <w:r>
              <w:rPr>
                <w:rFonts w:ascii="Arial" w:hAnsi="Arial" w:cs="Arial"/>
                <w:b w:val="0"/>
                <w:sz w:val="18"/>
                <w:szCs w:val="18"/>
              </w:rPr>
              <w:t>Pineapples</w:t>
            </w:r>
          </w:p>
        </w:tc>
        <w:tc>
          <w:tcPr>
            <w:tcW w:w="1333" w:type="dxa"/>
            <w:gridSpan w:val="2"/>
            <w:tcBorders>
              <w:top w:val="nil"/>
              <w:bottom w:val="nil"/>
            </w:tcBorders>
            <w:vAlign w:val="center"/>
          </w:tcPr>
          <w:p w14:paraId="2C51EDA4" w14:textId="1FCB61E7"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$66M</w:t>
            </w:r>
          </w:p>
        </w:tc>
        <w:tc>
          <w:tcPr>
            <w:tcW w:w="1333" w:type="dxa"/>
            <w:gridSpan w:val="3"/>
            <w:tcBorders>
              <w:top w:val="nil"/>
              <w:bottom w:val="nil"/>
            </w:tcBorders>
            <w:vAlign w:val="center"/>
          </w:tcPr>
          <w:p w14:paraId="5E167841" w14:textId="73EB88BC"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+3.9%</w:t>
            </w:r>
          </w:p>
        </w:tc>
        <w:tc>
          <w:tcPr>
            <w:tcW w:w="1333" w:type="dxa"/>
            <w:tcBorders>
              <w:top w:val="nil"/>
              <w:bottom w:val="nil"/>
              <w:right w:val="single" w:sz="4" w:space="0" w:color="31849B" w:themeColor="accent5" w:themeShade="BF"/>
            </w:tcBorders>
            <w:vAlign w:val="center"/>
          </w:tcPr>
          <w:p w14:paraId="1F1040FD" w14:textId="000AA53E"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+4.1%</w:t>
            </w:r>
          </w:p>
        </w:tc>
        <w:tc>
          <w:tcPr>
            <w:tcW w:w="1333" w:type="dxa"/>
            <w:tcBorders>
              <w:top w:val="nil"/>
              <w:left w:val="single" w:sz="4" w:space="0" w:color="31849B" w:themeColor="accent5" w:themeShade="BF"/>
              <w:bottom w:val="nil"/>
            </w:tcBorders>
            <w:vAlign w:val="center"/>
          </w:tcPr>
          <w:p w14:paraId="172794C0" w14:textId="3BC03B77"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Mixed fruit</w:t>
            </w:r>
          </w:p>
        </w:tc>
        <w:tc>
          <w:tcPr>
            <w:tcW w:w="1333" w:type="dxa"/>
            <w:gridSpan w:val="2"/>
            <w:tcBorders>
              <w:top w:val="nil"/>
              <w:bottom w:val="nil"/>
            </w:tcBorders>
            <w:vAlign w:val="center"/>
          </w:tcPr>
          <w:p w14:paraId="64823B80" w14:textId="6021F231"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$1.0B</w:t>
            </w:r>
          </w:p>
        </w:tc>
        <w:tc>
          <w:tcPr>
            <w:tcW w:w="1333" w:type="dxa"/>
            <w:tcBorders>
              <w:top w:val="nil"/>
              <w:bottom w:val="nil"/>
            </w:tcBorders>
            <w:vAlign w:val="center"/>
          </w:tcPr>
          <w:p w14:paraId="4483DBF7" w14:textId="60443EB2"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+4.9%</w:t>
            </w:r>
          </w:p>
        </w:tc>
        <w:tc>
          <w:tcPr>
            <w:tcW w:w="1333" w:type="dxa"/>
            <w:tcBorders>
              <w:top w:val="nil"/>
              <w:bottom w:val="nil"/>
            </w:tcBorders>
            <w:vAlign w:val="center"/>
          </w:tcPr>
          <w:p w14:paraId="676C39D7" w14:textId="6F6AFA40" w:rsidR="002A3B9B" w:rsidRPr="002A3B9B" w:rsidRDefault="002A3B9B" w:rsidP="002A3B9B">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bCs/>
                <w:sz w:val="18"/>
                <w:szCs w:val="18"/>
              </w:rPr>
              <w:t>-3.0%</w:t>
            </w:r>
          </w:p>
        </w:tc>
      </w:tr>
    </w:tbl>
    <w:p w14:paraId="09DFFB42" w14:textId="2303DBBB" w:rsidR="00CB6454" w:rsidRPr="00EA1FE4" w:rsidRDefault="00CB6454" w:rsidP="00CB6454">
      <w:pPr>
        <w:pStyle w:val="NoSpacing"/>
        <w:rPr>
          <w:rFonts w:ascii="Arial" w:hAnsi="Arial" w:cs="Arial"/>
          <w:sz w:val="10"/>
          <w:szCs w:val="10"/>
        </w:rPr>
      </w:pPr>
    </w:p>
    <w:p w14:paraId="70B6D0A4" w14:textId="3FF7E6B0" w:rsidR="00CB6454" w:rsidRPr="00B35CE9" w:rsidRDefault="00CB6454" w:rsidP="00CB6454">
      <w:pPr>
        <w:pStyle w:val="NoSpacing"/>
        <w:rPr>
          <w:rFonts w:ascii="Arial" w:hAnsi="Arial" w:cs="Arial"/>
          <w:sz w:val="16"/>
          <w:szCs w:val="16"/>
        </w:rPr>
      </w:pPr>
      <w:r w:rsidRPr="00B35CE9">
        <w:rPr>
          <w:rFonts w:ascii="Arial" w:hAnsi="Arial" w:cs="Arial"/>
          <w:sz w:val="16"/>
          <w:szCs w:val="16"/>
        </w:rPr>
        <w:t>Source: Source</w:t>
      </w:r>
      <w:r>
        <w:rPr>
          <w:rFonts w:ascii="Arial" w:hAnsi="Arial" w:cs="Arial"/>
          <w:sz w:val="16"/>
          <w:szCs w:val="16"/>
        </w:rPr>
        <w:t>: IRI Integrated Fresh, Total U.S., MULO</w:t>
      </w:r>
    </w:p>
    <w:p w14:paraId="3EF2F674" w14:textId="7B6BB7F0" w:rsidR="009C4990" w:rsidRDefault="009C4990" w:rsidP="00B10C22">
      <w:pPr>
        <w:pStyle w:val="NoSpacing"/>
        <w:rPr>
          <w:rFonts w:ascii="Arial" w:hAnsi="Arial" w:cs="Arial"/>
          <w:b/>
          <w:color w:val="595959" w:themeColor="text1" w:themeTint="A6"/>
          <w:sz w:val="24"/>
          <w:szCs w:val="24"/>
        </w:rPr>
      </w:pPr>
    </w:p>
    <w:p w14:paraId="16F61730" w14:textId="7922AAA8"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A61E56">
        <w:rPr>
          <w:rFonts w:ascii="Arial" w:hAnsi="Arial" w:cs="Arial"/>
          <w:b/>
          <w:color w:val="595959" w:themeColor="text1" w:themeTint="A6"/>
          <w:sz w:val="24"/>
          <w:szCs w:val="24"/>
        </w:rPr>
        <w:t>December</w:t>
      </w:r>
    </w:p>
    <w:p w14:paraId="79E43D5D" w14:textId="5EF59498" w:rsidR="00836D73" w:rsidRDefault="007273B2" w:rsidP="00B10C22">
      <w:pPr>
        <w:pStyle w:val="NoSpacing"/>
        <w:rPr>
          <w:rFonts w:ascii="Arial" w:hAnsi="Arial" w:cs="Arial"/>
          <w:sz w:val="20"/>
          <w:szCs w:val="20"/>
        </w:rPr>
      </w:pPr>
      <w:r>
        <w:rPr>
          <w:rFonts w:ascii="Arial" w:hAnsi="Arial" w:cs="Arial"/>
          <w:sz w:val="20"/>
          <w:szCs w:val="20"/>
        </w:rPr>
        <w:t>“</w:t>
      </w:r>
      <w:r w:rsidR="00184177">
        <w:rPr>
          <w:rFonts w:ascii="Arial" w:hAnsi="Arial" w:cs="Arial"/>
          <w:sz w:val="20"/>
          <w:szCs w:val="20"/>
        </w:rPr>
        <w:t>Onions and cucumbers stand out in annual the top selling vegetables with positive pound sales</w:t>
      </w:r>
      <w:r w:rsidR="00546508">
        <w:rPr>
          <w:rFonts w:ascii="Arial" w:hAnsi="Arial" w:cs="Arial"/>
          <w:sz w:val="20"/>
          <w:szCs w:val="20"/>
        </w:rPr>
        <w:t xml:space="preserve">,” said Watson. </w:t>
      </w:r>
      <w:r w:rsidR="00084469">
        <w:rPr>
          <w:rFonts w:ascii="Arial" w:hAnsi="Arial" w:cs="Arial"/>
          <w:sz w:val="20"/>
          <w:szCs w:val="20"/>
        </w:rPr>
        <w:t>“</w:t>
      </w:r>
      <w:r w:rsidR="00184177">
        <w:rPr>
          <w:rFonts w:ascii="Arial" w:hAnsi="Arial" w:cs="Arial"/>
          <w:sz w:val="20"/>
          <w:szCs w:val="20"/>
        </w:rPr>
        <w:t>But potatoes deserve a callout too. Despite inflation running in the teens, strong consumer demand boosted pound sales over the December 2021 levels.</w:t>
      </w:r>
      <w:r w:rsidR="00891C7E">
        <w:rPr>
          <w:rFonts w:ascii="Arial" w:hAnsi="Arial" w:cs="Arial"/>
          <w:sz w:val="20"/>
          <w:szCs w:val="20"/>
        </w:rPr>
        <w:t>”</w:t>
      </w:r>
      <w:r w:rsidR="00AA16AD">
        <w:rPr>
          <w:rFonts w:ascii="Arial" w:hAnsi="Arial" w:cs="Arial"/>
          <w:sz w:val="20"/>
          <w:szCs w:val="20"/>
        </w:rPr>
        <w:t xml:space="preserve"> </w:t>
      </w:r>
    </w:p>
    <w:p w14:paraId="07A3C315" w14:textId="511E4FC8" w:rsidR="002A3B9B" w:rsidRPr="000361C6" w:rsidRDefault="002A3B9B" w:rsidP="00B10C22">
      <w:pPr>
        <w:pStyle w:val="NoSpacing"/>
        <w:rPr>
          <w:rFonts w:ascii="Arial" w:hAnsi="Arial" w:cs="Arial"/>
          <w:sz w:val="20"/>
          <w:szCs w:val="20"/>
        </w:rPr>
      </w:pPr>
    </w:p>
    <w:tbl>
      <w:tblPr>
        <w:tblStyle w:val="LightShading-Accent5"/>
        <w:tblW w:w="10440" w:type="dxa"/>
        <w:tblLayout w:type="fixed"/>
        <w:tblLook w:val="04A0" w:firstRow="1" w:lastRow="0" w:firstColumn="1" w:lastColumn="0" w:noHBand="0" w:noVBand="1"/>
      </w:tblPr>
      <w:tblGrid>
        <w:gridCol w:w="1710"/>
        <w:gridCol w:w="900"/>
        <w:gridCol w:w="90"/>
        <w:gridCol w:w="754"/>
        <w:gridCol w:w="321"/>
        <w:gridCol w:w="1333"/>
        <w:gridCol w:w="1732"/>
        <w:gridCol w:w="107"/>
        <w:gridCol w:w="827"/>
        <w:gridCol w:w="1333"/>
        <w:gridCol w:w="1333"/>
      </w:tblGrid>
      <w:tr w:rsidR="002A3B9B" w:rsidRPr="0003007F" w14:paraId="41CD5D81" w14:textId="77777777" w:rsidTr="002A3B9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5855CFD2" w14:textId="77777777" w:rsidR="002A3B9B" w:rsidRPr="00AB1306" w:rsidRDefault="002A3B9B" w:rsidP="00D90DFC">
            <w:pPr>
              <w:pStyle w:val="NoSpacing"/>
              <w:rPr>
                <w:rFonts w:ascii="Arial" w:hAnsi="Arial" w:cs="Arial"/>
                <w:color w:val="FFFFFF" w:themeColor="background1"/>
                <w:sz w:val="18"/>
                <w:szCs w:val="18"/>
              </w:rPr>
            </w:pPr>
            <w:bookmarkStart w:id="4" w:name="_Hlk124108409"/>
            <w:r w:rsidRPr="00AB1306">
              <w:rPr>
                <w:rFonts w:ascii="Arial" w:hAnsi="Arial" w:cs="Arial"/>
                <w:color w:val="FFFFFF" w:themeColor="background1"/>
                <w:sz w:val="18"/>
                <w:szCs w:val="18"/>
              </w:rPr>
              <w:t>Top 10 in sales</w:t>
            </w:r>
          </w:p>
        </w:tc>
        <w:tc>
          <w:tcPr>
            <w:tcW w:w="1744" w:type="dxa"/>
            <w:gridSpan w:val="3"/>
            <w:tcBorders>
              <w:top w:val="nil"/>
              <w:bottom w:val="nil"/>
            </w:tcBorders>
            <w:shd w:val="clear" w:color="auto" w:fill="17365D" w:themeFill="text2" w:themeFillShade="BF"/>
          </w:tcPr>
          <w:p w14:paraId="6F127F5B" w14:textId="627F95AE" w:rsidR="002A3B9B" w:rsidRPr="00AB1306" w:rsidRDefault="002E6137" w:rsidP="002E6137">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15F4">
              <w:rPr>
                <w:rFonts w:ascii="Arial" w:hAnsi="Arial" w:cs="Arial"/>
                <w:color w:val="FFFFFF" w:themeColor="background1"/>
                <w:sz w:val="18"/>
                <w:szCs w:val="18"/>
              </w:rPr>
              <w:t>December 2022</w:t>
            </w:r>
            <w:r>
              <w:rPr>
                <w:rFonts w:ascii="Arial" w:hAnsi="Arial" w:cs="Arial"/>
                <w:color w:val="FFFFFF" w:themeColor="background1"/>
                <w:sz w:val="18"/>
                <w:szCs w:val="18"/>
              </w:rPr>
              <w:t xml:space="preserve">  </w:t>
            </w:r>
          </w:p>
        </w:tc>
        <w:tc>
          <w:tcPr>
            <w:tcW w:w="3493" w:type="dxa"/>
            <w:gridSpan w:val="4"/>
            <w:tcBorders>
              <w:top w:val="nil"/>
              <w:bottom w:val="nil"/>
            </w:tcBorders>
            <w:shd w:val="clear" w:color="auto" w:fill="17365D" w:themeFill="text2" w:themeFillShade="BF"/>
          </w:tcPr>
          <w:p w14:paraId="33ACBE9F" w14:textId="0CBA4F44" w:rsidR="002A3B9B" w:rsidRPr="00F515F4" w:rsidRDefault="002A3B9B" w:rsidP="00D90DF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3493" w:type="dxa"/>
            <w:gridSpan w:val="3"/>
            <w:tcBorders>
              <w:top w:val="nil"/>
              <w:bottom w:val="nil"/>
            </w:tcBorders>
            <w:shd w:val="clear" w:color="auto" w:fill="17365D" w:themeFill="text2" w:themeFillShade="BF"/>
          </w:tcPr>
          <w:p w14:paraId="05199748" w14:textId="77777777" w:rsidR="002A3B9B" w:rsidRPr="0003007F" w:rsidRDefault="002A3B9B" w:rsidP="00D90DF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Calendar Year 2022</w:t>
            </w:r>
          </w:p>
        </w:tc>
      </w:tr>
      <w:tr w:rsidR="002A3B9B" w:rsidRPr="002A3B9B" w14:paraId="27713724" w14:textId="77777777" w:rsidTr="0018417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7E88E81D" w14:textId="77777777" w:rsidR="002A3B9B" w:rsidRPr="002A3B9B" w:rsidRDefault="002A3B9B" w:rsidP="00D90DFC">
            <w:pPr>
              <w:pStyle w:val="NoSpacing"/>
              <w:rPr>
                <w:rFonts w:ascii="Arial" w:hAnsi="Arial" w:cs="Arial"/>
                <w:color w:val="FFFFFF" w:themeColor="background1"/>
                <w:sz w:val="18"/>
                <w:szCs w:val="18"/>
              </w:rPr>
            </w:pPr>
            <w:r w:rsidRPr="002A3B9B">
              <w:rPr>
                <w:rFonts w:ascii="Arial" w:hAnsi="Arial" w:cs="Arial"/>
                <w:color w:val="FFFFFF" w:themeColor="background1"/>
                <w:sz w:val="18"/>
                <w:szCs w:val="18"/>
              </w:rPr>
              <w:t>Type</w:t>
            </w:r>
          </w:p>
        </w:tc>
        <w:tc>
          <w:tcPr>
            <w:tcW w:w="900" w:type="dxa"/>
            <w:tcBorders>
              <w:top w:val="nil"/>
              <w:bottom w:val="nil"/>
            </w:tcBorders>
            <w:shd w:val="clear" w:color="auto" w:fill="17365D" w:themeFill="text2" w:themeFillShade="BF"/>
          </w:tcPr>
          <w:p w14:paraId="653DA0F6" w14:textId="77777777"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165" w:type="dxa"/>
            <w:gridSpan w:val="3"/>
            <w:tcBorders>
              <w:top w:val="nil"/>
              <w:bottom w:val="nil"/>
            </w:tcBorders>
            <w:shd w:val="clear" w:color="auto" w:fill="17365D" w:themeFill="text2" w:themeFillShade="BF"/>
          </w:tcPr>
          <w:p w14:paraId="0854E419" w14:textId="77777777" w:rsidR="002A3B9B" w:rsidRPr="002A3B9B" w:rsidRDefault="002A3B9B" w:rsidP="002A3B9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333" w:type="dxa"/>
            <w:tcBorders>
              <w:top w:val="nil"/>
              <w:bottom w:val="nil"/>
            </w:tcBorders>
            <w:shd w:val="clear" w:color="auto" w:fill="17365D" w:themeFill="text2" w:themeFillShade="BF"/>
          </w:tcPr>
          <w:p w14:paraId="3BBF47AF" w14:textId="77777777" w:rsidR="002A3B9B" w:rsidRPr="002A3B9B" w:rsidRDefault="002A3B9B" w:rsidP="002A3B9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c>
          <w:tcPr>
            <w:tcW w:w="1732" w:type="dxa"/>
            <w:tcBorders>
              <w:top w:val="nil"/>
              <w:bottom w:val="nil"/>
            </w:tcBorders>
            <w:shd w:val="clear" w:color="auto" w:fill="17365D" w:themeFill="text2" w:themeFillShade="BF"/>
          </w:tcPr>
          <w:p w14:paraId="342DCBAF" w14:textId="77777777" w:rsidR="002A3B9B" w:rsidRPr="002A3B9B" w:rsidRDefault="002A3B9B" w:rsidP="002A3B9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Type</w:t>
            </w:r>
          </w:p>
        </w:tc>
        <w:tc>
          <w:tcPr>
            <w:tcW w:w="934" w:type="dxa"/>
            <w:gridSpan w:val="2"/>
            <w:tcBorders>
              <w:top w:val="nil"/>
              <w:bottom w:val="nil"/>
            </w:tcBorders>
            <w:shd w:val="clear" w:color="auto" w:fill="17365D" w:themeFill="text2" w:themeFillShade="BF"/>
          </w:tcPr>
          <w:p w14:paraId="5BEBBA82" w14:textId="77777777" w:rsidR="002A3B9B" w:rsidRPr="002A3B9B" w:rsidRDefault="002A3B9B" w:rsidP="002A3B9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333" w:type="dxa"/>
            <w:tcBorders>
              <w:top w:val="nil"/>
              <w:bottom w:val="nil"/>
            </w:tcBorders>
            <w:shd w:val="clear" w:color="auto" w:fill="17365D" w:themeFill="text2" w:themeFillShade="BF"/>
          </w:tcPr>
          <w:p w14:paraId="7D5F076E" w14:textId="77777777" w:rsidR="002A3B9B" w:rsidRPr="002A3B9B" w:rsidRDefault="002A3B9B" w:rsidP="002A3B9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333" w:type="dxa"/>
            <w:tcBorders>
              <w:top w:val="nil"/>
              <w:bottom w:val="nil"/>
            </w:tcBorders>
            <w:shd w:val="clear" w:color="auto" w:fill="17365D" w:themeFill="text2" w:themeFillShade="BF"/>
          </w:tcPr>
          <w:p w14:paraId="41AD10FB" w14:textId="77777777" w:rsidR="002A3B9B" w:rsidRPr="002A3B9B" w:rsidRDefault="002A3B9B" w:rsidP="002A3B9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r>
      <w:tr w:rsidR="002A3B9B" w:rsidRPr="002A3B9B" w14:paraId="28563DD2" w14:textId="77777777" w:rsidTr="00184177">
        <w:trPr>
          <w:trHeight w:val="303"/>
        </w:trPr>
        <w:tc>
          <w:tcPr>
            <w:cnfStyle w:val="001000000000" w:firstRow="0" w:lastRow="0" w:firstColumn="1" w:lastColumn="0" w:oddVBand="0" w:evenVBand="0" w:oddHBand="0" w:evenHBand="0" w:firstRowFirstColumn="0" w:firstRowLastColumn="0" w:lastRowFirstColumn="0" w:lastRowLastColumn="0"/>
            <w:tcW w:w="1710" w:type="dxa"/>
            <w:tcBorders>
              <w:top w:val="nil"/>
            </w:tcBorders>
            <w:vAlign w:val="center"/>
          </w:tcPr>
          <w:p w14:paraId="3D5D1E45" w14:textId="32AC35AB" w:rsidR="002A3B9B" w:rsidRPr="002A3B9B" w:rsidRDefault="002A3B9B" w:rsidP="00D90DFC">
            <w:pPr>
              <w:pStyle w:val="NoSpacing"/>
              <w:jc w:val="right"/>
              <w:rPr>
                <w:rFonts w:ascii="Arial" w:hAnsi="Arial" w:cs="Arial"/>
                <w:sz w:val="18"/>
                <w:szCs w:val="18"/>
              </w:rPr>
            </w:pPr>
            <w:r w:rsidRPr="002A3B9B">
              <w:rPr>
                <w:rFonts w:ascii="Arial" w:hAnsi="Arial" w:cs="Arial"/>
                <w:sz w:val="18"/>
                <w:szCs w:val="18"/>
              </w:rPr>
              <w:t xml:space="preserve">Fresh </w:t>
            </w:r>
            <w:r>
              <w:rPr>
                <w:rFonts w:ascii="Arial" w:hAnsi="Arial" w:cs="Arial"/>
                <w:sz w:val="18"/>
                <w:szCs w:val="18"/>
              </w:rPr>
              <w:t>vegetables</w:t>
            </w:r>
          </w:p>
        </w:tc>
        <w:tc>
          <w:tcPr>
            <w:tcW w:w="990" w:type="dxa"/>
            <w:gridSpan w:val="2"/>
            <w:tcBorders>
              <w:top w:val="nil"/>
            </w:tcBorders>
            <w:vAlign w:val="center"/>
          </w:tcPr>
          <w:p w14:paraId="385F0DC4" w14:textId="50848814" w:rsidR="002A3B9B" w:rsidRPr="002A3B9B" w:rsidRDefault="002A3B9B"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sidR="00184177">
              <w:rPr>
                <w:rFonts w:ascii="Arial" w:hAnsi="Arial" w:cs="Arial"/>
                <w:b/>
                <w:bCs/>
                <w:sz w:val="18"/>
                <w:szCs w:val="18"/>
              </w:rPr>
              <w:t>2.9</w:t>
            </w:r>
            <w:r w:rsidRPr="002A3B9B">
              <w:rPr>
                <w:rFonts w:ascii="Arial" w:hAnsi="Arial" w:cs="Arial"/>
                <w:b/>
                <w:bCs/>
                <w:sz w:val="18"/>
                <w:szCs w:val="18"/>
              </w:rPr>
              <w:t>B</w:t>
            </w:r>
          </w:p>
        </w:tc>
        <w:tc>
          <w:tcPr>
            <w:tcW w:w="1075" w:type="dxa"/>
            <w:gridSpan w:val="2"/>
            <w:tcBorders>
              <w:top w:val="nil"/>
            </w:tcBorders>
            <w:vAlign w:val="center"/>
          </w:tcPr>
          <w:p w14:paraId="319FE3BB" w14:textId="4D0EF2DF" w:rsidR="002A3B9B" w:rsidRPr="002A3B9B" w:rsidRDefault="002A3B9B"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sidR="00184177">
              <w:rPr>
                <w:rFonts w:ascii="Arial" w:hAnsi="Arial" w:cs="Arial"/>
                <w:b/>
                <w:bCs/>
                <w:sz w:val="18"/>
                <w:szCs w:val="18"/>
              </w:rPr>
              <w:t>7.3</w:t>
            </w:r>
            <w:r w:rsidRPr="002A3B9B">
              <w:rPr>
                <w:rFonts w:ascii="Arial" w:hAnsi="Arial" w:cs="Arial"/>
                <w:b/>
                <w:bCs/>
                <w:sz w:val="18"/>
                <w:szCs w:val="18"/>
              </w:rPr>
              <w:t>%</w:t>
            </w:r>
          </w:p>
        </w:tc>
        <w:tc>
          <w:tcPr>
            <w:tcW w:w="1333" w:type="dxa"/>
            <w:tcBorders>
              <w:top w:val="nil"/>
              <w:right w:val="single" w:sz="4" w:space="0" w:color="31849B" w:themeColor="accent5" w:themeShade="BF"/>
            </w:tcBorders>
            <w:vAlign w:val="center"/>
          </w:tcPr>
          <w:p w14:paraId="5DF05A5E" w14:textId="2B7D77EF" w:rsidR="002A3B9B" w:rsidRPr="002A3B9B" w:rsidRDefault="0018417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+0.3</w:t>
            </w:r>
            <w:r w:rsidR="002A3B9B" w:rsidRPr="002A3B9B">
              <w:rPr>
                <w:rFonts w:ascii="Arial" w:hAnsi="Arial" w:cs="Arial"/>
                <w:b/>
                <w:bCs/>
                <w:sz w:val="18"/>
                <w:szCs w:val="18"/>
              </w:rPr>
              <w:t>%</w:t>
            </w:r>
          </w:p>
        </w:tc>
        <w:tc>
          <w:tcPr>
            <w:tcW w:w="1732" w:type="dxa"/>
            <w:tcBorders>
              <w:top w:val="nil"/>
              <w:left w:val="single" w:sz="4" w:space="0" w:color="31849B" w:themeColor="accent5" w:themeShade="BF"/>
              <w:bottom w:val="nil"/>
            </w:tcBorders>
            <w:vAlign w:val="center"/>
          </w:tcPr>
          <w:p w14:paraId="68C7B564" w14:textId="5E695CF0" w:rsidR="002A3B9B" w:rsidRPr="002A3B9B" w:rsidRDefault="002A3B9B"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 xml:space="preserve">Fresh </w:t>
            </w:r>
            <w:r>
              <w:rPr>
                <w:rFonts w:ascii="Arial" w:hAnsi="Arial" w:cs="Arial"/>
                <w:b/>
                <w:bCs/>
                <w:sz w:val="18"/>
                <w:szCs w:val="18"/>
              </w:rPr>
              <w:t>veg</w:t>
            </w:r>
            <w:r w:rsidR="00184177">
              <w:rPr>
                <w:rFonts w:ascii="Arial" w:hAnsi="Arial" w:cs="Arial"/>
                <w:b/>
                <w:bCs/>
                <w:sz w:val="18"/>
                <w:szCs w:val="18"/>
              </w:rPr>
              <w:t>etables</w:t>
            </w:r>
          </w:p>
        </w:tc>
        <w:tc>
          <w:tcPr>
            <w:tcW w:w="934" w:type="dxa"/>
            <w:gridSpan w:val="2"/>
            <w:tcBorders>
              <w:top w:val="nil"/>
            </w:tcBorders>
            <w:vAlign w:val="center"/>
          </w:tcPr>
          <w:p w14:paraId="5086B716" w14:textId="1F407395" w:rsidR="002A3B9B" w:rsidRPr="002A3B9B" w:rsidRDefault="002A3B9B"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sidR="00184177">
              <w:rPr>
                <w:rFonts w:ascii="Arial" w:hAnsi="Arial" w:cs="Arial"/>
                <w:b/>
                <w:bCs/>
                <w:sz w:val="18"/>
                <w:szCs w:val="18"/>
              </w:rPr>
              <w:t>36.9</w:t>
            </w:r>
            <w:r w:rsidRPr="002A3B9B">
              <w:rPr>
                <w:rFonts w:ascii="Arial" w:hAnsi="Arial" w:cs="Arial"/>
                <w:b/>
                <w:bCs/>
                <w:sz w:val="18"/>
                <w:szCs w:val="18"/>
              </w:rPr>
              <w:t>B</w:t>
            </w:r>
          </w:p>
        </w:tc>
        <w:tc>
          <w:tcPr>
            <w:tcW w:w="1333" w:type="dxa"/>
            <w:tcBorders>
              <w:top w:val="nil"/>
            </w:tcBorders>
            <w:vAlign w:val="center"/>
          </w:tcPr>
          <w:p w14:paraId="5B2AA733" w14:textId="67A5BDBD" w:rsidR="002A3B9B" w:rsidRPr="002A3B9B" w:rsidRDefault="002A3B9B"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sidR="00184177">
              <w:rPr>
                <w:rFonts w:ascii="Arial" w:hAnsi="Arial" w:cs="Arial"/>
                <w:b/>
                <w:bCs/>
                <w:sz w:val="18"/>
                <w:szCs w:val="18"/>
              </w:rPr>
              <w:t>3.9</w:t>
            </w:r>
            <w:r w:rsidRPr="002A3B9B">
              <w:rPr>
                <w:rFonts w:ascii="Arial" w:hAnsi="Arial" w:cs="Arial"/>
                <w:b/>
                <w:bCs/>
                <w:sz w:val="18"/>
                <w:szCs w:val="18"/>
              </w:rPr>
              <w:t>%</w:t>
            </w:r>
          </w:p>
        </w:tc>
        <w:tc>
          <w:tcPr>
            <w:tcW w:w="1333" w:type="dxa"/>
            <w:tcBorders>
              <w:top w:val="nil"/>
            </w:tcBorders>
            <w:vAlign w:val="center"/>
          </w:tcPr>
          <w:p w14:paraId="0E5D3210" w14:textId="53BDE25F" w:rsidR="002A3B9B" w:rsidRPr="002A3B9B" w:rsidRDefault="002A3B9B"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sidR="00184177">
              <w:rPr>
                <w:rFonts w:ascii="Arial" w:hAnsi="Arial" w:cs="Arial"/>
                <w:b/>
                <w:bCs/>
                <w:sz w:val="18"/>
                <w:szCs w:val="18"/>
              </w:rPr>
              <w:t>3.7</w:t>
            </w:r>
            <w:r w:rsidRPr="002A3B9B">
              <w:rPr>
                <w:rFonts w:ascii="Arial" w:hAnsi="Arial" w:cs="Arial"/>
                <w:b/>
                <w:bCs/>
                <w:sz w:val="18"/>
                <w:szCs w:val="18"/>
              </w:rPr>
              <w:t>%</w:t>
            </w:r>
          </w:p>
        </w:tc>
      </w:tr>
      <w:tr w:rsidR="00184177" w:rsidRPr="002A3B9B" w14:paraId="1B142A05" w14:textId="77777777" w:rsidTr="001841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F8E6900" w14:textId="73010742"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Potatoes</w:t>
            </w:r>
          </w:p>
        </w:tc>
        <w:tc>
          <w:tcPr>
            <w:tcW w:w="990" w:type="dxa"/>
            <w:gridSpan w:val="2"/>
            <w:vAlign w:val="center"/>
          </w:tcPr>
          <w:p w14:paraId="655ED1F4" w14:textId="756C9437"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336</w:t>
            </w:r>
            <w:r w:rsidRPr="002A3B9B">
              <w:rPr>
                <w:rFonts w:ascii="Arial" w:hAnsi="Arial" w:cs="Arial"/>
                <w:sz w:val="18"/>
                <w:szCs w:val="18"/>
              </w:rPr>
              <w:t>M</w:t>
            </w:r>
          </w:p>
        </w:tc>
        <w:tc>
          <w:tcPr>
            <w:tcW w:w="1075" w:type="dxa"/>
            <w:gridSpan w:val="2"/>
            <w:vAlign w:val="center"/>
          </w:tcPr>
          <w:p w14:paraId="01A97D3F" w14:textId="649150BC"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+20.2</w:t>
            </w:r>
            <w:r w:rsidRPr="002A3B9B">
              <w:rPr>
                <w:rFonts w:ascii="Arial" w:hAnsi="Arial" w:cs="Arial"/>
                <w:sz w:val="18"/>
                <w:szCs w:val="18"/>
              </w:rPr>
              <w:t>%</w:t>
            </w:r>
          </w:p>
        </w:tc>
        <w:tc>
          <w:tcPr>
            <w:tcW w:w="1333" w:type="dxa"/>
            <w:tcBorders>
              <w:right w:val="single" w:sz="4" w:space="0" w:color="31849B" w:themeColor="accent5" w:themeShade="BF"/>
            </w:tcBorders>
            <w:vAlign w:val="center"/>
          </w:tcPr>
          <w:p w14:paraId="5E369A2C" w14:textId="237DCA22"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+1.1</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6FC58457" w14:textId="1719ED88"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Tomatoes</w:t>
            </w:r>
          </w:p>
        </w:tc>
        <w:tc>
          <w:tcPr>
            <w:tcW w:w="934" w:type="dxa"/>
            <w:gridSpan w:val="2"/>
            <w:vAlign w:val="center"/>
          </w:tcPr>
          <w:p w14:paraId="0772FAAA" w14:textId="1C3519EE"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4.0B</w:t>
            </w:r>
          </w:p>
        </w:tc>
        <w:tc>
          <w:tcPr>
            <w:tcW w:w="1333" w:type="dxa"/>
            <w:vAlign w:val="center"/>
          </w:tcPr>
          <w:p w14:paraId="61070560" w14:textId="3FD9C210"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+1.4</w:t>
            </w:r>
            <w:r w:rsidRPr="002A3B9B">
              <w:rPr>
                <w:rFonts w:ascii="Arial" w:hAnsi="Arial" w:cs="Arial"/>
                <w:sz w:val="18"/>
                <w:szCs w:val="18"/>
              </w:rPr>
              <w:t>%</w:t>
            </w:r>
          </w:p>
        </w:tc>
        <w:tc>
          <w:tcPr>
            <w:tcW w:w="1333" w:type="dxa"/>
            <w:vAlign w:val="center"/>
          </w:tcPr>
          <w:p w14:paraId="656627DD" w14:textId="47F2F207"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2.8</w:t>
            </w:r>
            <w:r w:rsidRPr="002A3B9B">
              <w:rPr>
                <w:rFonts w:ascii="Arial" w:hAnsi="Arial" w:cs="Arial"/>
                <w:sz w:val="18"/>
                <w:szCs w:val="18"/>
              </w:rPr>
              <w:t>%</w:t>
            </w:r>
          </w:p>
        </w:tc>
      </w:tr>
      <w:tr w:rsidR="00184177" w:rsidRPr="002A3B9B" w14:paraId="7CA6FA2C" w14:textId="77777777" w:rsidTr="00184177">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F9CC865" w14:textId="46F6CF8F"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Tomatoes</w:t>
            </w:r>
          </w:p>
        </w:tc>
        <w:tc>
          <w:tcPr>
            <w:tcW w:w="990" w:type="dxa"/>
            <w:gridSpan w:val="2"/>
            <w:vAlign w:val="center"/>
          </w:tcPr>
          <w:p w14:paraId="6CC0CEF0" w14:textId="2F31D44F"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312</w:t>
            </w:r>
            <w:r w:rsidRPr="002A3B9B">
              <w:rPr>
                <w:rFonts w:ascii="Arial" w:hAnsi="Arial" w:cs="Arial"/>
                <w:sz w:val="18"/>
                <w:szCs w:val="18"/>
              </w:rPr>
              <w:t>M</w:t>
            </w:r>
          </w:p>
        </w:tc>
        <w:tc>
          <w:tcPr>
            <w:tcW w:w="1075" w:type="dxa"/>
            <w:gridSpan w:val="2"/>
            <w:vAlign w:val="center"/>
          </w:tcPr>
          <w:p w14:paraId="3BCFBDF5" w14:textId="75F4065B"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+10.3</w:t>
            </w:r>
            <w:r w:rsidRPr="002A3B9B">
              <w:rPr>
                <w:rFonts w:ascii="Arial" w:hAnsi="Arial" w:cs="Arial"/>
                <w:sz w:val="18"/>
                <w:szCs w:val="18"/>
              </w:rPr>
              <w:t>%</w:t>
            </w:r>
          </w:p>
        </w:tc>
        <w:tc>
          <w:tcPr>
            <w:tcW w:w="1333" w:type="dxa"/>
            <w:tcBorders>
              <w:right w:val="single" w:sz="4" w:space="0" w:color="31849B" w:themeColor="accent5" w:themeShade="BF"/>
            </w:tcBorders>
            <w:vAlign w:val="center"/>
          </w:tcPr>
          <w:p w14:paraId="2BB721B8" w14:textId="07F9B8FD"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+0.2</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2B954EC9" w14:textId="6BE4F6E3"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Potatoes</w:t>
            </w:r>
          </w:p>
        </w:tc>
        <w:tc>
          <w:tcPr>
            <w:tcW w:w="934" w:type="dxa"/>
            <w:gridSpan w:val="2"/>
            <w:vAlign w:val="center"/>
          </w:tcPr>
          <w:p w14:paraId="19FC3EAD" w14:textId="29F977C6"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3.8B</w:t>
            </w:r>
          </w:p>
        </w:tc>
        <w:tc>
          <w:tcPr>
            <w:tcW w:w="1333" w:type="dxa"/>
            <w:vAlign w:val="center"/>
          </w:tcPr>
          <w:p w14:paraId="7CFD3B86" w14:textId="1BCA5D86"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+15.0</w:t>
            </w:r>
            <w:r w:rsidRPr="002A3B9B">
              <w:rPr>
                <w:rFonts w:ascii="Arial" w:hAnsi="Arial" w:cs="Arial"/>
                <w:sz w:val="18"/>
                <w:szCs w:val="18"/>
              </w:rPr>
              <w:t>%</w:t>
            </w:r>
          </w:p>
        </w:tc>
        <w:tc>
          <w:tcPr>
            <w:tcW w:w="1333" w:type="dxa"/>
            <w:vAlign w:val="center"/>
          </w:tcPr>
          <w:p w14:paraId="19E18B3A" w14:textId="5EF18D2F"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1.3</w:t>
            </w:r>
            <w:r w:rsidRPr="002A3B9B">
              <w:rPr>
                <w:rFonts w:ascii="Arial" w:hAnsi="Arial" w:cs="Arial"/>
                <w:sz w:val="18"/>
                <w:szCs w:val="18"/>
              </w:rPr>
              <w:t>%</w:t>
            </w:r>
          </w:p>
        </w:tc>
      </w:tr>
      <w:tr w:rsidR="00184177" w:rsidRPr="002A3B9B" w14:paraId="7A4F115E" w14:textId="77777777" w:rsidTr="001841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CD85C7A" w14:textId="6BD189DC"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Lettuce</w:t>
            </w:r>
          </w:p>
        </w:tc>
        <w:tc>
          <w:tcPr>
            <w:tcW w:w="990" w:type="dxa"/>
            <w:gridSpan w:val="2"/>
            <w:vAlign w:val="center"/>
          </w:tcPr>
          <w:p w14:paraId="03607CC8" w14:textId="3E497E76"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242</w:t>
            </w:r>
            <w:r w:rsidRPr="002A3B9B">
              <w:rPr>
                <w:rFonts w:ascii="Arial" w:hAnsi="Arial" w:cs="Arial"/>
                <w:sz w:val="18"/>
                <w:szCs w:val="18"/>
              </w:rPr>
              <w:t>M</w:t>
            </w:r>
          </w:p>
        </w:tc>
        <w:tc>
          <w:tcPr>
            <w:tcW w:w="1075" w:type="dxa"/>
            <w:gridSpan w:val="2"/>
            <w:vAlign w:val="center"/>
          </w:tcPr>
          <w:p w14:paraId="279FAA92" w14:textId="78327E71"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+16.9</w:t>
            </w:r>
            <w:r w:rsidRPr="002A3B9B">
              <w:rPr>
                <w:rFonts w:ascii="Arial" w:hAnsi="Arial" w:cs="Arial"/>
                <w:sz w:val="18"/>
                <w:szCs w:val="18"/>
              </w:rPr>
              <w:t>%</w:t>
            </w:r>
          </w:p>
        </w:tc>
        <w:tc>
          <w:tcPr>
            <w:tcW w:w="1333" w:type="dxa"/>
            <w:tcBorders>
              <w:right w:val="single" w:sz="4" w:space="0" w:color="31849B" w:themeColor="accent5" w:themeShade="BF"/>
            </w:tcBorders>
            <w:vAlign w:val="center"/>
          </w:tcPr>
          <w:p w14:paraId="335F796F" w14:textId="4239ECD1"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+3.5</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70C25B5B" w14:textId="40B8BD2F"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Salad kits</w:t>
            </w:r>
          </w:p>
        </w:tc>
        <w:tc>
          <w:tcPr>
            <w:tcW w:w="934" w:type="dxa"/>
            <w:gridSpan w:val="2"/>
            <w:vAlign w:val="center"/>
          </w:tcPr>
          <w:p w14:paraId="6B37AF90" w14:textId="707019C2"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3.3B</w:t>
            </w:r>
          </w:p>
        </w:tc>
        <w:tc>
          <w:tcPr>
            <w:tcW w:w="1333" w:type="dxa"/>
            <w:vAlign w:val="center"/>
          </w:tcPr>
          <w:p w14:paraId="52570ABE" w14:textId="6FCCB028"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+1.5</w:t>
            </w:r>
            <w:r w:rsidRPr="002A3B9B">
              <w:rPr>
                <w:rFonts w:ascii="Arial" w:hAnsi="Arial" w:cs="Arial"/>
                <w:sz w:val="18"/>
                <w:szCs w:val="18"/>
              </w:rPr>
              <w:t>%</w:t>
            </w:r>
          </w:p>
        </w:tc>
        <w:tc>
          <w:tcPr>
            <w:tcW w:w="1333" w:type="dxa"/>
            <w:vAlign w:val="center"/>
          </w:tcPr>
          <w:p w14:paraId="7043F65C" w14:textId="1FB33584"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7.1</w:t>
            </w:r>
            <w:r w:rsidRPr="002A3B9B">
              <w:rPr>
                <w:rFonts w:ascii="Arial" w:hAnsi="Arial" w:cs="Arial"/>
                <w:sz w:val="18"/>
                <w:szCs w:val="18"/>
              </w:rPr>
              <w:t>%</w:t>
            </w:r>
          </w:p>
        </w:tc>
      </w:tr>
      <w:tr w:rsidR="00184177" w:rsidRPr="002A3B9B" w14:paraId="53F4ED1F" w14:textId="77777777" w:rsidTr="00184177">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465A3D5B" w14:textId="217D80E1"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Salad kits</w:t>
            </w:r>
          </w:p>
        </w:tc>
        <w:tc>
          <w:tcPr>
            <w:tcW w:w="990" w:type="dxa"/>
            <w:gridSpan w:val="2"/>
            <w:vAlign w:val="center"/>
          </w:tcPr>
          <w:p w14:paraId="0EF0AFCB" w14:textId="2C35892E"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237</w:t>
            </w:r>
            <w:r w:rsidRPr="002A3B9B">
              <w:rPr>
                <w:rFonts w:ascii="Arial" w:hAnsi="Arial" w:cs="Arial"/>
                <w:sz w:val="18"/>
                <w:szCs w:val="18"/>
              </w:rPr>
              <w:t>M</w:t>
            </w:r>
          </w:p>
        </w:tc>
        <w:tc>
          <w:tcPr>
            <w:tcW w:w="1075" w:type="dxa"/>
            <w:gridSpan w:val="2"/>
            <w:vAlign w:val="center"/>
          </w:tcPr>
          <w:p w14:paraId="4294A928" w14:textId="040D4217"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-0.4</w:t>
            </w:r>
            <w:r w:rsidRPr="002A3B9B">
              <w:rPr>
                <w:rFonts w:ascii="Arial" w:hAnsi="Arial" w:cs="Arial"/>
                <w:sz w:val="18"/>
                <w:szCs w:val="18"/>
              </w:rPr>
              <w:t>%</w:t>
            </w:r>
          </w:p>
        </w:tc>
        <w:tc>
          <w:tcPr>
            <w:tcW w:w="1333" w:type="dxa"/>
            <w:tcBorders>
              <w:right w:val="single" w:sz="4" w:space="0" w:color="31849B" w:themeColor="accent5" w:themeShade="BF"/>
            </w:tcBorders>
            <w:vAlign w:val="center"/>
          </w:tcPr>
          <w:p w14:paraId="5C2A3607" w14:textId="3B6031AE"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9.5</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5A6783DB" w14:textId="638916A1"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Lettuce</w:t>
            </w:r>
          </w:p>
        </w:tc>
        <w:tc>
          <w:tcPr>
            <w:tcW w:w="934" w:type="dxa"/>
            <w:gridSpan w:val="2"/>
            <w:vAlign w:val="center"/>
          </w:tcPr>
          <w:p w14:paraId="503A562E" w14:textId="6E702346"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2.9B</w:t>
            </w:r>
          </w:p>
        </w:tc>
        <w:tc>
          <w:tcPr>
            <w:tcW w:w="1333" w:type="dxa"/>
            <w:vAlign w:val="center"/>
          </w:tcPr>
          <w:p w14:paraId="6908F295" w14:textId="126E5D93"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+9.9</w:t>
            </w:r>
            <w:r w:rsidRPr="002A3B9B">
              <w:rPr>
                <w:rFonts w:ascii="Arial" w:hAnsi="Arial" w:cs="Arial"/>
                <w:sz w:val="18"/>
                <w:szCs w:val="18"/>
              </w:rPr>
              <w:t>%</w:t>
            </w:r>
          </w:p>
        </w:tc>
        <w:tc>
          <w:tcPr>
            <w:tcW w:w="1333" w:type="dxa"/>
            <w:vAlign w:val="center"/>
          </w:tcPr>
          <w:p w14:paraId="174F3019" w14:textId="46EFFB0E"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2.7</w:t>
            </w:r>
            <w:r w:rsidRPr="002A3B9B">
              <w:rPr>
                <w:rFonts w:ascii="Arial" w:hAnsi="Arial" w:cs="Arial"/>
                <w:sz w:val="18"/>
                <w:szCs w:val="18"/>
              </w:rPr>
              <w:t>%</w:t>
            </w:r>
          </w:p>
        </w:tc>
      </w:tr>
      <w:tr w:rsidR="00184177" w:rsidRPr="002A3B9B" w14:paraId="47D3FBD7" w14:textId="77777777" w:rsidTr="001841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7639A762" w14:textId="48EB8EFB"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Onions</w:t>
            </w:r>
          </w:p>
        </w:tc>
        <w:tc>
          <w:tcPr>
            <w:tcW w:w="990" w:type="dxa"/>
            <w:gridSpan w:val="2"/>
            <w:vAlign w:val="center"/>
          </w:tcPr>
          <w:p w14:paraId="1CD754BD" w14:textId="03F0F68E"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227</w:t>
            </w:r>
            <w:r w:rsidRPr="002A3B9B">
              <w:rPr>
                <w:rFonts w:ascii="Arial" w:hAnsi="Arial" w:cs="Arial"/>
                <w:sz w:val="18"/>
                <w:szCs w:val="18"/>
              </w:rPr>
              <w:t>M</w:t>
            </w:r>
          </w:p>
        </w:tc>
        <w:tc>
          <w:tcPr>
            <w:tcW w:w="1075" w:type="dxa"/>
            <w:gridSpan w:val="2"/>
            <w:vAlign w:val="center"/>
          </w:tcPr>
          <w:p w14:paraId="0BDA8D23" w14:textId="42D906C7"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+17.4</w:t>
            </w:r>
            <w:r w:rsidRPr="002A3B9B">
              <w:rPr>
                <w:rFonts w:ascii="Arial" w:hAnsi="Arial" w:cs="Arial"/>
                <w:sz w:val="18"/>
                <w:szCs w:val="18"/>
              </w:rPr>
              <w:t>%</w:t>
            </w:r>
          </w:p>
        </w:tc>
        <w:tc>
          <w:tcPr>
            <w:tcW w:w="1333" w:type="dxa"/>
            <w:tcBorders>
              <w:right w:val="single" w:sz="4" w:space="0" w:color="31849B" w:themeColor="accent5" w:themeShade="BF"/>
            </w:tcBorders>
            <w:vAlign w:val="center"/>
          </w:tcPr>
          <w:p w14:paraId="5A652D36" w14:textId="6CAB495C"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+8.0</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768464FA" w14:textId="0FF75842"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Onions</w:t>
            </w:r>
          </w:p>
        </w:tc>
        <w:tc>
          <w:tcPr>
            <w:tcW w:w="934" w:type="dxa"/>
            <w:gridSpan w:val="2"/>
            <w:vAlign w:val="center"/>
          </w:tcPr>
          <w:p w14:paraId="5022CE65" w14:textId="5279A226"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2.8B</w:t>
            </w:r>
          </w:p>
        </w:tc>
        <w:tc>
          <w:tcPr>
            <w:tcW w:w="1333" w:type="dxa"/>
            <w:vAlign w:val="center"/>
          </w:tcPr>
          <w:p w14:paraId="6254D108" w14:textId="4A79D164"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+17.2</w:t>
            </w:r>
            <w:r w:rsidRPr="002A3B9B">
              <w:rPr>
                <w:rFonts w:ascii="Arial" w:hAnsi="Arial" w:cs="Arial"/>
                <w:sz w:val="18"/>
                <w:szCs w:val="18"/>
              </w:rPr>
              <w:t>%</w:t>
            </w:r>
          </w:p>
        </w:tc>
        <w:tc>
          <w:tcPr>
            <w:tcW w:w="1333" w:type="dxa"/>
            <w:vAlign w:val="center"/>
          </w:tcPr>
          <w:p w14:paraId="6AE3FFAA" w14:textId="4B9D80C8"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+4.6</w:t>
            </w:r>
            <w:r w:rsidRPr="002A3B9B">
              <w:rPr>
                <w:rFonts w:ascii="Arial" w:hAnsi="Arial" w:cs="Arial"/>
                <w:sz w:val="18"/>
                <w:szCs w:val="18"/>
              </w:rPr>
              <w:t>%</w:t>
            </w:r>
          </w:p>
        </w:tc>
      </w:tr>
      <w:tr w:rsidR="00184177" w:rsidRPr="002A3B9B" w14:paraId="1DD2649D" w14:textId="77777777" w:rsidTr="00184177">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A715447" w14:textId="1E65A1C9"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Peppers</w:t>
            </w:r>
          </w:p>
        </w:tc>
        <w:tc>
          <w:tcPr>
            <w:tcW w:w="990" w:type="dxa"/>
            <w:gridSpan w:val="2"/>
            <w:vAlign w:val="center"/>
          </w:tcPr>
          <w:p w14:paraId="58BAF438" w14:textId="3F53503D"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193</w:t>
            </w:r>
            <w:r w:rsidRPr="002A3B9B">
              <w:rPr>
                <w:rFonts w:ascii="Arial" w:hAnsi="Arial" w:cs="Arial"/>
                <w:sz w:val="18"/>
                <w:szCs w:val="18"/>
              </w:rPr>
              <w:t>M</w:t>
            </w:r>
          </w:p>
        </w:tc>
        <w:tc>
          <w:tcPr>
            <w:tcW w:w="1075" w:type="dxa"/>
            <w:gridSpan w:val="2"/>
            <w:vAlign w:val="center"/>
          </w:tcPr>
          <w:p w14:paraId="1737ECAD" w14:textId="66119EBB"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+4.9</w:t>
            </w:r>
            <w:r w:rsidRPr="002A3B9B">
              <w:rPr>
                <w:rFonts w:ascii="Arial" w:hAnsi="Arial" w:cs="Arial"/>
                <w:sz w:val="18"/>
                <w:szCs w:val="18"/>
              </w:rPr>
              <w:t>%</w:t>
            </w:r>
          </w:p>
        </w:tc>
        <w:tc>
          <w:tcPr>
            <w:tcW w:w="1333" w:type="dxa"/>
            <w:tcBorders>
              <w:right w:val="single" w:sz="4" w:space="0" w:color="31849B" w:themeColor="accent5" w:themeShade="BF"/>
            </w:tcBorders>
            <w:vAlign w:val="center"/>
          </w:tcPr>
          <w:p w14:paraId="577F64A4" w14:textId="0E0A1009"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+2.7</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4D44BF78" w14:textId="43B5443F"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Peppers</w:t>
            </w:r>
          </w:p>
        </w:tc>
        <w:tc>
          <w:tcPr>
            <w:tcW w:w="934" w:type="dxa"/>
            <w:gridSpan w:val="2"/>
            <w:vAlign w:val="center"/>
          </w:tcPr>
          <w:p w14:paraId="61723AE7" w14:textId="5C6F107D"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2.5B</w:t>
            </w:r>
          </w:p>
        </w:tc>
        <w:tc>
          <w:tcPr>
            <w:tcW w:w="1333" w:type="dxa"/>
            <w:vAlign w:val="center"/>
          </w:tcPr>
          <w:p w14:paraId="764AA7BA" w14:textId="0BBB051A"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+1.1</w:t>
            </w:r>
            <w:r w:rsidRPr="002A3B9B">
              <w:rPr>
                <w:rFonts w:ascii="Arial" w:hAnsi="Arial" w:cs="Arial"/>
                <w:sz w:val="18"/>
                <w:szCs w:val="18"/>
              </w:rPr>
              <w:t>%</w:t>
            </w:r>
          </w:p>
        </w:tc>
        <w:tc>
          <w:tcPr>
            <w:tcW w:w="1333" w:type="dxa"/>
            <w:vAlign w:val="center"/>
          </w:tcPr>
          <w:p w14:paraId="2911756B" w14:textId="21D0AD6F"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4.6</w:t>
            </w:r>
            <w:r w:rsidRPr="002A3B9B">
              <w:rPr>
                <w:rFonts w:ascii="Arial" w:hAnsi="Arial" w:cs="Arial"/>
                <w:sz w:val="18"/>
                <w:szCs w:val="18"/>
              </w:rPr>
              <w:t>%</w:t>
            </w:r>
          </w:p>
        </w:tc>
      </w:tr>
      <w:tr w:rsidR="00184177" w:rsidRPr="002A3B9B" w14:paraId="6EACAA3F" w14:textId="77777777" w:rsidTr="001841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B6A8D3D" w14:textId="05892FD4"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Carrots</w:t>
            </w:r>
          </w:p>
        </w:tc>
        <w:tc>
          <w:tcPr>
            <w:tcW w:w="990" w:type="dxa"/>
            <w:gridSpan w:val="2"/>
            <w:vAlign w:val="center"/>
          </w:tcPr>
          <w:p w14:paraId="31B92B76" w14:textId="536EC2F3"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112</w:t>
            </w:r>
            <w:r w:rsidRPr="002A3B9B">
              <w:rPr>
                <w:rFonts w:ascii="Arial" w:hAnsi="Arial" w:cs="Arial"/>
                <w:sz w:val="18"/>
                <w:szCs w:val="18"/>
              </w:rPr>
              <w:t>M</w:t>
            </w:r>
          </w:p>
        </w:tc>
        <w:tc>
          <w:tcPr>
            <w:tcW w:w="1075" w:type="dxa"/>
            <w:gridSpan w:val="2"/>
            <w:vAlign w:val="center"/>
          </w:tcPr>
          <w:p w14:paraId="27C52097" w14:textId="04AFEA4A"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+2.5</w:t>
            </w:r>
            <w:r w:rsidRPr="002A3B9B">
              <w:rPr>
                <w:rFonts w:ascii="Arial" w:hAnsi="Arial" w:cs="Arial"/>
                <w:sz w:val="18"/>
                <w:szCs w:val="18"/>
              </w:rPr>
              <w:t>%</w:t>
            </w:r>
          </w:p>
        </w:tc>
        <w:tc>
          <w:tcPr>
            <w:tcW w:w="1333" w:type="dxa"/>
            <w:tcBorders>
              <w:right w:val="single" w:sz="4" w:space="0" w:color="31849B" w:themeColor="accent5" w:themeShade="BF"/>
            </w:tcBorders>
            <w:vAlign w:val="center"/>
          </w:tcPr>
          <w:p w14:paraId="508008B6" w14:textId="7B60DD27"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0.4</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5ADB0F5F" w14:textId="280BB816"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Cucumbers</w:t>
            </w:r>
          </w:p>
        </w:tc>
        <w:tc>
          <w:tcPr>
            <w:tcW w:w="934" w:type="dxa"/>
            <w:gridSpan w:val="2"/>
            <w:vAlign w:val="center"/>
          </w:tcPr>
          <w:p w14:paraId="20E9A6E0" w14:textId="151CA365"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1.4B</w:t>
            </w:r>
          </w:p>
        </w:tc>
        <w:tc>
          <w:tcPr>
            <w:tcW w:w="1333" w:type="dxa"/>
            <w:vAlign w:val="center"/>
          </w:tcPr>
          <w:p w14:paraId="3EB3A06A" w14:textId="4B96882A"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+8.5</w:t>
            </w:r>
            <w:r w:rsidRPr="002A3B9B">
              <w:rPr>
                <w:rFonts w:ascii="Arial" w:hAnsi="Arial" w:cs="Arial"/>
                <w:sz w:val="18"/>
                <w:szCs w:val="18"/>
              </w:rPr>
              <w:t>%</w:t>
            </w:r>
          </w:p>
        </w:tc>
        <w:tc>
          <w:tcPr>
            <w:tcW w:w="1333" w:type="dxa"/>
            <w:vAlign w:val="center"/>
          </w:tcPr>
          <w:p w14:paraId="0C1DCF76" w14:textId="763954E8"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+1.8</w:t>
            </w:r>
            <w:r w:rsidRPr="002A3B9B">
              <w:rPr>
                <w:rFonts w:ascii="Arial" w:hAnsi="Arial" w:cs="Arial"/>
                <w:sz w:val="18"/>
                <w:szCs w:val="18"/>
              </w:rPr>
              <w:t>%</w:t>
            </w:r>
          </w:p>
        </w:tc>
      </w:tr>
      <w:tr w:rsidR="00184177" w:rsidRPr="002A3B9B" w14:paraId="58EE0944" w14:textId="77777777" w:rsidTr="00184177">
        <w:trPr>
          <w:trHeight w:val="257"/>
        </w:trPr>
        <w:tc>
          <w:tcPr>
            <w:cnfStyle w:val="001000000000" w:firstRow="0" w:lastRow="0" w:firstColumn="1" w:lastColumn="0" w:oddVBand="0" w:evenVBand="0" w:oddHBand="0" w:evenHBand="0" w:firstRowFirstColumn="0" w:firstRowLastColumn="0" w:lastRowFirstColumn="0" w:lastRowLastColumn="0"/>
            <w:tcW w:w="1710" w:type="dxa"/>
            <w:tcBorders>
              <w:bottom w:val="nil"/>
            </w:tcBorders>
            <w:vAlign w:val="center"/>
          </w:tcPr>
          <w:p w14:paraId="710C1E8E" w14:textId="73590DD7"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Cucumbers</w:t>
            </w:r>
          </w:p>
        </w:tc>
        <w:tc>
          <w:tcPr>
            <w:tcW w:w="990" w:type="dxa"/>
            <w:gridSpan w:val="2"/>
            <w:tcBorders>
              <w:bottom w:val="nil"/>
            </w:tcBorders>
            <w:vAlign w:val="center"/>
          </w:tcPr>
          <w:p w14:paraId="78FD2E89" w14:textId="1D573ABB"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104</w:t>
            </w:r>
            <w:r w:rsidRPr="002A3B9B">
              <w:rPr>
                <w:rFonts w:ascii="Arial" w:hAnsi="Arial" w:cs="Arial"/>
                <w:sz w:val="18"/>
                <w:szCs w:val="18"/>
              </w:rPr>
              <w:t>M</w:t>
            </w:r>
          </w:p>
        </w:tc>
        <w:tc>
          <w:tcPr>
            <w:tcW w:w="1075" w:type="dxa"/>
            <w:gridSpan w:val="2"/>
            <w:tcBorders>
              <w:bottom w:val="nil"/>
            </w:tcBorders>
            <w:vAlign w:val="center"/>
          </w:tcPr>
          <w:p w14:paraId="23EF2ED7" w14:textId="2C2DE50C"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+15.6</w:t>
            </w:r>
            <w:r w:rsidRPr="002A3B9B">
              <w:rPr>
                <w:rFonts w:ascii="Arial" w:hAnsi="Arial" w:cs="Arial"/>
                <w:sz w:val="18"/>
                <w:szCs w:val="18"/>
              </w:rPr>
              <w:t>%</w:t>
            </w:r>
          </w:p>
        </w:tc>
        <w:tc>
          <w:tcPr>
            <w:tcW w:w="1333" w:type="dxa"/>
            <w:tcBorders>
              <w:bottom w:val="nil"/>
              <w:right w:val="single" w:sz="4" w:space="0" w:color="31849B" w:themeColor="accent5" w:themeShade="BF"/>
            </w:tcBorders>
            <w:vAlign w:val="center"/>
          </w:tcPr>
          <w:p w14:paraId="29E4A554" w14:textId="4374A0A8"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+6.3</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43A75C56" w14:textId="59E20BA8"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Carrots</w:t>
            </w:r>
          </w:p>
        </w:tc>
        <w:tc>
          <w:tcPr>
            <w:tcW w:w="934" w:type="dxa"/>
            <w:gridSpan w:val="2"/>
            <w:tcBorders>
              <w:bottom w:val="nil"/>
            </w:tcBorders>
            <w:vAlign w:val="center"/>
          </w:tcPr>
          <w:p w14:paraId="068E1A66" w14:textId="028939EB"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1.4B</w:t>
            </w:r>
          </w:p>
        </w:tc>
        <w:tc>
          <w:tcPr>
            <w:tcW w:w="1333" w:type="dxa"/>
            <w:tcBorders>
              <w:bottom w:val="nil"/>
            </w:tcBorders>
            <w:vAlign w:val="center"/>
          </w:tcPr>
          <w:p w14:paraId="149775A7" w14:textId="5E102673"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+3.7</w:t>
            </w:r>
            <w:r w:rsidRPr="002A3B9B">
              <w:rPr>
                <w:rFonts w:ascii="Arial" w:hAnsi="Arial" w:cs="Arial"/>
                <w:sz w:val="18"/>
                <w:szCs w:val="18"/>
              </w:rPr>
              <w:t>%</w:t>
            </w:r>
          </w:p>
        </w:tc>
        <w:tc>
          <w:tcPr>
            <w:tcW w:w="1333" w:type="dxa"/>
            <w:tcBorders>
              <w:bottom w:val="nil"/>
            </w:tcBorders>
            <w:vAlign w:val="center"/>
          </w:tcPr>
          <w:p w14:paraId="11893CCC" w14:textId="15E495BC"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2.0</w:t>
            </w:r>
            <w:r w:rsidRPr="002A3B9B">
              <w:rPr>
                <w:rFonts w:ascii="Arial" w:hAnsi="Arial" w:cs="Arial"/>
                <w:sz w:val="18"/>
                <w:szCs w:val="18"/>
              </w:rPr>
              <w:t>%</w:t>
            </w:r>
          </w:p>
        </w:tc>
      </w:tr>
      <w:tr w:rsidR="00184177" w:rsidRPr="002A3B9B" w14:paraId="40725226" w14:textId="77777777" w:rsidTr="001841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3EE66785" w14:textId="1A14273E" w:rsidR="00184177" w:rsidRPr="002A3B9B" w:rsidRDefault="00184177" w:rsidP="00184177">
            <w:pPr>
              <w:pStyle w:val="NoSpacing"/>
              <w:jc w:val="right"/>
              <w:rPr>
                <w:rFonts w:ascii="Arial" w:hAnsi="Arial" w:cs="Arial"/>
                <w:b w:val="0"/>
                <w:bCs w:val="0"/>
                <w:sz w:val="18"/>
                <w:szCs w:val="18"/>
              </w:rPr>
            </w:pPr>
            <w:r>
              <w:rPr>
                <w:rFonts w:ascii="Arial" w:hAnsi="Arial" w:cs="Arial"/>
                <w:b w:val="0"/>
                <w:bCs w:val="0"/>
                <w:sz w:val="18"/>
                <w:szCs w:val="18"/>
              </w:rPr>
              <w:t>Broccoli</w:t>
            </w:r>
          </w:p>
        </w:tc>
        <w:tc>
          <w:tcPr>
            <w:tcW w:w="990" w:type="dxa"/>
            <w:gridSpan w:val="2"/>
            <w:tcBorders>
              <w:top w:val="nil"/>
              <w:bottom w:val="nil"/>
            </w:tcBorders>
            <w:vAlign w:val="center"/>
          </w:tcPr>
          <w:p w14:paraId="281E2FC9" w14:textId="5290F5C4"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103</w:t>
            </w:r>
            <w:r w:rsidRPr="002A3B9B">
              <w:rPr>
                <w:rFonts w:ascii="Arial" w:hAnsi="Arial" w:cs="Arial"/>
                <w:sz w:val="18"/>
                <w:szCs w:val="18"/>
              </w:rPr>
              <w:t>M</w:t>
            </w:r>
          </w:p>
        </w:tc>
        <w:tc>
          <w:tcPr>
            <w:tcW w:w="1075" w:type="dxa"/>
            <w:gridSpan w:val="2"/>
            <w:tcBorders>
              <w:top w:val="nil"/>
              <w:bottom w:val="nil"/>
            </w:tcBorders>
            <w:vAlign w:val="center"/>
          </w:tcPr>
          <w:p w14:paraId="291BFD06" w14:textId="27BC69C3"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+4.6</w:t>
            </w:r>
            <w:r w:rsidRPr="002A3B9B">
              <w:rPr>
                <w:rFonts w:ascii="Arial" w:hAnsi="Arial" w:cs="Arial"/>
                <w:sz w:val="18"/>
                <w:szCs w:val="18"/>
              </w:rPr>
              <w:t>%</w:t>
            </w:r>
          </w:p>
        </w:tc>
        <w:tc>
          <w:tcPr>
            <w:tcW w:w="1333" w:type="dxa"/>
            <w:tcBorders>
              <w:top w:val="nil"/>
              <w:bottom w:val="nil"/>
              <w:right w:val="single" w:sz="4" w:space="0" w:color="31849B" w:themeColor="accent5" w:themeShade="BF"/>
            </w:tcBorders>
            <w:vAlign w:val="center"/>
          </w:tcPr>
          <w:p w14:paraId="31C6A234" w14:textId="2913FDF3"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5.7</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2C496242" w14:textId="213376B6"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Mushrooms</w:t>
            </w:r>
          </w:p>
        </w:tc>
        <w:tc>
          <w:tcPr>
            <w:tcW w:w="934" w:type="dxa"/>
            <w:gridSpan w:val="2"/>
            <w:tcBorders>
              <w:top w:val="nil"/>
              <w:bottom w:val="nil"/>
            </w:tcBorders>
            <w:vAlign w:val="center"/>
          </w:tcPr>
          <w:p w14:paraId="164B4EC1" w14:textId="6AE2F99F"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1.3B</w:t>
            </w:r>
          </w:p>
        </w:tc>
        <w:tc>
          <w:tcPr>
            <w:tcW w:w="1333" w:type="dxa"/>
            <w:tcBorders>
              <w:top w:val="nil"/>
              <w:bottom w:val="nil"/>
            </w:tcBorders>
            <w:vAlign w:val="center"/>
          </w:tcPr>
          <w:p w14:paraId="6218EE3F" w14:textId="2E4DFF75"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-4.1</w:t>
            </w:r>
            <w:r w:rsidRPr="002A3B9B">
              <w:rPr>
                <w:rFonts w:ascii="Arial" w:hAnsi="Arial" w:cs="Arial"/>
                <w:sz w:val="18"/>
                <w:szCs w:val="18"/>
              </w:rPr>
              <w:t>%</w:t>
            </w:r>
          </w:p>
        </w:tc>
        <w:tc>
          <w:tcPr>
            <w:tcW w:w="1333" w:type="dxa"/>
            <w:tcBorders>
              <w:top w:val="nil"/>
              <w:bottom w:val="nil"/>
            </w:tcBorders>
            <w:vAlign w:val="center"/>
          </w:tcPr>
          <w:p w14:paraId="7178C033" w14:textId="5A2824F6" w:rsidR="00184177" w:rsidRPr="002A3B9B" w:rsidRDefault="00184177" w:rsidP="0018417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10.5</w:t>
            </w:r>
            <w:r w:rsidRPr="002A3B9B">
              <w:rPr>
                <w:rFonts w:ascii="Arial" w:hAnsi="Arial" w:cs="Arial"/>
                <w:sz w:val="18"/>
                <w:szCs w:val="18"/>
              </w:rPr>
              <w:t>%</w:t>
            </w:r>
          </w:p>
        </w:tc>
      </w:tr>
      <w:tr w:rsidR="00184177" w:rsidRPr="002A3B9B" w14:paraId="73EB8AED" w14:textId="77777777" w:rsidTr="00184177">
        <w:trPr>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7CC64BC0" w14:textId="60306C31" w:rsidR="00184177" w:rsidRPr="002A3B9B" w:rsidRDefault="00184177" w:rsidP="00184177">
            <w:pPr>
              <w:pStyle w:val="NoSpacing"/>
              <w:jc w:val="right"/>
              <w:rPr>
                <w:rFonts w:ascii="Arial" w:hAnsi="Arial" w:cs="Arial"/>
                <w:b w:val="0"/>
                <w:sz w:val="18"/>
                <w:szCs w:val="18"/>
              </w:rPr>
            </w:pPr>
            <w:r>
              <w:rPr>
                <w:rFonts w:ascii="Arial" w:hAnsi="Arial" w:cs="Arial"/>
                <w:b w:val="0"/>
                <w:sz w:val="18"/>
                <w:szCs w:val="18"/>
              </w:rPr>
              <w:t>Mushrooms</w:t>
            </w:r>
          </w:p>
        </w:tc>
        <w:tc>
          <w:tcPr>
            <w:tcW w:w="990" w:type="dxa"/>
            <w:gridSpan w:val="2"/>
            <w:tcBorders>
              <w:top w:val="nil"/>
              <w:bottom w:val="nil"/>
            </w:tcBorders>
            <w:vAlign w:val="center"/>
          </w:tcPr>
          <w:p w14:paraId="5E54FDAF" w14:textId="63E54EA3"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98</w:t>
            </w:r>
            <w:r w:rsidRPr="002A3B9B">
              <w:rPr>
                <w:rFonts w:ascii="Arial" w:hAnsi="Arial" w:cs="Arial"/>
                <w:sz w:val="18"/>
                <w:szCs w:val="18"/>
              </w:rPr>
              <w:t>M</w:t>
            </w:r>
          </w:p>
        </w:tc>
        <w:tc>
          <w:tcPr>
            <w:tcW w:w="1075" w:type="dxa"/>
            <w:gridSpan w:val="2"/>
            <w:tcBorders>
              <w:top w:val="nil"/>
              <w:bottom w:val="nil"/>
            </w:tcBorders>
            <w:vAlign w:val="center"/>
          </w:tcPr>
          <w:p w14:paraId="7D950301" w14:textId="5EDD79E2"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-5.3</w:t>
            </w:r>
            <w:r w:rsidRPr="002A3B9B">
              <w:rPr>
                <w:rFonts w:ascii="Arial" w:hAnsi="Arial" w:cs="Arial"/>
                <w:sz w:val="18"/>
                <w:szCs w:val="18"/>
              </w:rPr>
              <w:t>%</w:t>
            </w:r>
          </w:p>
        </w:tc>
        <w:tc>
          <w:tcPr>
            <w:tcW w:w="1333" w:type="dxa"/>
            <w:tcBorders>
              <w:top w:val="nil"/>
              <w:bottom w:val="nil"/>
              <w:right w:val="single" w:sz="4" w:space="0" w:color="31849B" w:themeColor="accent5" w:themeShade="BF"/>
            </w:tcBorders>
            <w:vAlign w:val="center"/>
          </w:tcPr>
          <w:p w14:paraId="58A134CC" w14:textId="6036917F"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10.7</w:t>
            </w:r>
            <w:r w:rsidRPr="002A3B9B">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3B7364A1" w14:textId="0C652A6E"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Broccoli</w:t>
            </w:r>
          </w:p>
        </w:tc>
        <w:tc>
          <w:tcPr>
            <w:tcW w:w="934" w:type="dxa"/>
            <w:gridSpan w:val="2"/>
            <w:tcBorders>
              <w:top w:val="nil"/>
              <w:bottom w:val="nil"/>
            </w:tcBorders>
            <w:vAlign w:val="center"/>
          </w:tcPr>
          <w:p w14:paraId="54E84B41" w14:textId="39E1DE8B"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1.2B</w:t>
            </w:r>
          </w:p>
        </w:tc>
        <w:tc>
          <w:tcPr>
            <w:tcW w:w="1333" w:type="dxa"/>
            <w:tcBorders>
              <w:top w:val="nil"/>
              <w:bottom w:val="nil"/>
            </w:tcBorders>
            <w:vAlign w:val="center"/>
          </w:tcPr>
          <w:p w14:paraId="6E9BE37D" w14:textId="48EBAB6C"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+4.2</w:t>
            </w:r>
            <w:r w:rsidRPr="002A3B9B">
              <w:rPr>
                <w:rFonts w:ascii="Arial" w:hAnsi="Arial" w:cs="Arial"/>
                <w:sz w:val="18"/>
                <w:szCs w:val="18"/>
              </w:rPr>
              <w:t>%</w:t>
            </w:r>
          </w:p>
        </w:tc>
        <w:tc>
          <w:tcPr>
            <w:tcW w:w="1333" w:type="dxa"/>
            <w:tcBorders>
              <w:top w:val="nil"/>
              <w:bottom w:val="nil"/>
            </w:tcBorders>
            <w:vAlign w:val="center"/>
          </w:tcPr>
          <w:p w14:paraId="6D731B4F" w14:textId="5ED28BF4" w:rsidR="00184177" w:rsidRPr="002A3B9B" w:rsidRDefault="00184177" w:rsidP="00184177">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4.5</w:t>
            </w:r>
            <w:r w:rsidRPr="002A3B9B">
              <w:rPr>
                <w:rFonts w:ascii="Arial" w:hAnsi="Arial" w:cs="Arial"/>
                <w:sz w:val="18"/>
                <w:szCs w:val="18"/>
              </w:rPr>
              <w:t>%</w:t>
            </w:r>
          </w:p>
        </w:tc>
      </w:tr>
      <w:bookmarkEnd w:id="4"/>
    </w:tbl>
    <w:p w14:paraId="12E78E7D" w14:textId="77777777" w:rsidR="002A3B9B" w:rsidRPr="000361C6" w:rsidRDefault="002A3B9B" w:rsidP="00B10C22">
      <w:pPr>
        <w:pStyle w:val="NoSpacing"/>
        <w:rPr>
          <w:rFonts w:ascii="Arial" w:hAnsi="Arial" w:cs="Arial"/>
          <w:sz w:val="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22AD59C7" w14:textId="77777777" w:rsidR="008B064E" w:rsidRDefault="008B064E" w:rsidP="009E5261">
      <w:pPr>
        <w:pStyle w:val="NoSpacing"/>
        <w:rPr>
          <w:rFonts w:ascii="Arial" w:hAnsi="Arial" w:cs="Arial"/>
          <w:b/>
          <w:color w:val="595959" w:themeColor="text1" w:themeTint="A6"/>
          <w:sz w:val="24"/>
          <w:szCs w:val="20"/>
        </w:rPr>
      </w:pPr>
    </w:p>
    <w:p w14:paraId="6A438E86" w14:textId="77777777" w:rsidR="008B064E" w:rsidRDefault="008B064E">
      <w:pPr>
        <w:rPr>
          <w:rFonts w:ascii="Arial" w:hAnsi="Arial" w:cs="Arial"/>
          <w:b/>
          <w:color w:val="595959" w:themeColor="text1" w:themeTint="A6"/>
          <w:sz w:val="24"/>
          <w:szCs w:val="20"/>
        </w:rPr>
      </w:pPr>
      <w:r>
        <w:rPr>
          <w:rFonts w:ascii="Arial" w:hAnsi="Arial" w:cs="Arial"/>
          <w:b/>
          <w:color w:val="595959" w:themeColor="text1" w:themeTint="A6"/>
          <w:sz w:val="24"/>
          <w:szCs w:val="20"/>
        </w:rPr>
        <w:br w:type="page"/>
      </w:r>
    </w:p>
    <w:p w14:paraId="23DE661B" w14:textId="6F59FCC9"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lastRenderedPageBreak/>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2557084C" w:rsidR="009E5261" w:rsidRDefault="00CC484B" w:rsidP="009E5261">
      <w:pPr>
        <w:pStyle w:val="NoSpacing"/>
        <w:rPr>
          <w:rFonts w:ascii="Arial" w:hAnsi="Arial" w:cs="Arial"/>
          <w:sz w:val="20"/>
          <w:szCs w:val="20"/>
        </w:rPr>
      </w:pPr>
      <w:r>
        <w:rPr>
          <w:rFonts w:ascii="Arial" w:hAnsi="Arial" w:cs="Arial"/>
          <w:sz w:val="20"/>
          <w:szCs w:val="20"/>
        </w:rPr>
        <w:t xml:space="preserve">In </w:t>
      </w:r>
      <w:r w:rsidR="005D47A3">
        <w:rPr>
          <w:rFonts w:ascii="Arial" w:hAnsi="Arial" w:cs="Arial"/>
          <w:sz w:val="20"/>
          <w:szCs w:val="20"/>
        </w:rPr>
        <w:t>2022, fresh</w:t>
      </w:r>
      <w:r w:rsidR="00DA7A2D">
        <w:rPr>
          <w:rFonts w:ascii="Arial" w:hAnsi="Arial" w:cs="Arial"/>
          <w:sz w:val="20"/>
          <w:szCs w:val="20"/>
        </w:rPr>
        <w:t xml:space="preserve"> fruit added </w:t>
      </w:r>
      <w:r w:rsidR="005D47A3">
        <w:rPr>
          <w:rFonts w:ascii="Arial" w:hAnsi="Arial" w:cs="Arial"/>
          <w:sz w:val="20"/>
          <w:szCs w:val="20"/>
        </w:rPr>
        <w:t>$</w:t>
      </w:r>
      <w:r w:rsidR="000361C6">
        <w:rPr>
          <w:rFonts w:ascii="Arial" w:hAnsi="Arial" w:cs="Arial"/>
          <w:sz w:val="20"/>
          <w:szCs w:val="20"/>
        </w:rPr>
        <w:t>2.0 billion</w:t>
      </w:r>
      <w:r w:rsidR="005D47A3">
        <w:rPr>
          <w:rFonts w:ascii="Arial" w:hAnsi="Arial" w:cs="Arial"/>
          <w:sz w:val="20"/>
          <w:szCs w:val="20"/>
        </w:rPr>
        <w:t xml:space="preserve"> in</w:t>
      </w:r>
      <w:r w:rsidR="00B60B2A">
        <w:rPr>
          <w:rFonts w:ascii="Arial" w:hAnsi="Arial" w:cs="Arial"/>
          <w:sz w:val="20"/>
          <w:szCs w:val="20"/>
        </w:rPr>
        <w:t xml:space="preserve"> additional dollars versus 2021</w:t>
      </w:r>
      <w:r w:rsidR="00F26464">
        <w:rPr>
          <w:rFonts w:ascii="Arial" w:hAnsi="Arial" w:cs="Arial"/>
          <w:sz w:val="20"/>
          <w:szCs w:val="20"/>
        </w:rPr>
        <w:t xml:space="preserve"> and fresh vegetables added $</w:t>
      </w:r>
      <w:r w:rsidR="000361C6">
        <w:rPr>
          <w:rFonts w:ascii="Arial" w:hAnsi="Arial" w:cs="Arial"/>
          <w:sz w:val="20"/>
          <w:szCs w:val="20"/>
        </w:rPr>
        <w:t>1.4 billion</w:t>
      </w:r>
      <w:r>
        <w:rPr>
          <w:rFonts w:ascii="Arial" w:hAnsi="Arial" w:cs="Arial"/>
          <w:sz w:val="20"/>
          <w:szCs w:val="20"/>
        </w:rPr>
        <w:t xml:space="preserve">. </w:t>
      </w:r>
      <w:r w:rsidR="000361C6">
        <w:rPr>
          <w:rFonts w:ascii="Arial" w:hAnsi="Arial" w:cs="Arial"/>
          <w:sz w:val="20"/>
          <w:szCs w:val="20"/>
        </w:rPr>
        <w:t xml:space="preserve">The top 10 commodities that gained the most in absolute dollars are a mix of fruit and vegetables, led by potatoes and berries. </w:t>
      </w:r>
      <w:r w:rsidR="00DD28A9">
        <w:rPr>
          <w:rFonts w:ascii="Arial" w:hAnsi="Arial" w:cs="Arial"/>
          <w:sz w:val="20"/>
          <w:szCs w:val="20"/>
        </w:rPr>
        <w:t>Gains were achieved in many different ways</w:t>
      </w:r>
      <w:r w:rsidR="000361C6">
        <w:rPr>
          <w:rFonts w:ascii="Arial" w:hAnsi="Arial" w:cs="Arial"/>
          <w:sz w:val="20"/>
          <w:szCs w:val="20"/>
        </w:rPr>
        <w:t>, but inflation played a big role for many</w:t>
      </w:r>
      <w:r w:rsidR="00DD28A9">
        <w:rPr>
          <w:rFonts w:ascii="Arial" w:hAnsi="Arial" w:cs="Arial"/>
          <w:sz w:val="20"/>
          <w:szCs w:val="20"/>
        </w:rPr>
        <w:t xml:space="preserve">. </w:t>
      </w:r>
      <w:r w:rsidR="004217CA">
        <w:rPr>
          <w:rFonts w:ascii="Arial" w:hAnsi="Arial" w:cs="Arial"/>
          <w:sz w:val="20"/>
          <w:szCs w:val="20"/>
        </w:rPr>
        <w:t xml:space="preserve">Others gained on strong demand with </w:t>
      </w:r>
      <w:r w:rsidR="001A6058">
        <w:rPr>
          <w:rFonts w:ascii="Arial" w:hAnsi="Arial" w:cs="Arial"/>
          <w:sz w:val="20"/>
          <w:szCs w:val="20"/>
        </w:rPr>
        <w:t>volume gains contribution to the inflationary boost, including berries, onions, grapes and cucumbers</w:t>
      </w:r>
      <w:r w:rsidR="004217CA">
        <w:rPr>
          <w:rFonts w:ascii="Arial" w:hAnsi="Arial" w:cs="Arial"/>
          <w:sz w:val="20"/>
          <w:szCs w:val="20"/>
        </w:rPr>
        <w:t xml:space="preserve">. </w:t>
      </w:r>
      <w:r w:rsidR="00B60B2A">
        <w:rPr>
          <w:rFonts w:ascii="Arial" w:hAnsi="Arial" w:cs="Arial"/>
          <w:sz w:val="20"/>
          <w:szCs w:val="20"/>
        </w:rPr>
        <w:t xml:space="preserve"> </w:t>
      </w:r>
      <w:r w:rsidR="005D47A3">
        <w:rPr>
          <w:rFonts w:ascii="Arial" w:hAnsi="Arial" w:cs="Arial"/>
          <w:sz w:val="20"/>
          <w:szCs w:val="20"/>
        </w:rPr>
        <w:t xml:space="preserve"> </w:t>
      </w:r>
    </w:p>
    <w:p w14:paraId="5E7704C4" w14:textId="77777777" w:rsidR="000361C6" w:rsidRPr="000361C6" w:rsidRDefault="000361C6" w:rsidP="000361C6">
      <w:pPr>
        <w:pStyle w:val="NoSpacing"/>
        <w:rPr>
          <w:rFonts w:ascii="Arial" w:hAnsi="Arial" w:cs="Arial"/>
          <w:sz w:val="20"/>
          <w:szCs w:val="20"/>
        </w:rPr>
      </w:pPr>
    </w:p>
    <w:tbl>
      <w:tblPr>
        <w:tblStyle w:val="LightShading-Accent5"/>
        <w:tblW w:w="10440" w:type="dxa"/>
        <w:tblLayout w:type="fixed"/>
        <w:tblLook w:val="04A0" w:firstRow="1" w:lastRow="0" w:firstColumn="1" w:lastColumn="0" w:noHBand="0" w:noVBand="1"/>
      </w:tblPr>
      <w:tblGrid>
        <w:gridCol w:w="1710"/>
        <w:gridCol w:w="900"/>
        <w:gridCol w:w="90"/>
        <w:gridCol w:w="754"/>
        <w:gridCol w:w="321"/>
        <w:gridCol w:w="1333"/>
        <w:gridCol w:w="1732"/>
        <w:gridCol w:w="107"/>
        <w:gridCol w:w="827"/>
        <w:gridCol w:w="1333"/>
        <w:gridCol w:w="1333"/>
      </w:tblGrid>
      <w:tr w:rsidR="000361C6" w:rsidRPr="0003007F" w14:paraId="0D53C21A" w14:textId="77777777" w:rsidTr="00D90DF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16FEC88B" w14:textId="2E50EB6C" w:rsidR="000361C6" w:rsidRPr="00AB1306" w:rsidRDefault="000361C6" w:rsidP="00D90DFC">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 xml:space="preserve">Top 10 </w:t>
            </w:r>
            <w:r>
              <w:rPr>
                <w:rFonts w:ascii="Arial" w:hAnsi="Arial" w:cs="Arial"/>
                <w:color w:val="FFFFFF" w:themeColor="background1"/>
                <w:sz w:val="18"/>
                <w:szCs w:val="18"/>
              </w:rPr>
              <w:t>absolute</w:t>
            </w:r>
          </w:p>
        </w:tc>
        <w:tc>
          <w:tcPr>
            <w:tcW w:w="1744" w:type="dxa"/>
            <w:gridSpan w:val="3"/>
            <w:tcBorders>
              <w:top w:val="nil"/>
              <w:bottom w:val="nil"/>
            </w:tcBorders>
            <w:shd w:val="clear" w:color="auto" w:fill="17365D" w:themeFill="text2" w:themeFillShade="BF"/>
          </w:tcPr>
          <w:p w14:paraId="47604135" w14:textId="7AE05F70" w:rsidR="000361C6" w:rsidRPr="00AB1306" w:rsidRDefault="002E6137" w:rsidP="002E6137">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15F4">
              <w:rPr>
                <w:rFonts w:ascii="Arial" w:hAnsi="Arial" w:cs="Arial"/>
                <w:color w:val="FFFFFF" w:themeColor="background1"/>
                <w:sz w:val="18"/>
                <w:szCs w:val="18"/>
              </w:rPr>
              <w:t>December 2022</w:t>
            </w:r>
            <w:r>
              <w:rPr>
                <w:rFonts w:ascii="Arial" w:hAnsi="Arial" w:cs="Arial"/>
                <w:color w:val="FFFFFF" w:themeColor="background1"/>
                <w:sz w:val="18"/>
                <w:szCs w:val="18"/>
              </w:rPr>
              <w:t xml:space="preserve">  </w:t>
            </w:r>
          </w:p>
        </w:tc>
        <w:tc>
          <w:tcPr>
            <w:tcW w:w="3493" w:type="dxa"/>
            <w:gridSpan w:val="4"/>
            <w:tcBorders>
              <w:top w:val="nil"/>
              <w:bottom w:val="nil"/>
            </w:tcBorders>
            <w:shd w:val="clear" w:color="auto" w:fill="17365D" w:themeFill="text2" w:themeFillShade="BF"/>
          </w:tcPr>
          <w:p w14:paraId="52B25762" w14:textId="5159BE25" w:rsidR="000361C6" w:rsidRPr="00F515F4" w:rsidRDefault="000361C6" w:rsidP="000361C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3493" w:type="dxa"/>
            <w:gridSpan w:val="3"/>
            <w:tcBorders>
              <w:top w:val="nil"/>
              <w:bottom w:val="nil"/>
            </w:tcBorders>
            <w:shd w:val="clear" w:color="auto" w:fill="17365D" w:themeFill="text2" w:themeFillShade="BF"/>
          </w:tcPr>
          <w:p w14:paraId="1ECF2F3C" w14:textId="77777777" w:rsidR="000361C6" w:rsidRPr="0003007F" w:rsidRDefault="000361C6" w:rsidP="00D90DF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Calendar Year 2022</w:t>
            </w:r>
          </w:p>
        </w:tc>
      </w:tr>
      <w:tr w:rsidR="001A6058" w:rsidRPr="002A3B9B" w14:paraId="5E90D3F9" w14:textId="77777777" w:rsidTr="00D90DF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614A26DA" w14:textId="362C9D36" w:rsidR="001A6058" w:rsidRPr="002A3B9B" w:rsidRDefault="001A6058" w:rsidP="001A6058">
            <w:pPr>
              <w:pStyle w:val="NoSpacing"/>
              <w:rPr>
                <w:rFonts w:ascii="Arial" w:hAnsi="Arial" w:cs="Arial"/>
                <w:color w:val="FFFFFF" w:themeColor="background1"/>
                <w:sz w:val="18"/>
                <w:szCs w:val="18"/>
              </w:rPr>
            </w:pPr>
            <w:r>
              <w:rPr>
                <w:rFonts w:ascii="Arial" w:hAnsi="Arial" w:cs="Arial"/>
                <w:color w:val="FFFFFF" w:themeColor="background1"/>
                <w:sz w:val="18"/>
                <w:szCs w:val="18"/>
              </w:rPr>
              <w:t>dollar growth</w:t>
            </w:r>
          </w:p>
        </w:tc>
        <w:tc>
          <w:tcPr>
            <w:tcW w:w="900" w:type="dxa"/>
            <w:tcBorders>
              <w:top w:val="nil"/>
              <w:bottom w:val="nil"/>
            </w:tcBorders>
            <w:shd w:val="clear" w:color="auto" w:fill="17365D" w:themeFill="text2" w:themeFillShade="BF"/>
          </w:tcPr>
          <w:p w14:paraId="74C15701" w14:textId="60D355D9" w:rsidR="001A6058" w:rsidRPr="002A3B9B"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gain</w:t>
            </w:r>
          </w:p>
        </w:tc>
        <w:tc>
          <w:tcPr>
            <w:tcW w:w="1165" w:type="dxa"/>
            <w:gridSpan w:val="3"/>
            <w:tcBorders>
              <w:top w:val="nil"/>
              <w:bottom w:val="nil"/>
            </w:tcBorders>
            <w:shd w:val="clear" w:color="auto" w:fill="17365D" w:themeFill="text2" w:themeFillShade="BF"/>
          </w:tcPr>
          <w:p w14:paraId="3833AB17" w14:textId="50A7ADA5" w:rsidR="001A6058" w:rsidRPr="002A3B9B"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sales</w:t>
            </w:r>
          </w:p>
        </w:tc>
        <w:tc>
          <w:tcPr>
            <w:tcW w:w="1333" w:type="dxa"/>
            <w:tcBorders>
              <w:top w:val="nil"/>
              <w:bottom w:val="nil"/>
            </w:tcBorders>
            <w:shd w:val="clear" w:color="auto" w:fill="17365D" w:themeFill="text2" w:themeFillShade="BF"/>
          </w:tcPr>
          <w:p w14:paraId="31375039" w14:textId="77777777" w:rsidR="001A6058" w:rsidRPr="002A3B9B" w:rsidRDefault="001A6058" w:rsidP="001A605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c>
          <w:tcPr>
            <w:tcW w:w="1732" w:type="dxa"/>
            <w:tcBorders>
              <w:top w:val="nil"/>
              <w:bottom w:val="nil"/>
            </w:tcBorders>
            <w:shd w:val="clear" w:color="auto" w:fill="17365D" w:themeFill="text2" w:themeFillShade="BF"/>
          </w:tcPr>
          <w:p w14:paraId="320D5D65" w14:textId="77777777" w:rsidR="001A6058" w:rsidRPr="002A3B9B" w:rsidRDefault="001A6058" w:rsidP="001A605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Type</w:t>
            </w:r>
          </w:p>
        </w:tc>
        <w:tc>
          <w:tcPr>
            <w:tcW w:w="934" w:type="dxa"/>
            <w:gridSpan w:val="2"/>
            <w:tcBorders>
              <w:top w:val="nil"/>
              <w:bottom w:val="nil"/>
            </w:tcBorders>
            <w:shd w:val="clear" w:color="auto" w:fill="17365D" w:themeFill="text2" w:themeFillShade="BF"/>
          </w:tcPr>
          <w:p w14:paraId="45C4B87E" w14:textId="1E1F3406" w:rsidR="001A6058" w:rsidRPr="002A3B9B" w:rsidRDefault="001A6058" w:rsidP="001A605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gain</w:t>
            </w:r>
          </w:p>
        </w:tc>
        <w:tc>
          <w:tcPr>
            <w:tcW w:w="1333" w:type="dxa"/>
            <w:tcBorders>
              <w:top w:val="nil"/>
              <w:bottom w:val="nil"/>
            </w:tcBorders>
            <w:shd w:val="clear" w:color="auto" w:fill="17365D" w:themeFill="text2" w:themeFillShade="BF"/>
          </w:tcPr>
          <w:p w14:paraId="26E69A95" w14:textId="72EF2253" w:rsidR="001A6058" w:rsidRPr="002A3B9B" w:rsidRDefault="001A6058" w:rsidP="001A605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sales</w:t>
            </w:r>
          </w:p>
        </w:tc>
        <w:tc>
          <w:tcPr>
            <w:tcW w:w="1333" w:type="dxa"/>
            <w:tcBorders>
              <w:top w:val="nil"/>
              <w:bottom w:val="nil"/>
            </w:tcBorders>
            <w:shd w:val="clear" w:color="auto" w:fill="17365D" w:themeFill="text2" w:themeFillShade="BF"/>
          </w:tcPr>
          <w:p w14:paraId="77C513AD" w14:textId="61807AA1" w:rsidR="001A6058" w:rsidRPr="002A3B9B" w:rsidRDefault="001A6058" w:rsidP="001A605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r>
      <w:tr w:rsidR="001A6058" w:rsidRPr="002A3B9B" w14:paraId="67141673" w14:textId="77777777" w:rsidTr="001A6058">
        <w:trPr>
          <w:trHeight w:val="303"/>
        </w:trPr>
        <w:tc>
          <w:tcPr>
            <w:cnfStyle w:val="001000000000" w:firstRow="0" w:lastRow="0" w:firstColumn="1" w:lastColumn="0" w:oddVBand="0" w:evenVBand="0" w:oddHBand="0" w:evenHBand="0" w:firstRowFirstColumn="0" w:firstRowLastColumn="0" w:lastRowFirstColumn="0" w:lastRowLastColumn="0"/>
            <w:tcW w:w="1710" w:type="dxa"/>
            <w:tcBorders>
              <w:top w:val="nil"/>
            </w:tcBorders>
            <w:vAlign w:val="center"/>
          </w:tcPr>
          <w:p w14:paraId="7520E8AC" w14:textId="7155C85D" w:rsidR="001A6058" w:rsidRPr="002A3B9B" w:rsidRDefault="001A6058" w:rsidP="001A6058">
            <w:pPr>
              <w:pStyle w:val="NoSpacing"/>
              <w:jc w:val="right"/>
              <w:rPr>
                <w:rFonts w:ascii="Arial" w:hAnsi="Arial" w:cs="Arial"/>
                <w:sz w:val="18"/>
                <w:szCs w:val="18"/>
              </w:rPr>
            </w:pPr>
            <w:r>
              <w:rPr>
                <w:rFonts w:ascii="Arial" w:hAnsi="Arial" w:cs="Arial"/>
                <w:sz w:val="18"/>
                <w:szCs w:val="18"/>
              </w:rPr>
              <w:t>Potatoes</w:t>
            </w:r>
          </w:p>
        </w:tc>
        <w:tc>
          <w:tcPr>
            <w:tcW w:w="990" w:type="dxa"/>
            <w:gridSpan w:val="2"/>
            <w:tcBorders>
              <w:top w:val="nil"/>
            </w:tcBorders>
            <w:vAlign w:val="center"/>
          </w:tcPr>
          <w:p w14:paraId="0A8AF9EF" w14:textId="723D736E"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Pr>
                <w:rFonts w:ascii="Arial" w:hAnsi="Arial" w:cs="Arial"/>
                <w:b/>
                <w:bCs/>
                <w:sz w:val="18"/>
                <w:szCs w:val="18"/>
              </w:rPr>
              <w:t>56M</w:t>
            </w:r>
          </w:p>
        </w:tc>
        <w:tc>
          <w:tcPr>
            <w:tcW w:w="1075" w:type="dxa"/>
            <w:gridSpan w:val="2"/>
            <w:tcBorders>
              <w:top w:val="nil"/>
            </w:tcBorders>
            <w:vAlign w:val="center"/>
          </w:tcPr>
          <w:p w14:paraId="10A30B96" w14:textId="71F1ACBF"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$336M</w:t>
            </w:r>
          </w:p>
        </w:tc>
        <w:tc>
          <w:tcPr>
            <w:tcW w:w="1333" w:type="dxa"/>
            <w:tcBorders>
              <w:top w:val="nil"/>
              <w:right w:val="single" w:sz="4" w:space="0" w:color="31849B" w:themeColor="accent5" w:themeShade="BF"/>
            </w:tcBorders>
            <w:vAlign w:val="center"/>
          </w:tcPr>
          <w:p w14:paraId="5A003116" w14:textId="04EE5B0E"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+1.1</w:t>
            </w:r>
            <w:r w:rsidRPr="002A3B9B">
              <w:rPr>
                <w:rFonts w:ascii="Arial" w:hAnsi="Arial" w:cs="Arial"/>
                <w:b/>
                <w:bCs/>
                <w:sz w:val="18"/>
                <w:szCs w:val="18"/>
              </w:rPr>
              <w:t>%</w:t>
            </w:r>
          </w:p>
        </w:tc>
        <w:tc>
          <w:tcPr>
            <w:tcW w:w="1732" w:type="dxa"/>
            <w:tcBorders>
              <w:top w:val="nil"/>
              <w:left w:val="single" w:sz="4" w:space="0" w:color="31849B" w:themeColor="accent5" w:themeShade="BF"/>
              <w:bottom w:val="nil"/>
            </w:tcBorders>
            <w:vAlign w:val="center"/>
          </w:tcPr>
          <w:p w14:paraId="546810A7" w14:textId="21E5CF8A"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Potatoes</w:t>
            </w:r>
          </w:p>
        </w:tc>
        <w:tc>
          <w:tcPr>
            <w:tcW w:w="934" w:type="dxa"/>
            <w:gridSpan w:val="2"/>
            <w:tcBorders>
              <w:top w:val="nil"/>
            </w:tcBorders>
            <w:vAlign w:val="center"/>
          </w:tcPr>
          <w:p w14:paraId="3753B394" w14:textId="63E8018A"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491</w:t>
            </w:r>
            <w:r w:rsidRPr="001A6058">
              <w:rPr>
                <w:rFonts w:ascii="Arial" w:hAnsi="Arial" w:cs="Arial"/>
                <w:sz w:val="18"/>
                <w:szCs w:val="18"/>
              </w:rPr>
              <w:t>M</w:t>
            </w:r>
          </w:p>
        </w:tc>
        <w:tc>
          <w:tcPr>
            <w:tcW w:w="1333" w:type="dxa"/>
            <w:tcBorders>
              <w:top w:val="nil"/>
            </w:tcBorders>
            <w:vAlign w:val="center"/>
          </w:tcPr>
          <w:p w14:paraId="211D1799" w14:textId="3D92B8D1"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$3.8B</w:t>
            </w:r>
          </w:p>
        </w:tc>
        <w:tc>
          <w:tcPr>
            <w:tcW w:w="1333" w:type="dxa"/>
            <w:tcBorders>
              <w:top w:val="nil"/>
            </w:tcBorders>
            <w:vAlign w:val="center"/>
          </w:tcPr>
          <w:p w14:paraId="741F1275" w14:textId="7902A15A"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1.3</w:t>
            </w:r>
            <w:r w:rsidRPr="001A6058">
              <w:rPr>
                <w:rFonts w:ascii="Arial" w:hAnsi="Arial" w:cs="Arial"/>
                <w:sz w:val="18"/>
                <w:szCs w:val="18"/>
              </w:rPr>
              <w:t>%</w:t>
            </w:r>
          </w:p>
        </w:tc>
      </w:tr>
      <w:tr w:rsidR="001A6058" w:rsidRPr="002A3B9B" w14:paraId="1E5CF2F3" w14:textId="77777777" w:rsidTr="001A605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8AE350A" w14:textId="55E512E3"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Lettuce</w:t>
            </w:r>
          </w:p>
        </w:tc>
        <w:tc>
          <w:tcPr>
            <w:tcW w:w="990" w:type="dxa"/>
            <w:gridSpan w:val="2"/>
            <w:vAlign w:val="center"/>
          </w:tcPr>
          <w:p w14:paraId="1E356C65" w14:textId="3040CC0F"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35</w:t>
            </w:r>
            <w:r w:rsidRPr="000361C6">
              <w:rPr>
                <w:rFonts w:ascii="Arial" w:hAnsi="Arial" w:cs="Arial"/>
                <w:sz w:val="18"/>
                <w:szCs w:val="18"/>
              </w:rPr>
              <w:t>M</w:t>
            </w:r>
          </w:p>
        </w:tc>
        <w:tc>
          <w:tcPr>
            <w:tcW w:w="1075" w:type="dxa"/>
            <w:gridSpan w:val="2"/>
            <w:vAlign w:val="center"/>
          </w:tcPr>
          <w:p w14:paraId="028C152B" w14:textId="612136A1"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242</w:t>
            </w:r>
            <w:r w:rsidRPr="000361C6">
              <w:rPr>
                <w:rFonts w:ascii="Arial" w:hAnsi="Arial" w:cs="Arial"/>
                <w:sz w:val="18"/>
                <w:szCs w:val="18"/>
              </w:rPr>
              <w:t>M</w:t>
            </w:r>
          </w:p>
        </w:tc>
        <w:tc>
          <w:tcPr>
            <w:tcW w:w="1333" w:type="dxa"/>
            <w:tcBorders>
              <w:right w:val="single" w:sz="4" w:space="0" w:color="31849B" w:themeColor="accent5" w:themeShade="BF"/>
            </w:tcBorders>
            <w:vAlign w:val="center"/>
          </w:tcPr>
          <w:p w14:paraId="5314C81E" w14:textId="59B314C5"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3.5</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5F4E1B43" w14:textId="341D4F30" w:rsidR="001A6058" w:rsidRPr="002A3B9B"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Berries</w:t>
            </w:r>
          </w:p>
        </w:tc>
        <w:tc>
          <w:tcPr>
            <w:tcW w:w="934" w:type="dxa"/>
            <w:gridSpan w:val="2"/>
            <w:vAlign w:val="center"/>
          </w:tcPr>
          <w:p w14:paraId="5278CD8E" w14:textId="07DFD6B1"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436</w:t>
            </w:r>
            <w:r w:rsidRPr="001A6058">
              <w:rPr>
                <w:rFonts w:ascii="Arial" w:hAnsi="Arial" w:cs="Arial"/>
                <w:sz w:val="18"/>
                <w:szCs w:val="18"/>
              </w:rPr>
              <w:t>M</w:t>
            </w:r>
          </w:p>
        </w:tc>
        <w:tc>
          <w:tcPr>
            <w:tcW w:w="1333" w:type="dxa"/>
            <w:vAlign w:val="center"/>
          </w:tcPr>
          <w:p w14:paraId="7F728FDB" w14:textId="4FEB5EEF"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8.6</w:t>
            </w:r>
            <w:r w:rsidRPr="0050178A">
              <w:rPr>
                <w:rFonts w:ascii="Arial" w:hAnsi="Arial" w:cs="Arial"/>
                <w:sz w:val="18"/>
                <w:szCs w:val="18"/>
              </w:rPr>
              <w:t>B</w:t>
            </w:r>
          </w:p>
        </w:tc>
        <w:tc>
          <w:tcPr>
            <w:tcW w:w="1333" w:type="dxa"/>
            <w:vAlign w:val="center"/>
          </w:tcPr>
          <w:p w14:paraId="6905CB81" w14:textId="0C8D7BFE"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+3.9</w:t>
            </w:r>
            <w:r w:rsidRPr="001A6058">
              <w:rPr>
                <w:rFonts w:ascii="Arial" w:hAnsi="Arial" w:cs="Arial"/>
                <w:sz w:val="18"/>
                <w:szCs w:val="18"/>
              </w:rPr>
              <w:t>%</w:t>
            </w:r>
          </w:p>
        </w:tc>
      </w:tr>
      <w:tr w:rsidR="001A6058" w:rsidRPr="002A3B9B" w14:paraId="098BEF01" w14:textId="77777777" w:rsidTr="001A6058">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EE11B02" w14:textId="156E6680"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Onions</w:t>
            </w:r>
          </w:p>
        </w:tc>
        <w:tc>
          <w:tcPr>
            <w:tcW w:w="990" w:type="dxa"/>
            <w:gridSpan w:val="2"/>
            <w:vAlign w:val="center"/>
          </w:tcPr>
          <w:p w14:paraId="4CD6078C" w14:textId="1BA37F99"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34</w:t>
            </w:r>
            <w:r w:rsidRPr="000361C6">
              <w:rPr>
                <w:rFonts w:ascii="Arial" w:hAnsi="Arial" w:cs="Arial"/>
                <w:sz w:val="18"/>
                <w:szCs w:val="18"/>
              </w:rPr>
              <w:t>M</w:t>
            </w:r>
          </w:p>
        </w:tc>
        <w:tc>
          <w:tcPr>
            <w:tcW w:w="1075" w:type="dxa"/>
            <w:gridSpan w:val="2"/>
            <w:vAlign w:val="center"/>
          </w:tcPr>
          <w:p w14:paraId="49EC6E62" w14:textId="5BB57088"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227</w:t>
            </w:r>
            <w:r w:rsidRPr="000361C6">
              <w:rPr>
                <w:rFonts w:ascii="Arial" w:hAnsi="Arial" w:cs="Arial"/>
                <w:sz w:val="18"/>
                <w:szCs w:val="18"/>
              </w:rPr>
              <w:t>M</w:t>
            </w:r>
          </w:p>
        </w:tc>
        <w:tc>
          <w:tcPr>
            <w:tcW w:w="1333" w:type="dxa"/>
            <w:tcBorders>
              <w:right w:val="single" w:sz="4" w:space="0" w:color="31849B" w:themeColor="accent5" w:themeShade="BF"/>
            </w:tcBorders>
            <w:vAlign w:val="center"/>
          </w:tcPr>
          <w:p w14:paraId="0E538E5B" w14:textId="274AFFB7"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8.0</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3688E9FD" w14:textId="72F29B20"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Onions</w:t>
            </w:r>
          </w:p>
        </w:tc>
        <w:tc>
          <w:tcPr>
            <w:tcW w:w="934" w:type="dxa"/>
            <w:gridSpan w:val="2"/>
            <w:vAlign w:val="center"/>
          </w:tcPr>
          <w:p w14:paraId="3D8559D7" w14:textId="1667F08E"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415</w:t>
            </w:r>
            <w:r w:rsidRPr="001A6058">
              <w:rPr>
                <w:rFonts w:ascii="Arial" w:hAnsi="Arial" w:cs="Arial"/>
                <w:sz w:val="18"/>
                <w:szCs w:val="18"/>
              </w:rPr>
              <w:t>M</w:t>
            </w:r>
          </w:p>
        </w:tc>
        <w:tc>
          <w:tcPr>
            <w:tcW w:w="1333" w:type="dxa"/>
            <w:vAlign w:val="center"/>
          </w:tcPr>
          <w:p w14:paraId="3FD45928" w14:textId="7920907C"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2.8</w:t>
            </w:r>
            <w:r w:rsidRPr="0050178A">
              <w:rPr>
                <w:rFonts w:ascii="Arial" w:hAnsi="Arial" w:cs="Arial"/>
                <w:sz w:val="18"/>
                <w:szCs w:val="18"/>
              </w:rPr>
              <w:t>B</w:t>
            </w:r>
          </w:p>
        </w:tc>
        <w:tc>
          <w:tcPr>
            <w:tcW w:w="1333" w:type="dxa"/>
            <w:vAlign w:val="center"/>
          </w:tcPr>
          <w:p w14:paraId="506D3B62" w14:textId="4C6CED2C"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w:t>
            </w:r>
            <w:r w:rsidRPr="001A6058">
              <w:rPr>
                <w:rFonts w:ascii="Arial" w:hAnsi="Arial" w:cs="Arial"/>
                <w:sz w:val="18"/>
                <w:szCs w:val="18"/>
              </w:rPr>
              <w:t>%</w:t>
            </w:r>
          </w:p>
        </w:tc>
      </w:tr>
      <w:tr w:rsidR="001A6058" w:rsidRPr="002A3B9B" w14:paraId="08329DC4" w14:textId="77777777" w:rsidTr="001A605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585CA904" w14:textId="2A6EC14C"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Tomatoes</w:t>
            </w:r>
          </w:p>
        </w:tc>
        <w:tc>
          <w:tcPr>
            <w:tcW w:w="990" w:type="dxa"/>
            <w:gridSpan w:val="2"/>
            <w:vAlign w:val="center"/>
          </w:tcPr>
          <w:p w14:paraId="75CCEC5F" w14:textId="6E2735A8"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29</w:t>
            </w:r>
            <w:r w:rsidRPr="000361C6">
              <w:rPr>
                <w:rFonts w:ascii="Arial" w:hAnsi="Arial" w:cs="Arial"/>
                <w:sz w:val="18"/>
                <w:szCs w:val="18"/>
              </w:rPr>
              <w:t>M</w:t>
            </w:r>
          </w:p>
        </w:tc>
        <w:tc>
          <w:tcPr>
            <w:tcW w:w="1075" w:type="dxa"/>
            <w:gridSpan w:val="2"/>
            <w:vAlign w:val="center"/>
          </w:tcPr>
          <w:p w14:paraId="5194E442" w14:textId="3D63E3BC"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312</w:t>
            </w:r>
            <w:r w:rsidRPr="000361C6">
              <w:rPr>
                <w:rFonts w:ascii="Arial" w:hAnsi="Arial" w:cs="Arial"/>
                <w:sz w:val="18"/>
                <w:szCs w:val="18"/>
              </w:rPr>
              <w:t>M</w:t>
            </w:r>
          </w:p>
        </w:tc>
        <w:tc>
          <w:tcPr>
            <w:tcW w:w="1333" w:type="dxa"/>
            <w:tcBorders>
              <w:right w:val="single" w:sz="4" w:space="0" w:color="31849B" w:themeColor="accent5" w:themeShade="BF"/>
            </w:tcBorders>
            <w:vAlign w:val="center"/>
          </w:tcPr>
          <w:p w14:paraId="5805999B" w14:textId="5551AA10"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0.2</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69E2C325" w14:textId="78756AD2" w:rsidR="001A6058" w:rsidRPr="002A3B9B"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Melons</w:t>
            </w:r>
          </w:p>
        </w:tc>
        <w:tc>
          <w:tcPr>
            <w:tcW w:w="934" w:type="dxa"/>
            <w:gridSpan w:val="2"/>
            <w:vAlign w:val="center"/>
          </w:tcPr>
          <w:p w14:paraId="3B655B9A" w14:textId="7DCD4292"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312</w:t>
            </w:r>
            <w:r w:rsidRPr="001A6058">
              <w:rPr>
                <w:rFonts w:ascii="Arial" w:hAnsi="Arial" w:cs="Arial"/>
                <w:sz w:val="18"/>
                <w:szCs w:val="18"/>
              </w:rPr>
              <w:t>M</w:t>
            </w:r>
          </w:p>
        </w:tc>
        <w:tc>
          <w:tcPr>
            <w:tcW w:w="1333" w:type="dxa"/>
            <w:vAlign w:val="center"/>
          </w:tcPr>
          <w:p w14:paraId="3A77F1C5" w14:textId="13ACB3C7"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3.4</w:t>
            </w:r>
            <w:r w:rsidRPr="0050178A">
              <w:rPr>
                <w:rFonts w:ascii="Arial" w:hAnsi="Arial" w:cs="Arial"/>
                <w:sz w:val="18"/>
                <w:szCs w:val="18"/>
              </w:rPr>
              <w:t>B</w:t>
            </w:r>
          </w:p>
        </w:tc>
        <w:tc>
          <w:tcPr>
            <w:tcW w:w="1333" w:type="dxa"/>
            <w:vAlign w:val="center"/>
          </w:tcPr>
          <w:p w14:paraId="2682EFB4" w14:textId="60D2699F"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3.1</w:t>
            </w:r>
            <w:r w:rsidRPr="001A6058">
              <w:rPr>
                <w:rFonts w:ascii="Arial" w:hAnsi="Arial" w:cs="Arial"/>
                <w:sz w:val="18"/>
                <w:szCs w:val="18"/>
              </w:rPr>
              <w:t>%</w:t>
            </w:r>
          </w:p>
        </w:tc>
      </w:tr>
      <w:tr w:rsidR="001A6058" w:rsidRPr="002A3B9B" w14:paraId="615045C3" w14:textId="77777777" w:rsidTr="001A6058">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8DB25B9" w14:textId="28505892"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Cucumbers</w:t>
            </w:r>
          </w:p>
        </w:tc>
        <w:tc>
          <w:tcPr>
            <w:tcW w:w="990" w:type="dxa"/>
            <w:gridSpan w:val="2"/>
            <w:vAlign w:val="center"/>
          </w:tcPr>
          <w:p w14:paraId="2A42E28E" w14:textId="1A0AC250"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14</w:t>
            </w:r>
            <w:r w:rsidRPr="000361C6">
              <w:rPr>
                <w:rFonts w:ascii="Arial" w:hAnsi="Arial" w:cs="Arial"/>
                <w:sz w:val="18"/>
                <w:szCs w:val="18"/>
              </w:rPr>
              <w:t>M</w:t>
            </w:r>
          </w:p>
        </w:tc>
        <w:tc>
          <w:tcPr>
            <w:tcW w:w="1075" w:type="dxa"/>
            <w:gridSpan w:val="2"/>
            <w:vAlign w:val="center"/>
          </w:tcPr>
          <w:p w14:paraId="62FA2BD7" w14:textId="0178300A"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104</w:t>
            </w:r>
            <w:r w:rsidRPr="000361C6">
              <w:rPr>
                <w:rFonts w:ascii="Arial" w:hAnsi="Arial" w:cs="Arial"/>
                <w:sz w:val="18"/>
                <w:szCs w:val="18"/>
              </w:rPr>
              <w:t>M</w:t>
            </w:r>
          </w:p>
        </w:tc>
        <w:tc>
          <w:tcPr>
            <w:tcW w:w="1333" w:type="dxa"/>
            <w:tcBorders>
              <w:right w:val="single" w:sz="4" w:space="0" w:color="31849B" w:themeColor="accent5" w:themeShade="BF"/>
            </w:tcBorders>
            <w:vAlign w:val="center"/>
          </w:tcPr>
          <w:p w14:paraId="3270B12C" w14:textId="73B37C6E"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6.3</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2849A533" w14:textId="52B77F47"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Lettuce</w:t>
            </w:r>
          </w:p>
        </w:tc>
        <w:tc>
          <w:tcPr>
            <w:tcW w:w="934" w:type="dxa"/>
            <w:gridSpan w:val="2"/>
            <w:vAlign w:val="center"/>
          </w:tcPr>
          <w:p w14:paraId="2C53628E" w14:textId="13E37013"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266</w:t>
            </w:r>
            <w:r w:rsidRPr="001A6058">
              <w:rPr>
                <w:rFonts w:ascii="Arial" w:hAnsi="Arial" w:cs="Arial"/>
                <w:sz w:val="18"/>
                <w:szCs w:val="18"/>
              </w:rPr>
              <w:t>M</w:t>
            </w:r>
          </w:p>
        </w:tc>
        <w:tc>
          <w:tcPr>
            <w:tcW w:w="1333" w:type="dxa"/>
            <w:vAlign w:val="center"/>
          </w:tcPr>
          <w:p w14:paraId="15F8B0F0" w14:textId="0CCF2D3B"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2.9</w:t>
            </w:r>
            <w:r w:rsidRPr="0050178A">
              <w:rPr>
                <w:rFonts w:ascii="Arial" w:hAnsi="Arial" w:cs="Arial"/>
                <w:sz w:val="18"/>
                <w:szCs w:val="18"/>
              </w:rPr>
              <w:t>B</w:t>
            </w:r>
          </w:p>
        </w:tc>
        <w:tc>
          <w:tcPr>
            <w:tcW w:w="1333" w:type="dxa"/>
            <w:vAlign w:val="center"/>
          </w:tcPr>
          <w:p w14:paraId="00A8A861" w14:textId="121AEB27"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2.7</w:t>
            </w:r>
            <w:r w:rsidRPr="001A6058">
              <w:rPr>
                <w:rFonts w:ascii="Arial" w:hAnsi="Arial" w:cs="Arial"/>
                <w:sz w:val="18"/>
                <w:szCs w:val="18"/>
              </w:rPr>
              <w:t>%</w:t>
            </w:r>
          </w:p>
        </w:tc>
      </w:tr>
      <w:tr w:rsidR="001A6058" w:rsidRPr="002A3B9B" w14:paraId="6B564E11" w14:textId="77777777" w:rsidTr="001A605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5F913057" w14:textId="1FF3C8AE"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Bananas</w:t>
            </w:r>
          </w:p>
        </w:tc>
        <w:tc>
          <w:tcPr>
            <w:tcW w:w="990" w:type="dxa"/>
            <w:gridSpan w:val="2"/>
            <w:vAlign w:val="center"/>
          </w:tcPr>
          <w:p w14:paraId="5FF8717D" w14:textId="3E95456D"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12</w:t>
            </w:r>
            <w:r w:rsidRPr="000361C6">
              <w:rPr>
                <w:rFonts w:ascii="Arial" w:hAnsi="Arial" w:cs="Arial"/>
                <w:sz w:val="18"/>
                <w:szCs w:val="18"/>
              </w:rPr>
              <w:t>M</w:t>
            </w:r>
          </w:p>
        </w:tc>
        <w:tc>
          <w:tcPr>
            <w:tcW w:w="1075" w:type="dxa"/>
            <w:gridSpan w:val="2"/>
            <w:vAlign w:val="center"/>
          </w:tcPr>
          <w:p w14:paraId="5926BA3A" w14:textId="5FEC82DC"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246</w:t>
            </w:r>
            <w:r w:rsidRPr="000361C6">
              <w:rPr>
                <w:rFonts w:ascii="Arial" w:hAnsi="Arial" w:cs="Arial"/>
                <w:sz w:val="18"/>
                <w:szCs w:val="18"/>
              </w:rPr>
              <w:t>M</w:t>
            </w:r>
          </w:p>
        </w:tc>
        <w:tc>
          <w:tcPr>
            <w:tcW w:w="1333" w:type="dxa"/>
            <w:tcBorders>
              <w:right w:val="single" w:sz="4" w:space="0" w:color="31849B" w:themeColor="accent5" w:themeShade="BF"/>
            </w:tcBorders>
            <w:vAlign w:val="center"/>
          </w:tcPr>
          <w:p w14:paraId="3DC3198A" w14:textId="273B14FC"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1.7</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00B78E24" w14:textId="3077D72C" w:rsidR="001A6058" w:rsidRPr="002A3B9B"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Apples</w:t>
            </w:r>
          </w:p>
        </w:tc>
        <w:tc>
          <w:tcPr>
            <w:tcW w:w="934" w:type="dxa"/>
            <w:gridSpan w:val="2"/>
            <w:vAlign w:val="center"/>
          </w:tcPr>
          <w:p w14:paraId="1CD4A7BD" w14:textId="50688D4C"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226</w:t>
            </w:r>
            <w:r w:rsidRPr="001A6058">
              <w:rPr>
                <w:rFonts w:ascii="Arial" w:hAnsi="Arial" w:cs="Arial"/>
                <w:sz w:val="18"/>
                <w:szCs w:val="18"/>
              </w:rPr>
              <w:t>M</w:t>
            </w:r>
          </w:p>
        </w:tc>
        <w:tc>
          <w:tcPr>
            <w:tcW w:w="1333" w:type="dxa"/>
            <w:vAlign w:val="center"/>
          </w:tcPr>
          <w:p w14:paraId="2533BB08" w14:textId="110EEA25"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4.4</w:t>
            </w:r>
            <w:r w:rsidRPr="0050178A">
              <w:rPr>
                <w:rFonts w:ascii="Arial" w:hAnsi="Arial" w:cs="Arial"/>
                <w:sz w:val="18"/>
                <w:szCs w:val="18"/>
              </w:rPr>
              <w:t>B</w:t>
            </w:r>
          </w:p>
        </w:tc>
        <w:tc>
          <w:tcPr>
            <w:tcW w:w="1333" w:type="dxa"/>
            <w:vAlign w:val="center"/>
          </w:tcPr>
          <w:p w14:paraId="4C9AD7D1" w14:textId="0790EF86"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3.0</w:t>
            </w:r>
            <w:r w:rsidRPr="001A6058">
              <w:rPr>
                <w:rFonts w:ascii="Arial" w:hAnsi="Arial" w:cs="Arial"/>
                <w:sz w:val="18"/>
                <w:szCs w:val="18"/>
              </w:rPr>
              <w:t>%</w:t>
            </w:r>
          </w:p>
        </w:tc>
      </w:tr>
      <w:tr w:rsidR="001A6058" w:rsidRPr="002A3B9B" w14:paraId="2DFFF54A" w14:textId="77777777" w:rsidTr="001A6058">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8FDE24D" w14:textId="1B57BBB8"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Grapes</w:t>
            </w:r>
          </w:p>
        </w:tc>
        <w:tc>
          <w:tcPr>
            <w:tcW w:w="990" w:type="dxa"/>
            <w:gridSpan w:val="2"/>
            <w:vAlign w:val="center"/>
          </w:tcPr>
          <w:p w14:paraId="6EDF9530" w14:textId="1BD01A9F"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10</w:t>
            </w:r>
            <w:r w:rsidRPr="000361C6">
              <w:rPr>
                <w:rFonts w:ascii="Arial" w:hAnsi="Arial" w:cs="Arial"/>
                <w:sz w:val="18"/>
                <w:szCs w:val="18"/>
              </w:rPr>
              <w:t>M</w:t>
            </w:r>
          </w:p>
        </w:tc>
        <w:tc>
          <w:tcPr>
            <w:tcW w:w="1075" w:type="dxa"/>
            <w:gridSpan w:val="2"/>
            <w:vAlign w:val="center"/>
          </w:tcPr>
          <w:p w14:paraId="126B3DE3" w14:textId="26A0FB42"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274</w:t>
            </w:r>
            <w:r w:rsidRPr="000361C6">
              <w:rPr>
                <w:rFonts w:ascii="Arial" w:hAnsi="Arial" w:cs="Arial"/>
                <w:sz w:val="18"/>
                <w:szCs w:val="18"/>
              </w:rPr>
              <w:t>M</w:t>
            </w:r>
          </w:p>
        </w:tc>
        <w:tc>
          <w:tcPr>
            <w:tcW w:w="1333" w:type="dxa"/>
            <w:tcBorders>
              <w:right w:val="single" w:sz="4" w:space="0" w:color="31849B" w:themeColor="accent5" w:themeShade="BF"/>
            </w:tcBorders>
            <w:vAlign w:val="center"/>
          </w:tcPr>
          <w:p w14:paraId="3731F339" w14:textId="3CC21F43"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1.6</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124CAFAC" w14:textId="00867D15"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Grapes</w:t>
            </w:r>
          </w:p>
        </w:tc>
        <w:tc>
          <w:tcPr>
            <w:tcW w:w="934" w:type="dxa"/>
            <w:gridSpan w:val="2"/>
            <w:vAlign w:val="center"/>
          </w:tcPr>
          <w:p w14:paraId="22FC046C" w14:textId="5333E75E"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211</w:t>
            </w:r>
            <w:r w:rsidRPr="001A6058">
              <w:rPr>
                <w:rFonts w:ascii="Arial" w:hAnsi="Arial" w:cs="Arial"/>
                <w:sz w:val="18"/>
                <w:szCs w:val="18"/>
              </w:rPr>
              <w:t>M</w:t>
            </w:r>
          </w:p>
        </w:tc>
        <w:tc>
          <w:tcPr>
            <w:tcW w:w="1333" w:type="dxa"/>
            <w:vAlign w:val="center"/>
          </w:tcPr>
          <w:p w14:paraId="394259C8" w14:textId="24F38B55"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3.8</w:t>
            </w:r>
            <w:r w:rsidRPr="0050178A">
              <w:rPr>
                <w:rFonts w:ascii="Arial" w:hAnsi="Arial" w:cs="Arial"/>
                <w:sz w:val="18"/>
                <w:szCs w:val="18"/>
              </w:rPr>
              <w:t>B</w:t>
            </w:r>
          </w:p>
        </w:tc>
        <w:tc>
          <w:tcPr>
            <w:tcW w:w="1333" w:type="dxa"/>
            <w:vAlign w:val="center"/>
          </w:tcPr>
          <w:p w14:paraId="417B307D" w14:textId="2C91D1CA"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w:t>
            </w:r>
            <w:r w:rsidRPr="001A6058">
              <w:rPr>
                <w:rFonts w:ascii="Arial" w:hAnsi="Arial" w:cs="Arial"/>
                <w:sz w:val="18"/>
                <w:szCs w:val="18"/>
              </w:rPr>
              <w:t>%</w:t>
            </w:r>
          </w:p>
        </w:tc>
      </w:tr>
      <w:tr w:rsidR="001A6058" w:rsidRPr="002A3B9B" w14:paraId="3E6A2186" w14:textId="77777777" w:rsidTr="001A605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4F71F578" w14:textId="60B0BC4C"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Peppers</w:t>
            </w:r>
          </w:p>
        </w:tc>
        <w:tc>
          <w:tcPr>
            <w:tcW w:w="990" w:type="dxa"/>
            <w:gridSpan w:val="2"/>
            <w:vAlign w:val="center"/>
          </w:tcPr>
          <w:p w14:paraId="61E2D169" w14:textId="199A0108"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9</w:t>
            </w:r>
            <w:r w:rsidRPr="000361C6">
              <w:rPr>
                <w:rFonts w:ascii="Arial" w:hAnsi="Arial" w:cs="Arial"/>
                <w:sz w:val="18"/>
                <w:szCs w:val="18"/>
              </w:rPr>
              <w:t>M</w:t>
            </w:r>
          </w:p>
        </w:tc>
        <w:tc>
          <w:tcPr>
            <w:tcW w:w="1075" w:type="dxa"/>
            <w:gridSpan w:val="2"/>
            <w:vAlign w:val="center"/>
          </w:tcPr>
          <w:p w14:paraId="55889AA9" w14:textId="4C547D3E"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193</w:t>
            </w:r>
            <w:r w:rsidRPr="000361C6">
              <w:rPr>
                <w:rFonts w:ascii="Arial" w:hAnsi="Arial" w:cs="Arial"/>
                <w:sz w:val="18"/>
                <w:szCs w:val="18"/>
              </w:rPr>
              <w:t>M</w:t>
            </w:r>
          </w:p>
        </w:tc>
        <w:tc>
          <w:tcPr>
            <w:tcW w:w="1333" w:type="dxa"/>
            <w:tcBorders>
              <w:right w:val="single" w:sz="4" w:space="0" w:color="31849B" w:themeColor="accent5" w:themeShade="BF"/>
            </w:tcBorders>
            <w:vAlign w:val="center"/>
          </w:tcPr>
          <w:p w14:paraId="74A22659" w14:textId="59B5C04B"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2.7</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0BA62630" w14:textId="42794B82" w:rsidR="001A6058" w:rsidRPr="002A3B9B"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Avocados</w:t>
            </w:r>
          </w:p>
        </w:tc>
        <w:tc>
          <w:tcPr>
            <w:tcW w:w="934" w:type="dxa"/>
            <w:gridSpan w:val="2"/>
            <w:vAlign w:val="center"/>
          </w:tcPr>
          <w:p w14:paraId="0013AAAD" w14:textId="28783180"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191</w:t>
            </w:r>
            <w:r w:rsidRPr="001A6058">
              <w:rPr>
                <w:rFonts w:ascii="Arial" w:hAnsi="Arial" w:cs="Arial"/>
                <w:sz w:val="18"/>
                <w:szCs w:val="18"/>
              </w:rPr>
              <w:t>M</w:t>
            </w:r>
          </w:p>
        </w:tc>
        <w:tc>
          <w:tcPr>
            <w:tcW w:w="1333" w:type="dxa"/>
            <w:vAlign w:val="center"/>
          </w:tcPr>
          <w:p w14:paraId="0D875AE9" w14:textId="3B1467F8"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2.7</w:t>
            </w:r>
            <w:r w:rsidRPr="0050178A">
              <w:rPr>
                <w:rFonts w:ascii="Arial" w:hAnsi="Arial" w:cs="Arial"/>
                <w:sz w:val="18"/>
                <w:szCs w:val="18"/>
              </w:rPr>
              <w:t>B</w:t>
            </w:r>
          </w:p>
        </w:tc>
        <w:tc>
          <w:tcPr>
            <w:tcW w:w="1333" w:type="dxa"/>
            <w:vAlign w:val="center"/>
          </w:tcPr>
          <w:p w14:paraId="1CB748A2" w14:textId="083DEDD9"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8.5</w:t>
            </w:r>
            <w:r w:rsidRPr="001A6058">
              <w:rPr>
                <w:rFonts w:ascii="Arial" w:hAnsi="Arial" w:cs="Arial"/>
                <w:sz w:val="18"/>
                <w:szCs w:val="18"/>
              </w:rPr>
              <w:t>%</w:t>
            </w:r>
          </w:p>
        </w:tc>
      </w:tr>
      <w:tr w:rsidR="001A6058" w:rsidRPr="002A3B9B" w14:paraId="37F5889D" w14:textId="77777777" w:rsidTr="001A6058">
        <w:trPr>
          <w:trHeight w:val="257"/>
        </w:trPr>
        <w:tc>
          <w:tcPr>
            <w:cnfStyle w:val="001000000000" w:firstRow="0" w:lastRow="0" w:firstColumn="1" w:lastColumn="0" w:oddVBand="0" w:evenVBand="0" w:oddHBand="0" w:evenHBand="0" w:firstRowFirstColumn="0" w:firstRowLastColumn="0" w:lastRowFirstColumn="0" w:lastRowLastColumn="0"/>
            <w:tcW w:w="1710" w:type="dxa"/>
            <w:tcBorders>
              <w:bottom w:val="nil"/>
            </w:tcBorders>
            <w:vAlign w:val="center"/>
          </w:tcPr>
          <w:p w14:paraId="0894DB90" w14:textId="61255700"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Apples</w:t>
            </w:r>
          </w:p>
        </w:tc>
        <w:tc>
          <w:tcPr>
            <w:tcW w:w="990" w:type="dxa"/>
            <w:gridSpan w:val="2"/>
            <w:tcBorders>
              <w:bottom w:val="nil"/>
            </w:tcBorders>
            <w:vAlign w:val="center"/>
          </w:tcPr>
          <w:p w14:paraId="51B7DA89" w14:textId="44265D62"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8</w:t>
            </w:r>
            <w:r w:rsidRPr="000361C6">
              <w:rPr>
                <w:rFonts w:ascii="Arial" w:hAnsi="Arial" w:cs="Arial"/>
                <w:sz w:val="18"/>
                <w:szCs w:val="18"/>
              </w:rPr>
              <w:t>M</w:t>
            </w:r>
          </w:p>
        </w:tc>
        <w:tc>
          <w:tcPr>
            <w:tcW w:w="1075" w:type="dxa"/>
            <w:gridSpan w:val="2"/>
            <w:tcBorders>
              <w:bottom w:val="nil"/>
            </w:tcBorders>
            <w:vAlign w:val="center"/>
          </w:tcPr>
          <w:p w14:paraId="15478E97" w14:textId="5046EF40"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347</w:t>
            </w:r>
            <w:r w:rsidRPr="000361C6">
              <w:rPr>
                <w:rFonts w:ascii="Arial" w:hAnsi="Arial" w:cs="Arial"/>
                <w:sz w:val="18"/>
                <w:szCs w:val="18"/>
              </w:rPr>
              <w:t>M</w:t>
            </w:r>
          </w:p>
        </w:tc>
        <w:tc>
          <w:tcPr>
            <w:tcW w:w="1333" w:type="dxa"/>
            <w:tcBorders>
              <w:bottom w:val="nil"/>
              <w:right w:val="single" w:sz="4" w:space="0" w:color="31849B" w:themeColor="accent5" w:themeShade="BF"/>
            </w:tcBorders>
            <w:vAlign w:val="center"/>
          </w:tcPr>
          <w:p w14:paraId="75360201" w14:textId="702BB9AE" w:rsidR="001A6058" w:rsidRPr="000361C6"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33F7E7AF" w14:textId="42529740" w:rsidR="001A6058" w:rsidRPr="002A3B9B"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Cucumbers</w:t>
            </w:r>
          </w:p>
        </w:tc>
        <w:tc>
          <w:tcPr>
            <w:tcW w:w="934" w:type="dxa"/>
            <w:gridSpan w:val="2"/>
            <w:tcBorders>
              <w:bottom w:val="nil"/>
            </w:tcBorders>
            <w:vAlign w:val="center"/>
          </w:tcPr>
          <w:p w14:paraId="48800036" w14:textId="3E2AD4DD"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111</w:t>
            </w:r>
            <w:r w:rsidRPr="001A6058">
              <w:rPr>
                <w:rFonts w:ascii="Arial" w:hAnsi="Arial" w:cs="Arial"/>
                <w:sz w:val="18"/>
                <w:szCs w:val="18"/>
              </w:rPr>
              <w:t>M</w:t>
            </w:r>
          </w:p>
        </w:tc>
        <w:tc>
          <w:tcPr>
            <w:tcW w:w="1333" w:type="dxa"/>
            <w:tcBorders>
              <w:bottom w:val="nil"/>
            </w:tcBorders>
            <w:vAlign w:val="center"/>
          </w:tcPr>
          <w:p w14:paraId="7194F713" w14:textId="4421E8AE"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1.4</w:t>
            </w:r>
            <w:r w:rsidRPr="0050178A">
              <w:rPr>
                <w:rFonts w:ascii="Arial" w:hAnsi="Arial" w:cs="Arial"/>
                <w:sz w:val="18"/>
                <w:szCs w:val="18"/>
              </w:rPr>
              <w:t>B</w:t>
            </w:r>
          </w:p>
        </w:tc>
        <w:tc>
          <w:tcPr>
            <w:tcW w:w="1333" w:type="dxa"/>
            <w:tcBorders>
              <w:bottom w:val="nil"/>
            </w:tcBorders>
            <w:vAlign w:val="center"/>
          </w:tcPr>
          <w:p w14:paraId="7AD77D79" w14:textId="063F0788" w:rsidR="001A6058" w:rsidRPr="001A6058" w:rsidRDefault="001A6058" w:rsidP="001A605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w:t>
            </w:r>
            <w:r w:rsidRPr="001A6058">
              <w:rPr>
                <w:rFonts w:ascii="Arial" w:hAnsi="Arial" w:cs="Arial"/>
                <w:sz w:val="18"/>
                <w:szCs w:val="18"/>
              </w:rPr>
              <w:t>%</w:t>
            </w:r>
          </w:p>
        </w:tc>
      </w:tr>
      <w:tr w:rsidR="001A6058" w:rsidRPr="002A3B9B" w14:paraId="1B525D55" w14:textId="77777777" w:rsidTr="001A605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6186BA09" w14:textId="4198AC46" w:rsidR="001A6058" w:rsidRPr="002A3B9B" w:rsidRDefault="001A6058" w:rsidP="001A6058">
            <w:pPr>
              <w:pStyle w:val="NoSpacing"/>
              <w:jc w:val="right"/>
              <w:rPr>
                <w:rFonts w:ascii="Arial" w:hAnsi="Arial" w:cs="Arial"/>
                <w:b w:val="0"/>
                <w:bCs w:val="0"/>
                <w:sz w:val="18"/>
                <w:szCs w:val="18"/>
              </w:rPr>
            </w:pPr>
            <w:r>
              <w:rPr>
                <w:rFonts w:ascii="Arial" w:hAnsi="Arial" w:cs="Arial"/>
                <w:b w:val="0"/>
                <w:bCs w:val="0"/>
                <w:sz w:val="18"/>
                <w:szCs w:val="18"/>
              </w:rPr>
              <w:t>Melons</w:t>
            </w:r>
          </w:p>
        </w:tc>
        <w:tc>
          <w:tcPr>
            <w:tcW w:w="990" w:type="dxa"/>
            <w:gridSpan w:val="2"/>
            <w:tcBorders>
              <w:top w:val="nil"/>
              <w:bottom w:val="nil"/>
            </w:tcBorders>
            <w:vAlign w:val="center"/>
          </w:tcPr>
          <w:p w14:paraId="089BE4A8" w14:textId="0ED94B67"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7</w:t>
            </w:r>
            <w:r w:rsidRPr="000361C6">
              <w:rPr>
                <w:rFonts w:ascii="Arial" w:hAnsi="Arial" w:cs="Arial"/>
                <w:sz w:val="18"/>
                <w:szCs w:val="18"/>
              </w:rPr>
              <w:t>M</w:t>
            </w:r>
          </w:p>
        </w:tc>
        <w:tc>
          <w:tcPr>
            <w:tcW w:w="1075" w:type="dxa"/>
            <w:gridSpan w:val="2"/>
            <w:tcBorders>
              <w:top w:val="nil"/>
              <w:bottom w:val="nil"/>
            </w:tcBorders>
            <w:vAlign w:val="center"/>
          </w:tcPr>
          <w:p w14:paraId="5F9FBE65" w14:textId="370351B0"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1C6">
              <w:rPr>
                <w:rFonts w:ascii="Arial" w:hAnsi="Arial" w:cs="Arial"/>
                <w:sz w:val="18"/>
                <w:szCs w:val="18"/>
              </w:rPr>
              <w:t>$</w:t>
            </w:r>
            <w:r>
              <w:rPr>
                <w:rFonts w:ascii="Arial" w:hAnsi="Arial" w:cs="Arial"/>
                <w:sz w:val="18"/>
                <w:szCs w:val="18"/>
              </w:rPr>
              <w:t>123</w:t>
            </w:r>
            <w:r w:rsidRPr="000361C6">
              <w:rPr>
                <w:rFonts w:ascii="Arial" w:hAnsi="Arial" w:cs="Arial"/>
                <w:sz w:val="18"/>
                <w:szCs w:val="18"/>
              </w:rPr>
              <w:t>M</w:t>
            </w:r>
          </w:p>
        </w:tc>
        <w:tc>
          <w:tcPr>
            <w:tcW w:w="1333" w:type="dxa"/>
            <w:tcBorders>
              <w:top w:val="nil"/>
              <w:bottom w:val="nil"/>
              <w:right w:val="single" w:sz="4" w:space="0" w:color="31849B" w:themeColor="accent5" w:themeShade="BF"/>
            </w:tcBorders>
            <w:vAlign w:val="center"/>
          </w:tcPr>
          <w:p w14:paraId="0E581FD5" w14:textId="0E74C47D" w:rsidR="001A6058" w:rsidRPr="000361C6"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w:t>
            </w:r>
            <w:r w:rsidRPr="000361C6">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65C9DA82" w14:textId="758157DA" w:rsidR="001A6058" w:rsidRPr="002A3B9B"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Oranges</w:t>
            </w:r>
          </w:p>
        </w:tc>
        <w:tc>
          <w:tcPr>
            <w:tcW w:w="934" w:type="dxa"/>
            <w:gridSpan w:val="2"/>
            <w:tcBorders>
              <w:top w:val="nil"/>
              <w:bottom w:val="nil"/>
            </w:tcBorders>
            <w:vAlign w:val="center"/>
          </w:tcPr>
          <w:p w14:paraId="0BD0ACE8" w14:textId="6AEB4F63"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106</w:t>
            </w:r>
            <w:r w:rsidRPr="001A6058">
              <w:rPr>
                <w:rFonts w:ascii="Arial" w:hAnsi="Arial" w:cs="Arial"/>
                <w:sz w:val="18"/>
                <w:szCs w:val="18"/>
              </w:rPr>
              <w:t>M</w:t>
            </w:r>
          </w:p>
        </w:tc>
        <w:tc>
          <w:tcPr>
            <w:tcW w:w="1333" w:type="dxa"/>
            <w:tcBorders>
              <w:top w:val="nil"/>
              <w:bottom w:val="nil"/>
            </w:tcBorders>
            <w:vAlign w:val="center"/>
          </w:tcPr>
          <w:p w14:paraId="5F860789" w14:textId="23EE83D0"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178A">
              <w:rPr>
                <w:rFonts w:ascii="Arial" w:hAnsi="Arial" w:cs="Arial"/>
                <w:sz w:val="18"/>
                <w:szCs w:val="18"/>
              </w:rPr>
              <w:t>$</w:t>
            </w:r>
            <w:r>
              <w:rPr>
                <w:rFonts w:ascii="Arial" w:hAnsi="Arial" w:cs="Arial"/>
                <w:sz w:val="18"/>
                <w:szCs w:val="18"/>
              </w:rPr>
              <w:t>1.3</w:t>
            </w:r>
            <w:r w:rsidRPr="0050178A">
              <w:rPr>
                <w:rFonts w:ascii="Arial" w:hAnsi="Arial" w:cs="Arial"/>
                <w:sz w:val="18"/>
                <w:szCs w:val="18"/>
              </w:rPr>
              <w:t>B</w:t>
            </w:r>
          </w:p>
        </w:tc>
        <w:tc>
          <w:tcPr>
            <w:tcW w:w="1333" w:type="dxa"/>
            <w:tcBorders>
              <w:top w:val="nil"/>
              <w:bottom w:val="nil"/>
            </w:tcBorders>
            <w:vAlign w:val="center"/>
          </w:tcPr>
          <w:p w14:paraId="33DC0902" w14:textId="4F6D8DA0" w:rsidR="001A6058" w:rsidRPr="001A6058" w:rsidRDefault="001A6058" w:rsidP="001A605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6058">
              <w:rPr>
                <w:rFonts w:ascii="Arial" w:hAnsi="Arial" w:cs="Arial"/>
                <w:sz w:val="18"/>
                <w:szCs w:val="18"/>
              </w:rPr>
              <w:t>-</w:t>
            </w:r>
            <w:r>
              <w:rPr>
                <w:rFonts w:ascii="Arial" w:hAnsi="Arial" w:cs="Arial"/>
                <w:sz w:val="18"/>
                <w:szCs w:val="18"/>
              </w:rPr>
              <w:t>5.1</w:t>
            </w:r>
            <w:r w:rsidRPr="001A6058">
              <w:rPr>
                <w:rFonts w:ascii="Arial" w:hAnsi="Arial" w:cs="Arial"/>
                <w:sz w:val="18"/>
                <w:szCs w:val="18"/>
              </w:rPr>
              <w:t>%</w:t>
            </w:r>
          </w:p>
        </w:tc>
      </w:tr>
    </w:tbl>
    <w:p w14:paraId="1EF2AA2B" w14:textId="77777777" w:rsidR="000361C6" w:rsidRPr="00B35CE9" w:rsidRDefault="000361C6" w:rsidP="009E5261">
      <w:pPr>
        <w:pStyle w:val="NoSpacing"/>
        <w:rPr>
          <w:rFonts w:ascii="Arial" w:hAnsi="Arial" w:cs="Arial"/>
          <w:sz w:val="20"/>
          <w:szCs w:val="20"/>
        </w:rPr>
      </w:pPr>
    </w:p>
    <w:p w14:paraId="64BA956D" w14:textId="77777777" w:rsidR="00470A5F" w:rsidRDefault="00470A5F" w:rsidP="009E5261">
      <w:pPr>
        <w:pStyle w:val="NoSpacing"/>
        <w:rPr>
          <w:rFonts w:ascii="Arial" w:hAnsi="Arial" w:cs="Arial"/>
          <w:sz w:val="10"/>
          <w:szCs w:val="10"/>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27998812" w:rsidR="00135BE7" w:rsidRDefault="00135BE7" w:rsidP="001024F6">
      <w:pPr>
        <w:pStyle w:val="NoSpacing"/>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bookmarkStart w:id="5" w:name="_Hlk113867556"/>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4C083BE9" w14:textId="1AC49042" w:rsidR="00843888" w:rsidRDefault="00217491" w:rsidP="001024F6">
      <w:pPr>
        <w:pStyle w:val="NoSpacing"/>
        <w:rPr>
          <w:rFonts w:ascii="Arial" w:hAnsi="Arial" w:cs="Arial"/>
          <w:sz w:val="20"/>
          <w:szCs w:val="20"/>
        </w:rPr>
      </w:pPr>
      <w:r>
        <w:rPr>
          <w:rFonts w:ascii="Arial" w:hAnsi="Arial" w:cs="Arial"/>
          <w:sz w:val="20"/>
          <w:szCs w:val="20"/>
        </w:rPr>
        <w:t xml:space="preserve">With heavy inflation in eggs and other dairy items, the total refrigerated department generated a </w:t>
      </w:r>
      <w:r w:rsidR="00296B4A">
        <w:rPr>
          <w:rFonts w:ascii="Arial" w:hAnsi="Arial" w:cs="Arial"/>
          <w:sz w:val="20"/>
          <w:szCs w:val="20"/>
        </w:rPr>
        <w:t>+</w:t>
      </w:r>
      <w:r w:rsidR="00C65F42">
        <w:rPr>
          <w:rFonts w:ascii="Arial" w:hAnsi="Arial" w:cs="Arial"/>
          <w:sz w:val="20"/>
          <w:szCs w:val="20"/>
        </w:rPr>
        <w:t>24.3</w:t>
      </w:r>
      <w:r>
        <w:rPr>
          <w:rFonts w:ascii="Arial" w:hAnsi="Arial" w:cs="Arial"/>
          <w:sz w:val="20"/>
          <w:szCs w:val="20"/>
        </w:rPr>
        <w:t>%</w:t>
      </w:r>
      <w:r w:rsidR="00F26464">
        <w:rPr>
          <w:rFonts w:ascii="Arial" w:hAnsi="Arial" w:cs="Arial"/>
          <w:sz w:val="20"/>
          <w:szCs w:val="20"/>
        </w:rPr>
        <w:t xml:space="preserve"> increase in sales to reach $</w:t>
      </w:r>
      <w:r w:rsidR="00C65F42">
        <w:rPr>
          <w:rFonts w:ascii="Arial" w:hAnsi="Arial" w:cs="Arial"/>
          <w:sz w:val="20"/>
          <w:szCs w:val="20"/>
        </w:rPr>
        <w:t>6.5</w:t>
      </w:r>
      <w:r>
        <w:rPr>
          <w:rFonts w:ascii="Arial" w:hAnsi="Arial" w:cs="Arial"/>
          <w:sz w:val="20"/>
          <w:szCs w:val="20"/>
        </w:rPr>
        <w:t xml:space="preserve"> billion in </w:t>
      </w:r>
      <w:r w:rsidR="00F26464">
        <w:rPr>
          <w:rFonts w:ascii="Arial" w:hAnsi="Arial" w:cs="Arial"/>
          <w:sz w:val="20"/>
          <w:szCs w:val="20"/>
        </w:rPr>
        <w:t>December</w:t>
      </w:r>
      <w:r>
        <w:rPr>
          <w:rFonts w:ascii="Arial" w:hAnsi="Arial" w:cs="Arial"/>
          <w:sz w:val="20"/>
          <w:szCs w:val="20"/>
        </w:rPr>
        <w:t xml:space="preserve">. However, unit sales were down much like the other departments. Fresh produce </w:t>
      </w:r>
      <w:r w:rsidR="00C65F42">
        <w:rPr>
          <w:rFonts w:ascii="Arial" w:hAnsi="Arial" w:cs="Arial"/>
          <w:sz w:val="20"/>
          <w:szCs w:val="20"/>
        </w:rPr>
        <w:t xml:space="preserve">had the </w:t>
      </w:r>
      <w:r>
        <w:rPr>
          <w:rFonts w:ascii="Arial" w:hAnsi="Arial" w:cs="Arial"/>
          <w:sz w:val="20"/>
          <w:szCs w:val="20"/>
        </w:rPr>
        <w:t>strongest unit performance when compared to the pre-pandemic normal. Seafood, by far the smallest seller, continued to trend in negative territory despite price deflation.</w:t>
      </w:r>
      <w:r w:rsidR="0086350E">
        <w:rPr>
          <w:rFonts w:ascii="Arial" w:hAnsi="Arial" w:cs="Arial"/>
          <w:sz w:val="20"/>
          <w:szCs w:val="20"/>
        </w:rPr>
        <w:t xml:space="preserve"> </w:t>
      </w:r>
    </w:p>
    <w:p w14:paraId="0E4A1B27" w14:textId="4C006249" w:rsidR="001A6058" w:rsidRDefault="001A6058" w:rsidP="001024F6">
      <w:pPr>
        <w:pStyle w:val="NoSpacing"/>
        <w:rPr>
          <w:rFonts w:ascii="Arial" w:hAnsi="Arial" w:cs="Arial"/>
          <w:sz w:val="20"/>
          <w:szCs w:val="20"/>
        </w:rPr>
      </w:pPr>
    </w:p>
    <w:tbl>
      <w:tblPr>
        <w:tblStyle w:val="LightShading-Accent5"/>
        <w:tblW w:w="10440" w:type="dxa"/>
        <w:tblLayout w:type="fixed"/>
        <w:tblLook w:val="04A0" w:firstRow="1" w:lastRow="0" w:firstColumn="1" w:lastColumn="0" w:noHBand="0" w:noVBand="1"/>
      </w:tblPr>
      <w:tblGrid>
        <w:gridCol w:w="1710"/>
        <w:gridCol w:w="900"/>
        <w:gridCol w:w="90"/>
        <w:gridCol w:w="754"/>
        <w:gridCol w:w="321"/>
        <w:gridCol w:w="1333"/>
        <w:gridCol w:w="1732"/>
        <w:gridCol w:w="107"/>
        <w:gridCol w:w="827"/>
        <w:gridCol w:w="1333"/>
        <w:gridCol w:w="1333"/>
      </w:tblGrid>
      <w:tr w:rsidR="001A6058" w:rsidRPr="0003007F" w14:paraId="7F7F821C" w14:textId="77777777" w:rsidTr="00D90DF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0F30BA47" w14:textId="60D46CFA" w:rsidR="001A6058" w:rsidRPr="00AB1306" w:rsidRDefault="001A6058" w:rsidP="00D90DFC">
            <w:pPr>
              <w:pStyle w:val="NoSpacing"/>
              <w:rPr>
                <w:rFonts w:ascii="Arial" w:hAnsi="Arial" w:cs="Arial"/>
                <w:color w:val="FFFFFF" w:themeColor="background1"/>
                <w:sz w:val="18"/>
                <w:szCs w:val="18"/>
              </w:rPr>
            </w:pPr>
            <w:r>
              <w:rPr>
                <w:rFonts w:ascii="Arial" w:hAnsi="Arial" w:cs="Arial"/>
                <w:color w:val="FFFFFF" w:themeColor="background1"/>
                <w:sz w:val="18"/>
                <w:szCs w:val="18"/>
              </w:rPr>
              <w:t>Perimeter</w:t>
            </w:r>
          </w:p>
        </w:tc>
        <w:tc>
          <w:tcPr>
            <w:tcW w:w="1744" w:type="dxa"/>
            <w:gridSpan w:val="3"/>
            <w:tcBorders>
              <w:top w:val="nil"/>
              <w:bottom w:val="nil"/>
            </w:tcBorders>
            <w:shd w:val="clear" w:color="auto" w:fill="17365D" w:themeFill="text2" w:themeFillShade="BF"/>
          </w:tcPr>
          <w:p w14:paraId="5B66DD81" w14:textId="6D79A445" w:rsidR="001A6058" w:rsidRPr="00AB1306" w:rsidRDefault="002E6137" w:rsidP="002E6137">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December 2022</w:t>
            </w:r>
          </w:p>
        </w:tc>
        <w:tc>
          <w:tcPr>
            <w:tcW w:w="3493" w:type="dxa"/>
            <w:gridSpan w:val="4"/>
            <w:tcBorders>
              <w:top w:val="nil"/>
              <w:bottom w:val="nil"/>
            </w:tcBorders>
            <w:shd w:val="clear" w:color="auto" w:fill="17365D" w:themeFill="text2" w:themeFillShade="BF"/>
          </w:tcPr>
          <w:p w14:paraId="144C820C" w14:textId="06373D3B" w:rsidR="001A6058" w:rsidRPr="00F515F4" w:rsidRDefault="001A6058" w:rsidP="00D90DF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3493" w:type="dxa"/>
            <w:gridSpan w:val="3"/>
            <w:tcBorders>
              <w:top w:val="nil"/>
              <w:bottom w:val="nil"/>
            </w:tcBorders>
            <w:shd w:val="clear" w:color="auto" w:fill="17365D" w:themeFill="text2" w:themeFillShade="BF"/>
          </w:tcPr>
          <w:p w14:paraId="5625B437" w14:textId="77777777" w:rsidR="001A6058" w:rsidRPr="0003007F" w:rsidRDefault="001A6058" w:rsidP="002E613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Calendar Year 2022</w:t>
            </w:r>
          </w:p>
        </w:tc>
      </w:tr>
      <w:tr w:rsidR="002E6137" w:rsidRPr="002A3B9B" w14:paraId="6CA6EBFE" w14:textId="77777777" w:rsidTr="002E613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59AF6E19" w14:textId="1CCD78C8" w:rsidR="002E6137" w:rsidRPr="002A3B9B" w:rsidRDefault="002E6137" w:rsidP="002E6137">
            <w:pPr>
              <w:pStyle w:val="NoSpacing"/>
              <w:rPr>
                <w:rFonts w:ascii="Arial" w:hAnsi="Arial" w:cs="Arial"/>
                <w:color w:val="FFFFFF" w:themeColor="background1"/>
                <w:sz w:val="18"/>
                <w:szCs w:val="18"/>
              </w:rPr>
            </w:pPr>
            <w:r>
              <w:rPr>
                <w:rFonts w:ascii="Arial" w:hAnsi="Arial" w:cs="Arial"/>
                <w:color w:val="FFFFFF" w:themeColor="background1"/>
                <w:sz w:val="18"/>
                <w:szCs w:val="18"/>
              </w:rPr>
              <w:t>department</w:t>
            </w:r>
          </w:p>
        </w:tc>
        <w:tc>
          <w:tcPr>
            <w:tcW w:w="900" w:type="dxa"/>
            <w:tcBorders>
              <w:top w:val="nil"/>
              <w:bottom w:val="nil"/>
            </w:tcBorders>
            <w:shd w:val="clear" w:color="auto" w:fill="17365D" w:themeFill="text2" w:themeFillShade="BF"/>
          </w:tcPr>
          <w:p w14:paraId="3A1F8DB9" w14:textId="14FBC9CD" w:rsidR="002E6137" w:rsidRPr="002A3B9B"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sales</w:t>
            </w:r>
          </w:p>
        </w:tc>
        <w:tc>
          <w:tcPr>
            <w:tcW w:w="1165" w:type="dxa"/>
            <w:gridSpan w:val="3"/>
            <w:tcBorders>
              <w:top w:val="nil"/>
              <w:bottom w:val="nil"/>
            </w:tcBorders>
            <w:shd w:val="clear" w:color="auto" w:fill="17365D" w:themeFill="text2" w:themeFillShade="BF"/>
          </w:tcPr>
          <w:p w14:paraId="678CC779" w14:textId="62FE5F05" w:rsidR="002E6137" w:rsidRPr="002A3B9B"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vs. YA</w:t>
            </w:r>
          </w:p>
        </w:tc>
        <w:tc>
          <w:tcPr>
            <w:tcW w:w="1333" w:type="dxa"/>
            <w:tcBorders>
              <w:top w:val="nil"/>
              <w:bottom w:val="nil"/>
              <w:right w:val="single" w:sz="4" w:space="0" w:color="31849B" w:themeColor="accent5" w:themeShade="BF"/>
            </w:tcBorders>
            <w:shd w:val="clear" w:color="auto" w:fill="17365D" w:themeFill="text2" w:themeFillShade="BF"/>
          </w:tcPr>
          <w:p w14:paraId="1ECD61EC" w14:textId="66729CCE" w:rsidR="002E6137" w:rsidRPr="002A3B9B" w:rsidRDefault="002E6137" w:rsidP="002E613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Pr>
                <w:rFonts w:ascii="Arial" w:hAnsi="Arial" w:cs="Arial"/>
                <w:b/>
                <w:bCs/>
                <w:color w:val="FFFFFF" w:themeColor="background1"/>
                <w:sz w:val="18"/>
                <w:szCs w:val="18"/>
              </w:rPr>
              <w:t xml:space="preserve">Units </w:t>
            </w:r>
            <w:r w:rsidRPr="002A3B9B">
              <w:rPr>
                <w:rFonts w:ascii="Arial" w:hAnsi="Arial" w:cs="Arial"/>
                <w:b/>
                <w:bCs/>
                <w:color w:val="FFFFFF" w:themeColor="background1"/>
                <w:sz w:val="18"/>
                <w:szCs w:val="18"/>
              </w:rPr>
              <w:t>vs. YA</w:t>
            </w:r>
          </w:p>
        </w:tc>
        <w:tc>
          <w:tcPr>
            <w:tcW w:w="1732" w:type="dxa"/>
            <w:tcBorders>
              <w:top w:val="nil"/>
              <w:left w:val="single" w:sz="4" w:space="0" w:color="31849B" w:themeColor="accent5" w:themeShade="BF"/>
              <w:bottom w:val="nil"/>
            </w:tcBorders>
            <w:shd w:val="clear" w:color="auto" w:fill="17365D" w:themeFill="text2" w:themeFillShade="BF"/>
          </w:tcPr>
          <w:p w14:paraId="483262F7" w14:textId="78962D84" w:rsidR="002E6137" w:rsidRPr="002A3B9B" w:rsidRDefault="002E6137" w:rsidP="002E613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Pr>
                <w:rFonts w:ascii="Arial" w:hAnsi="Arial" w:cs="Arial"/>
                <w:b/>
                <w:bCs/>
                <w:color w:val="FFFFFF" w:themeColor="background1"/>
                <w:sz w:val="18"/>
                <w:szCs w:val="18"/>
              </w:rPr>
              <w:t>Department</w:t>
            </w:r>
          </w:p>
        </w:tc>
        <w:tc>
          <w:tcPr>
            <w:tcW w:w="934" w:type="dxa"/>
            <w:gridSpan w:val="2"/>
            <w:tcBorders>
              <w:top w:val="nil"/>
              <w:bottom w:val="nil"/>
            </w:tcBorders>
            <w:shd w:val="clear" w:color="auto" w:fill="17365D" w:themeFill="text2" w:themeFillShade="BF"/>
          </w:tcPr>
          <w:p w14:paraId="500B7B77" w14:textId="65330F7D" w:rsidR="002E6137" w:rsidRPr="002A3B9B" w:rsidRDefault="002E6137" w:rsidP="002E613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sales</w:t>
            </w:r>
          </w:p>
        </w:tc>
        <w:tc>
          <w:tcPr>
            <w:tcW w:w="1333" w:type="dxa"/>
            <w:tcBorders>
              <w:top w:val="nil"/>
              <w:bottom w:val="nil"/>
            </w:tcBorders>
            <w:shd w:val="clear" w:color="auto" w:fill="17365D" w:themeFill="text2" w:themeFillShade="BF"/>
          </w:tcPr>
          <w:p w14:paraId="638C66FC" w14:textId="00557437" w:rsidR="002E6137" w:rsidRPr="002A3B9B" w:rsidRDefault="002E6137" w:rsidP="002E613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vs. YA</w:t>
            </w:r>
          </w:p>
        </w:tc>
        <w:tc>
          <w:tcPr>
            <w:tcW w:w="1333" w:type="dxa"/>
            <w:tcBorders>
              <w:top w:val="nil"/>
              <w:bottom w:val="nil"/>
            </w:tcBorders>
            <w:shd w:val="clear" w:color="auto" w:fill="17365D" w:themeFill="text2" w:themeFillShade="BF"/>
          </w:tcPr>
          <w:p w14:paraId="1C57BAD3" w14:textId="740AF1DD" w:rsidR="002E6137" w:rsidRPr="002A3B9B" w:rsidRDefault="002E6137" w:rsidP="002E613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Pr>
                <w:rFonts w:ascii="Arial" w:hAnsi="Arial" w:cs="Arial"/>
                <w:b/>
                <w:bCs/>
                <w:color w:val="FFFFFF" w:themeColor="background1"/>
                <w:sz w:val="18"/>
                <w:szCs w:val="18"/>
              </w:rPr>
              <w:t xml:space="preserve">Units </w:t>
            </w:r>
            <w:r w:rsidRPr="002A3B9B">
              <w:rPr>
                <w:rFonts w:ascii="Arial" w:hAnsi="Arial" w:cs="Arial"/>
                <w:b/>
                <w:bCs/>
                <w:color w:val="FFFFFF" w:themeColor="background1"/>
                <w:sz w:val="18"/>
                <w:szCs w:val="18"/>
              </w:rPr>
              <w:t>vs. YA</w:t>
            </w:r>
          </w:p>
        </w:tc>
      </w:tr>
      <w:tr w:rsidR="002E6137" w:rsidRPr="001A6058" w14:paraId="3DD8AA64" w14:textId="77777777" w:rsidTr="00D90DFC">
        <w:trPr>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right w:val="nil"/>
            </w:tcBorders>
            <w:vAlign w:val="center"/>
          </w:tcPr>
          <w:p w14:paraId="280E3FF2" w14:textId="77777777" w:rsidR="002E6137" w:rsidRPr="00952209" w:rsidRDefault="002E6137" w:rsidP="00D90DF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Meat</w:t>
            </w:r>
          </w:p>
        </w:tc>
        <w:tc>
          <w:tcPr>
            <w:tcW w:w="990" w:type="dxa"/>
            <w:gridSpan w:val="2"/>
            <w:tcBorders>
              <w:top w:val="nil"/>
              <w:left w:val="nil"/>
              <w:bottom w:val="nil"/>
              <w:right w:val="nil"/>
            </w:tcBorders>
            <w:vAlign w:val="center"/>
          </w:tcPr>
          <w:p w14:paraId="45B7FFA1"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7.24</w:t>
            </w:r>
            <w:r w:rsidRPr="00952209">
              <w:rPr>
                <w:rFonts w:ascii="Arial" w:hAnsi="Arial" w:cs="Arial"/>
                <w:sz w:val="18"/>
                <w:szCs w:val="18"/>
              </w:rPr>
              <w:t>B</w:t>
            </w:r>
          </w:p>
        </w:tc>
        <w:tc>
          <w:tcPr>
            <w:tcW w:w="1075" w:type="dxa"/>
            <w:gridSpan w:val="2"/>
            <w:tcBorders>
              <w:top w:val="nil"/>
              <w:left w:val="nil"/>
              <w:bottom w:val="nil"/>
              <w:right w:val="nil"/>
            </w:tcBorders>
            <w:vAlign w:val="center"/>
          </w:tcPr>
          <w:p w14:paraId="3ED69FBA"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4.2</w:t>
            </w:r>
            <w:r w:rsidRPr="00952209">
              <w:rPr>
                <w:rFonts w:ascii="Arial" w:hAnsi="Arial" w:cs="Arial"/>
                <w:sz w:val="18"/>
                <w:szCs w:val="18"/>
              </w:rPr>
              <w:t>%</w:t>
            </w:r>
          </w:p>
        </w:tc>
        <w:tc>
          <w:tcPr>
            <w:tcW w:w="1333" w:type="dxa"/>
            <w:tcBorders>
              <w:top w:val="nil"/>
              <w:left w:val="nil"/>
              <w:bottom w:val="nil"/>
              <w:right w:val="single" w:sz="4" w:space="0" w:color="31849B" w:themeColor="accent5" w:themeShade="BF"/>
            </w:tcBorders>
            <w:vAlign w:val="center"/>
          </w:tcPr>
          <w:p w14:paraId="4ABA6D0C"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0.8</w:t>
            </w:r>
            <w:r w:rsidRPr="00952209">
              <w:rPr>
                <w:rFonts w:ascii="Arial" w:hAnsi="Arial" w:cs="Arial"/>
                <w:sz w:val="18"/>
                <w:szCs w:val="18"/>
              </w:rPr>
              <w:t>%</w:t>
            </w:r>
          </w:p>
        </w:tc>
        <w:tc>
          <w:tcPr>
            <w:tcW w:w="1732" w:type="dxa"/>
            <w:tcBorders>
              <w:top w:val="nil"/>
              <w:left w:val="single" w:sz="4" w:space="0" w:color="31849B" w:themeColor="accent5" w:themeShade="BF"/>
              <w:bottom w:val="nil"/>
              <w:right w:val="nil"/>
            </w:tcBorders>
            <w:vAlign w:val="center"/>
          </w:tcPr>
          <w:p w14:paraId="6CF65453"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eastAsia="Times New Roman" w:hAnsi="Arial" w:cs="Arial"/>
                <w:sz w:val="18"/>
                <w:szCs w:val="18"/>
              </w:rPr>
              <w:t>Meat</w:t>
            </w:r>
          </w:p>
        </w:tc>
        <w:tc>
          <w:tcPr>
            <w:tcW w:w="934" w:type="dxa"/>
            <w:gridSpan w:val="2"/>
            <w:tcBorders>
              <w:top w:val="nil"/>
              <w:left w:val="nil"/>
              <w:bottom w:val="nil"/>
              <w:right w:val="nil"/>
            </w:tcBorders>
            <w:vAlign w:val="center"/>
          </w:tcPr>
          <w:p w14:paraId="410DF4BB"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87.1</w:t>
            </w:r>
            <w:r w:rsidRPr="00952209">
              <w:rPr>
                <w:rFonts w:ascii="Arial" w:hAnsi="Arial" w:cs="Arial"/>
                <w:sz w:val="18"/>
                <w:szCs w:val="18"/>
              </w:rPr>
              <w:t>B</w:t>
            </w:r>
          </w:p>
        </w:tc>
        <w:tc>
          <w:tcPr>
            <w:tcW w:w="1333" w:type="dxa"/>
            <w:tcBorders>
              <w:top w:val="nil"/>
              <w:left w:val="nil"/>
              <w:bottom w:val="nil"/>
              <w:right w:val="nil"/>
            </w:tcBorders>
            <w:vAlign w:val="center"/>
          </w:tcPr>
          <w:p w14:paraId="4F727815"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5.8</w:t>
            </w:r>
            <w:r w:rsidRPr="00952209">
              <w:rPr>
                <w:rFonts w:ascii="Arial" w:hAnsi="Arial" w:cs="Arial"/>
                <w:sz w:val="18"/>
                <w:szCs w:val="18"/>
              </w:rPr>
              <w:t>%</w:t>
            </w:r>
          </w:p>
        </w:tc>
        <w:tc>
          <w:tcPr>
            <w:tcW w:w="1333" w:type="dxa"/>
            <w:tcBorders>
              <w:top w:val="nil"/>
              <w:left w:val="nil"/>
              <w:bottom w:val="nil"/>
            </w:tcBorders>
            <w:vAlign w:val="center"/>
          </w:tcPr>
          <w:p w14:paraId="7575A8C6"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37DB5">
              <w:rPr>
                <w:rFonts w:ascii="Arial" w:hAnsi="Arial" w:cs="Arial"/>
                <w:sz w:val="18"/>
                <w:szCs w:val="18"/>
              </w:rPr>
              <w:t>-</w:t>
            </w:r>
            <w:r>
              <w:rPr>
                <w:rFonts w:ascii="Arial" w:hAnsi="Arial" w:cs="Arial"/>
                <w:sz w:val="18"/>
                <w:szCs w:val="18"/>
              </w:rPr>
              <w:t>3.2</w:t>
            </w:r>
            <w:r w:rsidRPr="00B37DB5">
              <w:rPr>
                <w:rFonts w:ascii="Arial" w:hAnsi="Arial" w:cs="Arial"/>
                <w:sz w:val="18"/>
                <w:szCs w:val="18"/>
              </w:rPr>
              <w:t>%</w:t>
            </w:r>
          </w:p>
        </w:tc>
      </w:tr>
      <w:tr w:rsidR="002E6137" w:rsidRPr="001A6058" w14:paraId="50D21893" w14:textId="77777777" w:rsidTr="00D90DF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668ECC9C" w14:textId="77777777" w:rsidR="002E6137" w:rsidRPr="00952209" w:rsidRDefault="002E6137" w:rsidP="00D90DF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Refrigerated (mostly dairy)</w:t>
            </w:r>
          </w:p>
        </w:tc>
        <w:tc>
          <w:tcPr>
            <w:tcW w:w="990" w:type="dxa"/>
            <w:gridSpan w:val="2"/>
            <w:tcBorders>
              <w:top w:val="nil"/>
              <w:bottom w:val="nil"/>
            </w:tcBorders>
            <w:vAlign w:val="center"/>
          </w:tcPr>
          <w:p w14:paraId="0F4C7CF4"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6.5</w:t>
            </w:r>
            <w:r w:rsidRPr="00952209">
              <w:rPr>
                <w:rFonts w:ascii="Arial" w:hAnsi="Arial" w:cs="Arial"/>
                <w:sz w:val="18"/>
                <w:szCs w:val="18"/>
              </w:rPr>
              <w:t>B</w:t>
            </w:r>
          </w:p>
        </w:tc>
        <w:tc>
          <w:tcPr>
            <w:tcW w:w="1075" w:type="dxa"/>
            <w:gridSpan w:val="2"/>
            <w:tcBorders>
              <w:top w:val="nil"/>
              <w:bottom w:val="nil"/>
            </w:tcBorders>
            <w:vAlign w:val="center"/>
          </w:tcPr>
          <w:p w14:paraId="04624EEC"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24.3</w:t>
            </w:r>
            <w:r w:rsidRPr="00952209">
              <w:rPr>
                <w:rFonts w:ascii="Arial" w:hAnsi="Arial" w:cs="Arial"/>
                <w:sz w:val="18"/>
                <w:szCs w:val="18"/>
              </w:rPr>
              <w:t>%</w:t>
            </w:r>
          </w:p>
        </w:tc>
        <w:tc>
          <w:tcPr>
            <w:tcW w:w="1333" w:type="dxa"/>
            <w:tcBorders>
              <w:top w:val="nil"/>
              <w:bottom w:val="nil"/>
              <w:right w:val="single" w:sz="4" w:space="0" w:color="31849B" w:themeColor="accent5" w:themeShade="BF"/>
            </w:tcBorders>
            <w:vAlign w:val="center"/>
          </w:tcPr>
          <w:p w14:paraId="4A7A62A4"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w:t>
            </w:r>
            <w:r w:rsidRPr="00952209">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5426FC2D"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eastAsia="Times New Roman" w:hAnsi="Arial" w:cs="Arial"/>
                <w:sz w:val="18"/>
                <w:szCs w:val="18"/>
              </w:rPr>
              <w:t>Refrigerated (mostly dairy)</w:t>
            </w:r>
          </w:p>
        </w:tc>
        <w:tc>
          <w:tcPr>
            <w:tcW w:w="934" w:type="dxa"/>
            <w:gridSpan w:val="2"/>
            <w:tcBorders>
              <w:top w:val="nil"/>
              <w:bottom w:val="nil"/>
            </w:tcBorders>
            <w:vAlign w:val="center"/>
          </w:tcPr>
          <w:p w14:paraId="76A538F0"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69.9</w:t>
            </w:r>
            <w:r w:rsidRPr="00952209">
              <w:rPr>
                <w:rFonts w:ascii="Arial" w:hAnsi="Arial" w:cs="Arial"/>
                <w:sz w:val="18"/>
                <w:szCs w:val="18"/>
              </w:rPr>
              <w:t>B</w:t>
            </w:r>
          </w:p>
        </w:tc>
        <w:tc>
          <w:tcPr>
            <w:tcW w:w="1333" w:type="dxa"/>
            <w:tcBorders>
              <w:top w:val="nil"/>
              <w:bottom w:val="nil"/>
            </w:tcBorders>
            <w:vAlign w:val="center"/>
          </w:tcPr>
          <w:p w14:paraId="3B865349"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15.2</w:t>
            </w:r>
            <w:r w:rsidRPr="00952209">
              <w:rPr>
                <w:rFonts w:ascii="Arial" w:hAnsi="Arial" w:cs="Arial"/>
                <w:sz w:val="18"/>
                <w:szCs w:val="18"/>
              </w:rPr>
              <w:t>%</w:t>
            </w:r>
          </w:p>
        </w:tc>
        <w:tc>
          <w:tcPr>
            <w:tcW w:w="1333" w:type="dxa"/>
            <w:tcBorders>
              <w:top w:val="nil"/>
              <w:bottom w:val="nil"/>
            </w:tcBorders>
            <w:vAlign w:val="center"/>
          </w:tcPr>
          <w:p w14:paraId="2B35FA5A"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7DB5">
              <w:rPr>
                <w:rFonts w:ascii="Arial" w:hAnsi="Arial" w:cs="Arial"/>
                <w:sz w:val="18"/>
                <w:szCs w:val="18"/>
              </w:rPr>
              <w:t>-</w:t>
            </w:r>
            <w:r>
              <w:rPr>
                <w:rFonts w:ascii="Arial" w:hAnsi="Arial" w:cs="Arial"/>
                <w:sz w:val="18"/>
                <w:szCs w:val="18"/>
              </w:rPr>
              <w:t>2.4</w:t>
            </w:r>
            <w:r w:rsidRPr="00B37DB5">
              <w:rPr>
                <w:rFonts w:ascii="Arial" w:hAnsi="Arial" w:cs="Arial"/>
                <w:sz w:val="18"/>
                <w:szCs w:val="18"/>
              </w:rPr>
              <w:t>%</w:t>
            </w:r>
          </w:p>
        </w:tc>
      </w:tr>
      <w:tr w:rsidR="002E6137" w:rsidRPr="001A6058" w14:paraId="31E46F8F" w14:textId="77777777" w:rsidTr="00D90DFC">
        <w:trPr>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right w:val="nil"/>
            </w:tcBorders>
            <w:vAlign w:val="center"/>
          </w:tcPr>
          <w:p w14:paraId="61EEE7CB" w14:textId="77777777" w:rsidR="002E6137" w:rsidRPr="00952209" w:rsidRDefault="002E6137" w:rsidP="00D90DF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Produce</w:t>
            </w:r>
          </w:p>
        </w:tc>
        <w:tc>
          <w:tcPr>
            <w:tcW w:w="990" w:type="dxa"/>
            <w:gridSpan w:val="2"/>
            <w:tcBorders>
              <w:top w:val="nil"/>
              <w:left w:val="nil"/>
              <w:bottom w:val="nil"/>
              <w:right w:val="nil"/>
            </w:tcBorders>
            <w:vAlign w:val="center"/>
          </w:tcPr>
          <w:p w14:paraId="253F4172"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5.4</w:t>
            </w:r>
            <w:r w:rsidRPr="00952209">
              <w:rPr>
                <w:rFonts w:ascii="Arial" w:hAnsi="Arial" w:cs="Arial"/>
                <w:sz w:val="18"/>
                <w:szCs w:val="18"/>
              </w:rPr>
              <w:t>B</w:t>
            </w:r>
          </w:p>
        </w:tc>
        <w:tc>
          <w:tcPr>
            <w:tcW w:w="1075" w:type="dxa"/>
            <w:gridSpan w:val="2"/>
            <w:tcBorders>
              <w:top w:val="nil"/>
              <w:left w:val="nil"/>
              <w:bottom w:val="nil"/>
              <w:right w:val="nil"/>
            </w:tcBorders>
            <w:vAlign w:val="center"/>
          </w:tcPr>
          <w:p w14:paraId="06BE7F12"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4.4</w:t>
            </w:r>
            <w:r w:rsidRPr="00952209">
              <w:rPr>
                <w:rFonts w:ascii="Arial" w:hAnsi="Arial" w:cs="Arial"/>
                <w:sz w:val="18"/>
                <w:szCs w:val="18"/>
              </w:rPr>
              <w:t>%</w:t>
            </w:r>
          </w:p>
        </w:tc>
        <w:tc>
          <w:tcPr>
            <w:tcW w:w="1333" w:type="dxa"/>
            <w:tcBorders>
              <w:top w:val="nil"/>
              <w:left w:val="nil"/>
              <w:bottom w:val="nil"/>
              <w:right w:val="single" w:sz="4" w:space="0" w:color="31849B" w:themeColor="accent5" w:themeShade="BF"/>
            </w:tcBorders>
            <w:vAlign w:val="center"/>
          </w:tcPr>
          <w:p w14:paraId="551D820C"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0.0</w:t>
            </w:r>
            <w:r w:rsidRPr="00952209">
              <w:rPr>
                <w:rFonts w:ascii="Arial" w:hAnsi="Arial" w:cs="Arial"/>
                <w:sz w:val="18"/>
                <w:szCs w:val="18"/>
              </w:rPr>
              <w:t>%</w:t>
            </w:r>
          </w:p>
        </w:tc>
        <w:tc>
          <w:tcPr>
            <w:tcW w:w="1732" w:type="dxa"/>
            <w:tcBorders>
              <w:top w:val="nil"/>
              <w:left w:val="single" w:sz="4" w:space="0" w:color="31849B" w:themeColor="accent5" w:themeShade="BF"/>
              <w:bottom w:val="nil"/>
              <w:right w:val="nil"/>
            </w:tcBorders>
            <w:vAlign w:val="center"/>
          </w:tcPr>
          <w:p w14:paraId="6812DC26"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eastAsia="Times New Roman" w:hAnsi="Arial" w:cs="Arial"/>
                <w:sz w:val="18"/>
                <w:szCs w:val="18"/>
              </w:rPr>
              <w:t>Produce</w:t>
            </w:r>
          </w:p>
        </w:tc>
        <w:tc>
          <w:tcPr>
            <w:tcW w:w="934" w:type="dxa"/>
            <w:gridSpan w:val="2"/>
            <w:tcBorders>
              <w:top w:val="nil"/>
              <w:left w:val="nil"/>
              <w:bottom w:val="nil"/>
              <w:right w:val="nil"/>
            </w:tcBorders>
            <w:vAlign w:val="center"/>
          </w:tcPr>
          <w:p w14:paraId="36949D2F"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75.1</w:t>
            </w:r>
            <w:r w:rsidRPr="00952209">
              <w:rPr>
                <w:rFonts w:ascii="Arial" w:hAnsi="Arial" w:cs="Arial"/>
                <w:sz w:val="18"/>
                <w:szCs w:val="18"/>
              </w:rPr>
              <w:t>B</w:t>
            </w:r>
          </w:p>
        </w:tc>
        <w:tc>
          <w:tcPr>
            <w:tcW w:w="1333" w:type="dxa"/>
            <w:tcBorders>
              <w:top w:val="nil"/>
              <w:left w:val="nil"/>
              <w:bottom w:val="nil"/>
              <w:right w:val="nil"/>
            </w:tcBorders>
            <w:vAlign w:val="center"/>
          </w:tcPr>
          <w:p w14:paraId="7E5EE5D1"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4.8</w:t>
            </w:r>
            <w:r w:rsidRPr="00952209">
              <w:rPr>
                <w:rFonts w:ascii="Arial" w:hAnsi="Arial" w:cs="Arial"/>
                <w:sz w:val="18"/>
                <w:szCs w:val="18"/>
              </w:rPr>
              <w:t>%</w:t>
            </w:r>
          </w:p>
        </w:tc>
        <w:tc>
          <w:tcPr>
            <w:tcW w:w="1333" w:type="dxa"/>
            <w:tcBorders>
              <w:top w:val="nil"/>
              <w:left w:val="nil"/>
              <w:bottom w:val="nil"/>
            </w:tcBorders>
            <w:vAlign w:val="center"/>
          </w:tcPr>
          <w:p w14:paraId="19A389A6" w14:textId="77777777" w:rsidR="002E6137" w:rsidRPr="00952209" w:rsidRDefault="002E6137" w:rsidP="00D90D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37DB5">
              <w:rPr>
                <w:rFonts w:ascii="Arial" w:hAnsi="Arial" w:cs="Arial"/>
                <w:sz w:val="18"/>
                <w:szCs w:val="18"/>
              </w:rPr>
              <w:t>-</w:t>
            </w:r>
            <w:r>
              <w:rPr>
                <w:rFonts w:ascii="Arial" w:hAnsi="Arial" w:cs="Arial"/>
                <w:sz w:val="18"/>
                <w:szCs w:val="18"/>
              </w:rPr>
              <w:t>3.5</w:t>
            </w:r>
            <w:r w:rsidRPr="00B37DB5">
              <w:rPr>
                <w:rFonts w:ascii="Arial" w:hAnsi="Arial" w:cs="Arial"/>
                <w:sz w:val="18"/>
                <w:szCs w:val="18"/>
              </w:rPr>
              <w:t>%</w:t>
            </w:r>
          </w:p>
        </w:tc>
      </w:tr>
      <w:tr w:rsidR="002E6137" w:rsidRPr="001A6058" w14:paraId="590AB070" w14:textId="77777777" w:rsidTr="00D90DF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4F4E1EAE" w14:textId="77777777" w:rsidR="002E6137" w:rsidRPr="00952209" w:rsidRDefault="002E6137" w:rsidP="00D90DF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Deli</w:t>
            </w:r>
          </w:p>
        </w:tc>
        <w:tc>
          <w:tcPr>
            <w:tcW w:w="990" w:type="dxa"/>
            <w:gridSpan w:val="2"/>
            <w:tcBorders>
              <w:top w:val="nil"/>
              <w:bottom w:val="nil"/>
            </w:tcBorders>
            <w:vAlign w:val="center"/>
          </w:tcPr>
          <w:p w14:paraId="02FBDA79"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3.61</w:t>
            </w:r>
            <w:r w:rsidRPr="00952209">
              <w:rPr>
                <w:rFonts w:ascii="Arial" w:hAnsi="Arial" w:cs="Arial"/>
                <w:sz w:val="18"/>
                <w:szCs w:val="18"/>
              </w:rPr>
              <w:t>B</w:t>
            </w:r>
          </w:p>
        </w:tc>
        <w:tc>
          <w:tcPr>
            <w:tcW w:w="1075" w:type="dxa"/>
            <w:gridSpan w:val="2"/>
            <w:tcBorders>
              <w:top w:val="nil"/>
              <w:bottom w:val="nil"/>
            </w:tcBorders>
            <w:vAlign w:val="center"/>
          </w:tcPr>
          <w:p w14:paraId="12F8FE98"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6.9</w:t>
            </w:r>
            <w:r w:rsidRPr="00952209">
              <w:rPr>
                <w:rFonts w:ascii="Arial" w:hAnsi="Arial" w:cs="Arial"/>
                <w:sz w:val="18"/>
                <w:szCs w:val="18"/>
              </w:rPr>
              <w:t>%</w:t>
            </w:r>
          </w:p>
        </w:tc>
        <w:tc>
          <w:tcPr>
            <w:tcW w:w="1333" w:type="dxa"/>
            <w:tcBorders>
              <w:top w:val="nil"/>
              <w:bottom w:val="nil"/>
              <w:right w:val="single" w:sz="4" w:space="0" w:color="31849B" w:themeColor="accent5" w:themeShade="BF"/>
            </w:tcBorders>
            <w:vAlign w:val="center"/>
          </w:tcPr>
          <w:p w14:paraId="754BCE42"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w:t>
            </w:r>
            <w:r w:rsidRPr="00952209">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78349DEE"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eastAsia="Times New Roman" w:hAnsi="Arial" w:cs="Arial"/>
                <w:sz w:val="18"/>
                <w:szCs w:val="18"/>
              </w:rPr>
              <w:t>Deli</w:t>
            </w:r>
          </w:p>
        </w:tc>
        <w:tc>
          <w:tcPr>
            <w:tcW w:w="934" w:type="dxa"/>
            <w:gridSpan w:val="2"/>
            <w:tcBorders>
              <w:top w:val="nil"/>
              <w:bottom w:val="nil"/>
            </w:tcBorders>
            <w:vAlign w:val="center"/>
          </w:tcPr>
          <w:p w14:paraId="159B994B"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44.4</w:t>
            </w:r>
            <w:r w:rsidRPr="00952209">
              <w:rPr>
                <w:rFonts w:ascii="Arial" w:hAnsi="Arial" w:cs="Arial"/>
                <w:sz w:val="18"/>
                <w:szCs w:val="18"/>
              </w:rPr>
              <w:t>B</w:t>
            </w:r>
          </w:p>
        </w:tc>
        <w:tc>
          <w:tcPr>
            <w:tcW w:w="1333" w:type="dxa"/>
            <w:tcBorders>
              <w:top w:val="nil"/>
              <w:bottom w:val="nil"/>
            </w:tcBorders>
            <w:vAlign w:val="center"/>
          </w:tcPr>
          <w:p w14:paraId="0D548008"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9.1</w:t>
            </w:r>
            <w:r w:rsidRPr="00952209">
              <w:rPr>
                <w:rFonts w:ascii="Arial" w:hAnsi="Arial" w:cs="Arial"/>
                <w:sz w:val="18"/>
                <w:szCs w:val="18"/>
              </w:rPr>
              <w:t>%</w:t>
            </w:r>
          </w:p>
        </w:tc>
        <w:tc>
          <w:tcPr>
            <w:tcW w:w="1333" w:type="dxa"/>
            <w:tcBorders>
              <w:top w:val="nil"/>
              <w:bottom w:val="nil"/>
            </w:tcBorders>
            <w:vAlign w:val="center"/>
          </w:tcPr>
          <w:p w14:paraId="7DC065B4" w14:textId="77777777" w:rsidR="002E6137" w:rsidRPr="00952209" w:rsidRDefault="002E6137" w:rsidP="00D90D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7DB5">
              <w:rPr>
                <w:rFonts w:ascii="Arial" w:hAnsi="Arial" w:cs="Arial"/>
                <w:sz w:val="18"/>
                <w:szCs w:val="18"/>
              </w:rPr>
              <w:t>-</w:t>
            </w:r>
            <w:r>
              <w:rPr>
                <w:rFonts w:ascii="Arial" w:hAnsi="Arial" w:cs="Arial"/>
                <w:sz w:val="18"/>
                <w:szCs w:val="18"/>
              </w:rPr>
              <w:t>2.0</w:t>
            </w:r>
            <w:r w:rsidRPr="00B37DB5">
              <w:rPr>
                <w:rFonts w:ascii="Arial" w:hAnsi="Arial" w:cs="Arial"/>
                <w:sz w:val="18"/>
                <w:szCs w:val="18"/>
              </w:rPr>
              <w:t>%</w:t>
            </w:r>
          </w:p>
        </w:tc>
      </w:tr>
      <w:tr w:rsidR="002E6137" w:rsidRPr="001A6058" w14:paraId="233D6172" w14:textId="77777777" w:rsidTr="002E6137">
        <w:trPr>
          <w:trHeight w:val="303"/>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right w:val="nil"/>
            </w:tcBorders>
            <w:vAlign w:val="center"/>
          </w:tcPr>
          <w:p w14:paraId="5AB86A14" w14:textId="0E9877B2" w:rsidR="002E6137" w:rsidRPr="00952209" w:rsidRDefault="002E6137" w:rsidP="002E6137">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Bakery</w:t>
            </w:r>
          </w:p>
        </w:tc>
        <w:tc>
          <w:tcPr>
            <w:tcW w:w="990" w:type="dxa"/>
            <w:gridSpan w:val="2"/>
            <w:tcBorders>
              <w:top w:val="nil"/>
              <w:left w:val="nil"/>
              <w:bottom w:val="nil"/>
              <w:right w:val="nil"/>
            </w:tcBorders>
            <w:vAlign w:val="center"/>
          </w:tcPr>
          <w:p w14:paraId="6FCA7660" w14:textId="69C71555" w:rsidR="002E6137" w:rsidRPr="00952209" w:rsidRDefault="002E6137" w:rsidP="002E61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3.45</w:t>
            </w:r>
            <w:r w:rsidRPr="00952209">
              <w:rPr>
                <w:rFonts w:ascii="Arial" w:hAnsi="Arial" w:cs="Arial"/>
                <w:sz w:val="18"/>
                <w:szCs w:val="18"/>
              </w:rPr>
              <w:t>B</w:t>
            </w:r>
          </w:p>
        </w:tc>
        <w:tc>
          <w:tcPr>
            <w:tcW w:w="1075" w:type="dxa"/>
            <w:gridSpan w:val="2"/>
            <w:tcBorders>
              <w:top w:val="nil"/>
              <w:left w:val="nil"/>
              <w:bottom w:val="nil"/>
              <w:right w:val="nil"/>
            </w:tcBorders>
            <w:vAlign w:val="center"/>
          </w:tcPr>
          <w:p w14:paraId="452C3D68" w14:textId="74114A43" w:rsidR="002E6137" w:rsidRPr="00952209" w:rsidRDefault="002E6137" w:rsidP="002E61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12.7</w:t>
            </w:r>
            <w:r w:rsidRPr="00952209">
              <w:rPr>
                <w:rFonts w:ascii="Arial" w:hAnsi="Arial" w:cs="Arial"/>
                <w:sz w:val="18"/>
                <w:szCs w:val="18"/>
              </w:rPr>
              <w:t>%</w:t>
            </w:r>
          </w:p>
        </w:tc>
        <w:tc>
          <w:tcPr>
            <w:tcW w:w="1333" w:type="dxa"/>
            <w:tcBorders>
              <w:top w:val="nil"/>
              <w:left w:val="nil"/>
              <w:bottom w:val="nil"/>
              <w:right w:val="single" w:sz="4" w:space="0" w:color="31849B" w:themeColor="accent5" w:themeShade="BF"/>
            </w:tcBorders>
            <w:vAlign w:val="center"/>
          </w:tcPr>
          <w:p w14:paraId="4D3C946C" w14:textId="04C7AFCA" w:rsidR="002E6137" w:rsidRPr="00952209" w:rsidRDefault="002E6137" w:rsidP="002E61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w:t>
            </w:r>
            <w:r w:rsidRPr="00952209">
              <w:rPr>
                <w:rFonts w:ascii="Arial" w:hAnsi="Arial" w:cs="Arial"/>
                <w:sz w:val="18"/>
                <w:szCs w:val="18"/>
              </w:rPr>
              <w:t>%</w:t>
            </w:r>
          </w:p>
        </w:tc>
        <w:tc>
          <w:tcPr>
            <w:tcW w:w="1732" w:type="dxa"/>
            <w:tcBorders>
              <w:top w:val="nil"/>
              <w:left w:val="single" w:sz="4" w:space="0" w:color="31849B" w:themeColor="accent5" w:themeShade="BF"/>
              <w:bottom w:val="nil"/>
              <w:right w:val="nil"/>
            </w:tcBorders>
            <w:vAlign w:val="center"/>
          </w:tcPr>
          <w:p w14:paraId="2816E4AD" w14:textId="626C96B8" w:rsidR="002E6137" w:rsidRPr="00952209" w:rsidRDefault="002E6137" w:rsidP="002E61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eastAsia="Times New Roman" w:hAnsi="Arial" w:cs="Arial"/>
                <w:sz w:val="18"/>
                <w:szCs w:val="18"/>
              </w:rPr>
              <w:t>Bakery</w:t>
            </w:r>
          </w:p>
        </w:tc>
        <w:tc>
          <w:tcPr>
            <w:tcW w:w="934" w:type="dxa"/>
            <w:gridSpan w:val="2"/>
            <w:tcBorders>
              <w:top w:val="nil"/>
              <w:left w:val="nil"/>
              <w:bottom w:val="nil"/>
              <w:right w:val="nil"/>
            </w:tcBorders>
            <w:vAlign w:val="center"/>
          </w:tcPr>
          <w:p w14:paraId="114F9AD7" w14:textId="160A3F33" w:rsidR="002E6137" w:rsidRPr="00952209" w:rsidRDefault="002E6137" w:rsidP="002E61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40.7</w:t>
            </w:r>
            <w:r w:rsidRPr="00952209">
              <w:rPr>
                <w:rFonts w:ascii="Arial" w:hAnsi="Arial" w:cs="Arial"/>
                <w:sz w:val="18"/>
                <w:szCs w:val="18"/>
              </w:rPr>
              <w:t>B</w:t>
            </w:r>
          </w:p>
        </w:tc>
        <w:tc>
          <w:tcPr>
            <w:tcW w:w="1333" w:type="dxa"/>
            <w:tcBorders>
              <w:top w:val="nil"/>
              <w:left w:val="nil"/>
              <w:bottom w:val="nil"/>
              <w:right w:val="nil"/>
            </w:tcBorders>
            <w:vAlign w:val="center"/>
          </w:tcPr>
          <w:p w14:paraId="35F3E35A" w14:textId="1CD6FF2D" w:rsidR="002E6137" w:rsidRPr="00952209" w:rsidRDefault="002E6137" w:rsidP="002E61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11.8</w:t>
            </w:r>
            <w:r w:rsidRPr="00952209">
              <w:rPr>
                <w:rFonts w:ascii="Arial" w:hAnsi="Arial" w:cs="Arial"/>
                <w:sz w:val="18"/>
                <w:szCs w:val="18"/>
              </w:rPr>
              <w:t>%</w:t>
            </w:r>
          </w:p>
        </w:tc>
        <w:tc>
          <w:tcPr>
            <w:tcW w:w="1333" w:type="dxa"/>
            <w:tcBorders>
              <w:top w:val="nil"/>
              <w:left w:val="nil"/>
              <w:bottom w:val="nil"/>
            </w:tcBorders>
            <w:vAlign w:val="center"/>
          </w:tcPr>
          <w:p w14:paraId="6865C4D7" w14:textId="174EF548" w:rsidR="002E6137" w:rsidRPr="00952209" w:rsidRDefault="002E6137" w:rsidP="002E61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w:t>
            </w:r>
            <w:r w:rsidRPr="00952209">
              <w:rPr>
                <w:rFonts w:ascii="Arial" w:hAnsi="Arial" w:cs="Arial"/>
                <w:sz w:val="18"/>
                <w:szCs w:val="18"/>
              </w:rPr>
              <w:t>%</w:t>
            </w:r>
          </w:p>
        </w:tc>
      </w:tr>
      <w:tr w:rsidR="002E6137" w:rsidRPr="001A6058" w14:paraId="5A29E177" w14:textId="77777777" w:rsidTr="002E613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2AB305BA" w14:textId="77777777" w:rsidR="002E6137" w:rsidRPr="00952209" w:rsidRDefault="002E6137" w:rsidP="002E6137">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Seafood</w:t>
            </w:r>
          </w:p>
        </w:tc>
        <w:tc>
          <w:tcPr>
            <w:tcW w:w="990" w:type="dxa"/>
            <w:gridSpan w:val="2"/>
            <w:tcBorders>
              <w:top w:val="nil"/>
              <w:bottom w:val="nil"/>
            </w:tcBorders>
            <w:vAlign w:val="center"/>
          </w:tcPr>
          <w:p w14:paraId="30EF8B4F" w14:textId="36967D19" w:rsidR="002E6137" w:rsidRPr="00952209"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522M</w:t>
            </w:r>
          </w:p>
        </w:tc>
        <w:tc>
          <w:tcPr>
            <w:tcW w:w="1075" w:type="dxa"/>
            <w:gridSpan w:val="2"/>
            <w:tcBorders>
              <w:top w:val="nil"/>
              <w:bottom w:val="nil"/>
            </w:tcBorders>
            <w:vAlign w:val="center"/>
          </w:tcPr>
          <w:p w14:paraId="70C02E43" w14:textId="4C3BFF29" w:rsidR="002E6137" w:rsidRPr="00952209"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-5.5</w:t>
            </w:r>
            <w:r w:rsidRPr="00952209">
              <w:rPr>
                <w:rFonts w:ascii="Arial" w:hAnsi="Arial" w:cs="Arial"/>
                <w:sz w:val="18"/>
                <w:szCs w:val="18"/>
              </w:rPr>
              <w:t>%</w:t>
            </w:r>
          </w:p>
        </w:tc>
        <w:tc>
          <w:tcPr>
            <w:tcW w:w="1333" w:type="dxa"/>
            <w:tcBorders>
              <w:top w:val="nil"/>
              <w:bottom w:val="nil"/>
              <w:right w:val="single" w:sz="4" w:space="0" w:color="31849B" w:themeColor="accent5" w:themeShade="BF"/>
            </w:tcBorders>
            <w:vAlign w:val="center"/>
          </w:tcPr>
          <w:p w14:paraId="17BBB502" w14:textId="13FE6267" w:rsidR="002E6137" w:rsidRPr="00952209"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-5.7</w:t>
            </w:r>
            <w:r w:rsidRPr="00952209">
              <w:rPr>
                <w:rFonts w:ascii="Arial" w:hAnsi="Arial" w:cs="Arial"/>
                <w:sz w:val="18"/>
                <w:szCs w:val="18"/>
              </w:rPr>
              <w:t>%</w:t>
            </w:r>
          </w:p>
        </w:tc>
        <w:tc>
          <w:tcPr>
            <w:tcW w:w="1732" w:type="dxa"/>
            <w:tcBorders>
              <w:top w:val="nil"/>
              <w:left w:val="single" w:sz="4" w:space="0" w:color="31849B" w:themeColor="accent5" w:themeShade="BF"/>
              <w:bottom w:val="nil"/>
            </w:tcBorders>
            <w:vAlign w:val="center"/>
          </w:tcPr>
          <w:p w14:paraId="171BBA29" w14:textId="77777777" w:rsidR="002E6137" w:rsidRPr="00952209"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eastAsia="Times New Roman" w:hAnsi="Arial" w:cs="Arial"/>
                <w:sz w:val="18"/>
                <w:szCs w:val="18"/>
              </w:rPr>
              <w:t>Seafood</w:t>
            </w:r>
          </w:p>
        </w:tc>
        <w:tc>
          <w:tcPr>
            <w:tcW w:w="934" w:type="dxa"/>
            <w:gridSpan w:val="2"/>
            <w:tcBorders>
              <w:top w:val="nil"/>
              <w:bottom w:val="nil"/>
            </w:tcBorders>
            <w:vAlign w:val="center"/>
          </w:tcPr>
          <w:p w14:paraId="1DC185B9" w14:textId="15FA4570" w:rsidR="002E6137" w:rsidRPr="00952209"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Pr>
                <w:rFonts w:ascii="Arial" w:hAnsi="Arial" w:cs="Arial"/>
                <w:sz w:val="18"/>
                <w:szCs w:val="18"/>
              </w:rPr>
              <w:t>6.5</w:t>
            </w:r>
            <w:r w:rsidRPr="00952209">
              <w:rPr>
                <w:rFonts w:ascii="Arial" w:hAnsi="Arial" w:cs="Arial"/>
                <w:sz w:val="18"/>
                <w:szCs w:val="18"/>
              </w:rPr>
              <w:t>B</w:t>
            </w:r>
          </w:p>
        </w:tc>
        <w:tc>
          <w:tcPr>
            <w:tcW w:w="1333" w:type="dxa"/>
            <w:tcBorders>
              <w:top w:val="nil"/>
              <w:bottom w:val="nil"/>
            </w:tcBorders>
            <w:vAlign w:val="center"/>
          </w:tcPr>
          <w:p w14:paraId="2433C0FB" w14:textId="70022977" w:rsidR="002E6137" w:rsidRPr="00952209"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-8.2</w:t>
            </w:r>
            <w:r w:rsidRPr="00952209">
              <w:rPr>
                <w:rFonts w:ascii="Arial" w:hAnsi="Arial" w:cs="Arial"/>
                <w:sz w:val="18"/>
                <w:szCs w:val="18"/>
              </w:rPr>
              <w:t>%</w:t>
            </w:r>
          </w:p>
        </w:tc>
        <w:tc>
          <w:tcPr>
            <w:tcW w:w="1333" w:type="dxa"/>
            <w:tcBorders>
              <w:top w:val="nil"/>
              <w:bottom w:val="nil"/>
            </w:tcBorders>
            <w:vAlign w:val="center"/>
          </w:tcPr>
          <w:p w14:paraId="707F2E8E" w14:textId="14C6775B" w:rsidR="002E6137" w:rsidRPr="00952209" w:rsidRDefault="002E6137" w:rsidP="002E613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37DB5">
              <w:rPr>
                <w:rFonts w:ascii="Arial" w:hAnsi="Arial" w:cs="Arial"/>
                <w:sz w:val="18"/>
                <w:szCs w:val="18"/>
              </w:rPr>
              <w:t>-</w:t>
            </w:r>
            <w:r>
              <w:rPr>
                <w:rFonts w:ascii="Arial" w:hAnsi="Arial" w:cs="Arial"/>
                <w:sz w:val="18"/>
                <w:szCs w:val="18"/>
              </w:rPr>
              <w:t>15.8</w:t>
            </w:r>
            <w:r w:rsidRPr="00B37DB5">
              <w:rPr>
                <w:rFonts w:ascii="Arial" w:hAnsi="Arial" w:cs="Arial"/>
                <w:sz w:val="18"/>
                <w:szCs w:val="18"/>
              </w:rPr>
              <w:t>%</w:t>
            </w:r>
          </w:p>
        </w:tc>
      </w:tr>
    </w:tbl>
    <w:p w14:paraId="2D9AB8C7" w14:textId="7DF9C0CD" w:rsidR="00D66F5A" w:rsidRPr="00D66F5A" w:rsidRDefault="00D66F5A" w:rsidP="001024F6">
      <w:pPr>
        <w:pStyle w:val="NoSpacing"/>
        <w:rPr>
          <w:noProof/>
          <w:sz w:val="10"/>
          <w:szCs w:val="1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bookmarkEnd w:id="5"/>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6" w:name="_Hlk76989410"/>
    </w:p>
    <w:p w14:paraId="2D6DC3FE" w14:textId="77777777" w:rsidR="009D3AE5" w:rsidRPr="00706DE2" w:rsidRDefault="009D3AE5" w:rsidP="009D3AE5">
      <w:pPr>
        <w:pStyle w:val="NoSpacing"/>
        <w:rPr>
          <w:rFonts w:ascii="Arial" w:hAnsi="Arial" w:cs="Arial"/>
          <w:b/>
          <w:color w:val="595959" w:themeColor="text1" w:themeTint="A6"/>
          <w:sz w:val="24"/>
          <w:szCs w:val="24"/>
        </w:rPr>
      </w:pPr>
      <w:bookmarkStart w:id="7" w:name="_Hlk113873945"/>
      <w:bookmarkStart w:id="8" w:name="_Hlk79236872"/>
      <w:bookmarkEnd w:id="6"/>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0EDD20A4" w14:textId="5E942CDD" w:rsidR="004E6C4C" w:rsidRDefault="004E6C4C" w:rsidP="004E6C4C">
      <w:pPr>
        <w:pStyle w:val="NoSpacing"/>
        <w:rPr>
          <w:rFonts w:ascii="Arial" w:hAnsi="Arial" w:cs="Arial"/>
          <w:color w:val="000000" w:themeColor="text1"/>
          <w:sz w:val="20"/>
          <w:szCs w:val="20"/>
        </w:rPr>
      </w:pPr>
      <w:bookmarkStart w:id="9" w:name="_Hlk124099915"/>
      <w:bookmarkStart w:id="10" w:name="_Hlk119003634"/>
      <w:bookmarkEnd w:id="7"/>
      <w:r>
        <w:rPr>
          <w:rFonts w:ascii="Arial" w:hAnsi="Arial" w:cs="Arial"/>
          <w:color w:val="000000" w:themeColor="text1"/>
          <w:sz w:val="20"/>
          <w:szCs w:val="20"/>
        </w:rPr>
        <w:t>The first quarter of 2023 will pick up where 2022 left off. Inflation is likely to start moderating month-over-month</w:t>
      </w:r>
      <w:r w:rsidR="0072039B">
        <w:rPr>
          <w:rFonts w:ascii="Arial" w:hAnsi="Arial" w:cs="Arial"/>
          <w:color w:val="000000" w:themeColor="text1"/>
          <w:sz w:val="20"/>
          <w:szCs w:val="20"/>
        </w:rPr>
        <w:t xml:space="preserve"> like we have been seeing in the fourth quarter of 2021</w:t>
      </w:r>
      <w:r>
        <w:rPr>
          <w:rFonts w:ascii="Arial" w:hAnsi="Arial" w:cs="Arial"/>
          <w:color w:val="000000" w:themeColor="text1"/>
          <w:sz w:val="20"/>
          <w:szCs w:val="20"/>
        </w:rPr>
        <w:t xml:space="preserve">, though weather and transportation conditions remain unknowns. With it, units and volume are creeping closer to year ago levels while dollars remain elevated as a result of higher </w:t>
      </w:r>
      <w:r w:rsidR="0072039B">
        <w:rPr>
          <w:rFonts w:ascii="Arial" w:hAnsi="Arial" w:cs="Arial"/>
          <w:color w:val="000000" w:themeColor="text1"/>
          <w:sz w:val="20"/>
          <w:szCs w:val="20"/>
        </w:rPr>
        <w:t xml:space="preserve">retail </w:t>
      </w:r>
      <w:r>
        <w:rPr>
          <w:rFonts w:ascii="Arial" w:hAnsi="Arial" w:cs="Arial"/>
          <w:color w:val="000000" w:themeColor="text1"/>
          <w:sz w:val="20"/>
          <w:szCs w:val="20"/>
        </w:rPr>
        <w:t xml:space="preserve">prices. </w:t>
      </w:r>
    </w:p>
    <w:bookmarkEnd w:id="9"/>
    <w:p w14:paraId="4D6A5C32" w14:textId="77777777" w:rsidR="004217CA" w:rsidRDefault="004217CA" w:rsidP="004217CA">
      <w:pPr>
        <w:pStyle w:val="NoSpacing"/>
        <w:rPr>
          <w:rFonts w:ascii="Arial" w:hAnsi="Arial" w:cs="Arial"/>
          <w:color w:val="000000" w:themeColor="text1"/>
          <w:sz w:val="20"/>
          <w:szCs w:val="20"/>
        </w:rPr>
      </w:pPr>
    </w:p>
    <w:p w14:paraId="045FCF9F" w14:textId="4E85B112" w:rsidR="004217CA" w:rsidRDefault="004217CA" w:rsidP="004217CA">
      <w:pPr>
        <w:spacing w:after="0" w:line="240" w:lineRule="auto"/>
        <w:rPr>
          <w:rFonts w:ascii="Arial" w:hAnsi="Arial" w:cs="Arial"/>
          <w:sz w:val="20"/>
          <w:szCs w:val="20"/>
        </w:rPr>
      </w:pPr>
      <w:r w:rsidRPr="00BB3A5E">
        <w:rPr>
          <w:rFonts w:ascii="Arial" w:hAnsi="Arial" w:cs="Arial"/>
          <w:sz w:val="20"/>
          <w:szCs w:val="20"/>
        </w:rPr>
        <w:t>The next report, covering</w:t>
      </w:r>
      <w:r w:rsidR="004E6C4C">
        <w:rPr>
          <w:rFonts w:ascii="Arial" w:hAnsi="Arial" w:cs="Arial"/>
          <w:sz w:val="20"/>
          <w:szCs w:val="20"/>
        </w:rPr>
        <w:t xml:space="preserve"> January</w:t>
      </w:r>
      <w:r w:rsidRPr="00BB3A5E">
        <w:rPr>
          <w:rFonts w:ascii="Arial" w:hAnsi="Arial" w:cs="Arial"/>
          <w:sz w:val="20"/>
          <w:szCs w:val="20"/>
        </w:rPr>
        <w:t>, will be released in mid-</w:t>
      </w:r>
      <w:r w:rsidR="004E6C4C">
        <w:rPr>
          <w:rFonts w:ascii="Arial" w:hAnsi="Arial" w:cs="Arial"/>
          <w:sz w:val="20"/>
          <w:szCs w:val="20"/>
        </w:rPr>
        <w:t>February</w:t>
      </w:r>
      <w:r w:rsidRPr="00BB3A5E">
        <w:rPr>
          <w:rFonts w:ascii="Arial" w:hAnsi="Arial" w:cs="Arial"/>
          <w:sz w:val="20"/>
          <w:szCs w:val="20"/>
        </w:rPr>
        <w:t xml:space="preserve">. In addition to the data provided here, the IFPA also now offers InSite – an online interactive data set covering both produce and floral performance as well as a look at the 2021 consumer sentiment surveys. Start your free trial today! See </w:t>
      </w:r>
      <w:hyperlink r:id="rId17" w:history="1">
        <w:r w:rsidRPr="00BB3A5E">
          <w:rPr>
            <w:rStyle w:val="Hyperlink"/>
            <w:rFonts w:ascii="Arial" w:hAnsi="Arial" w:cs="Arial"/>
            <w:sz w:val="20"/>
            <w:szCs w:val="20"/>
          </w:rPr>
          <w:t>www.freshproduce.com/insite</w:t>
        </w:r>
      </w:hyperlink>
      <w:r w:rsidRPr="00BB3A5E">
        <w:rPr>
          <w:rFonts w:ascii="Arial" w:hAnsi="Arial" w:cs="Arial"/>
          <w:sz w:val="20"/>
          <w:szCs w:val="20"/>
        </w:rPr>
        <w:t xml:space="preserve"> for more detail. We also encourage you to contact Joe Watson, IFPA’s VP, Retail, Foodservice and Wholesale, at </w:t>
      </w:r>
      <w:hyperlink r:id="rId18" w:history="1">
        <w:r w:rsidRPr="00BB3A5E">
          <w:rPr>
            <w:rStyle w:val="Hyperlink"/>
            <w:rFonts w:ascii="Arial" w:hAnsi="Arial" w:cs="Arial"/>
            <w:sz w:val="20"/>
            <w:szCs w:val="20"/>
          </w:rPr>
          <w:t>jwatson@freshproduce.com</w:t>
        </w:r>
      </w:hyperlink>
      <w:r w:rsidRPr="00BB3A5E">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p>
    <w:p w14:paraId="6F98A8FE" w14:textId="50AF48AD" w:rsidR="004217CA" w:rsidRDefault="004217CA" w:rsidP="005D53FF">
      <w:pPr>
        <w:pStyle w:val="NoSpacing"/>
        <w:rPr>
          <w:rFonts w:ascii="Arial" w:hAnsi="Arial" w:cs="Arial"/>
          <w:color w:val="000000" w:themeColor="text1"/>
          <w:sz w:val="20"/>
          <w:szCs w:val="20"/>
        </w:rPr>
      </w:pPr>
    </w:p>
    <w:p w14:paraId="6F83F341" w14:textId="5A7C6147" w:rsidR="004217CA" w:rsidRDefault="004217CA" w:rsidP="005D53FF">
      <w:pPr>
        <w:pStyle w:val="NoSpacing"/>
        <w:rPr>
          <w:rFonts w:ascii="Arial" w:hAnsi="Arial" w:cs="Arial"/>
          <w:color w:val="000000" w:themeColor="text1"/>
          <w:sz w:val="20"/>
          <w:szCs w:val="20"/>
        </w:rPr>
      </w:pPr>
    </w:p>
    <w:p w14:paraId="70ACB7C8" w14:textId="77777777" w:rsidR="004217CA" w:rsidRDefault="004217CA" w:rsidP="005D53FF">
      <w:pPr>
        <w:pStyle w:val="NoSpacing"/>
        <w:rPr>
          <w:rFonts w:ascii="Arial" w:hAnsi="Arial" w:cs="Arial"/>
          <w:color w:val="000000" w:themeColor="text1"/>
          <w:sz w:val="20"/>
          <w:szCs w:val="20"/>
        </w:rPr>
      </w:pPr>
    </w:p>
    <w:bookmarkEnd w:id="10"/>
    <w:p w14:paraId="306311E8" w14:textId="77777777" w:rsidR="00747760" w:rsidRDefault="00747760" w:rsidP="00BB3A5E">
      <w:pPr>
        <w:spacing w:after="0" w:line="240" w:lineRule="auto"/>
        <w:rPr>
          <w:rFonts w:ascii="Arial" w:hAnsi="Arial" w:cs="Arial"/>
          <w:sz w:val="20"/>
          <w:szCs w:val="20"/>
        </w:rPr>
      </w:pPr>
    </w:p>
    <w:p w14:paraId="6777A1B7" w14:textId="77777777" w:rsidR="004E6C4C" w:rsidRDefault="004E6C4C" w:rsidP="004E6C4C">
      <w:pPr>
        <w:pStyle w:val="NoSpacing"/>
        <w:rPr>
          <w:rFonts w:ascii="Arial" w:hAnsi="Arial" w:cs="Arial"/>
          <w:b/>
          <w:sz w:val="20"/>
          <w:szCs w:val="20"/>
        </w:rPr>
      </w:pPr>
      <w:bookmarkStart w:id="11" w:name="_Hlk118920915"/>
      <w:bookmarkStart w:id="12" w:name="_Hlk124099941"/>
      <w:bookmarkStart w:id="13" w:name="_Hlk124108659"/>
      <w:bookmarkEnd w:id="8"/>
      <w:r>
        <w:rPr>
          <w:rFonts w:ascii="Arial" w:hAnsi="Arial" w:cs="Arial"/>
          <w:b/>
          <w:sz w:val="20"/>
          <w:szCs w:val="20"/>
        </w:rPr>
        <w:lastRenderedPageBreak/>
        <w:t xml:space="preserve">Date ranges: </w:t>
      </w:r>
    </w:p>
    <w:p w14:paraId="7383CAF6" w14:textId="77777777" w:rsidR="004E6C4C" w:rsidRDefault="004E6C4C" w:rsidP="004E6C4C">
      <w:pPr>
        <w:pStyle w:val="NoSpacing"/>
        <w:rPr>
          <w:rFonts w:ascii="Arial" w:hAnsi="Arial" w:cs="Arial"/>
          <w:sz w:val="20"/>
          <w:szCs w:val="20"/>
        </w:rPr>
      </w:pPr>
      <w:r>
        <w:rPr>
          <w:rFonts w:ascii="Arial" w:hAnsi="Arial" w:cs="Arial"/>
          <w:sz w:val="20"/>
          <w:szCs w:val="20"/>
        </w:rPr>
        <w:t>2019: 52 weeks ending 12/28/2019</w:t>
      </w:r>
    </w:p>
    <w:p w14:paraId="220E2546" w14:textId="77777777" w:rsidR="004E6C4C" w:rsidRDefault="004E6C4C" w:rsidP="004E6C4C">
      <w:pPr>
        <w:pStyle w:val="NoSpacing"/>
        <w:rPr>
          <w:rFonts w:ascii="Arial" w:hAnsi="Arial" w:cs="Arial"/>
          <w:sz w:val="20"/>
          <w:szCs w:val="20"/>
        </w:rPr>
      </w:pPr>
      <w:r>
        <w:rPr>
          <w:rFonts w:ascii="Arial" w:hAnsi="Arial" w:cs="Arial"/>
          <w:sz w:val="20"/>
          <w:szCs w:val="20"/>
        </w:rPr>
        <w:t>2020: 52 weeks ending 12/27/2020</w:t>
      </w:r>
    </w:p>
    <w:p w14:paraId="13B8A31B" w14:textId="77777777" w:rsidR="004E6C4C" w:rsidRDefault="004E6C4C" w:rsidP="004E6C4C">
      <w:pPr>
        <w:pStyle w:val="NoSpacing"/>
        <w:rPr>
          <w:rFonts w:ascii="Arial" w:hAnsi="Arial" w:cs="Arial"/>
          <w:sz w:val="20"/>
          <w:szCs w:val="20"/>
        </w:rPr>
      </w:pPr>
      <w:r>
        <w:rPr>
          <w:rFonts w:ascii="Arial" w:hAnsi="Arial" w:cs="Arial"/>
          <w:sz w:val="20"/>
          <w:szCs w:val="20"/>
        </w:rPr>
        <w:t>2021: 52 weeks ending 12/26/2021</w:t>
      </w:r>
    </w:p>
    <w:p w14:paraId="2D5610E3" w14:textId="77777777" w:rsidR="004E6C4C" w:rsidRDefault="004E6C4C" w:rsidP="004E6C4C">
      <w:pPr>
        <w:pStyle w:val="NoSpacing"/>
        <w:rPr>
          <w:rFonts w:ascii="Arial" w:hAnsi="Arial" w:cs="Arial"/>
          <w:sz w:val="20"/>
          <w:szCs w:val="20"/>
        </w:rPr>
      </w:pPr>
      <w:r>
        <w:rPr>
          <w:rFonts w:ascii="Arial" w:hAnsi="Arial" w:cs="Arial"/>
          <w:sz w:val="20"/>
          <w:szCs w:val="20"/>
        </w:rPr>
        <w:t>2022: 52 weeks ending 12/25/2022</w:t>
      </w:r>
    </w:p>
    <w:p w14:paraId="59D29248" w14:textId="77777777" w:rsidR="004E6C4C" w:rsidRDefault="004E6C4C" w:rsidP="004E6C4C">
      <w:pPr>
        <w:pStyle w:val="NoSpacing"/>
        <w:rPr>
          <w:rFonts w:ascii="Arial" w:hAnsi="Arial" w:cs="Arial"/>
          <w:sz w:val="20"/>
          <w:szCs w:val="20"/>
        </w:rPr>
      </w:pPr>
      <w:r>
        <w:rPr>
          <w:rFonts w:ascii="Arial" w:hAnsi="Arial" w:cs="Arial"/>
          <w:sz w:val="20"/>
          <w:szCs w:val="20"/>
        </w:rPr>
        <w:t>Q1 2022: 13 weeks ending 3/27/2022</w:t>
      </w:r>
    </w:p>
    <w:p w14:paraId="7E42A85F" w14:textId="77777777" w:rsidR="004E6C4C" w:rsidRDefault="004E6C4C" w:rsidP="004E6C4C">
      <w:pPr>
        <w:pStyle w:val="NoSpacing"/>
        <w:rPr>
          <w:rFonts w:ascii="Arial" w:hAnsi="Arial" w:cs="Arial"/>
          <w:sz w:val="20"/>
          <w:szCs w:val="20"/>
        </w:rPr>
      </w:pPr>
      <w:r>
        <w:rPr>
          <w:rFonts w:ascii="Arial" w:hAnsi="Arial" w:cs="Arial"/>
          <w:sz w:val="20"/>
          <w:szCs w:val="20"/>
        </w:rPr>
        <w:t>Q2 2022: 13 weeks ending 6/26/2022</w:t>
      </w:r>
    </w:p>
    <w:p w14:paraId="5E424B02" w14:textId="77777777" w:rsidR="004E6C4C" w:rsidRDefault="004E6C4C" w:rsidP="004E6C4C">
      <w:pPr>
        <w:pStyle w:val="NoSpacing"/>
        <w:rPr>
          <w:rFonts w:ascii="Arial" w:hAnsi="Arial" w:cs="Arial"/>
          <w:sz w:val="20"/>
          <w:szCs w:val="20"/>
        </w:rPr>
      </w:pPr>
      <w:r>
        <w:rPr>
          <w:rFonts w:ascii="Arial" w:hAnsi="Arial" w:cs="Arial"/>
          <w:sz w:val="20"/>
          <w:szCs w:val="20"/>
        </w:rPr>
        <w:t>Q3 2022: 13 weeks ending 9/25/2022</w:t>
      </w:r>
    </w:p>
    <w:p w14:paraId="3044675D" w14:textId="77777777" w:rsidR="004E6C4C" w:rsidRDefault="004E6C4C" w:rsidP="004E6C4C">
      <w:pPr>
        <w:pStyle w:val="NoSpacing"/>
        <w:rPr>
          <w:rFonts w:ascii="Arial" w:hAnsi="Arial" w:cs="Arial"/>
          <w:sz w:val="20"/>
          <w:szCs w:val="20"/>
        </w:rPr>
      </w:pPr>
      <w:r>
        <w:rPr>
          <w:rFonts w:ascii="Arial" w:hAnsi="Arial" w:cs="Arial"/>
          <w:sz w:val="20"/>
          <w:szCs w:val="20"/>
        </w:rPr>
        <w:t>Q4 2022: 13 weeks ending 12/25/2022</w:t>
      </w:r>
    </w:p>
    <w:bookmarkEnd w:id="11"/>
    <w:p w14:paraId="4B3E3A3E" w14:textId="77777777" w:rsidR="004E6C4C" w:rsidRDefault="004E6C4C" w:rsidP="004E6C4C">
      <w:pPr>
        <w:pStyle w:val="NoSpacing"/>
        <w:rPr>
          <w:rFonts w:ascii="Arial" w:hAnsi="Arial" w:cs="Arial"/>
          <w:sz w:val="20"/>
          <w:szCs w:val="20"/>
        </w:rPr>
      </w:pPr>
      <w:r>
        <w:rPr>
          <w:rFonts w:ascii="Arial" w:hAnsi="Arial" w:cs="Arial"/>
          <w:sz w:val="20"/>
          <w:szCs w:val="20"/>
        </w:rPr>
        <w:t>December 2022: 4 weeks ending 12/25/2022</w:t>
      </w:r>
    </w:p>
    <w:bookmarkEnd w:id="12"/>
    <w:p w14:paraId="2D4D4619" w14:textId="77777777" w:rsidR="004E6C4C" w:rsidRPr="00D42D94" w:rsidRDefault="004E6C4C" w:rsidP="004E6C4C">
      <w:pPr>
        <w:pStyle w:val="NoSpacing"/>
        <w:rPr>
          <w:rFonts w:ascii="Arial" w:hAnsi="Arial" w:cs="Arial"/>
          <w:sz w:val="20"/>
          <w:szCs w:val="20"/>
        </w:rPr>
      </w:pPr>
      <w:r>
        <w:rPr>
          <w:rFonts w:ascii="Arial" w:hAnsi="Arial" w:cs="Arial"/>
          <w:sz w:val="20"/>
          <w:szCs w:val="20"/>
        </w:rPr>
        <w:br/>
      </w:r>
      <w:bookmarkStart w:id="14" w:name="_Hlk124099950"/>
      <w:r>
        <w:rPr>
          <w:rFonts w:ascii="Arial" w:hAnsi="Arial" w:cs="Arial"/>
          <w:sz w:val="20"/>
          <w:szCs w:val="20"/>
        </w:rPr>
        <w:t xml:space="preserve">Note: The October data reflects a substantial data restatement across all areas of the store. 2019-Q3 2022 reflect the prior data universe. </w:t>
      </w:r>
      <w:bookmarkEnd w:id="14"/>
    </w:p>
    <w:bookmarkEnd w:id="13"/>
    <w:p w14:paraId="5AD3CB6B" w14:textId="77777777" w:rsidR="005D53FF" w:rsidRPr="008A6A7C" w:rsidRDefault="005D53FF" w:rsidP="0003032A">
      <w:pPr>
        <w:pStyle w:val="NoSpacing"/>
        <w:rPr>
          <w:rFonts w:ascii="Arial" w:hAnsi="Arial" w:cs="Arial"/>
          <w:sz w:val="20"/>
          <w:szCs w:val="20"/>
        </w:rPr>
      </w:pPr>
    </w:p>
    <w:sectPr w:rsidR="005D53FF" w:rsidRPr="008A6A7C" w:rsidSect="009172A3">
      <w:headerReference w:type="default" r:id="rId19"/>
      <w:footerReference w:type="default" r:id="rId20"/>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9355" w14:textId="77777777" w:rsidR="00B5502A" w:rsidRDefault="00B5502A" w:rsidP="007E1D2E">
      <w:pPr>
        <w:spacing w:after="0" w:line="240" w:lineRule="auto"/>
      </w:pPr>
      <w:r>
        <w:separator/>
      </w:r>
    </w:p>
  </w:endnote>
  <w:endnote w:type="continuationSeparator" w:id="0">
    <w:p w14:paraId="542DD420" w14:textId="77777777" w:rsidR="00B5502A" w:rsidRDefault="00B5502A"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F26464" w:rsidRPr="001C4C48" w:rsidRDefault="00F26464"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lang w:val="nl-NL" w:eastAsia="nl-NL"/>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34EA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" strokecolor="#4f81bd [3204]">
              <o:lock v:ext="edit" shapetype="f"/>
              <w10:wrap anchorx="page"/>
            </v:line>
          </w:pict>
        </mc:Fallback>
      </mc:AlternateContent>
    </w:r>
  </w:p>
  <w:p w14:paraId="280BF8AE" w14:textId="110F4C1E" w:rsidR="00F26464" w:rsidRPr="00030F05" w:rsidRDefault="00F26464" w:rsidP="009172A3">
    <w:pPr>
      <w:pStyle w:val="NoSpacing"/>
      <w:rPr>
        <w:sz w:val="16"/>
      </w:rPr>
    </w:pPr>
    <w:r>
      <w:rPr>
        <w:noProof/>
        <w:sz w:val="16"/>
        <w:lang w:val="nl-NL" w:eastAsia="nl-NL"/>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F26464" w:rsidRPr="002E71F7" w:rsidRDefault="00F26464"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F26464" w:rsidRPr="002E71F7" w:rsidRDefault="00F26464"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Pr="00030F05">
      <w:rPr>
        <w:sz w:val="16"/>
      </w:rPr>
      <w:t>Need more information?</w:t>
    </w:r>
    <w:r w:rsidRPr="00030F05">
      <w:rPr>
        <w:sz w:val="16"/>
      </w:rPr>
      <w:br/>
    </w:r>
    <w:r>
      <w:rPr>
        <w:sz w:val="16"/>
      </w:rPr>
      <w:t>freshfoods@iriworldwide.com</w:t>
    </w:r>
    <w:r>
      <w:rPr>
        <w:sz w:val="16"/>
      </w:rPr>
      <w:tab/>
    </w:r>
    <w:r>
      <w:rPr>
        <w:sz w:val="16"/>
      </w:rPr>
      <w:tab/>
    </w:r>
    <w:r>
      <w:rPr>
        <w:sz w:val="16"/>
      </w:rPr>
      <w:tab/>
      <w:t>210 Analytics</w:t>
    </w:r>
  </w:p>
  <w:p w14:paraId="6E4FF3AA" w14:textId="61144657" w:rsidR="00F26464" w:rsidRPr="00030F05" w:rsidRDefault="00F26464" w:rsidP="009172A3">
    <w:pPr>
      <w:pStyle w:val="NoSpacing"/>
      <w:rPr>
        <w:sz w:val="16"/>
      </w:rPr>
    </w:pPr>
    <w:r>
      <w:rPr>
        <w:sz w:val="16"/>
      </w:rPr>
      <w:t>FreshProduce@iriworldwide.com</w:t>
    </w:r>
    <w:r>
      <w:rPr>
        <w:sz w:val="16"/>
      </w:rPr>
      <w:tab/>
    </w:r>
    <w:r>
      <w:rPr>
        <w:sz w:val="16"/>
      </w:rPr>
      <w:tab/>
      <w:t>aroerink@210analytics.com</w:t>
    </w:r>
  </w:p>
  <w:p w14:paraId="0C43B367" w14:textId="77777777" w:rsidR="00F26464" w:rsidRDefault="00F2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5E42" w14:textId="77777777" w:rsidR="00B5502A" w:rsidRDefault="00B5502A" w:rsidP="007E1D2E">
      <w:pPr>
        <w:spacing w:after="0" w:line="240" w:lineRule="auto"/>
      </w:pPr>
      <w:r>
        <w:separator/>
      </w:r>
    </w:p>
  </w:footnote>
  <w:footnote w:type="continuationSeparator" w:id="0">
    <w:p w14:paraId="6F175B51" w14:textId="77777777" w:rsidR="00B5502A" w:rsidRDefault="00B5502A"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F26464" w:rsidRDefault="00F26464">
    <w:pPr>
      <w:pStyle w:val="Header"/>
    </w:pPr>
    <w:r w:rsidRPr="00030F05">
      <w:rPr>
        <w:noProof/>
        <w:lang w:val="nl-NL" w:eastAsia="nl-NL"/>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lang w:val="nl-NL" w:eastAsia="nl-NL"/>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E0"/>
    <w:multiLevelType w:val="hybridMultilevel"/>
    <w:tmpl w:val="A684B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A776B4"/>
    <w:multiLevelType w:val="hybridMultilevel"/>
    <w:tmpl w:val="36E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064A1"/>
    <w:multiLevelType w:val="hybridMultilevel"/>
    <w:tmpl w:val="8684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C67E98"/>
    <w:multiLevelType w:val="hybridMultilevel"/>
    <w:tmpl w:val="A46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9032F"/>
    <w:multiLevelType w:val="hybridMultilevel"/>
    <w:tmpl w:val="8668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691A86"/>
    <w:multiLevelType w:val="hybridMultilevel"/>
    <w:tmpl w:val="D81C5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8310642">
    <w:abstractNumId w:val="29"/>
  </w:num>
  <w:num w:numId="2" w16cid:durableId="627203200">
    <w:abstractNumId w:val="7"/>
  </w:num>
  <w:num w:numId="3" w16cid:durableId="804158373">
    <w:abstractNumId w:val="27"/>
  </w:num>
  <w:num w:numId="4" w16cid:durableId="1519663106">
    <w:abstractNumId w:val="28"/>
  </w:num>
  <w:num w:numId="5" w16cid:durableId="1918782832">
    <w:abstractNumId w:val="31"/>
  </w:num>
  <w:num w:numId="6" w16cid:durableId="424763717">
    <w:abstractNumId w:val="3"/>
  </w:num>
  <w:num w:numId="7" w16cid:durableId="1621952828">
    <w:abstractNumId w:val="11"/>
  </w:num>
  <w:num w:numId="8" w16cid:durableId="1251625164">
    <w:abstractNumId w:val="13"/>
  </w:num>
  <w:num w:numId="9" w16cid:durableId="415711551">
    <w:abstractNumId w:val="26"/>
  </w:num>
  <w:num w:numId="10" w16cid:durableId="2036957145">
    <w:abstractNumId w:val="23"/>
  </w:num>
  <w:num w:numId="11" w16cid:durableId="486097758">
    <w:abstractNumId w:val="15"/>
  </w:num>
  <w:num w:numId="12" w16cid:durableId="385569116">
    <w:abstractNumId w:val="5"/>
  </w:num>
  <w:num w:numId="13" w16cid:durableId="1150563310">
    <w:abstractNumId w:val="2"/>
  </w:num>
  <w:num w:numId="14" w16cid:durableId="485635162">
    <w:abstractNumId w:val="1"/>
  </w:num>
  <w:num w:numId="15" w16cid:durableId="1699702360">
    <w:abstractNumId w:val="17"/>
  </w:num>
  <w:num w:numId="16" w16cid:durableId="441650712">
    <w:abstractNumId w:val="25"/>
  </w:num>
  <w:num w:numId="17" w16cid:durableId="69237391">
    <w:abstractNumId w:val="8"/>
  </w:num>
  <w:num w:numId="18" w16cid:durableId="1529948784">
    <w:abstractNumId w:val="32"/>
  </w:num>
  <w:num w:numId="19" w16cid:durableId="65804613">
    <w:abstractNumId w:val="6"/>
  </w:num>
  <w:num w:numId="20" w16cid:durableId="605040248">
    <w:abstractNumId w:val="19"/>
  </w:num>
  <w:num w:numId="21" w16cid:durableId="320695616">
    <w:abstractNumId w:val="4"/>
  </w:num>
  <w:num w:numId="22" w16cid:durableId="159854610">
    <w:abstractNumId w:val="12"/>
  </w:num>
  <w:num w:numId="23" w16cid:durableId="627663938">
    <w:abstractNumId w:val="20"/>
  </w:num>
  <w:num w:numId="24" w16cid:durableId="842283639">
    <w:abstractNumId w:val="24"/>
  </w:num>
  <w:num w:numId="25" w16cid:durableId="1486967799">
    <w:abstractNumId w:val="10"/>
  </w:num>
  <w:num w:numId="26" w16cid:durableId="118568090">
    <w:abstractNumId w:val="9"/>
  </w:num>
  <w:num w:numId="27" w16cid:durableId="1682321138">
    <w:abstractNumId w:val="21"/>
  </w:num>
  <w:num w:numId="28" w16cid:durableId="880093224">
    <w:abstractNumId w:val="24"/>
  </w:num>
  <w:num w:numId="29" w16cid:durableId="1256937693">
    <w:abstractNumId w:val="16"/>
  </w:num>
  <w:num w:numId="30" w16cid:durableId="384380728">
    <w:abstractNumId w:val="18"/>
  </w:num>
  <w:num w:numId="31" w16cid:durableId="494227736">
    <w:abstractNumId w:val="0"/>
  </w:num>
  <w:num w:numId="32" w16cid:durableId="1055200537">
    <w:abstractNumId w:val="30"/>
  </w:num>
  <w:num w:numId="33" w16cid:durableId="1595094061">
    <w:abstractNumId w:val="22"/>
  </w:num>
  <w:num w:numId="34" w16cid:durableId="164440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D"/>
    <w:rsid w:val="00000581"/>
    <w:rsid w:val="0000075A"/>
    <w:rsid w:val="0000248F"/>
    <w:rsid w:val="00003384"/>
    <w:rsid w:val="00007A72"/>
    <w:rsid w:val="00010D51"/>
    <w:rsid w:val="0001120A"/>
    <w:rsid w:val="000117EF"/>
    <w:rsid w:val="00012355"/>
    <w:rsid w:val="00013787"/>
    <w:rsid w:val="000166DA"/>
    <w:rsid w:val="00017BCE"/>
    <w:rsid w:val="00017F7D"/>
    <w:rsid w:val="00020882"/>
    <w:rsid w:val="00022AE5"/>
    <w:rsid w:val="00022DA3"/>
    <w:rsid w:val="00023C8F"/>
    <w:rsid w:val="00024B5F"/>
    <w:rsid w:val="00025202"/>
    <w:rsid w:val="000263ED"/>
    <w:rsid w:val="00027658"/>
    <w:rsid w:val="0003032A"/>
    <w:rsid w:val="0003459A"/>
    <w:rsid w:val="00034C1B"/>
    <w:rsid w:val="00036105"/>
    <w:rsid w:val="000361C6"/>
    <w:rsid w:val="000369B9"/>
    <w:rsid w:val="00036B2C"/>
    <w:rsid w:val="000375AF"/>
    <w:rsid w:val="000377D1"/>
    <w:rsid w:val="00042FD2"/>
    <w:rsid w:val="000439A5"/>
    <w:rsid w:val="00043B43"/>
    <w:rsid w:val="00045995"/>
    <w:rsid w:val="00050514"/>
    <w:rsid w:val="0005157F"/>
    <w:rsid w:val="00051887"/>
    <w:rsid w:val="000526EA"/>
    <w:rsid w:val="00052CF6"/>
    <w:rsid w:val="000538C0"/>
    <w:rsid w:val="00053F8C"/>
    <w:rsid w:val="000544E1"/>
    <w:rsid w:val="000545C1"/>
    <w:rsid w:val="0005496E"/>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0BAE"/>
    <w:rsid w:val="000811E7"/>
    <w:rsid w:val="000833C6"/>
    <w:rsid w:val="00083DB0"/>
    <w:rsid w:val="00083EF7"/>
    <w:rsid w:val="00084469"/>
    <w:rsid w:val="00086061"/>
    <w:rsid w:val="000905A6"/>
    <w:rsid w:val="00091E61"/>
    <w:rsid w:val="0009337A"/>
    <w:rsid w:val="000933A2"/>
    <w:rsid w:val="00093E23"/>
    <w:rsid w:val="000A17A4"/>
    <w:rsid w:val="000A1FB2"/>
    <w:rsid w:val="000A208D"/>
    <w:rsid w:val="000A3E66"/>
    <w:rsid w:val="000A543A"/>
    <w:rsid w:val="000A7CDC"/>
    <w:rsid w:val="000B035F"/>
    <w:rsid w:val="000B0895"/>
    <w:rsid w:val="000B0AF5"/>
    <w:rsid w:val="000B0C6D"/>
    <w:rsid w:val="000B10BC"/>
    <w:rsid w:val="000B16D5"/>
    <w:rsid w:val="000B296C"/>
    <w:rsid w:val="000B44E8"/>
    <w:rsid w:val="000B4FD7"/>
    <w:rsid w:val="000B5FE1"/>
    <w:rsid w:val="000B62E2"/>
    <w:rsid w:val="000B6A06"/>
    <w:rsid w:val="000B705A"/>
    <w:rsid w:val="000B73DB"/>
    <w:rsid w:val="000C0984"/>
    <w:rsid w:val="000C0F39"/>
    <w:rsid w:val="000C1222"/>
    <w:rsid w:val="000C2C93"/>
    <w:rsid w:val="000C4A54"/>
    <w:rsid w:val="000C73F6"/>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E4F51"/>
    <w:rsid w:val="000E6D83"/>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5554"/>
    <w:rsid w:val="0010695F"/>
    <w:rsid w:val="00106F0B"/>
    <w:rsid w:val="00110FF9"/>
    <w:rsid w:val="001118D5"/>
    <w:rsid w:val="00112A5A"/>
    <w:rsid w:val="00112E9A"/>
    <w:rsid w:val="00113F23"/>
    <w:rsid w:val="001141CA"/>
    <w:rsid w:val="0011420E"/>
    <w:rsid w:val="00114591"/>
    <w:rsid w:val="001162B9"/>
    <w:rsid w:val="0011663F"/>
    <w:rsid w:val="00116FC7"/>
    <w:rsid w:val="0011773C"/>
    <w:rsid w:val="001210D2"/>
    <w:rsid w:val="001213B4"/>
    <w:rsid w:val="00121989"/>
    <w:rsid w:val="00121E18"/>
    <w:rsid w:val="00123C3C"/>
    <w:rsid w:val="00125FAE"/>
    <w:rsid w:val="00130D41"/>
    <w:rsid w:val="0013132D"/>
    <w:rsid w:val="00131954"/>
    <w:rsid w:val="00131B9A"/>
    <w:rsid w:val="0013220C"/>
    <w:rsid w:val="00133959"/>
    <w:rsid w:val="001344E1"/>
    <w:rsid w:val="00134BC0"/>
    <w:rsid w:val="00135BE7"/>
    <w:rsid w:val="0014023E"/>
    <w:rsid w:val="001404B7"/>
    <w:rsid w:val="00140A5F"/>
    <w:rsid w:val="00140B3C"/>
    <w:rsid w:val="00141DBA"/>
    <w:rsid w:val="001420B1"/>
    <w:rsid w:val="00143527"/>
    <w:rsid w:val="001452A1"/>
    <w:rsid w:val="00147033"/>
    <w:rsid w:val="00150F33"/>
    <w:rsid w:val="00151C32"/>
    <w:rsid w:val="00151CCC"/>
    <w:rsid w:val="00152095"/>
    <w:rsid w:val="0015304E"/>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734CE"/>
    <w:rsid w:val="00180487"/>
    <w:rsid w:val="001823F0"/>
    <w:rsid w:val="00184177"/>
    <w:rsid w:val="0018439F"/>
    <w:rsid w:val="00185E27"/>
    <w:rsid w:val="001904BA"/>
    <w:rsid w:val="00190A58"/>
    <w:rsid w:val="00191B23"/>
    <w:rsid w:val="00192C41"/>
    <w:rsid w:val="00192E8C"/>
    <w:rsid w:val="00193322"/>
    <w:rsid w:val="001937D1"/>
    <w:rsid w:val="001946FE"/>
    <w:rsid w:val="0019470D"/>
    <w:rsid w:val="00194FCF"/>
    <w:rsid w:val="0019681B"/>
    <w:rsid w:val="00197295"/>
    <w:rsid w:val="0019735A"/>
    <w:rsid w:val="0019737A"/>
    <w:rsid w:val="001A0796"/>
    <w:rsid w:val="001A0E90"/>
    <w:rsid w:val="001A1830"/>
    <w:rsid w:val="001A2844"/>
    <w:rsid w:val="001A2FCB"/>
    <w:rsid w:val="001A3559"/>
    <w:rsid w:val="001A4317"/>
    <w:rsid w:val="001A4F53"/>
    <w:rsid w:val="001A6058"/>
    <w:rsid w:val="001B04C2"/>
    <w:rsid w:val="001B27BC"/>
    <w:rsid w:val="001B2A5E"/>
    <w:rsid w:val="001B361F"/>
    <w:rsid w:val="001B5D83"/>
    <w:rsid w:val="001B6F56"/>
    <w:rsid w:val="001C0658"/>
    <w:rsid w:val="001C0962"/>
    <w:rsid w:val="001C21F6"/>
    <w:rsid w:val="001C454A"/>
    <w:rsid w:val="001C5358"/>
    <w:rsid w:val="001C54D9"/>
    <w:rsid w:val="001C56E4"/>
    <w:rsid w:val="001C6281"/>
    <w:rsid w:val="001C641C"/>
    <w:rsid w:val="001C6B93"/>
    <w:rsid w:val="001C7D1E"/>
    <w:rsid w:val="001D030C"/>
    <w:rsid w:val="001D0A38"/>
    <w:rsid w:val="001D0C47"/>
    <w:rsid w:val="001D0D13"/>
    <w:rsid w:val="001D13E3"/>
    <w:rsid w:val="001D1C94"/>
    <w:rsid w:val="001D1FD7"/>
    <w:rsid w:val="001D2163"/>
    <w:rsid w:val="001D4954"/>
    <w:rsid w:val="001D5464"/>
    <w:rsid w:val="001D5C1A"/>
    <w:rsid w:val="001D65B2"/>
    <w:rsid w:val="001E19ED"/>
    <w:rsid w:val="001E1AD8"/>
    <w:rsid w:val="001E2207"/>
    <w:rsid w:val="001E26EB"/>
    <w:rsid w:val="001E28F9"/>
    <w:rsid w:val="001E3E8E"/>
    <w:rsid w:val="001E4381"/>
    <w:rsid w:val="001E4CD3"/>
    <w:rsid w:val="001E4D03"/>
    <w:rsid w:val="001E5E9F"/>
    <w:rsid w:val="001E60A9"/>
    <w:rsid w:val="001E726D"/>
    <w:rsid w:val="001F04FA"/>
    <w:rsid w:val="001F074D"/>
    <w:rsid w:val="001F292B"/>
    <w:rsid w:val="001F29DC"/>
    <w:rsid w:val="001F4BAF"/>
    <w:rsid w:val="001F512A"/>
    <w:rsid w:val="001F53D3"/>
    <w:rsid w:val="001F7395"/>
    <w:rsid w:val="00200C0F"/>
    <w:rsid w:val="00200D19"/>
    <w:rsid w:val="00203B6C"/>
    <w:rsid w:val="0020634E"/>
    <w:rsid w:val="00206FA1"/>
    <w:rsid w:val="00207525"/>
    <w:rsid w:val="0021074E"/>
    <w:rsid w:val="00211933"/>
    <w:rsid w:val="00211D09"/>
    <w:rsid w:val="002137F5"/>
    <w:rsid w:val="00213F99"/>
    <w:rsid w:val="0021462C"/>
    <w:rsid w:val="00214C85"/>
    <w:rsid w:val="00215410"/>
    <w:rsid w:val="00215D7C"/>
    <w:rsid w:val="0021673D"/>
    <w:rsid w:val="00216752"/>
    <w:rsid w:val="0021684E"/>
    <w:rsid w:val="00216FFD"/>
    <w:rsid w:val="00217491"/>
    <w:rsid w:val="00217CA1"/>
    <w:rsid w:val="00217E85"/>
    <w:rsid w:val="0022022C"/>
    <w:rsid w:val="00220B71"/>
    <w:rsid w:val="0022252A"/>
    <w:rsid w:val="00223410"/>
    <w:rsid w:val="00223615"/>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18B"/>
    <w:rsid w:val="0024650C"/>
    <w:rsid w:val="00247235"/>
    <w:rsid w:val="00247561"/>
    <w:rsid w:val="00250FB7"/>
    <w:rsid w:val="00251476"/>
    <w:rsid w:val="00252AC4"/>
    <w:rsid w:val="00253528"/>
    <w:rsid w:val="00253765"/>
    <w:rsid w:val="00254063"/>
    <w:rsid w:val="00254795"/>
    <w:rsid w:val="00254FD3"/>
    <w:rsid w:val="00255020"/>
    <w:rsid w:val="002559AC"/>
    <w:rsid w:val="002561CF"/>
    <w:rsid w:val="002577CE"/>
    <w:rsid w:val="0026038C"/>
    <w:rsid w:val="00260E1C"/>
    <w:rsid w:val="0026211D"/>
    <w:rsid w:val="00262B72"/>
    <w:rsid w:val="00262B7A"/>
    <w:rsid w:val="00263C9F"/>
    <w:rsid w:val="00265A50"/>
    <w:rsid w:val="00266196"/>
    <w:rsid w:val="00267E57"/>
    <w:rsid w:val="00271EF8"/>
    <w:rsid w:val="00272C41"/>
    <w:rsid w:val="00273813"/>
    <w:rsid w:val="002741C9"/>
    <w:rsid w:val="00274C89"/>
    <w:rsid w:val="0027508E"/>
    <w:rsid w:val="002769A5"/>
    <w:rsid w:val="00280853"/>
    <w:rsid w:val="00281DD0"/>
    <w:rsid w:val="0028208D"/>
    <w:rsid w:val="002829C4"/>
    <w:rsid w:val="002839FE"/>
    <w:rsid w:val="00283FD8"/>
    <w:rsid w:val="00284D1B"/>
    <w:rsid w:val="002855FE"/>
    <w:rsid w:val="00285C02"/>
    <w:rsid w:val="00286F2E"/>
    <w:rsid w:val="002909D7"/>
    <w:rsid w:val="00290E49"/>
    <w:rsid w:val="00292CDE"/>
    <w:rsid w:val="00292EC7"/>
    <w:rsid w:val="002938C6"/>
    <w:rsid w:val="00296016"/>
    <w:rsid w:val="002968B4"/>
    <w:rsid w:val="00296B4A"/>
    <w:rsid w:val="002979E1"/>
    <w:rsid w:val="00297D11"/>
    <w:rsid w:val="002A1EEF"/>
    <w:rsid w:val="002A2D80"/>
    <w:rsid w:val="002A3B9B"/>
    <w:rsid w:val="002A4D9A"/>
    <w:rsid w:val="002B1115"/>
    <w:rsid w:val="002B46DD"/>
    <w:rsid w:val="002B647B"/>
    <w:rsid w:val="002B68A7"/>
    <w:rsid w:val="002C0E44"/>
    <w:rsid w:val="002C11A9"/>
    <w:rsid w:val="002C22DF"/>
    <w:rsid w:val="002C2F4F"/>
    <w:rsid w:val="002C4F5A"/>
    <w:rsid w:val="002C64EC"/>
    <w:rsid w:val="002C6B59"/>
    <w:rsid w:val="002C7619"/>
    <w:rsid w:val="002D178D"/>
    <w:rsid w:val="002D2080"/>
    <w:rsid w:val="002D28F4"/>
    <w:rsid w:val="002D3293"/>
    <w:rsid w:val="002D3EC8"/>
    <w:rsid w:val="002D5486"/>
    <w:rsid w:val="002D7676"/>
    <w:rsid w:val="002D7D39"/>
    <w:rsid w:val="002D7F8D"/>
    <w:rsid w:val="002E0575"/>
    <w:rsid w:val="002E09F5"/>
    <w:rsid w:val="002E3448"/>
    <w:rsid w:val="002E3E0D"/>
    <w:rsid w:val="002E42E2"/>
    <w:rsid w:val="002E4BE8"/>
    <w:rsid w:val="002E5503"/>
    <w:rsid w:val="002E5A54"/>
    <w:rsid w:val="002E6137"/>
    <w:rsid w:val="002E6833"/>
    <w:rsid w:val="002E6C34"/>
    <w:rsid w:val="002E71DE"/>
    <w:rsid w:val="002E76F7"/>
    <w:rsid w:val="002E78E1"/>
    <w:rsid w:val="002E7CDB"/>
    <w:rsid w:val="002F2661"/>
    <w:rsid w:val="002F3E80"/>
    <w:rsid w:val="002F74F6"/>
    <w:rsid w:val="002F7B5D"/>
    <w:rsid w:val="00300012"/>
    <w:rsid w:val="00300ECD"/>
    <w:rsid w:val="00301A27"/>
    <w:rsid w:val="00301A61"/>
    <w:rsid w:val="00302080"/>
    <w:rsid w:val="003025A7"/>
    <w:rsid w:val="00304308"/>
    <w:rsid w:val="00305692"/>
    <w:rsid w:val="003057CD"/>
    <w:rsid w:val="00307723"/>
    <w:rsid w:val="00310171"/>
    <w:rsid w:val="0031035E"/>
    <w:rsid w:val="00310885"/>
    <w:rsid w:val="00311B6D"/>
    <w:rsid w:val="00313611"/>
    <w:rsid w:val="00313FC0"/>
    <w:rsid w:val="00314133"/>
    <w:rsid w:val="0031467A"/>
    <w:rsid w:val="00314F38"/>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47ACC"/>
    <w:rsid w:val="003507F8"/>
    <w:rsid w:val="003508FD"/>
    <w:rsid w:val="003538DC"/>
    <w:rsid w:val="00354739"/>
    <w:rsid w:val="003555F0"/>
    <w:rsid w:val="0035616A"/>
    <w:rsid w:val="00356566"/>
    <w:rsid w:val="00357E26"/>
    <w:rsid w:val="00361BCC"/>
    <w:rsid w:val="003627EF"/>
    <w:rsid w:val="00365D81"/>
    <w:rsid w:val="003671FD"/>
    <w:rsid w:val="00367C42"/>
    <w:rsid w:val="003702C2"/>
    <w:rsid w:val="00373662"/>
    <w:rsid w:val="00375DB1"/>
    <w:rsid w:val="00380CBC"/>
    <w:rsid w:val="0038311D"/>
    <w:rsid w:val="00384436"/>
    <w:rsid w:val="00384446"/>
    <w:rsid w:val="00384746"/>
    <w:rsid w:val="0038533A"/>
    <w:rsid w:val="003860D6"/>
    <w:rsid w:val="00386440"/>
    <w:rsid w:val="0038781D"/>
    <w:rsid w:val="00390E81"/>
    <w:rsid w:val="00392773"/>
    <w:rsid w:val="00392F8D"/>
    <w:rsid w:val="00393115"/>
    <w:rsid w:val="00393357"/>
    <w:rsid w:val="003935EB"/>
    <w:rsid w:val="00393E83"/>
    <w:rsid w:val="00394F89"/>
    <w:rsid w:val="00395431"/>
    <w:rsid w:val="0039690E"/>
    <w:rsid w:val="003A00AA"/>
    <w:rsid w:val="003A0E9C"/>
    <w:rsid w:val="003A1E76"/>
    <w:rsid w:val="003A20BE"/>
    <w:rsid w:val="003A40A2"/>
    <w:rsid w:val="003A7E92"/>
    <w:rsid w:val="003B041E"/>
    <w:rsid w:val="003B0512"/>
    <w:rsid w:val="003B22D4"/>
    <w:rsid w:val="003B318C"/>
    <w:rsid w:val="003B46DA"/>
    <w:rsid w:val="003B4FA0"/>
    <w:rsid w:val="003B6387"/>
    <w:rsid w:val="003C0347"/>
    <w:rsid w:val="003C39A1"/>
    <w:rsid w:val="003C455D"/>
    <w:rsid w:val="003C4C33"/>
    <w:rsid w:val="003C6387"/>
    <w:rsid w:val="003C63CD"/>
    <w:rsid w:val="003C73D4"/>
    <w:rsid w:val="003C7643"/>
    <w:rsid w:val="003C782B"/>
    <w:rsid w:val="003C7846"/>
    <w:rsid w:val="003C7D7A"/>
    <w:rsid w:val="003D0AE6"/>
    <w:rsid w:val="003D0C38"/>
    <w:rsid w:val="003D2003"/>
    <w:rsid w:val="003D2D37"/>
    <w:rsid w:val="003D31A0"/>
    <w:rsid w:val="003D339B"/>
    <w:rsid w:val="003D37B7"/>
    <w:rsid w:val="003D46CC"/>
    <w:rsid w:val="003E0B5A"/>
    <w:rsid w:val="003E0C1E"/>
    <w:rsid w:val="003E0E97"/>
    <w:rsid w:val="003E1146"/>
    <w:rsid w:val="003E1441"/>
    <w:rsid w:val="003E1B5F"/>
    <w:rsid w:val="003E2198"/>
    <w:rsid w:val="003E330D"/>
    <w:rsid w:val="003E4829"/>
    <w:rsid w:val="003E4D8A"/>
    <w:rsid w:val="003E55E0"/>
    <w:rsid w:val="003E5674"/>
    <w:rsid w:val="003F1982"/>
    <w:rsid w:val="003F22C7"/>
    <w:rsid w:val="003F230B"/>
    <w:rsid w:val="003F3DAA"/>
    <w:rsid w:val="003F513E"/>
    <w:rsid w:val="003F5D02"/>
    <w:rsid w:val="003F676E"/>
    <w:rsid w:val="00400319"/>
    <w:rsid w:val="00401D64"/>
    <w:rsid w:val="0040269A"/>
    <w:rsid w:val="00402E47"/>
    <w:rsid w:val="00403382"/>
    <w:rsid w:val="00403929"/>
    <w:rsid w:val="00403A49"/>
    <w:rsid w:val="004045F4"/>
    <w:rsid w:val="00405174"/>
    <w:rsid w:val="00405372"/>
    <w:rsid w:val="00406AA9"/>
    <w:rsid w:val="00412BCF"/>
    <w:rsid w:val="00413E9F"/>
    <w:rsid w:val="004146EF"/>
    <w:rsid w:val="00414828"/>
    <w:rsid w:val="00414983"/>
    <w:rsid w:val="004164A0"/>
    <w:rsid w:val="004217CA"/>
    <w:rsid w:val="00421894"/>
    <w:rsid w:val="00422C9B"/>
    <w:rsid w:val="00422CBC"/>
    <w:rsid w:val="00423839"/>
    <w:rsid w:val="00423AA6"/>
    <w:rsid w:val="0042476D"/>
    <w:rsid w:val="00424B0A"/>
    <w:rsid w:val="004262CE"/>
    <w:rsid w:val="00427A55"/>
    <w:rsid w:val="004304A7"/>
    <w:rsid w:val="004314BF"/>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E70"/>
    <w:rsid w:val="00460FB7"/>
    <w:rsid w:val="00461C35"/>
    <w:rsid w:val="0046208B"/>
    <w:rsid w:val="004634E6"/>
    <w:rsid w:val="004647C0"/>
    <w:rsid w:val="004649F1"/>
    <w:rsid w:val="00465D0F"/>
    <w:rsid w:val="00466863"/>
    <w:rsid w:val="00466C35"/>
    <w:rsid w:val="00466D79"/>
    <w:rsid w:val="00470A5F"/>
    <w:rsid w:val="00472A5B"/>
    <w:rsid w:val="00474357"/>
    <w:rsid w:val="004756B6"/>
    <w:rsid w:val="00476037"/>
    <w:rsid w:val="0047723D"/>
    <w:rsid w:val="004773E0"/>
    <w:rsid w:val="00477576"/>
    <w:rsid w:val="0047795F"/>
    <w:rsid w:val="00477FBF"/>
    <w:rsid w:val="00480D74"/>
    <w:rsid w:val="004816C6"/>
    <w:rsid w:val="00482A2D"/>
    <w:rsid w:val="004850A1"/>
    <w:rsid w:val="00486117"/>
    <w:rsid w:val="00486A68"/>
    <w:rsid w:val="00487253"/>
    <w:rsid w:val="004903AC"/>
    <w:rsid w:val="00490DEA"/>
    <w:rsid w:val="00491167"/>
    <w:rsid w:val="0049143C"/>
    <w:rsid w:val="00493F7F"/>
    <w:rsid w:val="004940C4"/>
    <w:rsid w:val="00494940"/>
    <w:rsid w:val="00495014"/>
    <w:rsid w:val="00495F2C"/>
    <w:rsid w:val="004A07EA"/>
    <w:rsid w:val="004A11C3"/>
    <w:rsid w:val="004A4DF1"/>
    <w:rsid w:val="004A4F04"/>
    <w:rsid w:val="004A6173"/>
    <w:rsid w:val="004B0A09"/>
    <w:rsid w:val="004B1860"/>
    <w:rsid w:val="004B21FF"/>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23F5"/>
    <w:rsid w:val="004E2CC6"/>
    <w:rsid w:val="004E6B52"/>
    <w:rsid w:val="004E6C4C"/>
    <w:rsid w:val="004F27DA"/>
    <w:rsid w:val="004F346A"/>
    <w:rsid w:val="004F61B9"/>
    <w:rsid w:val="004F66AC"/>
    <w:rsid w:val="004F69B5"/>
    <w:rsid w:val="004F7335"/>
    <w:rsid w:val="005017D2"/>
    <w:rsid w:val="005041EB"/>
    <w:rsid w:val="00504AF6"/>
    <w:rsid w:val="00504E6B"/>
    <w:rsid w:val="00504EC1"/>
    <w:rsid w:val="00504F5F"/>
    <w:rsid w:val="00505E84"/>
    <w:rsid w:val="005070E3"/>
    <w:rsid w:val="00507D74"/>
    <w:rsid w:val="0051320B"/>
    <w:rsid w:val="00514512"/>
    <w:rsid w:val="00516F4B"/>
    <w:rsid w:val="00517A63"/>
    <w:rsid w:val="00517D7F"/>
    <w:rsid w:val="00520731"/>
    <w:rsid w:val="00521574"/>
    <w:rsid w:val="00523ACE"/>
    <w:rsid w:val="00524065"/>
    <w:rsid w:val="00524358"/>
    <w:rsid w:val="00525BFD"/>
    <w:rsid w:val="00530E04"/>
    <w:rsid w:val="0053257C"/>
    <w:rsid w:val="0053272F"/>
    <w:rsid w:val="0053367C"/>
    <w:rsid w:val="00533970"/>
    <w:rsid w:val="00533B2D"/>
    <w:rsid w:val="00534F05"/>
    <w:rsid w:val="00540944"/>
    <w:rsid w:val="00540B8A"/>
    <w:rsid w:val="00541668"/>
    <w:rsid w:val="00542741"/>
    <w:rsid w:val="00542BDA"/>
    <w:rsid w:val="00543085"/>
    <w:rsid w:val="00544FC5"/>
    <w:rsid w:val="00545DC5"/>
    <w:rsid w:val="00546508"/>
    <w:rsid w:val="00547E8F"/>
    <w:rsid w:val="00550F90"/>
    <w:rsid w:val="005512D4"/>
    <w:rsid w:val="00551D01"/>
    <w:rsid w:val="0055305F"/>
    <w:rsid w:val="005561B1"/>
    <w:rsid w:val="005565BE"/>
    <w:rsid w:val="005567F4"/>
    <w:rsid w:val="005575E8"/>
    <w:rsid w:val="005575F0"/>
    <w:rsid w:val="005625F4"/>
    <w:rsid w:val="005627D0"/>
    <w:rsid w:val="00562AF2"/>
    <w:rsid w:val="00563A06"/>
    <w:rsid w:val="00564EEA"/>
    <w:rsid w:val="00565FD2"/>
    <w:rsid w:val="00566B14"/>
    <w:rsid w:val="00570B51"/>
    <w:rsid w:val="00570D2C"/>
    <w:rsid w:val="00571158"/>
    <w:rsid w:val="005729FD"/>
    <w:rsid w:val="00574B6E"/>
    <w:rsid w:val="00574C00"/>
    <w:rsid w:val="00575026"/>
    <w:rsid w:val="00575DD5"/>
    <w:rsid w:val="00576016"/>
    <w:rsid w:val="005761CC"/>
    <w:rsid w:val="00576207"/>
    <w:rsid w:val="00576505"/>
    <w:rsid w:val="005815C8"/>
    <w:rsid w:val="00581E1C"/>
    <w:rsid w:val="00581F51"/>
    <w:rsid w:val="00582663"/>
    <w:rsid w:val="00582C7E"/>
    <w:rsid w:val="00592B01"/>
    <w:rsid w:val="00592DB1"/>
    <w:rsid w:val="005935E4"/>
    <w:rsid w:val="00593BC6"/>
    <w:rsid w:val="00594573"/>
    <w:rsid w:val="00595C0F"/>
    <w:rsid w:val="00595F74"/>
    <w:rsid w:val="00596B93"/>
    <w:rsid w:val="005A0868"/>
    <w:rsid w:val="005A0A2F"/>
    <w:rsid w:val="005A1FB0"/>
    <w:rsid w:val="005A5440"/>
    <w:rsid w:val="005A5A01"/>
    <w:rsid w:val="005A5F29"/>
    <w:rsid w:val="005A7C11"/>
    <w:rsid w:val="005B198A"/>
    <w:rsid w:val="005B1FDC"/>
    <w:rsid w:val="005B75A0"/>
    <w:rsid w:val="005C201D"/>
    <w:rsid w:val="005C3E8E"/>
    <w:rsid w:val="005C4361"/>
    <w:rsid w:val="005C6FBA"/>
    <w:rsid w:val="005C7FDD"/>
    <w:rsid w:val="005D2937"/>
    <w:rsid w:val="005D2B99"/>
    <w:rsid w:val="005D30ED"/>
    <w:rsid w:val="005D3C9F"/>
    <w:rsid w:val="005D47A3"/>
    <w:rsid w:val="005D53FF"/>
    <w:rsid w:val="005D5770"/>
    <w:rsid w:val="005D5EFC"/>
    <w:rsid w:val="005E13EA"/>
    <w:rsid w:val="005E2F61"/>
    <w:rsid w:val="005E370A"/>
    <w:rsid w:val="005E5225"/>
    <w:rsid w:val="005E58A8"/>
    <w:rsid w:val="005F15CB"/>
    <w:rsid w:val="005F485C"/>
    <w:rsid w:val="005F4FE9"/>
    <w:rsid w:val="005F5578"/>
    <w:rsid w:val="006005FF"/>
    <w:rsid w:val="00601D6D"/>
    <w:rsid w:val="00601E38"/>
    <w:rsid w:val="006024AB"/>
    <w:rsid w:val="00603C85"/>
    <w:rsid w:val="006050A3"/>
    <w:rsid w:val="006054BA"/>
    <w:rsid w:val="00605AF1"/>
    <w:rsid w:val="006069A6"/>
    <w:rsid w:val="00606E2B"/>
    <w:rsid w:val="00611143"/>
    <w:rsid w:val="0061115A"/>
    <w:rsid w:val="00611545"/>
    <w:rsid w:val="006146DD"/>
    <w:rsid w:val="00614D8A"/>
    <w:rsid w:val="00615446"/>
    <w:rsid w:val="00616008"/>
    <w:rsid w:val="00621BB8"/>
    <w:rsid w:val="00622C36"/>
    <w:rsid w:val="00622DC0"/>
    <w:rsid w:val="00623FE0"/>
    <w:rsid w:val="0062419E"/>
    <w:rsid w:val="00624AD9"/>
    <w:rsid w:val="00625436"/>
    <w:rsid w:val="006266CC"/>
    <w:rsid w:val="00626C2D"/>
    <w:rsid w:val="006273E4"/>
    <w:rsid w:val="006324AE"/>
    <w:rsid w:val="00632BEE"/>
    <w:rsid w:val="00632D4B"/>
    <w:rsid w:val="00633BA9"/>
    <w:rsid w:val="00633BC2"/>
    <w:rsid w:val="00634631"/>
    <w:rsid w:val="00634B86"/>
    <w:rsid w:val="0063505C"/>
    <w:rsid w:val="0063542C"/>
    <w:rsid w:val="006356F8"/>
    <w:rsid w:val="0063796D"/>
    <w:rsid w:val="00637FD9"/>
    <w:rsid w:val="0064024D"/>
    <w:rsid w:val="0064098A"/>
    <w:rsid w:val="0064120A"/>
    <w:rsid w:val="00641578"/>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7BC4"/>
    <w:rsid w:val="00670599"/>
    <w:rsid w:val="00671962"/>
    <w:rsid w:val="00672D72"/>
    <w:rsid w:val="00673BDC"/>
    <w:rsid w:val="00676B67"/>
    <w:rsid w:val="00680A72"/>
    <w:rsid w:val="00681E68"/>
    <w:rsid w:val="00682EC3"/>
    <w:rsid w:val="0068309E"/>
    <w:rsid w:val="00683168"/>
    <w:rsid w:val="00683227"/>
    <w:rsid w:val="00683F16"/>
    <w:rsid w:val="006852E6"/>
    <w:rsid w:val="00685838"/>
    <w:rsid w:val="00685C32"/>
    <w:rsid w:val="0068714A"/>
    <w:rsid w:val="00687A24"/>
    <w:rsid w:val="00690B89"/>
    <w:rsid w:val="0069149A"/>
    <w:rsid w:val="006965D0"/>
    <w:rsid w:val="006A12EC"/>
    <w:rsid w:val="006A32A4"/>
    <w:rsid w:val="006A4A53"/>
    <w:rsid w:val="006A52FF"/>
    <w:rsid w:val="006A57AF"/>
    <w:rsid w:val="006A67F6"/>
    <w:rsid w:val="006A75A2"/>
    <w:rsid w:val="006B0746"/>
    <w:rsid w:val="006B3E16"/>
    <w:rsid w:val="006B486A"/>
    <w:rsid w:val="006B581A"/>
    <w:rsid w:val="006C078E"/>
    <w:rsid w:val="006C11E5"/>
    <w:rsid w:val="006C230E"/>
    <w:rsid w:val="006C2468"/>
    <w:rsid w:val="006C2F8A"/>
    <w:rsid w:val="006C3FCE"/>
    <w:rsid w:val="006C5680"/>
    <w:rsid w:val="006C5F8E"/>
    <w:rsid w:val="006C7F63"/>
    <w:rsid w:val="006D13E5"/>
    <w:rsid w:val="006D2F9C"/>
    <w:rsid w:val="006D3BA1"/>
    <w:rsid w:val="006D4E7C"/>
    <w:rsid w:val="006D6B85"/>
    <w:rsid w:val="006E07FB"/>
    <w:rsid w:val="006E1337"/>
    <w:rsid w:val="006E29DB"/>
    <w:rsid w:val="006E44AE"/>
    <w:rsid w:val="006E4AA4"/>
    <w:rsid w:val="006E5601"/>
    <w:rsid w:val="006E61B3"/>
    <w:rsid w:val="006E7826"/>
    <w:rsid w:val="006F2682"/>
    <w:rsid w:val="006F463B"/>
    <w:rsid w:val="006F4845"/>
    <w:rsid w:val="006F4B6C"/>
    <w:rsid w:val="006F702D"/>
    <w:rsid w:val="007015E7"/>
    <w:rsid w:val="00701867"/>
    <w:rsid w:val="00702075"/>
    <w:rsid w:val="007020B3"/>
    <w:rsid w:val="0070210F"/>
    <w:rsid w:val="007038C4"/>
    <w:rsid w:val="00703BB8"/>
    <w:rsid w:val="0070405D"/>
    <w:rsid w:val="00704131"/>
    <w:rsid w:val="0070607D"/>
    <w:rsid w:val="0070639F"/>
    <w:rsid w:val="00706F41"/>
    <w:rsid w:val="007072D7"/>
    <w:rsid w:val="00710652"/>
    <w:rsid w:val="00711016"/>
    <w:rsid w:val="00712AD0"/>
    <w:rsid w:val="00712D94"/>
    <w:rsid w:val="007145CB"/>
    <w:rsid w:val="0071505A"/>
    <w:rsid w:val="00715C16"/>
    <w:rsid w:val="0071719D"/>
    <w:rsid w:val="0072039B"/>
    <w:rsid w:val="00720CF5"/>
    <w:rsid w:val="0072249B"/>
    <w:rsid w:val="0072268E"/>
    <w:rsid w:val="0072292E"/>
    <w:rsid w:val="007248D9"/>
    <w:rsid w:val="0072547A"/>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3EF"/>
    <w:rsid w:val="00737428"/>
    <w:rsid w:val="00737671"/>
    <w:rsid w:val="00737D50"/>
    <w:rsid w:val="0074069D"/>
    <w:rsid w:val="00740BDC"/>
    <w:rsid w:val="00742FB5"/>
    <w:rsid w:val="007437B7"/>
    <w:rsid w:val="00744F45"/>
    <w:rsid w:val="00745FC2"/>
    <w:rsid w:val="0074727A"/>
    <w:rsid w:val="00747760"/>
    <w:rsid w:val="00747EEE"/>
    <w:rsid w:val="00750132"/>
    <w:rsid w:val="0075209A"/>
    <w:rsid w:val="00752D23"/>
    <w:rsid w:val="00753E6A"/>
    <w:rsid w:val="00754B67"/>
    <w:rsid w:val="007566E4"/>
    <w:rsid w:val="00756A68"/>
    <w:rsid w:val="00756B1E"/>
    <w:rsid w:val="00760CA8"/>
    <w:rsid w:val="00762631"/>
    <w:rsid w:val="00762929"/>
    <w:rsid w:val="007631ED"/>
    <w:rsid w:val="00763CAC"/>
    <w:rsid w:val="00764049"/>
    <w:rsid w:val="00764CBC"/>
    <w:rsid w:val="00764CD2"/>
    <w:rsid w:val="00764F1B"/>
    <w:rsid w:val="00765808"/>
    <w:rsid w:val="0076584E"/>
    <w:rsid w:val="00765C13"/>
    <w:rsid w:val="00765D68"/>
    <w:rsid w:val="00766709"/>
    <w:rsid w:val="00770809"/>
    <w:rsid w:val="00772557"/>
    <w:rsid w:val="00773CA3"/>
    <w:rsid w:val="00775BB4"/>
    <w:rsid w:val="00776E1B"/>
    <w:rsid w:val="00780FBE"/>
    <w:rsid w:val="0078177E"/>
    <w:rsid w:val="0078184A"/>
    <w:rsid w:val="00782AAD"/>
    <w:rsid w:val="00782E51"/>
    <w:rsid w:val="007831B3"/>
    <w:rsid w:val="00784259"/>
    <w:rsid w:val="007874C4"/>
    <w:rsid w:val="00792E7B"/>
    <w:rsid w:val="007942A7"/>
    <w:rsid w:val="007947E9"/>
    <w:rsid w:val="00794CAC"/>
    <w:rsid w:val="00797A85"/>
    <w:rsid w:val="007A1C17"/>
    <w:rsid w:val="007A211F"/>
    <w:rsid w:val="007A36E0"/>
    <w:rsid w:val="007A379A"/>
    <w:rsid w:val="007A3C43"/>
    <w:rsid w:val="007A4C1B"/>
    <w:rsid w:val="007A68CD"/>
    <w:rsid w:val="007A7087"/>
    <w:rsid w:val="007B0257"/>
    <w:rsid w:val="007B056D"/>
    <w:rsid w:val="007B2389"/>
    <w:rsid w:val="007B27CB"/>
    <w:rsid w:val="007B30EE"/>
    <w:rsid w:val="007B6172"/>
    <w:rsid w:val="007B70C7"/>
    <w:rsid w:val="007B7B59"/>
    <w:rsid w:val="007B7C7D"/>
    <w:rsid w:val="007C037B"/>
    <w:rsid w:val="007C0523"/>
    <w:rsid w:val="007C182F"/>
    <w:rsid w:val="007C430F"/>
    <w:rsid w:val="007C64D5"/>
    <w:rsid w:val="007C6F86"/>
    <w:rsid w:val="007D0BDF"/>
    <w:rsid w:val="007D1F9F"/>
    <w:rsid w:val="007D25D5"/>
    <w:rsid w:val="007D3376"/>
    <w:rsid w:val="007D3DBE"/>
    <w:rsid w:val="007D3E81"/>
    <w:rsid w:val="007D41CC"/>
    <w:rsid w:val="007D4DC6"/>
    <w:rsid w:val="007D58E6"/>
    <w:rsid w:val="007D58FE"/>
    <w:rsid w:val="007D6561"/>
    <w:rsid w:val="007D6C58"/>
    <w:rsid w:val="007D6F08"/>
    <w:rsid w:val="007E05E4"/>
    <w:rsid w:val="007E1D2E"/>
    <w:rsid w:val="007E4B08"/>
    <w:rsid w:val="007E5948"/>
    <w:rsid w:val="007E6602"/>
    <w:rsid w:val="007E6C97"/>
    <w:rsid w:val="007E7F27"/>
    <w:rsid w:val="007F06A9"/>
    <w:rsid w:val="007F3002"/>
    <w:rsid w:val="007F5087"/>
    <w:rsid w:val="007F5D0A"/>
    <w:rsid w:val="008000D5"/>
    <w:rsid w:val="00800D6D"/>
    <w:rsid w:val="00801F65"/>
    <w:rsid w:val="008023F0"/>
    <w:rsid w:val="00802488"/>
    <w:rsid w:val="00802FF9"/>
    <w:rsid w:val="00805821"/>
    <w:rsid w:val="008064A5"/>
    <w:rsid w:val="00810A59"/>
    <w:rsid w:val="008111C0"/>
    <w:rsid w:val="00811C9C"/>
    <w:rsid w:val="00812AF9"/>
    <w:rsid w:val="00815B38"/>
    <w:rsid w:val="008166ED"/>
    <w:rsid w:val="00817522"/>
    <w:rsid w:val="00821F4E"/>
    <w:rsid w:val="00823F17"/>
    <w:rsid w:val="00824EAC"/>
    <w:rsid w:val="0082522D"/>
    <w:rsid w:val="00825C5D"/>
    <w:rsid w:val="00825EEA"/>
    <w:rsid w:val="008269D0"/>
    <w:rsid w:val="008276A2"/>
    <w:rsid w:val="00832644"/>
    <w:rsid w:val="00833834"/>
    <w:rsid w:val="008340B5"/>
    <w:rsid w:val="008342E9"/>
    <w:rsid w:val="00834CC0"/>
    <w:rsid w:val="00834DC2"/>
    <w:rsid w:val="00835D0B"/>
    <w:rsid w:val="008361EF"/>
    <w:rsid w:val="008369BD"/>
    <w:rsid w:val="00836A3F"/>
    <w:rsid w:val="00836D73"/>
    <w:rsid w:val="00836D8E"/>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4F55"/>
    <w:rsid w:val="008550DF"/>
    <w:rsid w:val="0085632A"/>
    <w:rsid w:val="00856BFE"/>
    <w:rsid w:val="00857840"/>
    <w:rsid w:val="00860188"/>
    <w:rsid w:val="00861CC3"/>
    <w:rsid w:val="00861EB4"/>
    <w:rsid w:val="00862FC2"/>
    <w:rsid w:val="008631AD"/>
    <w:rsid w:val="00863383"/>
    <w:rsid w:val="008634AA"/>
    <w:rsid w:val="0086350E"/>
    <w:rsid w:val="00865026"/>
    <w:rsid w:val="00865365"/>
    <w:rsid w:val="00866232"/>
    <w:rsid w:val="00866BC1"/>
    <w:rsid w:val="008674D0"/>
    <w:rsid w:val="008674EE"/>
    <w:rsid w:val="00867AC1"/>
    <w:rsid w:val="00867D02"/>
    <w:rsid w:val="00871D48"/>
    <w:rsid w:val="00872B23"/>
    <w:rsid w:val="00874251"/>
    <w:rsid w:val="00874C4A"/>
    <w:rsid w:val="0087772C"/>
    <w:rsid w:val="0087790F"/>
    <w:rsid w:val="0088076E"/>
    <w:rsid w:val="00880C1C"/>
    <w:rsid w:val="00880EA2"/>
    <w:rsid w:val="00880F21"/>
    <w:rsid w:val="00881155"/>
    <w:rsid w:val="008827C6"/>
    <w:rsid w:val="00883B51"/>
    <w:rsid w:val="008851B3"/>
    <w:rsid w:val="00887E3D"/>
    <w:rsid w:val="00890324"/>
    <w:rsid w:val="008907EE"/>
    <w:rsid w:val="00891C7E"/>
    <w:rsid w:val="0089379E"/>
    <w:rsid w:val="008967D3"/>
    <w:rsid w:val="00896A24"/>
    <w:rsid w:val="00897C9C"/>
    <w:rsid w:val="00897F1B"/>
    <w:rsid w:val="008A16B8"/>
    <w:rsid w:val="008A194F"/>
    <w:rsid w:val="008A20BE"/>
    <w:rsid w:val="008A2C58"/>
    <w:rsid w:val="008A349E"/>
    <w:rsid w:val="008A426C"/>
    <w:rsid w:val="008A538A"/>
    <w:rsid w:val="008A577D"/>
    <w:rsid w:val="008A6A7C"/>
    <w:rsid w:val="008B05F8"/>
    <w:rsid w:val="008B064E"/>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4E91"/>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3F8"/>
    <w:rsid w:val="00921B41"/>
    <w:rsid w:val="00922D1D"/>
    <w:rsid w:val="00922D43"/>
    <w:rsid w:val="00926C6E"/>
    <w:rsid w:val="00927255"/>
    <w:rsid w:val="009273DB"/>
    <w:rsid w:val="00927870"/>
    <w:rsid w:val="00931093"/>
    <w:rsid w:val="00931A07"/>
    <w:rsid w:val="00932805"/>
    <w:rsid w:val="00933A42"/>
    <w:rsid w:val="009340F2"/>
    <w:rsid w:val="009372B9"/>
    <w:rsid w:val="00940BF0"/>
    <w:rsid w:val="00941D8A"/>
    <w:rsid w:val="00942054"/>
    <w:rsid w:val="00944DAA"/>
    <w:rsid w:val="009462B6"/>
    <w:rsid w:val="00946FA4"/>
    <w:rsid w:val="00951168"/>
    <w:rsid w:val="00951B01"/>
    <w:rsid w:val="00952209"/>
    <w:rsid w:val="00955400"/>
    <w:rsid w:val="00956BB1"/>
    <w:rsid w:val="00956F5C"/>
    <w:rsid w:val="00960617"/>
    <w:rsid w:val="0096076B"/>
    <w:rsid w:val="0096226E"/>
    <w:rsid w:val="0096275C"/>
    <w:rsid w:val="0096285B"/>
    <w:rsid w:val="00964A8B"/>
    <w:rsid w:val="00965331"/>
    <w:rsid w:val="00965338"/>
    <w:rsid w:val="00965483"/>
    <w:rsid w:val="009666B0"/>
    <w:rsid w:val="009758A5"/>
    <w:rsid w:val="009759B0"/>
    <w:rsid w:val="00975F30"/>
    <w:rsid w:val="00977224"/>
    <w:rsid w:val="0098003F"/>
    <w:rsid w:val="009808AA"/>
    <w:rsid w:val="00980CCB"/>
    <w:rsid w:val="00981177"/>
    <w:rsid w:val="00981B55"/>
    <w:rsid w:val="00983F3F"/>
    <w:rsid w:val="0098427E"/>
    <w:rsid w:val="00985228"/>
    <w:rsid w:val="009861E6"/>
    <w:rsid w:val="00986869"/>
    <w:rsid w:val="00986FB1"/>
    <w:rsid w:val="0098718A"/>
    <w:rsid w:val="0098771F"/>
    <w:rsid w:val="00991296"/>
    <w:rsid w:val="009926A4"/>
    <w:rsid w:val="00993AE0"/>
    <w:rsid w:val="00993F23"/>
    <w:rsid w:val="0099425B"/>
    <w:rsid w:val="009960D3"/>
    <w:rsid w:val="00996724"/>
    <w:rsid w:val="009A07EF"/>
    <w:rsid w:val="009A0F69"/>
    <w:rsid w:val="009A1090"/>
    <w:rsid w:val="009A10DA"/>
    <w:rsid w:val="009A393E"/>
    <w:rsid w:val="009A4953"/>
    <w:rsid w:val="009B0D12"/>
    <w:rsid w:val="009B1032"/>
    <w:rsid w:val="009B1D0D"/>
    <w:rsid w:val="009B1F30"/>
    <w:rsid w:val="009B440A"/>
    <w:rsid w:val="009B4884"/>
    <w:rsid w:val="009B4A81"/>
    <w:rsid w:val="009B5F79"/>
    <w:rsid w:val="009B653F"/>
    <w:rsid w:val="009C02A0"/>
    <w:rsid w:val="009C086B"/>
    <w:rsid w:val="009C0A78"/>
    <w:rsid w:val="009C0B40"/>
    <w:rsid w:val="009C140E"/>
    <w:rsid w:val="009C1BD1"/>
    <w:rsid w:val="009C1E9B"/>
    <w:rsid w:val="009C22F4"/>
    <w:rsid w:val="009C2AD4"/>
    <w:rsid w:val="009C48A3"/>
    <w:rsid w:val="009C4990"/>
    <w:rsid w:val="009C5544"/>
    <w:rsid w:val="009C5CE6"/>
    <w:rsid w:val="009C5D61"/>
    <w:rsid w:val="009C6825"/>
    <w:rsid w:val="009C72C8"/>
    <w:rsid w:val="009D0F34"/>
    <w:rsid w:val="009D1A60"/>
    <w:rsid w:val="009D3AE5"/>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E6F9A"/>
    <w:rsid w:val="009F1D55"/>
    <w:rsid w:val="009F213D"/>
    <w:rsid w:val="009F27B4"/>
    <w:rsid w:val="009F295D"/>
    <w:rsid w:val="009F417C"/>
    <w:rsid w:val="009F5C6A"/>
    <w:rsid w:val="009F5E32"/>
    <w:rsid w:val="009F65EA"/>
    <w:rsid w:val="009F6D7D"/>
    <w:rsid w:val="00A01F35"/>
    <w:rsid w:val="00A035B0"/>
    <w:rsid w:val="00A043BD"/>
    <w:rsid w:val="00A04998"/>
    <w:rsid w:val="00A04CFB"/>
    <w:rsid w:val="00A052A1"/>
    <w:rsid w:val="00A0597E"/>
    <w:rsid w:val="00A072B4"/>
    <w:rsid w:val="00A07F7A"/>
    <w:rsid w:val="00A128EA"/>
    <w:rsid w:val="00A12A7F"/>
    <w:rsid w:val="00A13BC2"/>
    <w:rsid w:val="00A150AF"/>
    <w:rsid w:val="00A15500"/>
    <w:rsid w:val="00A1610F"/>
    <w:rsid w:val="00A20B81"/>
    <w:rsid w:val="00A225AD"/>
    <w:rsid w:val="00A225C7"/>
    <w:rsid w:val="00A256D4"/>
    <w:rsid w:val="00A26555"/>
    <w:rsid w:val="00A269BE"/>
    <w:rsid w:val="00A27E53"/>
    <w:rsid w:val="00A30A8B"/>
    <w:rsid w:val="00A310F7"/>
    <w:rsid w:val="00A33B3B"/>
    <w:rsid w:val="00A34F9D"/>
    <w:rsid w:val="00A3594A"/>
    <w:rsid w:val="00A36161"/>
    <w:rsid w:val="00A36631"/>
    <w:rsid w:val="00A3789A"/>
    <w:rsid w:val="00A40BF4"/>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1E56"/>
    <w:rsid w:val="00A62860"/>
    <w:rsid w:val="00A62ABD"/>
    <w:rsid w:val="00A64C99"/>
    <w:rsid w:val="00A735EC"/>
    <w:rsid w:val="00A74177"/>
    <w:rsid w:val="00A753BE"/>
    <w:rsid w:val="00A80C20"/>
    <w:rsid w:val="00A81493"/>
    <w:rsid w:val="00A81DD5"/>
    <w:rsid w:val="00A823C9"/>
    <w:rsid w:val="00A83523"/>
    <w:rsid w:val="00A846B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46D5"/>
    <w:rsid w:val="00AB47E8"/>
    <w:rsid w:val="00AB5F33"/>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1D19"/>
    <w:rsid w:val="00AD2C35"/>
    <w:rsid w:val="00AD4CC2"/>
    <w:rsid w:val="00AD5C59"/>
    <w:rsid w:val="00AD5F43"/>
    <w:rsid w:val="00AD6170"/>
    <w:rsid w:val="00AE2AA0"/>
    <w:rsid w:val="00AE2CEA"/>
    <w:rsid w:val="00AE3045"/>
    <w:rsid w:val="00AE33CD"/>
    <w:rsid w:val="00AE3C13"/>
    <w:rsid w:val="00AE509A"/>
    <w:rsid w:val="00AE6A20"/>
    <w:rsid w:val="00AE6E95"/>
    <w:rsid w:val="00AF0999"/>
    <w:rsid w:val="00AF0D02"/>
    <w:rsid w:val="00AF12C4"/>
    <w:rsid w:val="00AF21A4"/>
    <w:rsid w:val="00AF3E13"/>
    <w:rsid w:val="00AF4493"/>
    <w:rsid w:val="00AF4FDD"/>
    <w:rsid w:val="00AF5864"/>
    <w:rsid w:val="00AF7EDF"/>
    <w:rsid w:val="00B01670"/>
    <w:rsid w:val="00B02D10"/>
    <w:rsid w:val="00B02ED1"/>
    <w:rsid w:val="00B04C13"/>
    <w:rsid w:val="00B05254"/>
    <w:rsid w:val="00B05A20"/>
    <w:rsid w:val="00B05EC1"/>
    <w:rsid w:val="00B06717"/>
    <w:rsid w:val="00B0769C"/>
    <w:rsid w:val="00B1061E"/>
    <w:rsid w:val="00B10C22"/>
    <w:rsid w:val="00B10EED"/>
    <w:rsid w:val="00B1332F"/>
    <w:rsid w:val="00B13670"/>
    <w:rsid w:val="00B1417F"/>
    <w:rsid w:val="00B145D0"/>
    <w:rsid w:val="00B154A1"/>
    <w:rsid w:val="00B163DB"/>
    <w:rsid w:val="00B175F0"/>
    <w:rsid w:val="00B17BA1"/>
    <w:rsid w:val="00B20655"/>
    <w:rsid w:val="00B21410"/>
    <w:rsid w:val="00B227ED"/>
    <w:rsid w:val="00B23C22"/>
    <w:rsid w:val="00B2552B"/>
    <w:rsid w:val="00B25D8D"/>
    <w:rsid w:val="00B265F0"/>
    <w:rsid w:val="00B26A33"/>
    <w:rsid w:val="00B27CF9"/>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1D86"/>
    <w:rsid w:val="00B522AE"/>
    <w:rsid w:val="00B529F0"/>
    <w:rsid w:val="00B52DB0"/>
    <w:rsid w:val="00B53971"/>
    <w:rsid w:val="00B5502A"/>
    <w:rsid w:val="00B55F1A"/>
    <w:rsid w:val="00B57039"/>
    <w:rsid w:val="00B60B2A"/>
    <w:rsid w:val="00B60EDD"/>
    <w:rsid w:val="00B63160"/>
    <w:rsid w:val="00B63F92"/>
    <w:rsid w:val="00B64173"/>
    <w:rsid w:val="00B645AC"/>
    <w:rsid w:val="00B64A01"/>
    <w:rsid w:val="00B64CF8"/>
    <w:rsid w:val="00B65B2B"/>
    <w:rsid w:val="00B65D8F"/>
    <w:rsid w:val="00B65E56"/>
    <w:rsid w:val="00B66C37"/>
    <w:rsid w:val="00B679A9"/>
    <w:rsid w:val="00B67D94"/>
    <w:rsid w:val="00B7196D"/>
    <w:rsid w:val="00B71FC0"/>
    <w:rsid w:val="00B72013"/>
    <w:rsid w:val="00B736D5"/>
    <w:rsid w:val="00B7428E"/>
    <w:rsid w:val="00B74871"/>
    <w:rsid w:val="00B75CF4"/>
    <w:rsid w:val="00B75D3A"/>
    <w:rsid w:val="00B803CA"/>
    <w:rsid w:val="00B80CC5"/>
    <w:rsid w:val="00B82411"/>
    <w:rsid w:val="00B83E0E"/>
    <w:rsid w:val="00B845A9"/>
    <w:rsid w:val="00B8716D"/>
    <w:rsid w:val="00B87A29"/>
    <w:rsid w:val="00B87F76"/>
    <w:rsid w:val="00B906F3"/>
    <w:rsid w:val="00B920A9"/>
    <w:rsid w:val="00B92479"/>
    <w:rsid w:val="00B93932"/>
    <w:rsid w:val="00B94825"/>
    <w:rsid w:val="00B94B5C"/>
    <w:rsid w:val="00B96776"/>
    <w:rsid w:val="00B97B93"/>
    <w:rsid w:val="00BA02A6"/>
    <w:rsid w:val="00BA0A24"/>
    <w:rsid w:val="00BA12AB"/>
    <w:rsid w:val="00BA2335"/>
    <w:rsid w:val="00BA2B19"/>
    <w:rsid w:val="00BA516E"/>
    <w:rsid w:val="00BA5935"/>
    <w:rsid w:val="00BA664A"/>
    <w:rsid w:val="00BA715A"/>
    <w:rsid w:val="00BA7456"/>
    <w:rsid w:val="00BA7F4A"/>
    <w:rsid w:val="00BB001C"/>
    <w:rsid w:val="00BB0B24"/>
    <w:rsid w:val="00BB141F"/>
    <w:rsid w:val="00BB2B8E"/>
    <w:rsid w:val="00BB3051"/>
    <w:rsid w:val="00BB3A5E"/>
    <w:rsid w:val="00BB45F4"/>
    <w:rsid w:val="00BB5C92"/>
    <w:rsid w:val="00BB7EE1"/>
    <w:rsid w:val="00BC0F48"/>
    <w:rsid w:val="00BC17F9"/>
    <w:rsid w:val="00BC21CA"/>
    <w:rsid w:val="00BC2C66"/>
    <w:rsid w:val="00BC5030"/>
    <w:rsid w:val="00BC59A0"/>
    <w:rsid w:val="00BC79B3"/>
    <w:rsid w:val="00BC7B47"/>
    <w:rsid w:val="00BC7E15"/>
    <w:rsid w:val="00BD01F7"/>
    <w:rsid w:val="00BD26B6"/>
    <w:rsid w:val="00BD270B"/>
    <w:rsid w:val="00BD4960"/>
    <w:rsid w:val="00BD4CDA"/>
    <w:rsid w:val="00BD60AA"/>
    <w:rsid w:val="00BD731C"/>
    <w:rsid w:val="00BD7A5B"/>
    <w:rsid w:val="00BD7CB1"/>
    <w:rsid w:val="00BE121B"/>
    <w:rsid w:val="00BE2D01"/>
    <w:rsid w:val="00BE2F63"/>
    <w:rsid w:val="00BE4117"/>
    <w:rsid w:val="00BE4D0C"/>
    <w:rsid w:val="00BE4D67"/>
    <w:rsid w:val="00BE7DBD"/>
    <w:rsid w:val="00BF1BA2"/>
    <w:rsid w:val="00BF3299"/>
    <w:rsid w:val="00BF3DE4"/>
    <w:rsid w:val="00BF447C"/>
    <w:rsid w:val="00BF5590"/>
    <w:rsid w:val="00BF5D2A"/>
    <w:rsid w:val="00BF64A8"/>
    <w:rsid w:val="00BF6E18"/>
    <w:rsid w:val="00BF7B2A"/>
    <w:rsid w:val="00C00E73"/>
    <w:rsid w:val="00C02775"/>
    <w:rsid w:val="00C0573D"/>
    <w:rsid w:val="00C05AA1"/>
    <w:rsid w:val="00C06A0B"/>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6DDB"/>
    <w:rsid w:val="00C373EC"/>
    <w:rsid w:val="00C400DC"/>
    <w:rsid w:val="00C450D4"/>
    <w:rsid w:val="00C46B4A"/>
    <w:rsid w:val="00C50137"/>
    <w:rsid w:val="00C50733"/>
    <w:rsid w:val="00C511F1"/>
    <w:rsid w:val="00C513EC"/>
    <w:rsid w:val="00C51566"/>
    <w:rsid w:val="00C5173F"/>
    <w:rsid w:val="00C51810"/>
    <w:rsid w:val="00C52F97"/>
    <w:rsid w:val="00C53684"/>
    <w:rsid w:val="00C53871"/>
    <w:rsid w:val="00C54548"/>
    <w:rsid w:val="00C54BC5"/>
    <w:rsid w:val="00C56329"/>
    <w:rsid w:val="00C573F6"/>
    <w:rsid w:val="00C6009B"/>
    <w:rsid w:val="00C609A2"/>
    <w:rsid w:val="00C616F0"/>
    <w:rsid w:val="00C620F5"/>
    <w:rsid w:val="00C63361"/>
    <w:rsid w:val="00C63BCE"/>
    <w:rsid w:val="00C65CED"/>
    <w:rsid w:val="00C65F42"/>
    <w:rsid w:val="00C66ED4"/>
    <w:rsid w:val="00C675C5"/>
    <w:rsid w:val="00C71CF7"/>
    <w:rsid w:val="00C7382E"/>
    <w:rsid w:val="00C752C1"/>
    <w:rsid w:val="00C75ABE"/>
    <w:rsid w:val="00C76128"/>
    <w:rsid w:val="00C7789D"/>
    <w:rsid w:val="00C80A17"/>
    <w:rsid w:val="00C80B04"/>
    <w:rsid w:val="00C826C2"/>
    <w:rsid w:val="00C858B3"/>
    <w:rsid w:val="00C85C80"/>
    <w:rsid w:val="00C867B8"/>
    <w:rsid w:val="00C86E94"/>
    <w:rsid w:val="00C90196"/>
    <w:rsid w:val="00C9097A"/>
    <w:rsid w:val="00C90B00"/>
    <w:rsid w:val="00C94D74"/>
    <w:rsid w:val="00C96000"/>
    <w:rsid w:val="00C96A36"/>
    <w:rsid w:val="00C96B2E"/>
    <w:rsid w:val="00C970E6"/>
    <w:rsid w:val="00C9712F"/>
    <w:rsid w:val="00C9773E"/>
    <w:rsid w:val="00CA24E8"/>
    <w:rsid w:val="00CA25CA"/>
    <w:rsid w:val="00CA2C9C"/>
    <w:rsid w:val="00CA499C"/>
    <w:rsid w:val="00CA6213"/>
    <w:rsid w:val="00CB06C1"/>
    <w:rsid w:val="00CB11FF"/>
    <w:rsid w:val="00CB1955"/>
    <w:rsid w:val="00CB5465"/>
    <w:rsid w:val="00CB6454"/>
    <w:rsid w:val="00CB64D9"/>
    <w:rsid w:val="00CB76FB"/>
    <w:rsid w:val="00CB799E"/>
    <w:rsid w:val="00CC0E3B"/>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6CCD"/>
    <w:rsid w:val="00CD725A"/>
    <w:rsid w:val="00CD753C"/>
    <w:rsid w:val="00CE028A"/>
    <w:rsid w:val="00CE0741"/>
    <w:rsid w:val="00CE165E"/>
    <w:rsid w:val="00CE2B8C"/>
    <w:rsid w:val="00CE3182"/>
    <w:rsid w:val="00CE415D"/>
    <w:rsid w:val="00CE4E5B"/>
    <w:rsid w:val="00CE5BD4"/>
    <w:rsid w:val="00CE5C38"/>
    <w:rsid w:val="00CE5DAF"/>
    <w:rsid w:val="00CE5E4F"/>
    <w:rsid w:val="00CE678D"/>
    <w:rsid w:val="00CE6E5A"/>
    <w:rsid w:val="00CF005A"/>
    <w:rsid w:val="00CF01CC"/>
    <w:rsid w:val="00CF1139"/>
    <w:rsid w:val="00CF2FF0"/>
    <w:rsid w:val="00CF309B"/>
    <w:rsid w:val="00CF30D8"/>
    <w:rsid w:val="00CF3159"/>
    <w:rsid w:val="00CF3BFD"/>
    <w:rsid w:val="00CF43CE"/>
    <w:rsid w:val="00CF5A5C"/>
    <w:rsid w:val="00CF61E8"/>
    <w:rsid w:val="00CF651D"/>
    <w:rsid w:val="00CF6626"/>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321"/>
    <w:rsid w:val="00D20A0A"/>
    <w:rsid w:val="00D2307D"/>
    <w:rsid w:val="00D23FC8"/>
    <w:rsid w:val="00D244FF"/>
    <w:rsid w:val="00D2524A"/>
    <w:rsid w:val="00D2690A"/>
    <w:rsid w:val="00D31C35"/>
    <w:rsid w:val="00D32063"/>
    <w:rsid w:val="00D328FE"/>
    <w:rsid w:val="00D32D11"/>
    <w:rsid w:val="00D32DE5"/>
    <w:rsid w:val="00D35394"/>
    <w:rsid w:val="00D36C5A"/>
    <w:rsid w:val="00D3750C"/>
    <w:rsid w:val="00D3790D"/>
    <w:rsid w:val="00D37E08"/>
    <w:rsid w:val="00D4006C"/>
    <w:rsid w:val="00D4285A"/>
    <w:rsid w:val="00D437BC"/>
    <w:rsid w:val="00D44187"/>
    <w:rsid w:val="00D44AC8"/>
    <w:rsid w:val="00D45DEF"/>
    <w:rsid w:val="00D460F3"/>
    <w:rsid w:val="00D4705D"/>
    <w:rsid w:val="00D47F5B"/>
    <w:rsid w:val="00D52EC4"/>
    <w:rsid w:val="00D54C29"/>
    <w:rsid w:val="00D553EE"/>
    <w:rsid w:val="00D5634C"/>
    <w:rsid w:val="00D57662"/>
    <w:rsid w:val="00D577E8"/>
    <w:rsid w:val="00D60950"/>
    <w:rsid w:val="00D642D0"/>
    <w:rsid w:val="00D64364"/>
    <w:rsid w:val="00D64EB4"/>
    <w:rsid w:val="00D65642"/>
    <w:rsid w:val="00D661F2"/>
    <w:rsid w:val="00D66F5A"/>
    <w:rsid w:val="00D677B3"/>
    <w:rsid w:val="00D71A3A"/>
    <w:rsid w:val="00D72965"/>
    <w:rsid w:val="00D73271"/>
    <w:rsid w:val="00D751EE"/>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0BB5"/>
    <w:rsid w:val="00D913D9"/>
    <w:rsid w:val="00D943BB"/>
    <w:rsid w:val="00D94AC7"/>
    <w:rsid w:val="00D96437"/>
    <w:rsid w:val="00D97697"/>
    <w:rsid w:val="00D97905"/>
    <w:rsid w:val="00DA120C"/>
    <w:rsid w:val="00DA19D3"/>
    <w:rsid w:val="00DA261B"/>
    <w:rsid w:val="00DA4EEF"/>
    <w:rsid w:val="00DA5072"/>
    <w:rsid w:val="00DA6AB2"/>
    <w:rsid w:val="00DA7952"/>
    <w:rsid w:val="00DA7A2D"/>
    <w:rsid w:val="00DB005E"/>
    <w:rsid w:val="00DB1D9D"/>
    <w:rsid w:val="00DB3E36"/>
    <w:rsid w:val="00DB41E8"/>
    <w:rsid w:val="00DB444F"/>
    <w:rsid w:val="00DB62F4"/>
    <w:rsid w:val="00DB7061"/>
    <w:rsid w:val="00DB79D2"/>
    <w:rsid w:val="00DC062D"/>
    <w:rsid w:val="00DC0A82"/>
    <w:rsid w:val="00DC3686"/>
    <w:rsid w:val="00DC391A"/>
    <w:rsid w:val="00DC3DFD"/>
    <w:rsid w:val="00DC43E0"/>
    <w:rsid w:val="00DC4415"/>
    <w:rsid w:val="00DC5CE6"/>
    <w:rsid w:val="00DC5E32"/>
    <w:rsid w:val="00DC66BC"/>
    <w:rsid w:val="00DC7894"/>
    <w:rsid w:val="00DD1E3B"/>
    <w:rsid w:val="00DD28A9"/>
    <w:rsid w:val="00DD2F0B"/>
    <w:rsid w:val="00DD3DF6"/>
    <w:rsid w:val="00DD4400"/>
    <w:rsid w:val="00DD7A16"/>
    <w:rsid w:val="00DE2445"/>
    <w:rsid w:val="00DE34BA"/>
    <w:rsid w:val="00DE3692"/>
    <w:rsid w:val="00DE4141"/>
    <w:rsid w:val="00DE69E2"/>
    <w:rsid w:val="00DE6DF3"/>
    <w:rsid w:val="00DE78A5"/>
    <w:rsid w:val="00DF12AE"/>
    <w:rsid w:val="00DF15D5"/>
    <w:rsid w:val="00DF2A2F"/>
    <w:rsid w:val="00DF3970"/>
    <w:rsid w:val="00DF3A31"/>
    <w:rsid w:val="00DF4495"/>
    <w:rsid w:val="00DF671A"/>
    <w:rsid w:val="00DF6A62"/>
    <w:rsid w:val="00DF75F0"/>
    <w:rsid w:val="00E001A3"/>
    <w:rsid w:val="00E00543"/>
    <w:rsid w:val="00E01B25"/>
    <w:rsid w:val="00E0228D"/>
    <w:rsid w:val="00E03ABC"/>
    <w:rsid w:val="00E04507"/>
    <w:rsid w:val="00E0613E"/>
    <w:rsid w:val="00E0645D"/>
    <w:rsid w:val="00E07A83"/>
    <w:rsid w:val="00E10F19"/>
    <w:rsid w:val="00E11EB4"/>
    <w:rsid w:val="00E15013"/>
    <w:rsid w:val="00E15889"/>
    <w:rsid w:val="00E17206"/>
    <w:rsid w:val="00E176AF"/>
    <w:rsid w:val="00E20669"/>
    <w:rsid w:val="00E2235D"/>
    <w:rsid w:val="00E22C87"/>
    <w:rsid w:val="00E23AF6"/>
    <w:rsid w:val="00E24425"/>
    <w:rsid w:val="00E25555"/>
    <w:rsid w:val="00E267B1"/>
    <w:rsid w:val="00E277C6"/>
    <w:rsid w:val="00E3183D"/>
    <w:rsid w:val="00E32CAF"/>
    <w:rsid w:val="00E32CCB"/>
    <w:rsid w:val="00E32F8F"/>
    <w:rsid w:val="00E33990"/>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7F9"/>
    <w:rsid w:val="00E82AEF"/>
    <w:rsid w:val="00E82FE3"/>
    <w:rsid w:val="00E843B4"/>
    <w:rsid w:val="00E86435"/>
    <w:rsid w:val="00E86580"/>
    <w:rsid w:val="00E86788"/>
    <w:rsid w:val="00E86C64"/>
    <w:rsid w:val="00E90227"/>
    <w:rsid w:val="00E92520"/>
    <w:rsid w:val="00E9324D"/>
    <w:rsid w:val="00E95517"/>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839"/>
    <w:rsid w:val="00EC7FAC"/>
    <w:rsid w:val="00ED011A"/>
    <w:rsid w:val="00ED0BA8"/>
    <w:rsid w:val="00ED2205"/>
    <w:rsid w:val="00ED477A"/>
    <w:rsid w:val="00ED5834"/>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0D81"/>
    <w:rsid w:val="00EF11C6"/>
    <w:rsid w:val="00EF1EF8"/>
    <w:rsid w:val="00EF394C"/>
    <w:rsid w:val="00EF524A"/>
    <w:rsid w:val="00EF6473"/>
    <w:rsid w:val="00F0002F"/>
    <w:rsid w:val="00F006F5"/>
    <w:rsid w:val="00F00F9A"/>
    <w:rsid w:val="00F01B8A"/>
    <w:rsid w:val="00F026CE"/>
    <w:rsid w:val="00F03833"/>
    <w:rsid w:val="00F041A6"/>
    <w:rsid w:val="00F103B9"/>
    <w:rsid w:val="00F10CCE"/>
    <w:rsid w:val="00F112B8"/>
    <w:rsid w:val="00F122CD"/>
    <w:rsid w:val="00F125A2"/>
    <w:rsid w:val="00F146EB"/>
    <w:rsid w:val="00F153CA"/>
    <w:rsid w:val="00F215A6"/>
    <w:rsid w:val="00F216C1"/>
    <w:rsid w:val="00F224DD"/>
    <w:rsid w:val="00F248CB"/>
    <w:rsid w:val="00F24E42"/>
    <w:rsid w:val="00F25253"/>
    <w:rsid w:val="00F25C7A"/>
    <w:rsid w:val="00F26464"/>
    <w:rsid w:val="00F27029"/>
    <w:rsid w:val="00F2712D"/>
    <w:rsid w:val="00F279E5"/>
    <w:rsid w:val="00F30D44"/>
    <w:rsid w:val="00F32ADF"/>
    <w:rsid w:val="00F3328B"/>
    <w:rsid w:val="00F3330C"/>
    <w:rsid w:val="00F33BE2"/>
    <w:rsid w:val="00F34AEA"/>
    <w:rsid w:val="00F36867"/>
    <w:rsid w:val="00F40AEA"/>
    <w:rsid w:val="00F44057"/>
    <w:rsid w:val="00F50B81"/>
    <w:rsid w:val="00F515F4"/>
    <w:rsid w:val="00F53078"/>
    <w:rsid w:val="00F55870"/>
    <w:rsid w:val="00F56532"/>
    <w:rsid w:val="00F56D59"/>
    <w:rsid w:val="00F57312"/>
    <w:rsid w:val="00F5745D"/>
    <w:rsid w:val="00F578C0"/>
    <w:rsid w:val="00F60225"/>
    <w:rsid w:val="00F60611"/>
    <w:rsid w:val="00F615EB"/>
    <w:rsid w:val="00F616B0"/>
    <w:rsid w:val="00F63F15"/>
    <w:rsid w:val="00F64AE5"/>
    <w:rsid w:val="00F6669E"/>
    <w:rsid w:val="00F67DC6"/>
    <w:rsid w:val="00F700E5"/>
    <w:rsid w:val="00F72FA2"/>
    <w:rsid w:val="00F73AC7"/>
    <w:rsid w:val="00F74E79"/>
    <w:rsid w:val="00F754E9"/>
    <w:rsid w:val="00F75A8C"/>
    <w:rsid w:val="00F75CF8"/>
    <w:rsid w:val="00F76E3D"/>
    <w:rsid w:val="00F801C4"/>
    <w:rsid w:val="00F8030A"/>
    <w:rsid w:val="00F80CE4"/>
    <w:rsid w:val="00F80E97"/>
    <w:rsid w:val="00F81D0E"/>
    <w:rsid w:val="00F82F23"/>
    <w:rsid w:val="00F8382F"/>
    <w:rsid w:val="00F83BA7"/>
    <w:rsid w:val="00F85733"/>
    <w:rsid w:val="00F85A8A"/>
    <w:rsid w:val="00F85B98"/>
    <w:rsid w:val="00F8649C"/>
    <w:rsid w:val="00F87064"/>
    <w:rsid w:val="00F901A9"/>
    <w:rsid w:val="00F90F58"/>
    <w:rsid w:val="00F91260"/>
    <w:rsid w:val="00F9167D"/>
    <w:rsid w:val="00F91C67"/>
    <w:rsid w:val="00F92077"/>
    <w:rsid w:val="00F93FEB"/>
    <w:rsid w:val="00F960AA"/>
    <w:rsid w:val="00F962B2"/>
    <w:rsid w:val="00FA000F"/>
    <w:rsid w:val="00FA1373"/>
    <w:rsid w:val="00FA3B84"/>
    <w:rsid w:val="00FA4BE1"/>
    <w:rsid w:val="00FA4FE7"/>
    <w:rsid w:val="00FA5F3C"/>
    <w:rsid w:val="00FA64D3"/>
    <w:rsid w:val="00FA6D34"/>
    <w:rsid w:val="00FA74C5"/>
    <w:rsid w:val="00FB130D"/>
    <w:rsid w:val="00FB38A9"/>
    <w:rsid w:val="00FB3F66"/>
    <w:rsid w:val="00FB4EC7"/>
    <w:rsid w:val="00FB5652"/>
    <w:rsid w:val="00FB648A"/>
    <w:rsid w:val="00FC00DE"/>
    <w:rsid w:val="00FC0E2F"/>
    <w:rsid w:val="00FC1239"/>
    <w:rsid w:val="00FC1871"/>
    <w:rsid w:val="00FC21EB"/>
    <w:rsid w:val="00FC3CB9"/>
    <w:rsid w:val="00FC4BD5"/>
    <w:rsid w:val="00FC5204"/>
    <w:rsid w:val="00FC5BA4"/>
    <w:rsid w:val="00FC5EC6"/>
    <w:rsid w:val="00FC6223"/>
    <w:rsid w:val="00FC685E"/>
    <w:rsid w:val="00FC7844"/>
    <w:rsid w:val="00FD1952"/>
    <w:rsid w:val="00FD2030"/>
    <w:rsid w:val="00FD27EA"/>
    <w:rsid w:val="00FD286B"/>
    <w:rsid w:val="00FD42B1"/>
    <w:rsid w:val="00FD43CB"/>
    <w:rsid w:val="00FD5ACD"/>
    <w:rsid w:val="00FD619D"/>
    <w:rsid w:val="00FE03D5"/>
    <w:rsid w:val="00FE122B"/>
    <w:rsid w:val="00FE1936"/>
    <w:rsid w:val="00FE1C56"/>
    <w:rsid w:val="00FE2632"/>
    <w:rsid w:val="00FE532E"/>
    <w:rsid w:val="00FE5CFB"/>
    <w:rsid w:val="00FE5D0F"/>
    <w:rsid w:val="00FE6A47"/>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DDBEFFC7-9D7C-4CC0-A8C5-B19EA657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customStyle="1" w:styleId="UnresolvedMention2">
    <w:name w:val="Unresolved Mention2"/>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E277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31536659">
      <w:bodyDiv w:val="1"/>
      <w:marLeft w:val="0"/>
      <w:marRight w:val="0"/>
      <w:marTop w:val="0"/>
      <w:marBottom w:val="0"/>
      <w:divBdr>
        <w:top w:val="none" w:sz="0" w:space="0" w:color="auto"/>
        <w:left w:val="none" w:sz="0" w:space="0" w:color="auto"/>
        <w:bottom w:val="none" w:sz="0" w:space="0" w:color="auto"/>
        <w:right w:val="none" w:sz="0" w:space="0" w:color="auto"/>
      </w:divBdr>
    </w:div>
    <w:div w:id="33578880">
      <w:bodyDiv w:val="1"/>
      <w:marLeft w:val="0"/>
      <w:marRight w:val="0"/>
      <w:marTop w:val="0"/>
      <w:marBottom w:val="0"/>
      <w:divBdr>
        <w:top w:val="none" w:sz="0" w:space="0" w:color="auto"/>
        <w:left w:val="none" w:sz="0" w:space="0" w:color="auto"/>
        <w:bottom w:val="none" w:sz="0" w:space="0" w:color="auto"/>
        <w:right w:val="none" w:sz="0" w:space="0" w:color="auto"/>
      </w:divBdr>
    </w:div>
    <w:div w:id="128518350">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27468634">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39800637">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551645910">
      <w:bodyDiv w:val="1"/>
      <w:marLeft w:val="0"/>
      <w:marRight w:val="0"/>
      <w:marTop w:val="0"/>
      <w:marBottom w:val="0"/>
      <w:divBdr>
        <w:top w:val="none" w:sz="0" w:space="0" w:color="auto"/>
        <w:left w:val="none" w:sz="0" w:space="0" w:color="auto"/>
        <w:bottom w:val="none" w:sz="0" w:space="0" w:color="auto"/>
        <w:right w:val="none" w:sz="0" w:space="0" w:color="auto"/>
      </w:divBdr>
    </w:div>
    <w:div w:id="1612516615">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mailto:jwatson@freshprodu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www.freshproduce.com/insite" TargetMode="Externa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e-Marie\Documents\210%20Analytics\Clients\IRI\2022\December%202022\Integrated%20Fresh%20-%20December%202022%20Raw%20Fi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ne-Marie\Documents\210%20Analytics\Clients\IRI\2022\December%202022\Integrated%20Fresh%20-%20December%202022%20Raw%20Fi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ne-Marie\Documents\210%20Analytics\Clients\IRI\2022\December%202022\Line_graph_produce_December_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ne-Marie\Documents\210%20Analytics\Clients\IRI\2022\December%202022\Line_graph_produce_December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rPr>
              <a:t>Total food and beverages</a:t>
            </a:r>
          </a:p>
        </c:rich>
      </c:tx>
      <c:layout>
        <c:manualLayout>
          <c:xMode val="edge"/>
          <c:yMode val="edge"/>
          <c:x val="1.5578318395219812E-3"/>
          <c:y val="2.228163992869875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134016218523261E-3"/>
          <c:y val="0.16265597147950089"/>
          <c:w val="0.97439180537772085"/>
          <c:h val="0.74407518913077053"/>
        </c:manualLayout>
      </c:layout>
      <c:barChart>
        <c:barDir val="col"/>
        <c:grouping val="clustered"/>
        <c:varyColors val="0"/>
        <c:ser>
          <c:idx val="0"/>
          <c:order val="0"/>
          <c:tx>
            <c:strRef>
              <c:f>Sheet1!$B$16</c:f>
              <c:strCache>
                <c:ptCount val="1"/>
                <c:pt idx="0">
                  <c:v>Dollars</c:v>
                </c:pt>
              </c:strCache>
            </c:strRef>
          </c:tx>
          <c:spPr>
            <a:solidFill>
              <a:schemeClr val="accent1"/>
            </a:soli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06FE-4CB1-BFE2-8993F5BB3CA2}"/>
              </c:ext>
            </c:extLst>
          </c:dPt>
          <c:dPt>
            <c:idx val="1"/>
            <c:invertIfNegative val="0"/>
            <c:bubble3D val="0"/>
            <c:spPr>
              <a:solidFill>
                <a:schemeClr val="accent5">
                  <a:lumMod val="75000"/>
                </a:schemeClr>
              </a:solidFill>
              <a:ln>
                <a:noFill/>
              </a:ln>
              <a:effectLst/>
            </c:spPr>
            <c:extLst>
              <c:ext xmlns:c16="http://schemas.microsoft.com/office/drawing/2014/chart" uri="{C3380CC4-5D6E-409C-BE32-E72D297353CC}">
                <c16:uniqueId val="{00000003-06FE-4CB1-BFE2-8993F5BB3CA2}"/>
              </c:ext>
            </c:extLst>
          </c:dPt>
          <c:dPt>
            <c:idx val="2"/>
            <c:invertIfNegative val="0"/>
            <c:bubble3D val="0"/>
            <c:spPr>
              <a:solidFill>
                <a:schemeClr val="accent5">
                  <a:lumMod val="75000"/>
                </a:schemeClr>
              </a:solidFill>
              <a:ln>
                <a:noFill/>
              </a:ln>
              <a:effectLst/>
            </c:spPr>
            <c:extLst>
              <c:ext xmlns:c16="http://schemas.microsoft.com/office/drawing/2014/chart" uri="{C3380CC4-5D6E-409C-BE32-E72D297353CC}">
                <c16:uniqueId val="{00000005-06FE-4CB1-BFE2-8993F5BB3CA2}"/>
              </c:ext>
            </c:extLst>
          </c:dPt>
          <c:dPt>
            <c:idx val="3"/>
            <c:invertIfNegative val="0"/>
            <c:bubble3D val="0"/>
            <c:spPr>
              <a:solidFill>
                <a:schemeClr val="accent5">
                  <a:lumMod val="75000"/>
                </a:schemeClr>
              </a:solidFill>
              <a:ln>
                <a:noFill/>
              </a:ln>
              <a:effectLst/>
            </c:spPr>
            <c:extLst>
              <c:ext xmlns:c16="http://schemas.microsoft.com/office/drawing/2014/chart" uri="{C3380CC4-5D6E-409C-BE32-E72D297353CC}">
                <c16:uniqueId val="{00000007-06FE-4CB1-BFE2-8993F5BB3CA2}"/>
              </c:ext>
            </c:extLst>
          </c:dPt>
          <c:dPt>
            <c:idx val="4"/>
            <c:invertIfNegative val="0"/>
            <c:bubble3D val="0"/>
            <c:spPr>
              <a:solidFill>
                <a:schemeClr val="accent5">
                  <a:lumMod val="75000"/>
                </a:schemeClr>
              </a:solidFill>
              <a:ln>
                <a:noFill/>
              </a:ln>
              <a:effectLst/>
            </c:spPr>
            <c:extLst>
              <c:ext xmlns:c16="http://schemas.microsoft.com/office/drawing/2014/chart" uri="{C3380CC4-5D6E-409C-BE32-E72D297353CC}">
                <c16:uniqueId val="{00000009-06FE-4CB1-BFE2-8993F5BB3CA2}"/>
              </c:ext>
            </c:extLst>
          </c:dPt>
          <c:dLbls>
            <c:dLbl>
              <c:idx val="0"/>
              <c:tx>
                <c:rich>
                  <a:bodyPr/>
                  <a:lstStyle/>
                  <a:p>
                    <a:r>
                      <a:rPr lang="en-US"/>
                      <a:t>$584B</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6FE-4CB1-BFE2-8993F5BB3CA2}"/>
                </c:ext>
              </c:extLst>
            </c:dLbl>
            <c:dLbl>
              <c:idx val="1"/>
              <c:tx>
                <c:rich>
                  <a:bodyPr/>
                  <a:lstStyle/>
                  <a:p>
                    <a:r>
                      <a:rPr lang="en-US"/>
                      <a:t>$597B </a:t>
                    </a:r>
                  </a:p>
                  <a:p>
                    <a:r>
                      <a:rPr lang="en-US"/>
                      <a:t>+2.2%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6FE-4CB1-BFE2-8993F5BB3CA2}"/>
                </c:ext>
              </c:extLst>
            </c:dLbl>
            <c:dLbl>
              <c:idx val="2"/>
              <c:tx>
                <c:rich>
                  <a:bodyPr/>
                  <a:lstStyle/>
                  <a:p>
                    <a:r>
                      <a:rPr lang="en-US"/>
                      <a:t>$679B</a:t>
                    </a:r>
                  </a:p>
                  <a:p>
                    <a:r>
                      <a:rPr lang="en-US"/>
                      <a:t>+13.8%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6FE-4CB1-BFE2-8993F5BB3CA2}"/>
                </c:ext>
              </c:extLst>
            </c:dLbl>
            <c:dLbl>
              <c:idx val="3"/>
              <c:tx>
                <c:rich>
                  <a:bodyPr/>
                  <a:lstStyle/>
                  <a:p>
                    <a:r>
                      <a:rPr lang="en-US"/>
                      <a:t>$692B</a:t>
                    </a:r>
                  </a:p>
                  <a:p>
                    <a:r>
                      <a:rPr lang="en-US"/>
                      <a:t>+1.9%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6FE-4CB1-BFE2-8993F5BB3CA2}"/>
                </c:ext>
              </c:extLst>
            </c:dLbl>
            <c:dLbl>
              <c:idx val="4"/>
              <c:tx>
                <c:rich>
                  <a:bodyPr/>
                  <a:lstStyle/>
                  <a:p>
                    <a:r>
                      <a:rPr lang="en-US"/>
                      <a:t>$753B</a:t>
                    </a:r>
                  </a:p>
                  <a:p>
                    <a:r>
                      <a:rPr lang="en-US"/>
                      <a:t>+8.7%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6FE-4CB1-BFE2-8993F5BB3CA2}"/>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Sheet1!$A$34:$A$38</c:f>
              <c:strCache>
                <c:ptCount val="5"/>
                <c:pt idx="0">
                  <c:v>2018</c:v>
                </c:pt>
                <c:pt idx="1">
                  <c:v>2019</c:v>
                </c:pt>
                <c:pt idx="2">
                  <c:v>2020</c:v>
                </c:pt>
                <c:pt idx="3">
                  <c:v>2021</c:v>
                </c:pt>
                <c:pt idx="4">
                  <c:v>2022</c:v>
                </c:pt>
              </c:strCache>
            </c:strRef>
          </c:cat>
          <c:val>
            <c:numRef>
              <c:f>Sheet1!$B$17:$B$21</c:f>
              <c:numCache>
                <c:formatCode>\$#,##0</c:formatCode>
                <c:ptCount val="5"/>
                <c:pt idx="0">
                  <c:v>584240279832.65613</c:v>
                </c:pt>
                <c:pt idx="1">
                  <c:v>596945393040.46533</c:v>
                </c:pt>
                <c:pt idx="2">
                  <c:v>679199322845.31055</c:v>
                </c:pt>
                <c:pt idx="3">
                  <c:v>692246460220.80823</c:v>
                </c:pt>
                <c:pt idx="4">
                  <c:v>752801469508.44202</c:v>
                </c:pt>
              </c:numCache>
            </c:numRef>
          </c:val>
          <c:extLst>
            <c:ext xmlns:c16="http://schemas.microsoft.com/office/drawing/2014/chart" uri="{C3380CC4-5D6E-409C-BE32-E72D297353CC}">
              <c16:uniqueId val="{0000000A-06FE-4CB1-BFE2-8993F5BB3CA2}"/>
            </c:ext>
          </c:extLst>
        </c:ser>
        <c:ser>
          <c:idx val="1"/>
          <c:order val="1"/>
          <c:tx>
            <c:strRef>
              <c:f>Sheet1!$C$16</c:f>
              <c:strCache>
                <c:ptCount val="1"/>
                <c:pt idx="0">
                  <c:v>Units</c:v>
                </c:pt>
              </c:strCache>
            </c:strRef>
          </c:tx>
          <c:spPr>
            <a:solidFill>
              <a:schemeClr val="accent1">
                <a:lumMod val="50000"/>
              </a:schemeClr>
            </a:solidFill>
            <a:ln>
              <a:noFill/>
            </a:ln>
            <a:effectLst/>
          </c:spPr>
          <c:invertIfNegative val="0"/>
          <c:dLbls>
            <c:dLbl>
              <c:idx val="0"/>
              <c:tx>
                <c:rich>
                  <a:bodyPr/>
                  <a:lstStyle/>
                  <a:p>
                    <a:r>
                      <a:rPr lang="en-US"/>
                      <a:t>197B</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6FE-4CB1-BFE2-8993F5BB3CA2}"/>
                </c:ext>
              </c:extLst>
            </c:dLbl>
            <c:dLbl>
              <c:idx val="1"/>
              <c:tx>
                <c:rich>
                  <a:bodyPr/>
                  <a:lstStyle/>
                  <a:p>
                    <a:r>
                      <a:rPr lang="en-US"/>
                      <a:t>197B</a:t>
                    </a:r>
                  </a:p>
                  <a:p>
                    <a:r>
                      <a:rPr lang="en-US"/>
                      <a:t>+0.2%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06FE-4CB1-BFE2-8993F5BB3CA2}"/>
                </c:ext>
              </c:extLst>
            </c:dLbl>
            <c:dLbl>
              <c:idx val="2"/>
              <c:tx>
                <c:rich>
                  <a:bodyPr/>
                  <a:lstStyle/>
                  <a:p>
                    <a:r>
                      <a:rPr lang="en-US"/>
                      <a:t>214B</a:t>
                    </a:r>
                  </a:p>
                  <a:p>
                    <a:r>
                      <a:rPr lang="en-US"/>
                      <a:t>+8.4%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06FE-4CB1-BFE2-8993F5BB3CA2}"/>
                </c:ext>
              </c:extLst>
            </c:dLbl>
            <c:dLbl>
              <c:idx val="3"/>
              <c:tx>
                <c:rich>
                  <a:bodyPr/>
                  <a:lstStyle/>
                  <a:p>
                    <a:r>
                      <a:rPr lang="en-US"/>
                      <a:t>207B</a:t>
                    </a:r>
                  </a:p>
                  <a:p>
                    <a:r>
                      <a:rPr lang="en-US"/>
                      <a:t>-3.2%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06FE-4CB1-BFE2-8993F5BB3CA2}"/>
                </c:ext>
              </c:extLst>
            </c:dLbl>
            <c:dLbl>
              <c:idx val="4"/>
              <c:tx>
                <c:rich>
                  <a:bodyPr/>
                  <a:lstStyle/>
                  <a:p>
                    <a:r>
                      <a:rPr lang="en-US"/>
                      <a:t>200B</a:t>
                    </a:r>
                  </a:p>
                  <a:p>
                    <a:r>
                      <a:rPr lang="en-US"/>
                      <a:t>-3.3%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06FE-4CB1-BFE2-8993F5BB3CA2}"/>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Sheet1!$A$34:$A$38</c:f>
              <c:strCache>
                <c:ptCount val="5"/>
                <c:pt idx="0">
                  <c:v>2018</c:v>
                </c:pt>
                <c:pt idx="1">
                  <c:v>2019</c:v>
                </c:pt>
                <c:pt idx="2">
                  <c:v>2020</c:v>
                </c:pt>
                <c:pt idx="3">
                  <c:v>2021</c:v>
                </c:pt>
                <c:pt idx="4">
                  <c:v>2022</c:v>
                </c:pt>
              </c:strCache>
            </c:strRef>
          </c:cat>
          <c:val>
            <c:numRef>
              <c:f>Sheet1!$C$17:$C$21</c:f>
              <c:numCache>
                <c:formatCode>#,##0</c:formatCode>
                <c:ptCount val="5"/>
                <c:pt idx="0">
                  <c:v>197074144918.3194</c:v>
                </c:pt>
                <c:pt idx="1">
                  <c:v>197452970031.70465</c:v>
                </c:pt>
                <c:pt idx="2">
                  <c:v>213946666005.98868</c:v>
                </c:pt>
                <c:pt idx="3">
                  <c:v>207075501239.86853</c:v>
                </c:pt>
                <c:pt idx="4">
                  <c:v>200304455838.87384</c:v>
                </c:pt>
              </c:numCache>
            </c:numRef>
          </c:val>
          <c:extLst>
            <c:ext xmlns:c16="http://schemas.microsoft.com/office/drawing/2014/chart" uri="{C3380CC4-5D6E-409C-BE32-E72D297353CC}">
              <c16:uniqueId val="{00000010-06FE-4CB1-BFE2-8993F5BB3CA2}"/>
            </c:ext>
          </c:extLst>
        </c:ser>
        <c:dLbls>
          <c:dLblPos val="inEnd"/>
          <c:showLegendKey val="0"/>
          <c:showVal val="1"/>
          <c:showCatName val="0"/>
          <c:showSerName val="0"/>
          <c:showPercent val="0"/>
          <c:showBubbleSize val="0"/>
        </c:dLbls>
        <c:gapWidth val="100"/>
        <c:overlap val="75"/>
        <c:axId val="1829845087"/>
        <c:axId val="1829858399"/>
      </c:barChart>
      <c:catAx>
        <c:axId val="1829845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29858399"/>
        <c:crosses val="autoZero"/>
        <c:auto val="1"/>
        <c:lblAlgn val="ctr"/>
        <c:lblOffset val="100"/>
        <c:noMultiLvlLbl val="0"/>
      </c:catAx>
      <c:valAx>
        <c:axId val="1829858399"/>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29845087"/>
        <c:crosses val="autoZero"/>
        <c:crossBetween val="between"/>
      </c:valAx>
      <c:spPr>
        <a:noFill/>
        <a:ln>
          <a:noFill/>
        </a:ln>
        <a:effectLst/>
      </c:spPr>
    </c:plotArea>
    <c:legend>
      <c:legendPos val="b"/>
      <c:layout>
        <c:manualLayout>
          <c:xMode val="edge"/>
          <c:yMode val="edge"/>
          <c:x val="0.71734507178458728"/>
          <c:y val="2.4289092874085927E-2"/>
          <c:w val="0.25132807433616972"/>
          <c:h val="7.10763260207447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Fresh</a:t>
            </a:r>
            <a:r>
              <a:rPr lang="en-US" sz="1000" b="1" baseline="0"/>
              <a:t> produce department</a:t>
            </a:r>
            <a:endParaRPr lang="en-US" sz="1000" b="1"/>
          </a:p>
        </c:rich>
      </c:tx>
      <c:layout>
        <c:manualLayout>
          <c:xMode val="edge"/>
          <c:yMode val="edge"/>
          <c:x val="1.5578318395219812E-3"/>
          <c:y val="2.228163992869875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4.268032437046522E-3"/>
          <c:y val="0.16265597147950089"/>
          <c:w val="0.9722577891591978"/>
          <c:h val="0.74407518913077053"/>
        </c:manualLayout>
      </c:layout>
      <c:barChart>
        <c:barDir val="col"/>
        <c:grouping val="clustered"/>
        <c:varyColors val="0"/>
        <c:ser>
          <c:idx val="0"/>
          <c:order val="0"/>
          <c:tx>
            <c:strRef>
              <c:f>Sheet1!$B$33</c:f>
              <c:strCache>
                <c:ptCount val="1"/>
                <c:pt idx="0">
                  <c:v>Dollars</c:v>
                </c:pt>
              </c:strCache>
            </c:strRef>
          </c:tx>
          <c:spPr>
            <a:solidFill>
              <a:schemeClr val="accent5">
                <a:lumMod val="75000"/>
              </a:schemeClr>
            </a:solidFill>
            <a:ln>
              <a:noFill/>
            </a:ln>
            <a:effectLst/>
          </c:spPr>
          <c:invertIfNegative val="0"/>
          <c:dLbls>
            <c:dLbl>
              <c:idx val="0"/>
              <c:tx>
                <c:rich>
                  <a:bodyPr/>
                  <a:lstStyle/>
                  <a:p>
                    <a:r>
                      <a:rPr lang="en-US"/>
                      <a:t>$61.5B</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588-4888-85CC-C810840F6765}"/>
                </c:ext>
              </c:extLst>
            </c:dLbl>
            <c:dLbl>
              <c:idx val="1"/>
              <c:tx>
                <c:rich>
                  <a:bodyPr/>
                  <a:lstStyle/>
                  <a:p>
                    <a:r>
                      <a:rPr lang="en-US"/>
                      <a:t>$62.6B</a:t>
                    </a:r>
                  </a:p>
                  <a:p>
                    <a:r>
                      <a:rPr lang="en-US"/>
                      <a:t>+1.8%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588-4888-85CC-C810840F6765}"/>
                </c:ext>
              </c:extLst>
            </c:dLbl>
            <c:dLbl>
              <c:idx val="2"/>
              <c:tx>
                <c:rich>
                  <a:bodyPr/>
                  <a:lstStyle/>
                  <a:p>
                    <a:r>
                      <a:rPr lang="en-US"/>
                      <a:t>$69.9B</a:t>
                    </a:r>
                  </a:p>
                  <a:p>
                    <a:r>
                      <a:rPr lang="en-US"/>
                      <a:t>+11.5%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588-4888-85CC-C810840F6765}"/>
                </c:ext>
              </c:extLst>
            </c:dLbl>
            <c:dLbl>
              <c:idx val="3"/>
              <c:tx>
                <c:rich>
                  <a:bodyPr/>
                  <a:lstStyle/>
                  <a:p>
                    <a:r>
                      <a:rPr lang="en-US"/>
                      <a:t>$71.7B</a:t>
                    </a:r>
                  </a:p>
                  <a:p>
                    <a:r>
                      <a:rPr lang="en-US"/>
                      <a:t>+2.7%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588-4888-85CC-C810840F6765}"/>
                </c:ext>
              </c:extLst>
            </c:dLbl>
            <c:dLbl>
              <c:idx val="4"/>
              <c:layout>
                <c:manualLayout>
                  <c:x val="2.7449903925336259E-3"/>
                  <c:y val="0.13230837789661318"/>
                </c:manualLayout>
              </c:layout>
              <c:tx>
                <c:rich>
                  <a:bodyPr/>
                  <a:lstStyle/>
                  <a:p>
                    <a:r>
                      <a:rPr lang="en-US"/>
                      <a:t>$75.1B</a:t>
                    </a:r>
                  </a:p>
                  <a:p>
                    <a:r>
                      <a:rPr lang="en-US"/>
                      <a:t>+4.8%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588-4888-85CC-C810840F6765}"/>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Sheet1!$A$34:$A$38</c:f>
              <c:strCache>
                <c:ptCount val="5"/>
                <c:pt idx="0">
                  <c:v>2018</c:v>
                </c:pt>
                <c:pt idx="1">
                  <c:v>2019</c:v>
                </c:pt>
                <c:pt idx="2">
                  <c:v>2020</c:v>
                </c:pt>
                <c:pt idx="3">
                  <c:v>2021</c:v>
                </c:pt>
                <c:pt idx="4">
                  <c:v>2022</c:v>
                </c:pt>
              </c:strCache>
            </c:strRef>
          </c:cat>
          <c:val>
            <c:numRef>
              <c:f>Sheet1!$B$34:$B$38</c:f>
              <c:numCache>
                <c:formatCode>\$#,##0</c:formatCode>
                <c:ptCount val="5"/>
                <c:pt idx="0">
                  <c:v>61516293053.821419</c:v>
                </c:pt>
                <c:pt idx="1">
                  <c:v>62634407158.692444</c:v>
                </c:pt>
                <c:pt idx="2">
                  <c:v>69856977873.969696</c:v>
                </c:pt>
                <c:pt idx="3">
                  <c:v>71709067691.652603</c:v>
                </c:pt>
                <c:pt idx="4">
                  <c:v>75146246304.434326</c:v>
                </c:pt>
              </c:numCache>
            </c:numRef>
          </c:val>
          <c:extLst>
            <c:ext xmlns:c16="http://schemas.microsoft.com/office/drawing/2014/chart" uri="{C3380CC4-5D6E-409C-BE32-E72D297353CC}">
              <c16:uniqueId val="{00000005-9588-4888-85CC-C810840F6765}"/>
            </c:ext>
          </c:extLst>
        </c:ser>
        <c:ser>
          <c:idx val="1"/>
          <c:order val="1"/>
          <c:tx>
            <c:strRef>
              <c:f>Sheet1!$D$33</c:f>
              <c:strCache>
                <c:ptCount val="1"/>
                <c:pt idx="0">
                  <c:v>Pounds</c:v>
                </c:pt>
              </c:strCache>
            </c:strRef>
          </c:tx>
          <c:spPr>
            <a:solidFill>
              <a:schemeClr val="accent1">
                <a:lumMod val="50000"/>
              </a:schemeClr>
            </a:solidFill>
            <a:ln>
              <a:noFill/>
            </a:ln>
            <a:effectLst/>
          </c:spPr>
          <c:invertIfNegative val="0"/>
          <c:dLbls>
            <c:dLbl>
              <c:idx val="0"/>
              <c:tx>
                <c:rich>
                  <a:bodyPr/>
                  <a:lstStyle/>
                  <a:p>
                    <a:r>
                      <a:rPr lang="en-US"/>
                      <a:t>39.7B</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588-4888-85CC-C810840F6765}"/>
                </c:ext>
              </c:extLst>
            </c:dLbl>
            <c:dLbl>
              <c:idx val="1"/>
              <c:tx>
                <c:rich>
                  <a:bodyPr/>
                  <a:lstStyle/>
                  <a:p>
                    <a:r>
                      <a:rPr lang="en-US"/>
                      <a:t>39.8B</a:t>
                    </a:r>
                  </a:p>
                  <a:p>
                    <a:r>
                      <a:rPr lang="en-US"/>
                      <a:t>+0.2%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588-4888-85CC-C810840F6765}"/>
                </c:ext>
              </c:extLst>
            </c:dLbl>
            <c:dLbl>
              <c:idx val="2"/>
              <c:tx>
                <c:rich>
                  <a:bodyPr/>
                  <a:lstStyle/>
                  <a:p>
                    <a:r>
                      <a:rPr lang="en-US"/>
                      <a:t>44.3B</a:t>
                    </a:r>
                  </a:p>
                  <a:p>
                    <a:r>
                      <a:rPr lang="en-US"/>
                      <a:t>+11.1%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588-4888-85CC-C810840F6765}"/>
                </c:ext>
              </c:extLst>
            </c:dLbl>
            <c:dLbl>
              <c:idx val="3"/>
              <c:tx>
                <c:rich>
                  <a:bodyPr/>
                  <a:lstStyle/>
                  <a:p>
                    <a:r>
                      <a:rPr lang="en-US"/>
                      <a:t>42.7B</a:t>
                    </a:r>
                  </a:p>
                  <a:p>
                    <a:r>
                      <a:rPr lang="en-US"/>
                      <a:t>-3.5%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588-4888-85CC-C810840F6765}"/>
                </c:ext>
              </c:extLst>
            </c:dLbl>
            <c:dLbl>
              <c:idx val="4"/>
              <c:tx>
                <c:rich>
                  <a:bodyPr/>
                  <a:lstStyle/>
                  <a:p>
                    <a:r>
                      <a:rPr lang="en-US"/>
                      <a:t>41.2B</a:t>
                    </a:r>
                  </a:p>
                  <a:p>
                    <a:r>
                      <a:rPr lang="en-US"/>
                      <a:t>-3.6%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9588-4888-85CC-C810840F67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Sheet1!$A$34:$A$38</c:f>
              <c:strCache>
                <c:ptCount val="5"/>
                <c:pt idx="0">
                  <c:v>2018</c:v>
                </c:pt>
                <c:pt idx="1">
                  <c:v>2019</c:v>
                </c:pt>
                <c:pt idx="2">
                  <c:v>2020</c:v>
                </c:pt>
                <c:pt idx="3">
                  <c:v>2021</c:v>
                </c:pt>
                <c:pt idx="4">
                  <c:v>2022</c:v>
                </c:pt>
              </c:strCache>
            </c:strRef>
          </c:cat>
          <c:val>
            <c:numRef>
              <c:f>Sheet1!$D$34:$D$38</c:f>
              <c:numCache>
                <c:formatCode>#,##0</c:formatCode>
                <c:ptCount val="5"/>
                <c:pt idx="0">
                  <c:v>39738809397.953392</c:v>
                </c:pt>
                <c:pt idx="1">
                  <c:v>39829961906.381325</c:v>
                </c:pt>
                <c:pt idx="2">
                  <c:v>44250664421.148239</c:v>
                </c:pt>
                <c:pt idx="3">
                  <c:v>42708667316.560081</c:v>
                </c:pt>
                <c:pt idx="4">
                  <c:v>41166188347.763252</c:v>
                </c:pt>
              </c:numCache>
            </c:numRef>
          </c:val>
          <c:extLst>
            <c:ext xmlns:c16="http://schemas.microsoft.com/office/drawing/2014/chart" uri="{C3380CC4-5D6E-409C-BE32-E72D297353CC}">
              <c16:uniqueId val="{0000000B-9588-4888-85CC-C810840F6765}"/>
            </c:ext>
          </c:extLst>
        </c:ser>
        <c:dLbls>
          <c:dLblPos val="inEnd"/>
          <c:showLegendKey val="0"/>
          <c:showVal val="1"/>
          <c:showCatName val="0"/>
          <c:showSerName val="0"/>
          <c:showPercent val="0"/>
          <c:showBubbleSize val="0"/>
        </c:dLbls>
        <c:gapWidth val="100"/>
        <c:overlap val="75"/>
        <c:axId val="1829845087"/>
        <c:axId val="1829858399"/>
      </c:barChart>
      <c:catAx>
        <c:axId val="1829845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29858399"/>
        <c:crosses val="autoZero"/>
        <c:auto val="1"/>
        <c:lblAlgn val="ctr"/>
        <c:lblOffset val="100"/>
        <c:noMultiLvlLbl val="0"/>
      </c:catAx>
      <c:valAx>
        <c:axId val="1829858399"/>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29845087"/>
        <c:crosses val="autoZero"/>
        <c:crossBetween val="between"/>
      </c:valAx>
      <c:spPr>
        <a:noFill/>
        <a:ln>
          <a:noFill/>
        </a:ln>
        <a:effectLst/>
      </c:spPr>
    </c:plotArea>
    <c:legend>
      <c:legendPos val="b"/>
      <c:layout>
        <c:manualLayout>
          <c:xMode val="edge"/>
          <c:yMode val="edge"/>
          <c:x val="0.74477166026461805"/>
          <c:y val="1.9832764888346177E-2"/>
          <c:w val="0.23675716911826483"/>
          <c:h val="7.10763260207447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000"/>
            </a:pPr>
            <a:r>
              <a:rPr lang="en-US" sz="1000"/>
              <a:t>% Dollar growth versus YA and 2019</a:t>
            </a:r>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29-46F9-9143-5E2DD02181A3}"/>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29-46F9-9143-5E2DD02181A3}"/>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29-46F9-9143-5E2DD02181A3}"/>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29-46F9-9143-5E2DD02181A3}"/>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29-46F9-9143-5E2DD02181A3}"/>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29-46F9-9143-5E2DD02181A3}"/>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29-46F9-9143-5E2DD02181A3}"/>
                </c:ext>
              </c:extLst>
            </c:dLbl>
            <c:dLbl>
              <c:idx val="10"/>
              <c:layout>
                <c:manualLayout>
                  <c:x val="-6.1708652810387428E-3"/>
                  <c:y val="-7.531148333540705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29-46F9-9143-5E2DD02181A3}"/>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29-46F9-9143-5E2DD02181A3}"/>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29-46F9-9143-5E2DD02181A3}"/>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29-46F9-9143-5E2DD02181A3}"/>
                </c:ext>
              </c:extLst>
            </c:dLbl>
            <c:spPr>
              <a:noFill/>
              <a:ln>
                <a:noFill/>
              </a:ln>
              <a:effectLst/>
            </c:spPr>
            <c:txPr>
              <a:bodyPr/>
              <a:lstStyle/>
              <a:p>
                <a:pPr>
                  <a:defRPr>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Sheet1!$B$30:$N$30</c:f>
              <c:numCache>
                <c:formatCode>0%</c:formatCode>
                <c:ptCount val="13"/>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4.7E-2</c:v>
                </c:pt>
                <c:pt idx="10">
                  <c:v>3.5999999999999997E-2</c:v>
                </c:pt>
                <c:pt idx="11">
                  <c:v>4.5999999999999999E-2</c:v>
                </c:pt>
                <c:pt idx="12" formatCode="0.0%">
                  <c:v>4.1781901116790601E-2</c:v>
                </c:pt>
              </c:numCache>
            </c:numRef>
          </c:val>
          <c:smooth val="0"/>
          <c:extLst>
            <c:ext xmlns:c16="http://schemas.microsoft.com/office/drawing/2014/chart" uri="{C3380CC4-5D6E-409C-BE32-E72D297353CC}">
              <c16:uniqueId val="{0000000B-A029-46F9-9143-5E2DD02181A3}"/>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29-46F9-9143-5E2DD02181A3}"/>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29-46F9-9143-5E2DD02181A3}"/>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29-46F9-9143-5E2DD02181A3}"/>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29-46F9-9143-5E2DD02181A3}"/>
                </c:ext>
              </c:extLst>
            </c:dLbl>
            <c:dLbl>
              <c:idx val="9"/>
              <c:layout>
                <c:manualLayout>
                  <c:x val="-2.1295823144015694E-2"/>
                  <c:y val="1.8815902938862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29-46F9-9143-5E2DD02181A3}"/>
                </c:ext>
              </c:extLst>
            </c:dLbl>
            <c:dLbl>
              <c:idx val="10"/>
              <c:layout>
                <c:manualLayout>
                  <c:x val="-3.6496104464030497E-3"/>
                  <c:y val="-2.4620992813869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029-46F9-9143-5E2DD02181A3}"/>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029-46F9-9143-5E2DD02181A3}"/>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029-46F9-9143-5E2DD02181A3}"/>
                </c:ext>
              </c:extLst>
            </c:dLbl>
            <c:spPr>
              <a:noFill/>
              <a:ln>
                <a:noFill/>
              </a:ln>
              <a:effectLst/>
            </c:spPr>
            <c:txPr>
              <a:bodyPr/>
              <a:lstStyle/>
              <a:p>
                <a:pPr>
                  <a:defRPr>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Sheet1!$B$31:$N$31</c:f>
              <c:numCache>
                <c:formatCode>0%</c:formatCode>
                <c:ptCount val="13"/>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0.10199999999999999</c:v>
                </c:pt>
                <c:pt idx="10">
                  <c:v>4.2000000000000003E-2</c:v>
                </c:pt>
                <c:pt idx="11">
                  <c:v>4.5999999999999999E-2</c:v>
                </c:pt>
                <c:pt idx="12" formatCode="0.0%">
                  <c:v>1.2594981345311892E-2</c:v>
                </c:pt>
              </c:numCache>
            </c:numRef>
          </c:val>
          <c:smooth val="0"/>
          <c:extLst>
            <c:ext xmlns:c16="http://schemas.microsoft.com/office/drawing/2014/chart" uri="{C3380CC4-5D6E-409C-BE32-E72D297353CC}">
              <c16:uniqueId val="{00000014-A029-46F9-9143-5E2DD02181A3}"/>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029-46F9-9143-5E2DD02181A3}"/>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029-46F9-9143-5E2DD02181A3}"/>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029-46F9-9143-5E2DD02181A3}"/>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029-46F9-9143-5E2DD02181A3}"/>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029-46F9-9143-5E2DD02181A3}"/>
                </c:ext>
              </c:extLst>
            </c:dLbl>
            <c:dLbl>
              <c:idx val="10"/>
              <c:layout>
                <c:manualLayout>
                  <c:x val="-8.9834576897806998E-3"/>
                  <c:y val="2.4484751980134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029-46F9-9143-5E2DD02181A3}"/>
                </c:ext>
              </c:extLst>
            </c:dLbl>
            <c:dLbl>
              <c:idx val="11"/>
              <c:layout>
                <c:manualLayout>
                  <c:x val="-2.2165180456543882E-2"/>
                  <c:y val="3.633678086828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029-46F9-9143-5E2DD02181A3}"/>
                </c:ext>
              </c:extLst>
            </c:dLbl>
            <c:dLbl>
              <c:idx val="12"/>
              <c:layout>
                <c:manualLayout>
                  <c:x val="-2.6465017994470191E-2"/>
                  <c:y val="-3.1236218798187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029-46F9-9143-5E2DD02181A3}"/>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029-46F9-9143-5E2DD02181A3}"/>
                </c:ext>
              </c:extLst>
            </c:dLbl>
            <c:spPr>
              <a:noFill/>
              <a:ln>
                <a:noFill/>
              </a:ln>
              <a:effectLst/>
            </c:spPr>
            <c:txPr>
              <a:bodyPr/>
              <a:lstStyle/>
              <a:p>
                <a:pPr>
                  <a:defRPr>
                    <a:solidFill>
                      <a:schemeClr val="accent3">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Sheet1!$B$32:$N$32</c:f>
              <c:numCache>
                <c:formatCode>0%</c:formatCode>
                <c:ptCount val="13"/>
                <c:pt idx="0">
                  <c:v>3.9E-2</c:v>
                </c:pt>
                <c:pt idx="1">
                  <c:v>8.4000000000000005E-2</c:v>
                </c:pt>
                <c:pt idx="2">
                  <c:v>0.20699999999999999</c:v>
                </c:pt>
                <c:pt idx="3">
                  <c:v>0.151</c:v>
                </c:pt>
                <c:pt idx="4">
                  <c:v>0.14799999999999999</c:v>
                </c:pt>
                <c:pt idx="5">
                  <c:v>4.7E-2</c:v>
                </c:pt>
                <c:pt idx="6">
                  <c:v>-7.0999999999999994E-2</c:v>
                </c:pt>
                <c:pt idx="7">
                  <c:v>-2.4E-2</c:v>
                </c:pt>
                <c:pt idx="8">
                  <c:v>1E-3</c:v>
                </c:pt>
                <c:pt idx="9">
                  <c:v>-4.0000000000000001E-3</c:v>
                </c:pt>
                <c:pt idx="10">
                  <c:v>2.9000000000000001E-2</c:v>
                </c:pt>
                <c:pt idx="11">
                  <c:v>4.8000000000000001E-2</c:v>
                </c:pt>
                <c:pt idx="12" formatCode="0.0%">
                  <c:v>6.7683785064821297E-2</c:v>
                </c:pt>
              </c:numCache>
            </c:numRef>
          </c:val>
          <c:smooth val="0"/>
          <c:extLst>
            <c:ext xmlns:c16="http://schemas.microsoft.com/office/drawing/2014/chart" uri="{C3380CC4-5D6E-409C-BE32-E72D297353CC}">
              <c16:uniqueId val="{0000001E-A029-46F9-9143-5E2DD02181A3}"/>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029-46F9-9143-5E2DD02181A3}"/>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029-46F9-9143-5E2DD02181A3}"/>
                </c:ext>
              </c:extLst>
            </c:dLbl>
            <c:spPr>
              <a:noFill/>
              <a:ln>
                <a:noFill/>
              </a:ln>
              <a:effectLst/>
            </c:spPr>
            <c:txPr>
              <a:bodyPr/>
              <a:lstStyle/>
              <a:p>
                <a:pPr>
                  <a:defRPr>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Sheet1!$B$33:$N$33</c:f>
              <c:numCache>
                <c:formatCode>General</c:formatCode>
                <c:ptCount val="13"/>
                <c:pt idx="5" formatCode="0%">
                  <c:v>0.12</c:v>
                </c:pt>
                <c:pt idx="6" formatCode="0%">
                  <c:v>0.13800000000000001</c:v>
                </c:pt>
                <c:pt idx="7" formatCode="0%">
                  <c:v>0.14399999999999999</c:v>
                </c:pt>
                <c:pt idx="8" formatCode="0%">
                  <c:v>0.17499999999999999</c:v>
                </c:pt>
                <c:pt idx="9" formatCode="0%">
                  <c:v>0.17199999999999999</c:v>
                </c:pt>
                <c:pt idx="10" formatCode="0%">
                  <c:v>0.18</c:v>
                </c:pt>
                <c:pt idx="11" formatCode="0%">
                  <c:v>0.19900000000000001</c:v>
                </c:pt>
                <c:pt idx="12" formatCode="0.0%">
                  <c:v>0.22576429428110084</c:v>
                </c:pt>
              </c:numCache>
            </c:numRef>
          </c:val>
          <c:smooth val="0"/>
          <c:extLst>
            <c:ext xmlns:c16="http://schemas.microsoft.com/office/drawing/2014/chart" uri="{C3380CC4-5D6E-409C-BE32-E72D297353CC}">
              <c16:uniqueId val="{00000021-A029-46F9-9143-5E2DD02181A3}"/>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029-46F9-9143-5E2DD02181A3}"/>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029-46F9-9143-5E2DD02181A3}"/>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029-46F9-9143-5E2DD02181A3}"/>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029-46F9-9143-5E2DD02181A3}"/>
                </c:ext>
              </c:extLst>
            </c:dLbl>
            <c:dLbl>
              <c:idx val="12"/>
              <c:layout>
                <c:manualLayout>
                  <c:x val="0"/>
                  <c:y val="-3.755969925201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029-46F9-9143-5E2DD02181A3}"/>
                </c:ext>
              </c:extLst>
            </c:dLbl>
            <c:spPr>
              <a:noFill/>
              <a:ln>
                <a:noFill/>
              </a:ln>
              <a:effectLst/>
            </c:spPr>
            <c:txPr>
              <a:bodyPr/>
              <a:lstStyle/>
              <a:p>
                <a:pPr>
                  <a:defRPr>
                    <a:solidFill>
                      <a:schemeClr val="accent5"/>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Sheet1!$B$34:$N$34</c:f>
              <c:numCache>
                <c:formatCode>General</c:formatCode>
                <c:ptCount val="13"/>
                <c:pt idx="5" formatCode="0%">
                  <c:v>0.106</c:v>
                </c:pt>
                <c:pt idx="6" formatCode="0%">
                  <c:v>0.156</c:v>
                </c:pt>
                <c:pt idx="7" formatCode="0%">
                  <c:v>0.16300000000000001</c:v>
                </c:pt>
                <c:pt idx="8" formatCode="0%">
                  <c:v>0.20599999999999999</c:v>
                </c:pt>
                <c:pt idx="9" formatCode="0%">
                  <c:v>0.22</c:v>
                </c:pt>
                <c:pt idx="10" formatCode="0%">
                  <c:v>0.20499999999999999</c:v>
                </c:pt>
                <c:pt idx="11" formatCode="0%">
                  <c:v>0.218</c:v>
                </c:pt>
                <c:pt idx="12" formatCode="0.0%">
                  <c:v>0.22267063894602829</c:v>
                </c:pt>
              </c:numCache>
            </c:numRef>
          </c:val>
          <c:smooth val="0"/>
          <c:extLst>
            <c:ext xmlns:c16="http://schemas.microsoft.com/office/drawing/2014/chart" uri="{C3380CC4-5D6E-409C-BE32-E72D297353CC}">
              <c16:uniqueId val="{00000027-A029-46F9-9143-5E2DD02181A3}"/>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A029-46F9-9143-5E2DD02181A3}"/>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029-46F9-9143-5E2DD02181A3}"/>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A029-46F9-9143-5E2DD02181A3}"/>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A029-46F9-9143-5E2DD02181A3}"/>
                </c:ext>
              </c:extLst>
            </c:dLbl>
            <c:dLbl>
              <c:idx val="12"/>
              <c:layout>
                <c:manualLayout>
                  <c:x val="0"/>
                  <c:y val="5.6293335486480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A029-46F9-9143-5E2DD02181A3}"/>
                </c:ext>
              </c:extLst>
            </c:dLbl>
            <c:spPr>
              <a:noFill/>
              <a:ln>
                <a:noFill/>
              </a:ln>
              <a:effectLst/>
            </c:spPr>
            <c:txPr>
              <a:bodyPr/>
              <a:lstStyle/>
              <a:p>
                <a:pPr>
                  <a:defRPr>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Sheet1!$B$35:$N$35</c:f>
              <c:numCache>
                <c:formatCode>General</c:formatCode>
                <c:ptCount val="13"/>
                <c:pt idx="5" formatCode="0%">
                  <c:v>0.13500000000000001</c:v>
                </c:pt>
                <c:pt idx="6" formatCode="0%">
                  <c:v>0.121</c:v>
                </c:pt>
                <c:pt idx="7" formatCode="0%">
                  <c:v>0.125</c:v>
                </c:pt>
                <c:pt idx="8" formatCode="0%">
                  <c:v>0.151</c:v>
                </c:pt>
                <c:pt idx="9" formatCode="0%">
                  <c:v>0.13</c:v>
                </c:pt>
                <c:pt idx="10" formatCode="0%">
                  <c:v>0.155</c:v>
                </c:pt>
                <c:pt idx="11" formatCode="0%">
                  <c:v>0.18</c:v>
                </c:pt>
                <c:pt idx="12" formatCode="0.0%">
                  <c:v>0.23192471659752981</c:v>
                </c:pt>
              </c:numCache>
            </c:numRef>
          </c:val>
          <c:smooth val="0"/>
          <c:extLst>
            <c:ext xmlns:c16="http://schemas.microsoft.com/office/drawing/2014/chart" uri="{C3380CC4-5D6E-409C-BE32-E72D297353CC}">
              <c16:uniqueId val="{0000002D-A029-46F9-9143-5E2DD02181A3}"/>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4.4224334883986811E-2"/>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Share of dollars across merchandising areas</a:t>
            </a:r>
          </a:p>
        </c:rich>
      </c:tx>
      <c:layout>
        <c:manualLayout>
          <c:xMode val="edge"/>
          <c:yMode val="edge"/>
          <c:x val="3.3085315693004436E-2"/>
          <c:y val="3.0704370400566415E-2"/>
        </c:manualLayout>
      </c:layout>
      <c:overlay val="0"/>
    </c:title>
    <c:autoTitleDeleted val="0"/>
    <c:plotArea>
      <c:layout/>
      <c:barChart>
        <c:barDir val="col"/>
        <c:grouping val="percentStacked"/>
        <c:varyColors val="0"/>
        <c:ser>
          <c:idx val="0"/>
          <c:order val="0"/>
          <c:tx>
            <c:strRef>
              <c:f>Sheet1!$A$102</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Q2 '22</c:v>
                </c:pt>
                <c:pt idx="5">
                  <c:v>Q3 '22</c:v>
                </c:pt>
                <c:pt idx="6">
                  <c:v>Q4 '22</c:v>
                </c:pt>
              </c:strCache>
            </c:strRef>
          </c:cat>
          <c:val>
            <c:numRef>
              <c:f>Sheet1!$B$102:$H$102</c:f>
              <c:numCache>
                <c:formatCode>0.0%</c:formatCode>
                <c:ptCount val="7"/>
                <c:pt idx="0">
                  <c:v>0.80800000000000005</c:v>
                </c:pt>
                <c:pt idx="1">
                  <c:v>0.79400000000000004</c:v>
                </c:pt>
                <c:pt idx="2">
                  <c:v>0.81</c:v>
                </c:pt>
                <c:pt idx="3">
                  <c:v>0.79600000000000004</c:v>
                </c:pt>
                <c:pt idx="4">
                  <c:v>0.82</c:v>
                </c:pt>
                <c:pt idx="5">
                  <c:v>0.81799999999999995</c:v>
                </c:pt>
                <c:pt idx="6">
                  <c:v>0.77400000000000002</c:v>
                </c:pt>
              </c:numCache>
            </c:numRef>
          </c:val>
          <c:extLst>
            <c:ext xmlns:c16="http://schemas.microsoft.com/office/drawing/2014/chart" uri="{C3380CC4-5D6E-409C-BE32-E72D297353CC}">
              <c16:uniqueId val="{00000000-83FE-4882-89E3-2CDAA34C5D91}"/>
            </c:ext>
          </c:extLst>
        </c:ser>
        <c:ser>
          <c:idx val="1"/>
          <c:order val="1"/>
          <c:tx>
            <c:strRef>
              <c:f>Sheet1!$A$103</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Q2 '22</c:v>
                </c:pt>
                <c:pt idx="5">
                  <c:v>Q3 '22</c:v>
                </c:pt>
                <c:pt idx="6">
                  <c:v>Q4 '22</c:v>
                </c:pt>
              </c:strCache>
            </c:strRef>
          </c:cat>
          <c:val>
            <c:numRef>
              <c:f>Sheet1!$B$103:$H$103</c:f>
              <c:numCache>
                <c:formatCode>0.0%</c:formatCode>
                <c:ptCount val="7"/>
                <c:pt idx="0">
                  <c:v>0.115</c:v>
                </c:pt>
                <c:pt idx="1">
                  <c:v>0.121</c:v>
                </c:pt>
                <c:pt idx="2">
                  <c:v>0.111</c:v>
                </c:pt>
                <c:pt idx="3">
                  <c:v>0.121</c:v>
                </c:pt>
                <c:pt idx="4">
                  <c:v>0.10299999999999999</c:v>
                </c:pt>
                <c:pt idx="5">
                  <c:v>0.10500000000000005</c:v>
                </c:pt>
                <c:pt idx="6">
                  <c:v>0.14100000000000001</c:v>
                </c:pt>
              </c:numCache>
            </c:numRef>
          </c:val>
          <c:extLst>
            <c:ext xmlns:c16="http://schemas.microsoft.com/office/drawing/2014/chart" uri="{C3380CC4-5D6E-409C-BE32-E72D297353CC}">
              <c16:uniqueId val="{00000001-83FE-4882-89E3-2CDAA34C5D91}"/>
            </c:ext>
          </c:extLst>
        </c:ser>
        <c:ser>
          <c:idx val="2"/>
          <c:order val="2"/>
          <c:tx>
            <c:strRef>
              <c:f>Sheet1!$A$104</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Sheet1!$B$101:$H$101</c:f>
              <c:strCache>
                <c:ptCount val="7"/>
                <c:pt idx="0">
                  <c:v>2019</c:v>
                </c:pt>
                <c:pt idx="1">
                  <c:v>2020</c:v>
                </c:pt>
                <c:pt idx="2">
                  <c:v>2021</c:v>
                </c:pt>
                <c:pt idx="3">
                  <c:v>Q1 '22</c:v>
                </c:pt>
                <c:pt idx="4">
                  <c:v>Q2 '22</c:v>
                </c:pt>
                <c:pt idx="5">
                  <c:v>Q3 '22</c:v>
                </c:pt>
                <c:pt idx="6">
                  <c:v>Q4 '22</c:v>
                </c:pt>
              </c:strCache>
            </c:strRef>
          </c:cat>
          <c:val>
            <c:numRef>
              <c:f>Sheet1!$B$104:$H$104</c:f>
              <c:numCache>
                <c:formatCode>0.0%</c:formatCode>
                <c:ptCount val="7"/>
                <c:pt idx="0">
                  <c:v>7.6999999999999999E-2</c:v>
                </c:pt>
                <c:pt idx="1">
                  <c:v>8.4000000000000005E-2</c:v>
                </c:pt>
                <c:pt idx="2">
                  <c:v>7.9000000000000001E-2</c:v>
                </c:pt>
                <c:pt idx="3">
                  <c:v>8.3000000000000004E-2</c:v>
                </c:pt>
                <c:pt idx="4">
                  <c:v>7.6999999999999999E-2</c:v>
                </c:pt>
                <c:pt idx="5">
                  <c:v>7.6999999999999999E-2</c:v>
                </c:pt>
                <c:pt idx="6">
                  <c:v>8.5000000000000006E-2</c:v>
                </c:pt>
              </c:numCache>
            </c:numRef>
          </c:val>
          <c:extLst>
            <c:ext xmlns:c16="http://schemas.microsoft.com/office/drawing/2014/chart" uri="{C3380CC4-5D6E-409C-BE32-E72D297353CC}">
              <c16:uniqueId val="{00000002-83FE-4882-89E3-2CDAA34C5D91}"/>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2.8783902012248487E-2"/>
          <c:y val="0.1036162543714733"/>
          <c:w val="0.39130999149234313"/>
          <c:h val="9.0578633356982075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YA and 2019</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A4-44D0-8DED-18159B518B76}"/>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A4-44D0-8DED-18159B518B76}"/>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A4-44D0-8DED-18159B518B76}"/>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A4-44D0-8DED-18159B518B76}"/>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A4-44D0-8DED-18159B518B76}"/>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A4-44D0-8DED-18159B518B76}"/>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A4-44D0-8DED-18159B518B76}"/>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A4-44D0-8DED-18159B518B76}"/>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3A4-44D0-8DED-18159B518B76}"/>
                </c:ext>
              </c:extLst>
            </c:dLbl>
            <c:dLbl>
              <c:idx val="11"/>
              <c:layout>
                <c:manualLayout>
                  <c:x val="-2.6635126973376437E-2"/>
                  <c:y val="-3.40202844444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3A4-44D0-8DED-18159B518B76}"/>
                </c:ext>
              </c:extLst>
            </c:dLbl>
            <c:dLbl>
              <c:idx val="12"/>
              <c:layout>
                <c:manualLayout>
                  <c:x val="-2.7088913767426469E-2"/>
                  <c:y val="-3.0724996515828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3A4-44D0-8DED-18159B518B76}"/>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3A4-44D0-8DED-18159B518B76}"/>
                </c:ext>
              </c:extLst>
            </c:dLbl>
            <c:spPr>
              <a:noFill/>
              <a:ln>
                <a:noFill/>
              </a:ln>
              <a:effectLst/>
            </c:spPr>
            <c:txPr>
              <a:bodyPr/>
              <a:lstStyle/>
              <a:p>
                <a:pPr>
                  <a:defRPr>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Sheet1!$B$65:$N$65</c:f>
              <c:numCache>
                <c:formatCode>0%</c:formatCode>
                <c:ptCount val="13"/>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4.7E-2</c:v>
                </c:pt>
                <c:pt idx="10">
                  <c:v>3.5999999999999997E-2</c:v>
                </c:pt>
                <c:pt idx="11">
                  <c:v>4.5999999999999999E-2</c:v>
                </c:pt>
                <c:pt idx="12" formatCode="0.0%">
                  <c:v>4.2000000000000003E-2</c:v>
                </c:pt>
              </c:numCache>
            </c:numRef>
          </c:val>
          <c:smooth val="0"/>
          <c:extLst>
            <c:ext xmlns:c16="http://schemas.microsoft.com/office/drawing/2014/chart" uri="{C3380CC4-5D6E-409C-BE32-E72D297353CC}">
              <c16:uniqueId val="{0000000C-E3A4-44D0-8DED-18159B518B76}"/>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3A4-44D0-8DED-18159B518B76}"/>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3A4-44D0-8DED-18159B518B76}"/>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3A4-44D0-8DED-18159B518B76}"/>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3A4-44D0-8DED-18159B518B76}"/>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3A4-44D0-8DED-18159B518B76}"/>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3A4-44D0-8DED-18159B518B76}"/>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3A4-44D0-8DED-18159B518B76}"/>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3A4-44D0-8DED-18159B518B76}"/>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3A4-44D0-8DED-18159B518B76}"/>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3A4-44D0-8DED-18159B518B76}"/>
                </c:ext>
              </c:extLst>
            </c:dLbl>
            <c:dLbl>
              <c:idx val="12"/>
              <c:layout>
                <c:manualLayout>
                  <c:x val="-2.6164011504017742E-2"/>
                  <c:y val="6.52231271091113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3A4-44D0-8DED-18159B518B76}"/>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3A4-44D0-8DED-18159B518B76}"/>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3A4-44D0-8DED-18159B518B76}"/>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3A4-44D0-8DED-18159B518B76}"/>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3A4-44D0-8DED-18159B518B76}"/>
                </c:ext>
              </c:extLst>
            </c:dLbl>
            <c:spPr>
              <a:noFill/>
              <a:ln>
                <a:noFill/>
              </a:ln>
              <a:effectLst/>
            </c:spPr>
            <c:txPr>
              <a:bodyPr/>
              <a:lstStyle/>
              <a:p>
                <a:pPr>
                  <a:defRPr>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Sheet1!$B$66:$N$66</c:f>
              <c:numCache>
                <c:formatCode>0%</c:formatCode>
                <c:ptCount val="13"/>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-4.8000000000000001E-2</c:v>
                </c:pt>
                <c:pt idx="10">
                  <c:v>-4.7E-2</c:v>
                </c:pt>
                <c:pt idx="11">
                  <c:v>-4.9000000000000002E-2</c:v>
                </c:pt>
                <c:pt idx="12" formatCode="0.0%">
                  <c:v>-1.6E-2</c:v>
                </c:pt>
              </c:numCache>
            </c:numRef>
          </c:val>
          <c:smooth val="0"/>
          <c:extLst>
            <c:ext xmlns:c16="http://schemas.microsoft.com/office/drawing/2014/chart" uri="{C3380CC4-5D6E-409C-BE32-E72D297353CC}">
              <c16:uniqueId val="{0000001C-E3A4-44D0-8DED-18159B518B76}"/>
            </c:ext>
          </c:extLst>
        </c:ser>
        <c:ser>
          <c:idx val="2"/>
          <c:order val="2"/>
          <c:tx>
            <c:strRef>
              <c:f>Sheet1!$A$67</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3A4-44D0-8DED-18159B518B76}"/>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3A4-44D0-8DED-18159B518B76}"/>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3A4-44D0-8DED-18159B518B76}"/>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3A4-44D0-8DED-18159B518B76}"/>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3A4-44D0-8DED-18159B518B76}"/>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3A4-44D0-8DED-18159B518B76}"/>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E3A4-44D0-8DED-18159B518B76}"/>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3A4-44D0-8DED-18159B518B76}"/>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3A4-44D0-8DED-18159B518B76}"/>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3A4-44D0-8DED-18159B518B76}"/>
                </c:ext>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Sheet1!$B$67:$N$67</c:f>
              <c:numCache>
                <c:formatCode>General</c:formatCode>
                <c:ptCount val="13"/>
                <c:pt idx="5" formatCode="0%">
                  <c:v>0.12</c:v>
                </c:pt>
                <c:pt idx="6" formatCode="0%">
                  <c:v>0.13900000000000001</c:v>
                </c:pt>
                <c:pt idx="7" formatCode="0%">
                  <c:v>0.14499999999999999</c:v>
                </c:pt>
                <c:pt idx="8" formatCode="0%">
                  <c:v>0.17499999999999999</c:v>
                </c:pt>
                <c:pt idx="9" formatCode="0%">
                  <c:v>0.17199999999999999</c:v>
                </c:pt>
                <c:pt idx="10" formatCode="0%">
                  <c:v>0.18</c:v>
                </c:pt>
                <c:pt idx="11" formatCode="0%">
                  <c:v>0.19900000000000001</c:v>
                </c:pt>
                <c:pt idx="12" formatCode="0.0%">
                  <c:v>0.22600000000000001</c:v>
                </c:pt>
              </c:numCache>
            </c:numRef>
          </c:val>
          <c:smooth val="0"/>
          <c:extLst>
            <c:ext xmlns:c16="http://schemas.microsoft.com/office/drawing/2014/chart" uri="{C3380CC4-5D6E-409C-BE32-E72D297353CC}">
              <c16:uniqueId val="{00000027-E3A4-44D0-8DED-18159B518B76}"/>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3A4-44D0-8DED-18159B518B76}"/>
                </c:ext>
              </c:extLst>
            </c:dLbl>
            <c:dLbl>
              <c:idx val="8"/>
              <c:layout>
                <c:manualLayout>
                  <c:x val="-1.9345964074931898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3A4-44D0-8DED-18159B518B76}"/>
                </c:ext>
              </c:extLst>
            </c:dLbl>
            <c:dLbl>
              <c:idx val="9"/>
              <c:layout>
                <c:manualLayout>
                  <c:x val="-1.9334717564079999E-2"/>
                  <c:y val="-2.229749064106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E3A4-44D0-8DED-18159B518B76}"/>
                </c:ext>
              </c:extLst>
            </c:dLbl>
            <c:dLbl>
              <c:idx val="10"/>
              <c:layout>
                <c:manualLayout>
                  <c:x val="-2.0725135711537262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E3A4-44D0-8DED-18159B518B76}"/>
                </c:ext>
              </c:extLst>
            </c:dLbl>
            <c:dLbl>
              <c:idx val="11"/>
              <c:layout>
                <c:manualLayout>
                  <c:x val="-5.1055987683198455E-3"/>
                  <c:y val="-1.1998824235816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E3A4-44D0-8DED-18159B518B76}"/>
                </c:ext>
              </c:extLst>
            </c:dLbl>
            <c:dLbl>
              <c:idx val="12"/>
              <c:layout>
                <c:manualLayout>
                  <c:x val="-2.5775249417394064E-2"/>
                  <c:y val="3.6946032375803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E3A4-44D0-8DED-18159B518B76}"/>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E3A4-44D0-8DED-18159B518B76}"/>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E3A4-44D0-8DED-18159B518B76}"/>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E3A4-44D0-8DED-18159B518B76}"/>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E3A4-44D0-8DED-18159B518B76}"/>
                </c:ext>
              </c:extLst>
            </c:dLbl>
            <c:spPr>
              <a:noFill/>
              <a:ln>
                <a:noFill/>
              </a:ln>
              <a:effectLst/>
            </c:spPr>
            <c:txPr>
              <a:bodyPr wrap="square" lIns="38100" tIns="19050" rIns="38100" bIns="19050" anchor="ctr">
                <a:spAutoFit/>
              </a:bodyPr>
              <a:lstStyle/>
              <a:p>
                <a:pPr>
                  <a:defRPr>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Q4 '22</c:v>
                </c:pt>
              </c:strCache>
            </c:strRef>
          </c:cat>
          <c:val>
            <c:numRef>
              <c:f>Sheet1!$B$68:$N$68</c:f>
              <c:numCache>
                <c:formatCode>General</c:formatCode>
                <c:ptCount val="13"/>
                <c:pt idx="5" formatCode="0%">
                  <c:v>9.5000000000000001E-2</c:v>
                </c:pt>
                <c:pt idx="6" formatCode="0%">
                  <c:v>6.0999999999999999E-2</c:v>
                </c:pt>
                <c:pt idx="7" formatCode="0%">
                  <c:v>6.9000000000000006E-2</c:v>
                </c:pt>
                <c:pt idx="8" formatCode="0%">
                  <c:v>6.0999999999999999E-2</c:v>
                </c:pt>
                <c:pt idx="9" formatCode="0%">
                  <c:v>4.3999999999999997E-2</c:v>
                </c:pt>
                <c:pt idx="10" formatCode="0%">
                  <c:v>8.0000000000000002E-3</c:v>
                </c:pt>
                <c:pt idx="11" formatCode="0%">
                  <c:v>1.9E-2</c:v>
                </c:pt>
                <c:pt idx="12" formatCode="0.0%">
                  <c:v>4.8000000000000001E-2</c:v>
                </c:pt>
              </c:numCache>
            </c:numRef>
          </c:val>
          <c:smooth val="0"/>
          <c:extLst>
            <c:ext xmlns:c16="http://schemas.microsoft.com/office/drawing/2014/chart" uri="{C3380CC4-5D6E-409C-BE32-E72D297353CC}">
              <c16:uniqueId val="{00000032-E3A4-44D0-8DED-18159B518B76}"/>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txPr>
          <a:bodyPr/>
          <a:lstStyle/>
          <a:p>
            <a:pPr>
              <a:defRPr sz="900"/>
            </a:pPr>
            <a:endParaRPr lang="en-US"/>
          </a:p>
        </c:txPr>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429A9-3D0E-4A6F-85FA-43551D5CA474}">
  <ds:schemaRefs>
    <ds:schemaRef ds:uri="http://schemas.openxmlformats.org/officeDocument/2006/bibliography"/>
  </ds:schemaRefs>
</ds:datastoreItem>
</file>

<file path=customXml/itemProps4.xml><?xml version="1.0" encoding="utf-8"?>
<ds:datastoreItem xmlns:ds="http://schemas.openxmlformats.org/officeDocument/2006/customXml" ds:itemID="{27FB094F-237B-42B9-A007-1B37B12C3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7</Pages>
  <Words>2364</Words>
  <Characters>13480</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Anne-Marie Roerink</cp:lastModifiedBy>
  <cp:revision>31</cp:revision>
  <dcterms:created xsi:type="dcterms:W3CDTF">2022-12-12T21:03:00Z</dcterms:created>
  <dcterms:modified xsi:type="dcterms:W3CDTF">2023-01-09T20:14:00Z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