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2E98" w14:textId="00B5DC9A" w:rsidR="003935EB" w:rsidRPr="001D030C" w:rsidRDefault="00F44551" w:rsidP="003935EB">
      <w:pPr>
        <w:pStyle w:val="Heading1"/>
        <w:spacing w:before="0"/>
        <w:ind w:right="-142"/>
        <w:rPr>
          <w:rFonts w:ascii="Arial" w:hAnsi="Arial" w:cs="Arial"/>
          <w:color w:val="595959" w:themeColor="text1" w:themeTint="A6"/>
          <w:szCs w:val="32"/>
        </w:rPr>
      </w:pPr>
      <w:r>
        <w:rPr>
          <w:rFonts w:ascii="Arial" w:hAnsi="Arial" w:cs="Arial"/>
          <w:color w:val="595959" w:themeColor="text1" w:themeTint="A6"/>
          <w:szCs w:val="32"/>
        </w:rPr>
        <w:t>In a Tough January Marketplace, Fresh Produce Holds Its Own</w:t>
      </w:r>
    </w:p>
    <w:p w14:paraId="74F26225" w14:textId="77777777" w:rsidR="000B705A" w:rsidRPr="00B35CE9" w:rsidRDefault="000B705A" w:rsidP="000B705A">
      <w:pPr>
        <w:rPr>
          <w:rFonts w:ascii="Arial" w:hAnsi="Arial" w:cs="Arial"/>
          <w:sz w:val="20"/>
          <w:szCs w:val="20"/>
        </w:rPr>
      </w:pPr>
      <w:r w:rsidRPr="00B35CE9">
        <w:rPr>
          <w:rFonts w:ascii="Arial" w:hAnsi="Arial" w:cs="Arial"/>
          <w:sz w:val="20"/>
          <w:szCs w:val="20"/>
        </w:rPr>
        <w:t xml:space="preserve">By: Anne-Marie Roerink, President, 210 Analytics </w:t>
      </w:r>
      <w:r w:rsidRPr="007E1D2E">
        <w:rPr>
          <w:rFonts w:ascii="Arial" w:hAnsi="Arial" w:cs="Arial"/>
          <w:noProof/>
          <w:sz w:val="20"/>
          <w:szCs w:val="20"/>
          <w:lang w:val="nl-NL" w:eastAsia="nl-NL"/>
        </w:rPr>
        <w:drawing>
          <wp:anchor distT="0" distB="0" distL="114300" distR="114300" simplePos="0" relativeHeight="251659264" behindDoc="0" locked="1" layoutInCell="1" allowOverlap="1" wp14:anchorId="124ABB56" wp14:editId="64FF5AC3">
            <wp:simplePos x="0" y="0"/>
            <wp:positionH relativeFrom="page">
              <wp:posOffset>313055</wp:posOffset>
            </wp:positionH>
            <wp:positionV relativeFrom="page">
              <wp:posOffset>1129030</wp:posOffset>
            </wp:positionV>
            <wp:extent cx="7212330" cy="634365"/>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shadow PS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2330" cy="634365"/>
                    </a:xfrm>
                    <a:prstGeom prst="rect">
                      <a:avLst/>
                    </a:prstGeom>
                  </pic:spPr>
                </pic:pic>
              </a:graphicData>
            </a:graphic>
          </wp:anchor>
        </w:drawing>
      </w:r>
    </w:p>
    <w:p w14:paraId="11AC18FC" w14:textId="77777777" w:rsidR="000B705A" w:rsidRDefault="000B705A" w:rsidP="000B705A">
      <w:pPr>
        <w:pStyle w:val="NoSpacing"/>
        <w:rPr>
          <w:rFonts w:ascii="Arial" w:hAnsi="Arial" w:cs="Arial"/>
          <w:sz w:val="20"/>
          <w:szCs w:val="20"/>
        </w:rPr>
      </w:pPr>
    </w:p>
    <w:p w14:paraId="28E9081C" w14:textId="6F204BF5" w:rsidR="00737671" w:rsidRPr="00A150AF" w:rsidRDefault="00737671" w:rsidP="00737671">
      <w:pPr>
        <w:pStyle w:val="NoSpacing"/>
        <w:rPr>
          <w:sz w:val="14"/>
          <w:szCs w:val="14"/>
        </w:rPr>
      </w:pPr>
    </w:p>
    <w:p w14:paraId="68982B60" w14:textId="77777777" w:rsidR="003B2AAF" w:rsidRDefault="003B2AAF" w:rsidP="003B2AAF">
      <w:pPr>
        <w:pStyle w:val="NoSpacing"/>
        <w:rPr>
          <w:rFonts w:ascii="Calibri" w:hAnsi="Calibri" w:cs="Calibri"/>
          <w:sz w:val="24"/>
          <w:szCs w:val="24"/>
        </w:rPr>
      </w:pPr>
      <w:bookmarkStart w:id="0" w:name="_Hlk108288211"/>
      <w:r>
        <w:rPr>
          <w:rFonts w:ascii="Arial" w:hAnsi="Arial" w:cs="Arial"/>
          <w:b/>
          <w:bCs/>
          <w:color w:val="595959"/>
          <w:sz w:val="24"/>
          <w:szCs w:val="24"/>
        </w:rPr>
        <w:t>The January Marketplace</w:t>
      </w:r>
    </w:p>
    <w:p w14:paraId="30C4E8E7" w14:textId="24BB844B" w:rsidR="003B2AAF" w:rsidRDefault="003B2AAF" w:rsidP="003B2AAF">
      <w:pPr>
        <w:pStyle w:val="NoSpacing"/>
        <w:rPr>
          <w:rFonts w:ascii="Arial" w:hAnsi="Arial" w:cs="Arial"/>
          <w:sz w:val="20"/>
          <w:szCs w:val="20"/>
        </w:rPr>
      </w:pPr>
      <w:r>
        <w:rPr>
          <w:rFonts w:ascii="Arial" w:hAnsi="Arial" w:cs="Arial"/>
          <w:sz w:val="20"/>
          <w:szCs w:val="20"/>
        </w:rPr>
        <w:t>“January brought a host of New Year’s resolutions,” shared Jonna Parker, Team Lead</w:t>
      </w:r>
      <w:r w:rsidR="00C14A0D">
        <w:rPr>
          <w:rFonts w:ascii="Arial" w:hAnsi="Arial" w:cs="Arial"/>
          <w:sz w:val="20"/>
          <w:szCs w:val="20"/>
        </w:rPr>
        <w:t>, Fresh</w:t>
      </w:r>
      <w:r>
        <w:rPr>
          <w:rFonts w:ascii="Arial" w:hAnsi="Arial" w:cs="Arial"/>
          <w:sz w:val="20"/>
          <w:szCs w:val="20"/>
        </w:rPr>
        <w:t xml:space="preserve"> with IRI. “The</w:t>
      </w:r>
      <w:r w:rsidR="00966403">
        <w:rPr>
          <w:rFonts w:ascii="Arial" w:hAnsi="Arial" w:cs="Arial"/>
          <w:sz w:val="20"/>
          <w:szCs w:val="20"/>
        </w:rPr>
        <w:t xml:space="preserve"> January</w:t>
      </w:r>
      <w:r>
        <w:rPr>
          <w:rFonts w:ascii="Arial" w:hAnsi="Arial" w:cs="Arial"/>
          <w:sz w:val="20"/>
          <w:szCs w:val="20"/>
        </w:rPr>
        <w:t xml:space="preserve"> IRI survey found that 40% </w:t>
      </w:r>
      <w:r w:rsidR="00966403">
        <w:rPr>
          <w:rFonts w:ascii="Arial" w:hAnsi="Arial" w:cs="Arial"/>
          <w:sz w:val="20"/>
          <w:szCs w:val="20"/>
        </w:rPr>
        <w:t xml:space="preserve">of primary shoppers </w:t>
      </w:r>
      <w:r>
        <w:rPr>
          <w:rFonts w:ascii="Arial" w:hAnsi="Arial" w:cs="Arial"/>
          <w:sz w:val="20"/>
          <w:szCs w:val="20"/>
        </w:rPr>
        <w:t xml:space="preserve">plan to eat healthier, 24% aim to get more sleep and 23% want to spend more time with friends and family. However, saving more money was the second highest resolution, at 35% — demonstrating that inflation continues to make its mark.” </w:t>
      </w:r>
      <w:r w:rsidR="00DC2A3E">
        <w:rPr>
          <w:rFonts w:ascii="Arial" w:hAnsi="Arial" w:cs="Arial"/>
          <w:sz w:val="20"/>
          <w:szCs w:val="20"/>
        </w:rPr>
        <w:t xml:space="preserve">To understand the impact on fresh produce, IRI, 210 Analytics and the International Fresh Produce Association will continue to team up in 2023 with monthly performance reports. </w:t>
      </w:r>
    </w:p>
    <w:p w14:paraId="0D27B665" w14:textId="77777777" w:rsidR="003B2AAF" w:rsidRDefault="003B2AAF" w:rsidP="003B2AAF">
      <w:pPr>
        <w:pStyle w:val="NoSpacing"/>
        <w:rPr>
          <w:rFonts w:ascii="Arial" w:hAnsi="Arial" w:cs="Arial"/>
          <w:sz w:val="20"/>
          <w:szCs w:val="20"/>
        </w:rPr>
      </w:pPr>
    </w:p>
    <w:p w14:paraId="3887C010" w14:textId="3AE8F5E3" w:rsidR="003B2AAF" w:rsidRDefault="003B2AAF" w:rsidP="003B2AAF">
      <w:pPr>
        <w:pStyle w:val="NoSpacing"/>
        <w:rPr>
          <w:rFonts w:ascii="Arial" w:hAnsi="Arial" w:cs="Arial"/>
          <w:sz w:val="20"/>
          <w:szCs w:val="20"/>
        </w:rPr>
      </w:pPr>
      <w:r>
        <w:rPr>
          <w:rFonts w:ascii="Arial" w:hAnsi="Arial" w:cs="Arial"/>
          <w:sz w:val="20"/>
          <w:szCs w:val="20"/>
        </w:rPr>
        <w:t>Nine in 10 consumers perceive the cost of groceries and everyday household items to be much (67%) or somewhat (22%) higher than last year, according to the IRI survey. Eggs continue to lead the list of examples cited by consumers for being more expensive, followed by milk, beef/pork, fresh produce, chicken/turkey and bread. “Fresh produce is consistently in the top five of examples shoppers cite as having significantly higher prices,” said Joe Watson,</w:t>
      </w:r>
      <w:r w:rsidRPr="00F901A9">
        <w:rPr>
          <w:rFonts w:ascii="Arial" w:hAnsi="Arial" w:cs="Arial"/>
          <w:sz w:val="20"/>
          <w:szCs w:val="20"/>
        </w:rPr>
        <w:t xml:space="preserve"> </w:t>
      </w:r>
      <w:r w:rsidRPr="00BB3A5E">
        <w:rPr>
          <w:rFonts w:ascii="Arial" w:hAnsi="Arial" w:cs="Arial"/>
          <w:sz w:val="20"/>
          <w:szCs w:val="20"/>
        </w:rPr>
        <w:t>IFPA’s VP, Retail, Foodservice and Wholesale</w:t>
      </w:r>
      <w:r>
        <w:rPr>
          <w:rFonts w:ascii="Arial" w:hAnsi="Arial" w:cs="Arial"/>
          <w:sz w:val="20"/>
          <w:szCs w:val="20"/>
        </w:rPr>
        <w:t>. “Perception is reality and that means it is extra important to underscore the value fresh produce delivers.</w:t>
      </w:r>
      <w:r w:rsidR="00966403">
        <w:rPr>
          <w:rFonts w:ascii="Arial" w:hAnsi="Arial" w:cs="Arial"/>
          <w:sz w:val="20"/>
          <w:szCs w:val="20"/>
        </w:rPr>
        <w:t>”</w:t>
      </w:r>
    </w:p>
    <w:p w14:paraId="0A74487A" w14:textId="77777777" w:rsidR="003B2AAF" w:rsidRDefault="003B2AAF" w:rsidP="003B2AAF">
      <w:pPr>
        <w:pStyle w:val="NoSpacing"/>
        <w:rPr>
          <w:rFonts w:ascii="Arial" w:hAnsi="Arial" w:cs="Arial"/>
          <w:sz w:val="20"/>
          <w:szCs w:val="20"/>
        </w:rPr>
      </w:pPr>
    </w:p>
    <w:p w14:paraId="478CF750" w14:textId="1D6D6C00" w:rsidR="003B2AAF" w:rsidRDefault="003B2AAF" w:rsidP="003B2AAF">
      <w:pPr>
        <w:pStyle w:val="NoSpacing"/>
        <w:rPr>
          <w:rFonts w:ascii="Arial" w:hAnsi="Arial" w:cs="Arial"/>
          <w:sz w:val="20"/>
          <w:szCs w:val="20"/>
        </w:rPr>
      </w:pPr>
      <w:r w:rsidRPr="00F04479">
        <w:rPr>
          <w:rFonts w:ascii="Arial" w:hAnsi="Arial" w:cs="Arial"/>
          <w:sz w:val="20"/>
          <w:szCs w:val="20"/>
        </w:rPr>
        <w:t>Inflationary pressure on income is real</w:t>
      </w:r>
      <w:r>
        <w:rPr>
          <w:rFonts w:ascii="Arial" w:hAnsi="Arial" w:cs="Arial"/>
          <w:sz w:val="20"/>
          <w:szCs w:val="20"/>
        </w:rPr>
        <w:t xml:space="preserve">, with 96% being concerned over </w:t>
      </w:r>
      <w:r w:rsidR="00C14A0D">
        <w:rPr>
          <w:rFonts w:ascii="Arial" w:hAnsi="Arial" w:cs="Arial"/>
          <w:sz w:val="20"/>
          <w:szCs w:val="20"/>
        </w:rPr>
        <w:t>the high cost of groceries</w:t>
      </w:r>
      <w:r>
        <w:rPr>
          <w:rFonts w:ascii="Arial" w:hAnsi="Arial" w:cs="Arial"/>
          <w:sz w:val="20"/>
          <w:szCs w:val="20"/>
        </w:rPr>
        <w:t xml:space="preserve">. </w:t>
      </w:r>
    </w:p>
    <w:p w14:paraId="05F8A1DD" w14:textId="77777777" w:rsidR="003B2AAF" w:rsidRDefault="003B2AAF" w:rsidP="003B2AAF">
      <w:pPr>
        <w:pStyle w:val="NoSpacing"/>
        <w:numPr>
          <w:ilvl w:val="0"/>
          <w:numId w:val="36"/>
        </w:numPr>
        <w:rPr>
          <w:rFonts w:ascii="Arial" w:hAnsi="Arial" w:cs="Arial"/>
          <w:sz w:val="20"/>
          <w:szCs w:val="20"/>
        </w:rPr>
      </w:pPr>
      <w:r w:rsidRPr="00F04479">
        <w:rPr>
          <w:rFonts w:ascii="Arial" w:hAnsi="Arial" w:cs="Arial"/>
          <w:sz w:val="20"/>
          <w:szCs w:val="20"/>
        </w:rPr>
        <w:t xml:space="preserve">This </w:t>
      </w:r>
      <w:r>
        <w:rPr>
          <w:rFonts w:ascii="Arial" w:hAnsi="Arial" w:cs="Arial"/>
          <w:sz w:val="20"/>
          <w:szCs w:val="20"/>
        </w:rPr>
        <w:t xml:space="preserve">is prompting continued </w:t>
      </w:r>
      <w:r w:rsidRPr="00F04479">
        <w:rPr>
          <w:rFonts w:ascii="Arial" w:hAnsi="Arial" w:cs="Arial"/>
          <w:sz w:val="20"/>
          <w:szCs w:val="20"/>
        </w:rPr>
        <w:t xml:space="preserve">money-saving measures when buying groceries among </w:t>
      </w:r>
      <w:r>
        <w:rPr>
          <w:rFonts w:ascii="Arial" w:hAnsi="Arial" w:cs="Arial"/>
          <w:sz w:val="20"/>
          <w:szCs w:val="20"/>
        </w:rPr>
        <w:t>79</w:t>
      </w:r>
      <w:r w:rsidRPr="00F04479">
        <w:rPr>
          <w:rFonts w:ascii="Arial" w:hAnsi="Arial" w:cs="Arial"/>
          <w:sz w:val="20"/>
          <w:szCs w:val="20"/>
        </w:rPr>
        <w:t>% of Americans, such as buying what’s on sale (</w:t>
      </w:r>
      <w:r>
        <w:rPr>
          <w:rFonts w:ascii="Arial" w:hAnsi="Arial" w:cs="Arial"/>
          <w:sz w:val="20"/>
          <w:szCs w:val="20"/>
        </w:rPr>
        <w:t>49</w:t>
      </w:r>
      <w:r w:rsidRPr="00F04479">
        <w:rPr>
          <w:rFonts w:ascii="Arial" w:hAnsi="Arial" w:cs="Arial"/>
          <w:sz w:val="20"/>
          <w:szCs w:val="20"/>
        </w:rPr>
        <w:t>%), cutting back on non-essentials (4</w:t>
      </w:r>
      <w:r>
        <w:rPr>
          <w:rFonts w:ascii="Arial" w:hAnsi="Arial" w:cs="Arial"/>
          <w:sz w:val="20"/>
          <w:szCs w:val="20"/>
        </w:rPr>
        <w:t>1</w:t>
      </w:r>
      <w:r w:rsidRPr="00F04479">
        <w:rPr>
          <w:rFonts w:ascii="Arial" w:hAnsi="Arial" w:cs="Arial"/>
          <w:sz w:val="20"/>
          <w:szCs w:val="20"/>
        </w:rPr>
        <w:t>%), looking for coupons (3</w:t>
      </w:r>
      <w:r>
        <w:rPr>
          <w:rFonts w:ascii="Arial" w:hAnsi="Arial" w:cs="Arial"/>
          <w:sz w:val="20"/>
          <w:szCs w:val="20"/>
        </w:rPr>
        <w:t>3</w:t>
      </w:r>
      <w:r w:rsidRPr="00F04479">
        <w:rPr>
          <w:rFonts w:ascii="Arial" w:hAnsi="Arial" w:cs="Arial"/>
          <w:sz w:val="20"/>
          <w:szCs w:val="20"/>
        </w:rPr>
        <w:t xml:space="preserve">%) and switching to store brand items (31%). </w:t>
      </w:r>
    </w:p>
    <w:p w14:paraId="2E66610B" w14:textId="77777777" w:rsidR="003B2AAF" w:rsidRDefault="003B2AAF" w:rsidP="003B2AAF">
      <w:pPr>
        <w:pStyle w:val="NoSpacing"/>
        <w:numPr>
          <w:ilvl w:val="0"/>
          <w:numId w:val="36"/>
        </w:numPr>
        <w:rPr>
          <w:rFonts w:ascii="Arial" w:hAnsi="Arial" w:cs="Arial"/>
          <w:sz w:val="20"/>
          <w:szCs w:val="20"/>
        </w:rPr>
      </w:pPr>
      <w:r>
        <w:rPr>
          <w:rFonts w:ascii="Arial" w:hAnsi="Arial" w:cs="Arial"/>
          <w:sz w:val="20"/>
          <w:szCs w:val="20"/>
        </w:rPr>
        <w:t xml:space="preserve">At the same time, consumers continue to report that they are seeing fewer items on sale (54%) and the items on sale not being discounted as much (45%). </w:t>
      </w:r>
    </w:p>
    <w:p w14:paraId="28A5C0F5" w14:textId="77777777" w:rsidR="003B2AAF" w:rsidRPr="00F04479" w:rsidRDefault="003B2AAF" w:rsidP="003B2AAF">
      <w:pPr>
        <w:pStyle w:val="NoSpacing"/>
        <w:numPr>
          <w:ilvl w:val="0"/>
          <w:numId w:val="36"/>
        </w:numPr>
        <w:rPr>
          <w:rFonts w:ascii="Arial" w:hAnsi="Arial" w:cs="Arial"/>
          <w:sz w:val="20"/>
          <w:szCs w:val="20"/>
        </w:rPr>
      </w:pPr>
      <w:r>
        <w:rPr>
          <w:rFonts w:ascii="Arial" w:hAnsi="Arial" w:cs="Arial"/>
          <w:sz w:val="20"/>
          <w:szCs w:val="20"/>
        </w:rPr>
        <w:t xml:space="preserve">45% stock up on certain items out of concern that prices may rise further or they might not be available. </w:t>
      </w:r>
    </w:p>
    <w:p w14:paraId="79E8484C" w14:textId="77777777" w:rsidR="003B2AAF" w:rsidRDefault="003B2AAF" w:rsidP="003B2AAF">
      <w:pPr>
        <w:pStyle w:val="NoSpacing"/>
        <w:rPr>
          <w:rFonts w:ascii="Arial" w:hAnsi="Arial" w:cs="Arial"/>
          <w:sz w:val="20"/>
          <w:szCs w:val="20"/>
        </w:rPr>
      </w:pPr>
    </w:p>
    <w:p w14:paraId="5F2A8EE2" w14:textId="69499E5B" w:rsidR="003B2AAF" w:rsidRDefault="00966403" w:rsidP="003B2AAF">
      <w:pPr>
        <w:pStyle w:val="NoSpacing"/>
        <w:rPr>
          <w:rFonts w:ascii="Arial" w:hAnsi="Arial" w:cs="Arial"/>
          <w:sz w:val="20"/>
          <w:szCs w:val="20"/>
        </w:rPr>
      </w:pPr>
      <w:r>
        <w:rPr>
          <w:rFonts w:ascii="Arial" w:hAnsi="Arial" w:cs="Arial"/>
          <w:sz w:val="20"/>
          <w:szCs w:val="20"/>
        </w:rPr>
        <w:t>“</w:t>
      </w:r>
      <w:r w:rsidR="003B2AAF">
        <w:rPr>
          <w:rFonts w:ascii="Arial" w:hAnsi="Arial" w:cs="Arial"/>
          <w:sz w:val="20"/>
          <w:szCs w:val="20"/>
        </w:rPr>
        <w:t>Special occasions remain a big opportunity for food retail in 2023</w:t>
      </w:r>
      <w:r>
        <w:rPr>
          <w:rFonts w:ascii="Arial" w:hAnsi="Arial" w:cs="Arial"/>
          <w:sz w:val="20"/>
          <w:szCs w:val="20"/>
        </w:rPr>
        <w:t>,” noted Parker</w:t>
      </w:r>
      <w:r w:rsidR="003B2AAF">
        <w:rPr>
          <w:rFonts w:ascii="Arial" w:hAnsi="Arial" w:cs="Arial"/>
          <w:sz w:val="20"/>
          <w:szCs w:val="20"/>
        </w:rPr>
        <w:t xml:space="preserve">. </w:t>
      </w:r>
      <w:r>
        <w:rPr>
          <w:rFonts w:ascii="Arial" w:hAnsi="Arial" w:cs="Arial"/>
          <w:sz w:val="20"/>
          <w:szCs w:val="20"/>
        </w:rPr>
        <w:t>“</w:t>
      </w:r>
      <w:r w:rsidR="003B2AAF">
        <w:rPr>
          <w:rFonts w:ascii="Arial" w:hAnsi="Arial" w:cs="Arial"/>
          <w:sz w:val="20"/>
          <w:szCs w:val="20"/>
        </w:rPr>
        <w:t>During the pandemic years, several foodservice</w:t>
      </w:r>
      <w:r w:rsidR="00C14A0D">
        <w:rPr>
          <w:rFonts w:ascii="Arial" w:hAnsi="Arial" w:cs="Arial"/>
          <w:sz w:val="20"/>
          <w:szCs w:val="20"/>
        </w:rPr>
        <w:t>-focused</w:t>
      </w:r>
      <w:r w:rsidR="003B2AAF">
        <w:rPr>
          <w:rFonts w:ascii="Arial" w:hAnsi="Arial" w:cs="Arial"/>
          <w:sz w:val="20"/>
          <w:szCs w:val="20"/>
        </w:rPr>
        <w:t xml:space="preserve"> holidays, such as Valentine’s Day and Mother’s Day, turned home-centric. This moved significant spending into retail, adding to holidays that were already mostly celebrated at home, such as Labor Day and the Fourth of July.</w:t>
      </w:r>
      <w:r>
        <w:rPr>
          <w:rFonts w:ascii="Arial" w:hAnsi="Arial" w:cs="Arial"/>
          <w:sz w:val="20"/>
          <w:szCs w:val="20"/>
        </w:rPr>
        <w:t>”</w:t>
      </w:r>
      <w:r w:rsidR="003B2AAF">
        <w:rPr>
          <w:rFonts w:ascii="Arial" w:hAnsi="Arial" w:cs="Arial"/>
          <w:sz w:val="20"/>
          <w:szCs w:val="20"/>
        </w:rPr>
        <w:t xml:space="preserve"> Holidays typically boost spending far above a normal week with opportunities for departments around the store. </w:t>
      </w:r>
    </w:p>
    <w:p w14:paraId="7EB856EE" w14:textId="7D489C34" w:rsidR="003B2AAF" w:rsidRDefault="003B2AAF" w:rsidP="003B2AAF">
      <w:pPr>
        <w:pStyle w:val="NoSpacing"/>
        <w:numPr>
          <w:ilvl w:val="0"/>
          <w:numId w:val="35"/>
        </w:numPr>
        <w:rPr>
          <w:rFonts w:ascii="Arial" w:hAnsi="Arial" w:cs="Arial"/>
          <w:sz w:val="20"/>
          <w:szCs w:val="20"/>
        </w:rPr>
      </w:pPr>
      <w:r w:rsidRPr="00395335">
        <w:rPr>
          <w:rFonts w:ascii="Arial" w:hAnsi="Arial" w:cs="Arial"/>
          <w:sz w:val="20"/>
          <w:szCs w:val="20"/>
        </w:rPr>
        <w:t>The January IRI survey found that 55% of shoppers planned to watch the Super Bowl this year of which only 2% were planning to watch it at a bar or restaurant. Households celebrating in at-home settings estimated that they would spend around $42 on food and beverages for the event, up from $34 last year. Super Bowl is the largest selling occasion for items like avocados and chicken wings.</w:t>
      </w:r>
    </w:p>
    <w:p w14:paraId="00EBD8B5" w14:textId="77777777" w:rsidR="003B2AAF" w:rsidRDefault="003B2AAF" w:rsidP="003B2AAF">
      <w:pPr>
        <w:pStyle w:val="NoSpacing"/>
        <w:numPr>
          <w:ilvl w:val="0"/>
          <w:numId w:val="35"/>
        </w:numPr>
        <w:rPr>
          <w:rFonts w:ascii="Arial" w:hAnsi="Arial" w:cs="Arial"/>
          <w:sz w:val="20"/>
          <w:szCs w:val="20"/>
        </w:rPr>
      </w:pPr>
      <w:r w:rsidRPr="00395335">
        <w:rPr>
          <w:rFonts w:ascii="Arial" w:hAnsi="Arial" w:cs="Arial"/>
          <w:sz w:val="20"/>
          <w:szCs w:val="20"/>
        </w:rPr>
        <w:t>Fifty percent of Americans plan to celebrate Valentine’s Day, with 19% planning to cook a special meal at home and 15% planning to go out to a restaurant. Sixteen percent of consumers are staying home specifically to save money.</w:t>
      </w:r>
    </w:p>
    <w:p w14:paraId="72E54F20" w14:textId="77777777" w:rsidR="003B2AAF" w:rsidRPr="00395335" w:rsidRDefault="003B2AAF" w:rsidP="003B2AAF">
      <w:pPr>
        <w:pStyle w:val="NoSpacing"/>
        <w:numPr>
          <w:ilvl w:val="0"/>
          <w:numId w:val="35"/>
        </w:numPr>
        <w:rPr>
          <w:rFonts w:ascii="Arial" w:hAnsi="Arial" w:cs="Arial"/>
          <w:sz w:val="20"/>
          <w:szCs w:val="20"/>
        </w:rPr>
      </w:pPr>
      <w:r w:rsidRPr="00395335">
        <w:rPr>
          <w:rFonts w:ascii="Arial" w:hAnsi="Arial" w:cs="Arial"/>
          <w:sz w:val="20"/>
          <w:szCs w:val="20"/>
        </w:rPr>
        <w:t xml:space="preserve">Thinking ahead to the April holidays of Easter or Passover, 28% plan to prepare a special meal for the household and 30% will host or attend a meal with extended family or friends. The typical party size continues to </w:t>
      </w:r>
      <w:r>
        <w:rPr>
          <w:rFonts w:ascii="Arial" w:hAnsi="Arial" w:cs="Arial"/>
          <w:sz w:val="20"/>
          <w:szCs w:val="20"/>
        </w:rPr>
        <w:t>increase</w:t>
      </w:r>
      <w:r w:rsidRPr="00395335">
        <w:rPr>
          <w:rFonts w:ascii="Arial" w:hAnsi="Arial" w:cs="Arial"/>
          <w:sz w:val="20"/>
          <w:szCs w:val="20"/>
        </w:rPr>
        <w:t xml:space="preserve">, from an average of 7.4 in 2022 to 7.9 in 2023. Shoppers are trying hard to keep spending flat (49%) with only 20% expecting to spend more, which may mean continued pressure on units and volume. </w:t>
      </w:r>
    </w:p>
    <w:p w14:paraId="62196161" w14:textId="77777777" w:rsidR="003B2AAF" w:rsidRDefault="003B2AAF" w:rsidP="003B2AAF">
      <w:pPr>
        <w:pStyle w:val="NoSpacing"/>
        <w:rPr>
          <w:rFonts w:ascii="Arial" w:hAnsi="Arial" w:cs="Arial"/>
          <w:sz w:val="20"/>
          <w:szCs w:val="20"/>
        </w:rPr>
      </w:pPr>
    </w:p>
    <w:p w14:paraId="02B9BB0E" w14:textId="146EB5E8" w:rsidR="003B2AAF" w:rsidRDefault="003B2AAF" w:rsidP="003B2AAF">
      <w:pPr>
        <w:pStyle w:val="NoSpacing"/>
        <w:rPr>
          <w:rFonts w:ascii="Arial" w:hAnsi="Arial" w:cs="Arial"/>
          <w:sz w:val="20"/>
          <w:szCs w:val="20"/>
        </w:rPr>
      </w:pPr>
      <w:r>
        <w:rPr>
          <w:rFonts w:ascii="Arial" w:hAnsi="Arial" w:cs="Arial"/>
          <w:sz w:val="20"/>
          <w:szCs w:val="20"/>
        </w:rPr>
        <w:t xml:space="preserve">Following the typical December uptick in </w:t>
      </w:r>
      <w:r w:rsidRPr="00F04479">
        <w:rPr>
          <w:rFonts w:ascii="Arial" w:hAnsi="Arial" w:cs="Arial"/>
          <w:sz w:val="20"/>
          <w:szCs w:val="20"/>
        </w:rPr>
        <w:t>the estimated share of meals prepared at home</w:t>
      </w:r>
      <w:r>
        <w:rPr>
          <w:rFonts w:ascii="Arial" w:hAnsi="Arial" w:cs="Arial"/>
          <w:sz w:val="20"/>
          <w:szCs w:val="20"/>
        </w:rPr>
        <w:t xml:space="preserve"> (81.5%), </w:t>
      </w:r>
      <w:r w:rsidR="00966403">
        <w:rPr>
          <w:rFonts w:ascii="Arial" w:hAnsi="Arial" w:cs="Arial"/>
          <w:sz w:val="20"/>
          <w:szCs w:val="20"/>
        </w:rPr>
        <w:t xml:space="preserve">January’s estimated share dropped slightly to </w:t>
      </w:r>
      <w:r>
        <w:rPr>
          <w:rFonts w:ascii="Arial" w:hAnsi="Arial" w:cs="Arial"/>
          <w:sz w:val="20"/>
          <w:szCs w:val="20"/>
        </w:rPr>
        <w:t>80</w:t>
      </w:r>
      <w:r w:rsidR="00966403">
        <w:rPr>
          <w:rFonts w:ascii="Arial" w:hAnsi="Arial" w:cs="Arial"/>
          <w:sz w:val="20"/>
          <w:szCs w:val="20"/>
        </w:rPr>
        <w:t>.0</w:t>
      </w:r>
      <w:r>
        <w:rPr>
          <w:rFonts w:ascii="Arial" w:hAnsi="Arial" w:cs="Arial"/>
          <w:sz w:val="20"/>
          <w:szCs w:val="20"/>
        </w:rPr>
        <w:t>% of meals</w:t>
      </w:r>
      <w:r w:rsidRPr="00F04479">
        <w:rPr>
          <w:rFonts w:ascii="Arial" w:hAnsi="Arial" w:cs="Arial"/>
          <w:sz w:val="20"/>
          <w:szCs w:val="20"/>
        </w:rPr>
        <w:t xml:space="preserve">. </w:t>
      </w:r>
      <w:r>
        <w:rPr>
          <w:rFonts w:ascii="Arial" w:hAnsi="Arial" w:cs="Arial"/>
          <w:sz w:val="20"/>
          <w:szCs w:val="20"/>
        </w:rPr>
        <w:t xml:space="preserve">Restaurant engagement was fairly steady, with 78% of households having purchased restaurant food at least once, according to the January survey. In-store shopping remained prevalent, at 85% of trips. Two-thirds of shoppers exclusively buy in-store, whereas 11% buy most or all groceries online. </w:t>
      </w:r>
    </w:p>
    <w:p w14:paraId="2A49C262" w14:textId="77777777" w:rsidR="003B2AAF" w:rsidRDefault="003B2AAF" w:rsidP="003B2AAF">
      <w:pPr>
        <w:pStyle w:val="NoSpacing"/>
        <w:rPr>
          <w:rFonts w:ascii="Arial" w:hAnsi="Arial" w:cs="Arial"/>
          <w:sz w:val="20"/>
          <w:szCs w:val="20"/>
        </w:rPr>
      </w:pPr>
    </w:p>
    <w:bookmarkEnd w:id="0"/>
    <w:p w14:paraId="6AB2E937" w14:textId="77777777" w:rsidR="003B2AAF" w:rsidRPr="00355721" w:rsidRDefault="003B2AAF" w:rsidP="003B2AAF">
      <w:pPr>
        <w:pStyle w:val="NoSpacing"/>
        <w:rPr>
          <w:rFonts w:ascii="Arial" w:hAnsi="Arial" w:cs="Arial"/>
          <w:b/>
          <w:color w:val="595959" w:themeColor="text1" w:themeTint="A6"/>
          <w:sz w:val="24"/>
          <w:szCs w:val="20"/>
        </w:rPr>
      </w:pPr>
      <w:r w:rsidRPr="00355721">
        <w:rPr>
          <w:rFonts w:ascii="Arial" w:hAnsi="Arial" w:cs="Arial"/>
          <w:b/>
          <w:color w:val="595959" w:themeColor="text1" w:themeTint="A6"/>
          <w:sz w:val="24"/>
          <w:szCs w:val="20"/>
        </w:rPr>
        <w:t>Inflation</w:t>
      </w:r>
      <w:r>
        <w:rPr>
          <w:rFonts w:ascii="Arial" w:hAnsi="Arial" w:cs="Arial"/>
          <w:b/>
          <w:color w:val="595959" w:themeColor="text1" w:themeTint="A6"/>
          <w:sz w:val="24"/>
          <w:szCs w:val="20"/>
        </w:rPr>
        <w:t xml:space="preserve"> Insights</w:t>
      </w:r>
    </w:p>
    <w:p w14:paraId="6CA9DBFD" w14:textId="3AB9569F" w:rsidR="003B2AAF" w:rsidRPr="002C0D7F" w:rsidRDefault="003B2AAF" w:rsidP="003B2AAF">
      <w:pPr>
        <w:pStyle w:val="NoSpacing"/>
        <w:rPr>
          <w:rFonts w:ascii="Arial" w:hAnsi="Arial" w:cs="Arial"/>
          <w:sz w:val="20"/>
          <w:szCs w:val="20"/>
        </w:rPr>
      </w:pPr>
      <w:r>
        <w:rPr>
          <w:rFonts w:ascii="Arial" w:hAnsi="Arial" w:cs="Arial"/>
          <w:sz w:val="20"/>
          <w:szCs w:val="20"/>
        </w:rPr>
        <w:t>The price per unit across all foods and beverages in the IRI-measured multi-outlet stores, including supermarkets, club, mass, supercenter, drug and military, increased 13.2% in January (the four weeks ending 1/29/2023), which was up from 12.8% in December</w:t>
      </w:r>
      <w:r w:rsidR="00C4670D">
        <w:rPr>
          <w:rFonts w:ascii="Arial" w:hAnsi="Arial" w:cs="Arial"/>
          <w:sz w:val="20"/>
          <w:szCs w:val="20"/>
        </w:rPr>
        <w:t xml:space="preserve"> 2022</w:t>
      </w:r>
      <w:r>
        <w:rPr>
          <w:rFonts w:ascii="Arial" w:hAnsi="Arial" w:cs="Arial"/>
          <w:sz w:val="20"/>
          <w:szCs w:val="20"/>
        </w:rPr>
        <w:t xml:space="preserve">. Compared with January 2020, prices across all foods and beverages were up 30.3%. </w:t>
      </w:r>
    </w:p>
    <w:p w14:paraId="4B696029" w14:textId="77777777" w:rsidR="003B2AAF" w:rsidRPr="00966403" w:rsidRDefault="003B2AAF" w:rsidP="003B2AAF">
      <w:pPr>
        <w:pStyle w:val="NoSpacing"/>
        <w:rPr>
          <w:rFonts w:ascii="Arial" w:hAnsi="Arial" w:cs="Arial"/>
          <w:b/>
          <w:color w:val="595959" w:themeColor="text1" w:themeTint="A6"/>
          <w:sz w:val="10"/>
          <w:szCs w:val="10"/>
        </w:rPr>
      </w:pPr>
    </w:p>
    <w:tbl>
      <w:tblPr>
        <w:tblStyle w:val="LightShading-Accent5"/>
        <w:tblW w:w="8280" w:type="dxa"/>
        <w:tblLayout w:type="fixed"/>
        <w:tblLook w:val="04A0" w:firstRow="1" w:lastRow="0" w:firstColumn="1" w:lastColumn="0" w:noHBand="0" w:noVBand="1"/>
      </w:tblPr>
      <w:tblGrid>
        <w:gridCol w:w="2160"/>
        <w:gridCol w:w="810"/>
        <w:gridCol w:w="810"/>
        <w:gridCol w:w="763"/>
        <w:gridCol w:w="767"/>
        <w:gridCol w:w="877"/>
        <w:gridCol w:w="1103"/>
        <w:gridCol w:w="990"/>
      </w:tblGrid>
      <w:tr w:rsidR="003B2AAF" w:rsidRPr="00770F6B" w14:paraId="2EA3D153" w14:textId="77777777" w:rsidTr="00C52016">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shd w:val="clear" w:color="auto" w:fill="17365D" w:themeFill="text2" w:themeFillShade="BF"/>
            <w:vAlign w:val="center"/>
          </w:tcPr>
          <w:p w14:paraId="249AEA6D" w14:textId="77777777" w:rsidR="003B2AAF" w:rsidRPr="00C37EEB" w:rsidRDefault="003B2AAF" w:rsidP="00C52016">
            <w:pPr>
              <w:pStyle w:val="NoSpacing"/>
              <w:rPr>
                <w:rFonts w:ascii="Arial" w:hAnsi="Arial" w:cs="Arial"/>
                <w:bCs w:val="0"/>
                <w:color w:val="F2F2F2" w:themeColor="background1" w:themeShade="F2"/>
                <w:sz w:val="18"/>
                <w:szCs w:val="18"/>
              </w:rPr>
            </w:pPr>
            <w:r w:rsidRPr="00C37EEB">
              <w:rPr>
                <w:rFonts w:ascii="Arial" w:hAnsi="Arial" w:cs="Arial"/>
                <w:bCs w:val="0"/>
                <w:color w:val="F2F2F2" w:themeColor="background1" w:themeShade="F2"/>
                <w:sz w:val="18"/>
                <w:szCs w:val="18"/>
              </w:rPr>
              <w:t>Average price/unit vs. YA</w:t>
            </w:r>
          </w:p>
        </w:tc>
        <w:tc>
          <w:tcPr>
            <w:tcW w:w="810" w:type="dxa"/>
            <w:tcBorders>
              <w:top w:val="nil"/>
              <w:bottom w:val="nil"/>
            </w:tcBorders>
            <w:shd w:val="clear" w:color="auto" w:fill="17365D" w:themeFill="text2" w:themeFillShade="BF"/>
            <w:vAlign w:val="center"/>
          </w:tcPr>
          <w:p w14:paraId="66200FCB" w14:textId="77777777" w:rsidR="003B2AAF" w:rsidRPr="006C208B" w:rsidRDefault="003B2AAF" w:rsidP="00C52016">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2018</w:t>
            </w:r>
          </w:p>
        </w:tc>
        <w:tc>
          <w:tcPr>
            <w:tcW w:w="810" w:type="dxa"/>
            <w:tcBorders>
              <w:top w:val="nil"/>
              <w:bottom w:val="nil"/>
            </w:tcBorders>
            <w:shd w:val="clear" w:color="auto" w:fill="17365D" w:themeFill="text2" w:themeFillShade="BF"/>
            <w:vAlign w:val="center"/>
          </w:tcPr>
          <w:p w14:paraId="770AC16C" w14:textId="77777777" w:rsidR="003B2AAF" w:rsidRPr="006C208B" w:rsidRDefault="003B2AAF" w:rsidP="00C52016">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2019</w:t>
            </w:r>
          </w:p>
        </w:tc>
        <w:tc>
          <w:tcPr>
            <w:tcW w:w="763" w:type="dxa"/>
            <w:tcBorders>
              <w:top w:val="nil"/>
              <w:bottom w:val="nil"/>
            </w:tcBorders>
            <w:shd w:val="clear" w:color="auto" w:fill="17365D" w:themeFill="text2" w:themeFillShade="BF"/>
            <w:vAlign w:val="center"/>
          </w:tcPr>
          <w:p w14:paraId="72AB54E7" w14:textId="77777777" w:rsidR="003B2AAF" w:rsidRPr="006C208B" w:rsidRDefault="003B2AAF" w:rsidP="00C52016">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2020</w:t>
            </w:r>
          </w:p>
        </w:tc>
        <w:tc>
          <w:tcPr>
            <w:tcW w:w="767" w:type="dxa"/>
            <w:tcBorders>
              <w:top w:val="nil"/>
              <w:bottom w:val="nil"/>
            </w:tcBorders>
            <w:shd w:val="clear" w:color="auto" w:fill="17365D" w:themeFill="text2" w:themeFillShade="BF"/>
            <w:vAlign w:val="center"/>
          </w:tcPr>
          <w:p w14:paraId="31E507BF" w14:textId="77777777" w:rsidR="003B2AAF" w:rsidRPr="006C208B" w:rsidRDefault="003B2AAF" w:rsidP="00C52016">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2021</w:t>
            </w:r>
          </w:p>
        </w:tc>
        <w:tc>
          <w:tcPr>
            <w:tcW w:w="877" w:type="dxa"/>
            <w:tcBorders>
              <w:top w:val="nil"/>
              <w:bottom w:val="nil"/>
            </w:tcBorders>
            <w:shd w:val="clear" w:color="auto" w:fill="17365D" w:themeFill="text2" w:themeFillShade="BF"/>
            <w:vAlign w:val="center"/>
          </w:tcPr>
          <w:p w14:paraId="3A66FE88" w14:textId="77777777" w:rsidR="003B2AAF" w:rsidRDefault="003B2AAF" w:rsidP="00C52016">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2022</w:t>
            </w:r>
          </w:p>
        </w:tc>
        <w:tc>
          <w:tcPr>
            <w:tcW w:w="1103" w:type="dxa"/>
            <w:tcBorders>
              <w:top w:val="nil"/>
              <w:bottom w:val="nil"/>
            </w:tcBorders>
            <w:shd w:val="clear" w:color="auto" w:fill="17365D" w:themeFill="text2" w:themeFillShade="BF"/>
            <w:vAlign w:val="center"/>
          </w:tcPr>
          <w:p w14:paraId="1C3F8093" w14:textId="77777777" w:rsidR="003B2AAF" w:rsidRDefault="003B2AAF" w:rsidP="00C52016">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Q4 2022</w:t>
            </w:r>
          </w:p>
        </w:tc>
        <w:tc>
          <w:tcPr>
            <w:tcW w:w="990" w:type="dxa"/>
            <w:tcBorders>
              <w:top w:val="nil"/>
              <w:bottom w:val="nil"/>
            </w:tcBorders>
            <w:shd w:val="clear" w:color="auto" w:fill="17365D" w:themeFill="text2" w:themeFillShade="BF"/>
            <w:vAlign w:val="center"/>
          </w:tcPr>
          <w:p w14:paraId="4B3440B9" w14:textId="77777777" w:rsidR="003B2AAF" w:rsidRPr="006C208B" w:rsidRDefault="003B2AAF" w:rsidP="00C52016">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Jan 23</w:t>
            </w:r>
          </w:p>
        </w:tc>
      </w:tr>
      <w:tr w:rsidR="003B2AAF" w:rsidRPr="007F5087" w14:paraId="0733028D" w14:textId="77777777" w:rsidTr="00C5201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tcBorders>
            <w:vAlign w:val="center"/>
          </w:tcPr>
          <w:p w14:paraId="5DA22801" w14:textId="77777777" w:rsidR="003B2AAF" w:rsidRPr="00467B32" w:rsidRDefault="003B2AAF" w:rsidP="00C52016">
            <w:pPr>
              <w:pStyle w:val="NoSpacing"/>
              <w:jc w:val="right"/>
              <w:rPr>
                <w:rFonts w:ascii="Arial" w:hAnsi="Arial" w:cs="Arial"/>
                <w:b w:val="0"/>
                <w:bCs w:val="0"/>
                <w:sz w:val="18"/>
                <w:szCs w:val="18"/>
              </w:rPr>
            </w:pPr>
            <w:r w:rsidRPr="00467B32">
              <w:rPr>
                <w:rFonts w:ascii="Arial" w:hAnsi="Arial" w:cs="Arial"/>
                <w:b w:val="0"/>
                <w:bCs w:val="0"/>
                <w:sz w:val="18"/>
                <w:szCs w:val="18"/>
              </w:rPr>
              <w:t xml:space="preserve">Total food </w:t>
            </w:r>
            <w:r>
              <w:rPr>
                <w:rFonts w:ascii="Arial" w:hAnsi="Arial" w:cs="Arial"/>
                <w:b w:val="0"/>
                <w:bCs w:val="0"/>
                <w:sz w:val="18"/>
                <w:szCs w:val="18"/>
              </w:rPr>
              <w:t>&amp;</w:t>
            </w:r>
            <w:r w:rsidRPr="00467B32">
              <w:rPr>
                <w:rFonts w:ascii="Arial" w:hAnsi="Arial" w:cs="Arial"/>
                <w:b w:val="0"/>
                <w:bCs w:val="0"/>
                <w:sz w:val="18"/>
                <w:szCs w:val="18"/>
              </w:rPr>
              <w:t xml:space="preserve"> beverages</w:t>
            </w:r>
          </w:p>
        </w:tc>
        <w:tc>
          <w:tcPr>
            <w:tcW w:w="810" w:type="dxa"/>
            <w:tcBorders>
              <w:top w:val="nil"/>
              <w:bottom w:val="nil"/>
            </w:tcBorders>
            <w:vAlign w:val="center"/>
          </w:tcPr>
          <w:p w14:paraId="30E599D0" w14:textId="77777777" w:rsidR="003B2AAF" w:rsidRPr="00467B32" w:rsidRDefault="003B2AAF" w:rsidP="00C5201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7B32">
              <w:rPr>
                <w:rFonts w:ascii="Arial" w:hAnsi="Arial" w:cs="Arial"/>
                <w:sz w:val="18"/>
                <w:szCs w:val="18"/>
              </w:rPr>
              <w:t>+1.5%</w:t>
            </w:r>
          </w:p>
        </w:tc>
        <w:tc>
          <w:tcPr>
            <w:tcW w:w="810" w:type="dxa"/>
            <w:tcBorders>
              <w:top w:val="nil"/>
              <w:bottom w:val="nil"/>
            </w:tcBorders>
            <w:vAlign w:val="center"/>
          </w:tcPr>
          <w:p w14:paraId="734A862B" w14:textId="77777777" w:rsidR="003B2AAF" w:rsidRPr="00467B32" w:rsidRDefault="003B2AAF" w:rsidP="00C5201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7B32">
              <w:rPr>
                <w:rFonts w:ascii="Arial" w:hAnsi="Arial" w:cs="Arial"/>
                <w:sz w:val="18"/>
                <w:szCs w:val="18"/>
              </w:rPr>
              <w:t>+2.0%</w:t>
            </w:r>
          </w:p>
        </w:tc>
        <w:tc>
          <w:tcPr>
            <w:tcW w:w="763" w:type="dxa"/>
            <w:tcBorders>
              <w:top w:val="nil"/>
              <w:bottom w:val="nil"/>
            </w:tcBorders>
            <w:vAlign w:val="center"/>
          </w:tcPr>
          <w:p w14:paraId="0D0A1603" w14:textId="77777777" w:rsidR="003B2AAF" w:rsidRPr="00467B32" w:rsidRDefault="003B2AAF" w:rsidP="00C5201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7B32">
              <w:rPr>
                <w:rFonts w:ascii="Arial" w:hAnsi="Arial" w:cs="Arial"/>
                <w:sz w:val="18"/>
                <w:szCs w:val="18"/>
              </w:rPr>
              <w:t>+5.1%</w:t>
            </w:r>
          </w:p>
        </w:tc>
        <w:tc>
          <w:tcPr>
            <w:tcW w:w="767" w:type="dxa"/>
            <w:tcBorders>
              <w:top w:val="nil"/>
              <w:bottom w:val="nil"/>
            </w:tcBorders>
            <w:vAlign w:val="center"/>
          </w:tcPr>
          <w:p w14:paraId="56FB2444" w14:textId="77777777" w:rsidR="003B2AAF" w:rsidRPr="00467B32" w:rsidRDefault="003B2AAF" w:rsidP="00C5201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7B32">
              <w:rPr>
                <w:rFonts w:ascii="Arial" w:hAnsi="Arial" w:cs="Arial"/>
                <w:sz w:val="18"/>
                <w:szCs w:val="18"/>
              </w:rPr>
              <w:t>+5.4%</w:t>
            </w:r>
          </w:p>
        </w:tc>
        <w:tc>
          <w:tcPr>
            <w:tcW w:w="877" w:type="dxa"/>
            <w:tcBorders>
              <w:top w:val="nil"/>
              <w:bottom w:val="nil"/>
            </w:tcBorders>
            <w:vAlign w:val="center"/>
          </w:tcPr>
          <w:p w14:paraId="7BAB20DD" w14:textId="77777777" w:rsidR="003B2AAF" w:rsidRPr="00467B32" w:rsidRDefault="003B2AAF" w:rsidP="00C5201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7B32">
              <w:rPr>
                <w:rFonts w:ascii="Arial" w:hAnsi="Arial" w:cs="Arial"/>
                <w:sz w:val="18"/>
                <w:szCs w:val="18"/>
              </w:rPr>
              <w:t>+12.5%</w:t>
            </w:r>
          </w:p>
        </w:tc>
        <w:tc>
          <w:tcPr>
            <w:tcW w:w="1103" w:type="dxa"/>
            <w:tcBorders>
              <w:top w:val="nil"/>
              <w:bottom w:val="nil"/>
            </w:tcBorders>
            <w:vAlign w:val="center"/>
          </w:tcPr>
          <w:p w14:paraId="6F18A828" w14:textId="77777777" w:rsidR="003B2AAF" w:rsidRPr="00467B32" w:rsidRDefault="003B2AAF" w:rsidP="00C5201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7B32">
              <w:rPr>
                <w:rFonts w:ascii="Arial" w:hAnsi="Arial" w:cs="Arial"/>
                <w:sz w:val="18"/>
                <w:szCs w:val="18"/>
              </w:rPr>
              <w:t>+13.5%</w:t>
            </w:r>
          </w:p>
        </w:tc>
        <w:tc>
          <w:tcPr>
            <w:tcW w:w="990" w:type="dxa"/>
            <w:tcBorders>
              <w:top w:val="nil"/>
              <w:bottom w:val="nil"/>
            </w:tcBorders>
            <w:vAlign w:val="center"/>
          </w:tcPr>
          <w:p w14:paraId="1FF7F9B3" w14:textId="77777777" w:rsidR="003B2AAF" w:rsidRPr="00467B32" w:rsidRDefault="003B2AAF" w:rsidP="00C5201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7B32">
              <w:rPr>
                <w:rFonts w:ascii="Arial" w:hAnsi="Arial" w:cs="Arial"/>
                <w:sz w:val="18"/>
                <w:szCs w:val="18"/>
              </w:rPr>
              <w:t>+13.2%</w:t>
            </w:r>
          </w:p>
        </w:tc>
      </w:tr>
    </w:tbl>
    <w:p w14:paraId="4AF58961" w14:textId="77777777" w:rsidR="003B2AAF" w:rsidRDefault="003B2AAF" w:rsidP="003B2AAF">
      <w:pPr>
        <w:pStyle w:val="NoSpacing"/>
        <w:tabs>
          <w:tab w:val="left" w:pos="8991"/>
        </w:tabs>
        <w:rPr>
          <w:rFonts w:ascii="Arial" w:hAnsi="Arial" w:cs="Arial"/>
          <w:sz w:val="16"/>
          <w:szCs w:val="16"/>
        </w:rPr>
      </w:pPr>
      <w:r>
        <w:rPr>
          <w:rFonts w:ascii="Arial" w:hAnsi="Arial" w:cs="Arial"/>
          <w:sz w:val="16"/>
          <w:szCs w:val="16"/>
        </w:rPr>
        <w:tab/>
      </w:r>
    </w:p>
    <w:p w14:paraId="48A423E2" w14:textId="77777777" w:rsidR="003B2AAF" w:rsidRPr="006879B2" w:rsidRDefault="003B2AAF" w:rsidP="003B2AAF">
      <w:pPr>
        <w:pStyle w:val="NoSpacing"/>
        <w:rPr>
          <w:rFonts w:ascii="Arial" w:hAnsi="Arial" w:cs="Arial"/>
          <w:sz w:val="16"/>
          <w:szCs w:val="16"/>
        </w:rPr>
      </w:pPr>
      <w:r>
        <w:rPr>
          <w:rFonts w:ascii="Arial" w:hAnsi="Arial" w:cs="Arial"/>
          <w:sz w:val="16"/>
          <w:szCs w:val="16"/>
        </w:rPr>
        <w:t xml:space="preserve">Source: IRI, Integrated Fresh, Total US, MULO, average price per unit and % gain versus YA </w:t>
      </w:r>
    </w:p>
    <w:p w14:paraId="33E52E4B" w14:textId="6BF86CF7" w:rsidR="00354739" w:rsidRDefault="00DD3DF6" w:rsidP="00DD3DF6">
      <w:pPr>
        <w:pStyle w:val="NoSpacing"/>
        <w:rPr>
          <w:rFonts w:ascii="Arial" w:hAnsi="Arial" w:cs="Arial"/>
          <w:sz w:val="20"/>
          <w:szCs w:val="20"/>
        </w:rPr>
      </w:pPr>
      <w:r>
        <w:rPr>
          <w:rFonts w:ascii="Arial" w:hAnsi="Arial" w:cs="Arial"/>
          <w:sz w:val="20"/>
          <w:szCs w:val="20"/>
        </w:rPr>
        <w:lastRenderedPageBreak/>
        <w:t xml:space="preserve">Fresh produce prices </w:t>
      </w:r>
      <w:r w:rsidR="00BC7B47">
        <w:rPr>
          <w:rFonts w:ascii="Arial" w:hAnsi="Arial" w:cs="Arial"/>
          <w:sz w:val="20"/>
          <w:szCs w:val="20"/>
        </w:rPr>
        <w:t xml:space="preserve">were </w:t>
      </w:r>
      <w:r>
        <w:rPr>
          <w:rFonts w:ascii="Arial" w:hAnsi="Arial" w:cs="Arial"/>
          <w:sz w:val="20"/>
          <w:szCs w:val="20"/>
        </w:rPr>
        <w:t xml:space="preserve">also </w:t>
      </w:r>
      <w:r w:rsidR="00B1061E">
        <w:rPr>
          <w:rFonts w:ascii="Arial" w:hAnsi="Arial" w:cs="Arial"/>
          <w:sz w:val="20"/>
          <w:szCs w:val="20"/>
        </w:rPr>
        <w:t xml:space="preserve">up </w:t>
      </w:r>
      <w:r w:rsidR="002D2080">
        <w:rPr>
          <w:rFonts w:ascii="Arial" w:hAnsi="Arial" w:cs="Arial"/>
          <w:sz w:val="20"/>
          <w:szCs w:val="20"/>
        </w:rPr>
        <w:t>over 202</w:t>
      </w:r>
      <w:r w:rsidR="00C4670D">
        <w:rPr>
          <w:rFonts w:ascii="Arial" w:hAnsi="Arial" w:cs="Arial"/>
          <w:sz w:val="20"/>
          <w:szCs w:val="20"/>
        </w:rPr>
        <w:t>2</w:t>
      </w:r>
      <w:r w:rsidR="005575F0">
        <w:rPr>
          <w:rFonts w:ascii="Arial" w:hAnsi="Arial" w:cs="Arial"/>
          <w:sz w:val="20"/>
          <w:szCs w:val="20"/>
        </w:rPr>
        <w:t xml:space="preserve">, </w:t>
      </w:r>
      <w:r w:rsidR="000B10BC">
        <w:rPr>
          <w:rFonts w:ascii="Arial" w:hAnsi="Arial" w:cs="Arial"/>
          <w:sz w:val="20"/>
          <w:szCs w:val="20"/>
        </w:rPr>
        <w:t xml:space="preserve">but a relatively low </w:t>
      </w:r>
      <w:r w:rsidR="005575F0">
        <w:rPr>
          <w:rFonts w:ascii="Arial" w:hAnsi="Arial" w:cs="Arial"/>
          <w:sz w:val="20"/>
          <w:szCs w:val="20"/>
        </w:rPr>
        <w:t>+</w:t>
      </w:r>
      <w:r w:rsidR="00C4670D">
        <w:rPr>
          <w:rFonts w:ascii="Arial" w:hAnsi="Arial" w:cs="Arial"/>
          <w:sz w:val="20"/>
          <w:szCs w:val="20"/>
        </w:rPr>
        <w:t>5.6</w:t>
      </w:r>
      <w:r w:rsidR="005575F0">
        <w:rPr>
          <w:rFonts w:ascii="Arial" w:hAnsi="Arial" w:cs="Arial"/>
          <w:sz w:val="20"/>
          <w:szCs w:val="20"/>
        </w:rPr>
        <w:t>%</w:t>
      </w:r>
      <w:r w:rsidR="00BC7B47">
        <w:rPr>
          <w:rFonts w:ascii="Arial" w:hAnsi="Arial" w:cs="Arial"/>
          <w:sz w:val="20"/>
          <w:szCs w:val="20"/>
        </w:rPr>
        <w:t xml:space="preserve"> on a per</w:t>
      </w:r>
      <w:r w:rsidR="008A426C">
        <w:rPr>
          <w:rFonts w:ascii="Arial" w:hAnsi="Arial" w:cs="Arial"/>
          <w:sz w:val="20"/>
          <w:szCs w:val="20"/>
        </w:rPr>
        <w:t>-</w:t>
      </w:r>
      <w:r w:rsidR="00BC7B47">
        <w:rPr>
          <w:rFonts w:ascii="Arial" w:hAnsi="Arial" w:cs="Arial"/>
          <w:sz w:val="20"/>
          <w:szCs w:val="20"/>
        </w:rPr>
        <w:t>pound basis</w:t>
      </w:r>
      <w:r w:rsidR="00C4670D">
        <w:rPr>
          <w:rFonts w:ascii="Arial" w:hAnsi="Arial" w:cs="Arial"/>
          <w:sz w:val="20"/>
          <w:szCs w:val="20"/>
        </w:rPr>
        <w:t>, with very low price increases for fresh fruit</w:t>
      </w:r>
      <w:r w:rsidR="00BC7B47">
        <w:rPr>
          <w:rFonts w:ascii="Arial" w:hAnsi="Arial" w:cs="Arial"/>
          <w:sz w:val="20"/>
          <w:szCs w:val="20"/>
        </w:rPr>
        <w:t>.</w:t>
      </w:r>
      <w:r w:rsidR="001D65B2">
        <w:rPr>
          <w:rFonts w:ascii="Arial" w:hAnsi="Arial" w:cs="Arial"/>
          <w:sz w:val="20"/>
          <w:szCs w:val="20"/>
        </w:rPr>
        <w:t xml:space="preserve"> </w:t>
      </w:r>
      <w:r w:rsidR="00C4670D">
        <w:rPr>
          <w:rFonts w:ascii="Arial" w:hAnsi="Arial" w:cs="Arial"/>
          <w:sz w:val="20"/>
          <w:szCs w:val="20"/>
        </w:rPr>
        <w:t xml:space="preserve">Vegetable inflation averaged 5.6% in January, </w:t>
      </w:r>
      <w:r w:rsidR="00364784">
        <w:rPr>
          <w:rFonts w:ascii="Arial" w:hAnsi="Arial" w:cs="Arial"/>
          <w:sz w:val="20"/>
          <w:szCs w:val="20"/>
        </w:rPr>
        <w:t>which is also down from the full-year levels.</w:t>
      </w:r>
      <w:r w:rsidR="002D2080">
        <w:rPr>
          <w:rFonts w:ascii="Arial" w:hAnsi="Arial" w:cs="Arial"/>
          <w:sz w:val="20"/>
          <w:szCs w:val="20"/>
        </w:rPr>
        <w:t xml:space="preserve"> </w:t>
      </w:r>
    </w:p>
    <w:p w14:paraId="2EDF8097" w14:textId="77777777" w:rsidR="00DD3DF6" w:rsidRPr="000A543A" w:rsidRDefault="00DD3DF6" w:rsidP="00DD3DF6">
      <w:pPr>
        <w:pStyle w:val="NoSpacing"/>
        <w:rPr>
          <w:rFonts w:ascii="Arial" w:hAnsi="Arial" w:cs="Arial"/>
          <w:sz w:val="20"/>
          <w:szCs w:val="20"/>
        </w:rPr>
      </w:pPr>
    </w:p>
    <w:tbl>
      <w:tblPr>
        <w:tblStyle w:val="LightShading-Accent5"/>
        <w:tblW w:w="10008" w:type="dxa"/>
        <w:tblBorders>
          <w:top w:val="none" w:sz="0" w:space="0" w:color="auto"/>
          <w:bottom w:val="none" w:sz="0" w:space="0" w:color="auto"/>
        </w:tblBorders>
        <w:tblLook w:val="04A0" w:firstRow="1" w:lastRow="0" w:firstColumn="1" w:lastColumn="0" w:noHBand="0" w:noVBand="1"/>
      </w:tblPr>
      <w:tblGrid>
        <w:gridCol w:w="4260"/>
        <w:gridCol w:w="2130"/>
        <w:gridCol w:w="1702"/>
        <w:gridCol w:w="1916"/>
      </w:tblGrid>
      <w:tr w:rsidR="00DD3DF6" w:rsidRPr="002A71C0" w14:paraId="34E708B3" w14:textId="77777777" w:rsidTr="001F29D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60" w:type="dxa"/>
            <w:tcBorders>
              <w:top w:val="none" w:sz="0" w:space="0" w:color="auto"/>
              <w:bottom w:val="none" w:sz="0" w:space="0" w:color="auto"/>
            </w:tcBorders>
            <w:shd w:val="clear" w:color="auto" w:fill="17365D" w:themeFill="text2" w:themeFillShade="BF"/>
            <w:vAlign w:val="center"/>
          </w:tcPr>
          <w:p w14:paraId="4F54E5B7" w14:textId="23708404" w:rsidR="00DD3DF6" w:rsidRPr="004850A1" w:rsidRDefault="00DD3DF6" w:rsidP="001F29DC">
            <w:pPr>
              <w:pStyle w:val="NoSpacing"/>
              <w:rPr>
                <w:rFonts w:ascii="Arial" w:hAnsi="Arial" w:cs="Arial"/>
                <w:color w:val="FFFFFF" w:themeColor="background1"/>
                <w:sz w:val="18"/>
                <w:szCs w:val="18"/>
              </w:rPr>
            </w:pPr>
            <w:r w:rsidRPr="004850A1">
              <w:rPr>
                <w:rFonts w:ascii="Arial" w:hAnsi="Arial" w:cs="Arial"/>
                <w:color w:val="FFFFFF" w:themeColor="background1"/>
                <w:sz w:val="18"/>
                <w:szCs w:val="18"/>
              </w:rPr>
              <w:t>Price per volume</w:t>
            </w:r>
            <w:r w:rsidR="00551D01">
              <w:rPr>
                <w:rFonts w:ascii="Arial" w:hAnsi="Arial" w:cs="Arial"/>
                <w:color w:val="FFFFFF" w:themeColor="background1"/>
                <w:sz w:val="18"/>
                <w:szCs w:val="18"/>
              </w:rPr>
              <w:t xml:space="preserve"> (lb</w:t>
            </w:r>
            <w:r w:rsidR="00AD4CC2">
              <w:rPr>
                <w:rFonts w:ascii="Arial" w:hAnsi="Arial" w:cs="Arial"/>
                <w:color w:val="FFFFFF" w:themeColor="background1"/>
                <w:sz w:val="18"/>
                <w:szCs w:val="18"/>
              </w:rPr>
              <w:t>s</w:t>
            </w:r>
            <w:r w:rsidR="00551D01">
              <w:rPr>
                <w:rFonts w:ascii="Arial" w:hAnsi="Arial" w:cs="Arial"/>
                <w:color w:val="FFFFFF" w:themeColor="background1"/>
                <w:sz w:val="18"/>
                <w:szCs w:val="18"/>
              </w:rPr>
              <w:t>)</w:t>
            </w:r>
          </w:p>
        </w:tc>
        <w:tc>
          <w:tcPr>
            <w:tcW w:w="2130" w:type="dxa"/>
            <w:tcBorders>
              <w:top w:val="none" w:sz="0" w:space="0" w:color="auto"/>
              <w:bottom w:val="none" w:sz="0" w:space="0" w:color="auto"/>
            </w:tcBorders>
            <w:shd w:val="clear" w:color="auto" w:fill="17365D" w:themeFill="text2" w:themeFillShade="BF"/>
            <w:vAlign w:val="center"/>
          </w:tcPr>
          <w:p w14:paraId="06FD748D"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Price/volume</w:t>
            </w:r>
          </w:p>
        </w:tc>
        <w:tc>
          <w:tcPr>
            <w:tcW w:w="1702" w:type="dxa"/>
            <w:tcBorders>
              <w:top w:val="none" w:sz="0" w:space="0" w:color="auto"/>
              <w:bottom w:val="none" w:sz="0" w:space="0" w:color="auto"/>
            </w:tcBorders>
            <w:shd w:val="clear" w:color="auto" w:fill="17365D" w:themeFill="text2" w:themeFillShade="BF"/>
            <w:vAlign w:val="center"/>
          </w:tcPr>
          <w:p w14:paraId="446CFB3F" w14:textId="16D4870E"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 xml:space="preserve">Change vs. </w:t>
            </w:r>
            <w:r w:rsidR="00966403">
              <w:rPr>
                <w:rFonts w:ascii="Arial" w:hAnsi="Arial" w:cs="Arial"/>
                <w:color w:val="FFFFFF" w:themeColor="background1"/>
                <w:sz w:val="18"/>
                <w:szCs w:val="18"/>
              </w:rPr>
              <w:t>YA</w:t>
            </w:r>
          </w:p>
        </w:tc>
        <w:tc>
          <w:tcPr>
            <w:tcW w:w="1916" w:type="dxa"/>
            <w:tcBorders>
              <w:top w:val="none" w:sz="0" w:space="0" w:color="auto"/>
              <w:bottom w:val="none" w:sz="0" w:space="0" w:color="auto"/>
            </w:tcBorders>
            <w:shd w:val="clear" w:color="auto" w:fill="17365D" w:themeFill="text2" w:themeFillShade="BF"/>
            <w:vAlign w:val="center"/>
          </w:tcPr>
          <w:p w14:paraId="23EF784E" w14:textId="5A290F0A"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 xml:space="preserve">Change vs. </w:t>
            </w:r>
            <w:r w:rsidR="00966403">
              <w:rPr>
                <w:rFonts w:ascii="Arial" w:hAnsi="Arial" w:cs="Arial"/>
                <w:color w:val="FFFFFF" w:themeColor="background1"/>
                <w:sz w:val="18"/>
                <w:szCs w:val="18"/>
              </w:rPr>
              <w:t>3YA</w:t>
            </w:r>
          </w:p>
        </w:tc>
      </w:tr>
      <w:tr w:rsidR="00966403" w:rsidRPr="00B75D3A" w14:paraId="1434C87A" w14:textId="77777777" w:rsidTr="00792E1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1E4595FE" w14:textId="4BD2138D" w:rsidR="00966403" w:rsidRPr="00B75D3A" w:rsidRDefault="00966403" w:rsidP="00966403">
            <w:pPr>
              <w:pStyle w:val="NoSpacing"/>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Total fresh produce </w:t>
            </w:r>
            <w:r>
              <w:rPr>
                <w:rFonts w:ascii="Arial" w:hAnsi="Arial" w:cs="Arial"/>
                <w:color w:val="215868" w:themeColor="accent5" w:themeShade="80"/>
                <w:sz w:val="18"/>
                <w:szCs w:val="18"/>
              </w:rPr>
              <w:t>January 2023</w:t>
            </w:r>
          </w:p>
        </w:tc>
        <w:tc>
          <w:tcPr>
            <w:tcW w:w="2130" w:type="dxa"/>
            <w:vAlign w:val="bottom"/>
          </w:tcPr>
          <w:p w14:paraId="6E97F861" w14:textId="5776D23F" w:rsidR="00966403" w:rsidRPr="002D2080" w:rsidRDefault="00966403" w:rsidP="0096640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D2080">
              <w:rPr>
                <w:rFonts w:ascii="Arial" w:hAnsi="Arial" w:cs="Arial"/>
                <w:sz w:val="18"/>
                <w:szCs w:val="18"/>
              </w:rPr>
              <w:t>$</w:t>
            </w:r>
            <w:r w:rsidR="00C4670D">
              <w:rPr>
                <w:rFonts w:ascii="Arial" w:hAnsi="Arial" w:cs="Arial"/>
                <w:sz w:val="18"/>
                <w:szCs w:val="18"/>
              </w:rPr>
              <w:t>1.97</w:t>
            </w:r>
          </w:p>
        </w:tc>
        <w:tc>
          <w:tcPr>
            <w:tcW w:w="1702" w:type="dxa"/>
          </w:tcPr>
          <w:p w14:paraId="5720898A" w14:textId="0F86606F" w:rsidR="00966403" w:rsidRPr="002D2080" w:rsidRDefault="00966403" w:rsidP="00966403">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343B3">
              <w:rPr>
                <w:rFonts w:ascii="Arial" w:hAnsi="Arial" w:cs="Arial"/>
                <w:sz w:val="18"/>
                <w:szCs w:val="18"/>
              </w:rPr>
              <w:t>+</w:t>
            </w:r>
            <w:r w:rsidR="00C4670D">
              <w:rPr>
                <w:rFonts w:ascii="Arial" w:hAnsi="Arial" w:cs="Arial"/>
                <w:sz w:val="18"/>
                <w:szCs w:val="18"/>
              </w:rPr>
              <w:t>5.6</w:t>
            </w:r>
            <w:r w:rsidRPr="00B343B3">
              <w:rPr>
                <w:rFonts w:ascii="Arial" w:hAnsi="Arial" w:cs="Arial"/>
                <w:sz w:val="18"/>
                <w:szCs w:val="18"/>
              </w:rPr>
              <w:t>%</w:t>
            </w:r>
          </w:p>
        </w:tc>
        <w:tc>
          <w:tcPr>
            <w:tcW w:w="1916" w:type="dxa"/>
          </w:tcPr>
          <w:p w14:paraId="164946FB" w14:textId="1FF7742D" w:rsidR="00966403" w:rsidRPr="002D2080" w:rsidRDefault="00966403" w:rsidP="00966403">
            <w:pPr>
              <w:jc w:val="right"/>
              <w:cnfStyle w:val="000000100000" w:firstRow="0" w:lastRow="0" w:firstColumn="0" w:lastColumn="0" w:oddVBand="0" w:evenVBand="0" w:oddHBand="1" w:evenHBand="0" w:firstRowFirstColumn="0" w:firstRowLastColumn="0" w:lastRowFirstColumn="0" w:lastRowLastColumn="0"/>
              <w:rPr>
                <w:b/>
                <w:bCs/>
              </w:rPr>
            </w:pPr>
            <w:r w:rsidRPr="00B343B3">
              <w:rPr>
                <w:rFonts w:ascii="Arial" w:hAnsi="Arial" w:cs="Arial"/>
                <w:sz w:val="18"/>
                <w:szCs w:val="18"/>
              </w:rPr>
              <w:t>+</w:t>
            </w:r>
            <w:r w:rsidR="00C4670D">
              <w:rPr>
                <w:rFonts w:ascii="Arial" w:hAnsi="Arial" w:cs="Arial"/>
                <w:sz w:val="18"/>
                <w:szCs w:val="18"/>
              </w:rPr>
              <w:t>17.7</w:t>
            </w:r>
            <w:r w:rsidRPr="00B343B3">
              <w:rPr>
                <w:rFonts w:ascii="Arial" w:hAnsi="Arial" w:cs="Arial"/>
                <w:sz w:val="18"/>
                <w:szCs w:val="18"/>
              </w:rPr>
              <w:t>%</w:t>
            </w:r>
          </w:p>
        </w:tc>
      </w:tr>
      <w:tr w:rsidR="00966403" w:rsidRPr="007F5087" w14:paraId="5A66D034" w14:textId="77777777" w:rsidTr="00244D0C">
        <w:trPr>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47FBBA20" w14:textId="77C00DF7" w:rsidR="00966403" w:rsidRPr="007F5087" w:rsidRDefault="00966403" w:rsidP="00966403">
            <w:pPr>
              <w:pStyle w:val="NoSpacing"/>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 xml:space="preserve">Total fresh produce </w:t>
            </w:r>
            <w:r>
              <w:rPr>
                <w:rFonts w:ascii="Arial" w:hAnsi="Arial" w:cs="Arial"/>
                <w:b w:val="0"/>
                <w:bCs w:val="0"/>
                <w:color w:val="215868" w:themeColor="accent5" w:themeShade="80"/>
                <w:sz w:val="18"/>
                <w:szCs w:val="18"/>
              </w:rPr>
              <w:t>latest 52 weeks thru 1/29/23</w:t>
            </w:r>
          </w:p>
        </w:tc>
        <w:tc>
          <w:tcPr>
            <w:tcW w:w="2130" w:type="dxa"/>
          </w:tcPr>
          <w:p w14:paraId="1F20343F" w14:textId="61AAF0C8" w:rsidR="00966403" w:rsidRPr="002D2080" w:rsidRDefault="00966403" w:rsidP="00966403">
            <w:pPr>
              <w:jc w:val="right"/>
              <w:cnfStyle w:val="000000000000" w:firstRow="0" w:lastRow="0" w:firstColumn="0" w:lastColumn="0" w:oddVBand="0" w:evenVBand="0" w:oddHBand="0" w:evenHBand="0" w:firstRowFirstColumn="0" w:firstRowLastColumn="0" w:lastRowFirstColumn="0" w:lastRowLastColumn="0"/>
            </w:pPr>
            <w:r w:rsidRPr="006D23EA">
              <w:rPr>
                <w:rFonts w:ascii="Arial" w:hAnsi="Arial" w:cs="Arial"/>
                <w:sz w:val="18"/>
                <w:szCs w:val="18"/>
              </w:rPr>
              <w:t>$</w:t>
            </w:r>
            <w:r w:rsidR="00C4670D">
              <w:rPr>
                <w:rFonts w:ascii="Arial" w:hAnsi="Arial" w:cs="Arial"/>
                <w:sz w:val="18"/>
                <w:szCs w:val="18"/>
              </w:rPr>
              <w:t>1.83</w:t>
            </w:r>
          </w:p>
        </w:tc>
        <w:tc>
          <w:tcPr>
            <w:tcW w:w="1702" w:type="dxa"/>
          </w:tcPr>
          <w:p w14:paraId="31810777" w14:textId="6D1A046F" w:rsidR="00966403" w:rsidRPr="002D2080" w:rsidRDefault="00966403" w:rsidP="00966403">
            <w:pPr>
              <w:jc w:val="right"/>
              <w:cnfStyle w:val="000000000000" w:firstRow="0" w:lastRow="0" w:firstColumn="0" w:lastColumn="0" w:oddVBand="0" w:evenVBand="0" w:oddHBand="0" w:evenHBand="0" w:firstRowFirstColumn="0" w:firstRowLastColumn="0" w:lastRowFirstColumn="0" w:lastRowLastColumn="0"/>
            </w:pPr>
            <w:r w:rsidRPr="00B343B3">
              <w:rPr>
                <w:rFonts w:ascii="Arial" w:hAnsi="Arial" w:cs="Arial"/>
                <w:sz w:val="18"/>
                <w:szCs w:val="18"/>
              </w:rPr>
              <w:t>+</w:t>
            </w:r>
            <w:r w:rsidR="00C4670D">
              <w:rPr>
                <w:rFonts w:ascii="Arial" w:hAnsi="Arial" w:cs="Arial"/>
                <w:sz w:val="18"/>
                <w:szCs w:val="18"/>
              </w:rPr>
              <w:t>8.4</w:t>
            </w:r>
            <w:r w:rsidRPr="00B343B3">
              <w:rPr>
                <w:rFonts w:ascii="Arial" w:hAnsi="Arial" w:cs="Arial"/>
                <w:sz w:val="18"/>
                <w:szCs w:val="18"/>
              </w:rPr>
              <w:t>%</w:t>
            </w:r>
          </w:p>
        </w:tc>
        <w:tc>
          <w:tcPr>
            <w:tcW w:w="1916" w:type="dxa"/>
          </w:tcPr>
          <w:p w14:paraId="3E082B02" w14:textId="0303D95A" w:rsidR="00966403" w:rsidRPr="002D2080" w:rsidRDefault="00966403" w:rsidP="00966403">
            <w:pPr>
              <w:jc w:val="right"/>
              <w:cnfStyle w:val="000000000000" w:firstRow="0" w:lastRow="0" w:firstColumn="0" w:lastColumn="0" w:oddVBand="0" w:evenVBand="0" w:oddHBand="0" w:evenHBand="0" w:firstRowFirstColumn="0" w:firstRowLastColumn="0" w:lastRowFirstColumn="0" w:lastRowLastColumn="0"/>
            </w:pPr>
            <w:r w:rsidRPr="00B343B3">
              <w:rPr>
                <w:rFonts w:ascii="Arial" w:hAnsi="Arial" w:cs="Arial"/>
                <w:sz w:val="18"/>
                <w:szCs w:val="18"/>
              </w:rPr>
              <w:t>+</w:t>
            </w:r>
            <w:r w:rsidR="00C4670D">
              <w:rPr>
                <w:rFonts w:ascii="Arial" w:hAnsi="Arial" w:cs="Arial"/>
                <w:sz w:val="18"/>
                <w:szCs w:val="18"/>
              </w:rPr>
              <w:t>16.8</w:t>
            </w:r>
            <w:r w:rsidRPr="00B343B3">
              <w:rPr>
                <w:rFonts w:ascii="Arial" w:hAnsi="Arial" w:cs="Arial"/>
                <w:sz w:val="18"/>
                <w:szCs w:val="18"/>
              </w:rPr>
              <w:t>%</w:t>
            </w:r>
          </w:p>
        </w:tc>
      </w:tr>
      <w:tr w:rsidR="00966403" w:rsidRPr="00B75D3A" w14:paraId="5B57AE54" w14:textId="77777777" w:rsidTr="00244D0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71D907A4" w14:textId="41170CC5" w:rsidR="00966403" w:rsidRPr="00B75D3A" w:rsidRDefault="00966403" w:rsidP="00966403">
            <w:pPr>
              <w:pStyle w:val="NoSpacing"/>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Fresh fruit </w:t>
            </w:r>
            <w:r>
              <w:rPr>
                <w:rFonts w:ascii="Arial" w:hAnsi="Arial" w:cs="Arial"/>
                <w:color w:val="215868" w:themeColor="accent5" w:themeShade="80"/>
                <w:sz w:val="18"/>
                <w:szCs w:val="18"/>
              </w:rPr>
              <w:t>January 2023</w:t>
            </w:r>
          </w:p>
        </w:tc>
        <w:tc>
          <w:tcPr>
            <w:tcW w:w="2130" w:type="dxa"/>
          </w:tcPr>
          <w:p w14:paraId="2E070CA6" w14:textId="097AD6A6" w:rsidR="00966403" w:rsidRPr="002D2080" w:rsidRDefault="00966403" w:rsidP="00966403">
            <w:pPr>
              <w:jc w:val="right"/>
              <w:cnfStyle w:val="000000100000" w:firstRow="0" w:lastRow="0" w:firstColumn="0" w:lastColumn="0" w:oddVBand="0" w:evenVBand="0" w:oddHBand="1" w:evenHBand="0" w:firstRowFirstColumn="0" w:firstRowLastColumn="0" w:lastRowFirstColumn="0" w:lastRowLastColumn="0"/>
              <w:rPr>
                <w:b/>
                <w:bCs/>
              </w:rPr>
            </w:pPr>
            <w:r w:rsidRPr="006D23EA">
              <w:rPr>
                <w:rFonts w:ascii="Arial" w:hAnsi="Arial" w:cs="Arial"/>
                <w:sz w:val="18"/>
                <w:szCs w:val="18"/>
              </w:rPr>
              <w:t>$</w:t>
            </w:r>
            <w:r w:rsidR="00C4670D">
              <w:rPr>
                <w:rFonts w:ascii="Arial" w:hAnsi="Arial" w:cs="Arial"/>
                <w:sz w:val="18"/>
                <w:szCs w:val="18"/>
              </w:rPr>
              <w:t>1.83</w:t>
            </w:r>
          </w:p>
        </w:tc>
        <w:tc>
          <w:tcPr>
            <w:tcW w:w="1702" w:type="dxa"/>
          </w:tcPr>
          <w:p w14:paraId="5F7D0FB3" w14:textId="7F256795" w:rsidR="00966403" w:rsidRPr="002D2080" w:rsidRDefault="00966403" w:rsidP="00966403">
            <w:pPr>
              <w:jc w:val="right"/>
              <w:cnfStyle w:val="000000100000" w:firstRow="0" w:lastRow="0" w:firstColumn="0" w:lastColumn="0" w:oddVBand="0" w:evenVBand="0" w:oddHBand="1" w:evenHBand="0" w:firstRowFirstColumn="0" w:firstRowLastColumn="0" w:lastRowFirstColumn="0" w:lastRowLastColumn="0"/>
              <w:rPr>
                <w:b/>
                <w:bCs/>
              </w:rPr>
            </w:pPr>
            <w:r w:rsidRPr="00B343B3">
              <w:rPr>
                <w:rFonts w:ascii="Arial" w:hAnsi="Arial" w:cs="Arial"/>
                <w:sz w:val="18"/>
                <w:szCs w:val="18"/>
              </w:rPr>
              <w:t>+</w:t>
            </w:r>
            <w:r w:rsidR="00C4670D">
              <w:rPr>
                <w:rFonts w:ascii="Arial" w:hAnsi="Arial" w:cs="Arial"/>
                <w:sz w:val="18"/>
                <w:szCs w:val="18"/>
              </w:rPr>
              <w:t>2.2</w:t>
            </w:r>
            <w:r w:rsidRPr="00B343B3">
              <w:rPr>
                <w:rFonts w:ascii="Arial" w:hAnsi="Arial" w:cs="Arial"/>
                <w:sz w:val="18"/>
                <w:szCs w:val="18"/>
              </w:rPr>
              <w:t>%</w:t>
            </w:r>
          </w:p>
        </w:tc>
        <w:tc>
          <w:tcPr>
            <w:tcW w:w="1916" w:type="dxa"/>
          </w:tcPr>
          <w:p w14:paraId="5BD0263C" w14:textId="6334E944" w:rsidR="00966403" w:rsidRPr="002D2080" w:rsidRDefault="00966403" w:rsidP="00966403">
            <w:pPr>
              <w:jc w:val="right"/>
              <w:cnfStyle w:val="000000100000" w:firstRow="0" w:lastRow="0" w:firstColumn="0" w:lastColumn="0" w:oddVBand="0" w:evenVBand="0" w:oddHBand="1" w:evenHBand="0" w:firstRowFirstColumn="0" w:firstRowLastColumn="0" w:lastRowFirstColumn="0" w:lastRowLastColumn="0"/>
              <w:rPr>
                <w:b/>
                <w:bCs/>
              </w:rPr>
            </w:pPr>
            <w:r w:rsidRPr="00B343B3">
              <w:rPr>
                <w:rFonts w:ascii="Arial" w:hAnsi="Arial" w:cs="Arial"/>
                <w:sz w:val="18"/>
                <w:szCs w:val="18"/>
              </w:rPr>
              <w:t>+</w:t>
            </w:r>
            <w:r w:rsidR="00C4670D">
              <w:rPr>
                <w:rFonts w:ascii="Arial" w:hAnsi="Arial" w:cs="Arial"/>
                <w:sz w:val="18"/>
                <w:szCs w:val="18"/>
              </w:rPr>
              <w:t>21.1</w:t>
            </w:r>
            <w:r w:rsidRPr="00B343B3">
              <w:rPr>
                <w:rFonts w:ascii="Arial" w:hAnsi="Arial" w:cs="Arial"/>
                <w:sz w:val="18"/>
                <w:szCs w:val="18"/>
              </w:rPr>
              <w:t>%</w:t>
            </w:r>
          </w:p>
        </w:tc>
      </w:tr>
      <w:tr w:rsidR="00966403" w:rsidRPr="007F5087" w14:paraId="1144520F" w14:textId="77777777" w:rsidTr="00244D0C">
        <w:trPr>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4DC7A0E2" w14:textId="07B8B9D8" w:rsidR="00966403" w:rsidRPr="007F5087" w:rsidRDefault="00966403" w:rsidP="00966403">
            <w:pPr>
              <w:pStyle w:val="NoSpacing"/>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 xml:space="preserve"> Fresh fruit </w:t>
            </w:r>
            <w:r>
              <w:rPr>
                <w:rFonts w:ascii="Arial" w:hAnsi="Arial" w:cs="Arial"/>
                <w:b w:val="0"/>
                <w:bCs w:val="0"/>
                <w:color w:val="215868" w:themeColor="accent5" w:themeShade="80"/>
                <w:sz w:val="18"/>
                <w:szCs w:val="18"/>
              </w:rPr>
              <w:t>latest 52 weeks thru 1/29/23</w:t>
            </w:r>
          </w:p>
        </w:tc>
        <w:tc>
          <w:tcPr>
            <w:tcW w:w="2130" w:type="dxa"/>
          </w:tcPr>
          <w:p w14:paraId="7E73EC2B" w14:textId="40000224" w:rsidR="00966403" w:rsidRPr="002D2080" w:rsidRDefault="00966403" w:rsidP="00966403">
            <w:pPr>
              <w:jc w:val="right"/>
              <w:cnfStyle w:val="000000000000" w:firstRow="0" w:lastRow="0" w:firstColumn="0" w:lastColumn="0" w:oddVBand="0" w:evenVBand="0" w:oddHBand="0" w:evenHBand="0" w:firstRowFirstColumn="0" w:firstRowLastColumn="0" w:lastRowFirstColumn="0" w:lastRowLastColumn="0"/>
            </w:pPr>
            <w:r w:rsidRPr="006D23EA">
              <w:rPr>
                <w:rFonts w:ascii="Arial" w:hAnsi="Arial" w:cs="Arial"/>
                <w:sz w:val="18"/>
                <w:szCs w:val="18"/>
              </w:rPr>
              <w:t>$</w:t>
            </w:r>
            <w:r w:rsidR="00C4670D">
              <w:rPr>
                <w:rFonts w:ascii="Arial" w:hAnsi="Arial" w:cs="Arial"/>
                <w:sz w:val="18"/>
                <w:szCs w:val="18"/>
              </w:rPr>
              <w:t>1.70</w:t>
            </w:r>
          </w:p>
        </w:tc>
        <w:tc>
          <w:tcPr>
            <w:tcW w:w="1702" w:type="dxa"/>
          </w:tcPr>
          <w:p w14:paraId="4038274E" w14:textId="65636256" w:rsidR="00966403" w:rsidRPr="002D2080" w:rsidRDefault="00966403" w:rsidP="00966403">
            <w:pPr>
              <w:jc w:val="right"/>
              <w:cnfStyle w:val="000000000000" w:firstRow="0" w:lastRow="0" w:firstColumn="0" w:lastColumn="0" w:oddVBand="0" w:evenVBand="0" w:oddHBand="0" w:evenHBand="0" w:firstRowFirstColumn="0" w:firstRowLastColumn="0" w:lastRowFirstColumn="0" w:lastRowLastColumn="0"/>
            </w:pPr>
            <w:r w:rsidRPr="00B343B3">
              <w:rPr>
                <w:rFonts w:ascii="Arial" w:hAnsi="Arial" w:cs="Arial"/>
                <w:sz w:val="18"/>
                <w:szCs w:val="18"/>
              </w:rPr>
              <w:t>+</w:t>
            </w:r>
            <w:r w:rsidR="00C4670D">
              <w:rPr>
                <w:rFonts w:ascii="Arial" w:hAnsi="Arial" w:cs="Arial"/>
                <w:sz w:val="18"/>
                <w:szCs w:val="18"/>
              </w:rPr>
              <w:t>8.5</w:t>
            </w:r>
            <w:r w:rsidRPr="00B343B3">
              <w:rPr>
                <w:rFonts w:ascii="Arial" w:hAnsi="Arial" w:cs="Arial"/>
                <w:sz w:val="18"/>
                <w:szCs w:val="18"/>
              </w:rPr>
              <w:t>%</w:t>
            </w:r>
          </w:p>
        </w:tc>
        <w:tc>
          <w:tcPr>
            <w:tcW w:w="1916" w:type="dxa"/>
          </w:tcPr>
          <w:p w14:paraId="4548B493" w14:textId="39D05D80" w:rsidR="00966403" w:rsidRPr="002D2080" w:rsidRDefault="00966403" w:rsidP="00966403">
            <w:pPr>
              <w:jc w:val="right"/>
              <w:cnfStyle w:val="000000000000" w:firstRow="0" w:lastRow="0" w:firstColumn="0" w:lastColumn="0" w:oddVBand="0" w:evenVBand="0" w:oddHBand="0" w:evenHBand="0" w:firstRowFirstColumn="0" w:firstRowLastColumn="0" w:lastRowFirstColumn="0" w:lastRowLastColumn="0"/>
            </w:pPr>
            <w:r w:rsidRPr="00B343B3">
              <w:rPr>
                <w:rFonts w:ascii="Arial" w:hAnsi="Arial" w:cs="Arial"/>
                <w:sz w:val="18"/>
                <w:szCs w:val="18"/>
              </w:rPr>
              <w:t>+</w:t>
            </w:r>
            <w:r w:rsidR="00C4670D">
              <w:rPr>
                <w:rFonts w:ascii="Arial" w:hAnsi="Arial" w:cs="Arial"/>
                <w:sz w:val="18"/>
                <w:szCs w:val="18"/>
              </w:rPr>
              <w:t>19.4</w:t>
            </w:r>
            <w:r w:rsidRPr="00B343B3">
              <w:rPr>
                <w:rFonts w:ascii="Arial" w:hAnsi="Arial" w:cs="Arial"/>
                <w:sz w:val="18"/>
                <w:szCs w:val="18"/>
              </w:rPr>
              <w:t>%</w:t>
            </w:r>
          </w:p>
        </w:tc>
      </w:tr>
      <w:tr w:rsidR="00966403" w:rsidRPr="00B75D3A" w14:paraId="49DE74F5" w14:textId="77777777" w:rsidTr="00244D0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354E4AFC" w14:textId="09F41713" w:rsidR="00966403" w:rsidRPr="00B75D3A" w:rsidRDefault="00966403" w:rsidP="00966403">
            <w:pPr>
              <w:pStyle w:val="NoSpacing"/>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Fresh vegetables </w:t>
            </w:r>
            <w:r>
              <w:rPr>
                <w:rFonts w:ascii="Arial" w:hAnsi="Arial" w:cs="Arial"/>
                <w:color w:val="215868" w:themeColor="accent5" w:themeShade="80"/>
                <w:sz w:val="18"/>
                <w:szCs w:val="18"/>
              </w:rPr>
              <w:t>January 2023</w:t>
            </w:r>
          </w:p>
        </w:tc>
        <w:tc>
          <w:tcPr>
            <w:tcW w:w="2130" w:type="dxa"/>
          </w:tcPr>
          <w:p w14:paraId="179F7533" w14:textId="7E0C6AAA" w:rsidR="00966403" w:rsidRPr="002D2080" w:rsidRDefault="00966403" w:rsidP="00966403">
            <w:pPr>
              <w:jc w:val="right"/>
              <w:cnfStyle w:val="000000100000" w:firstRow="0" w:lastRow="0" w:firstColumn="0" w:lastColumn="0" w:oddVBand="0" w:evenVBand="0" w:oddHBand="1" w:evenHBand="0" w:firstRowFirstColumn="0" w:firstRowLastColumn="0" w:lastRowFirstColumn="0" w:lastRowLastColumn="0"/>
              <w:rPr>
                <w:b/>
                <w:bCs/>
              </w:rPr>
            </w:pPr>
            <w:r w:rsidRPr="006D23EA">
              <w:rPr>
                <w:rFonts w:ascii="Arial" w:hAnsi="Arial" w:cs="Arial"/>
                <w:sz w:val="18"/>
                <w:szCs w:val="18"/>
              </w:rPr>
              <w:t>$</w:t>
            </w:r>
            <w:r w:rsidR="00C4670D">
              <w:rPr>
                <w:rFonts w:ascii="Arial" w:hAnsi="Arial" w:cs="Arial"/>
                <w:sz w:val="18"/>
                <w:szCs w:val="18"/>
              </w:rPr>
              <w:t>2.09</w:t>
            </w:r>
          </w:p>
        </w:tc>
        <w:tc>
          <w:tcPr>
            <w:tcW w:w="1702" w:type="dxa"/>
          </w:tcPr>
          <w:p w14:paraId="5B5FDC39" w14:textId="0C15F185" w:rsidR="00966403" w:rsidRPr="002D2080" w:rsidRDefault="00966403" w:rsidP="00966403">
            <w:pPr>
              <w:jc w:val="right"/>
              <w:cnfStyle w:val="000000100000" w:firstRow="0" w:lastRow="0" w:firstColumn="0" w:lastColumn="0" w:oddVBand="0" w:evenVBand="0" w:oddHBand="1" w:evenHBand="0" w:firstRowFirstColumn="0" w:firstRowLastColumn="0" w:lastRowFirstColumn="0" w:lastRowLastColumn="0"/>
              <w:rPr>
                <w:b/>
                <w:bCs/>
              </w:rPr>
            </w:pPr>
            <w:r w:rsidRPr="00B343B3">
              <w:rPr>
                <w:rFonts w:ascii="Arial" w:hAnsi="Arial" w:cs="Arial"/>
                <w:sz w:val="18"/>
                <w:szCs w:val="18"/>
              </w:rPr>
              <w:t>+</w:t>
            </w:r>
            <w:r w:rsidR="00C4670D">
              <w:rPr>
                <w:rFonts w:ascii="Arial" w:hAnsi="Arial" w:cs="Arial"/>
                <w:sz w:val="18"/>
                <w:szCs w:val="18"/>
              </w:rPr>
              <w:t>8.9</w:t>
            </w:r>
            <w:r w:rsidRPr="00B343B3">
              <w:rPr>
                <w:rFonts w:ascii="Arial" w:hAnsi="Arial" w:cs="Arial"/>
                <w:sz w:val="18"/>
                <w:szCs w:val="18"/>
              </w:rPr>
              <w:t>%</w:t>
            </w:r>
          </w:p>
        </w:tc>
        <w:tc>
          <w:tcPr>
            <w:tcW w:w="1916" w:type="dxa"/>
          </w:tcPr>
          <w:p w14:paraId="0790677A" w14:textId="64A9C277" w:rsidR="00966403" w:rsidRPr="002D2080" w:rsidRDefault="00966403" w:rsidP="00966403">
            <w:pPr>
              <w:jc w:val="right"/>
              <w:cnfStyle w:val="000000100000" w:firstRow="0" w:lastRow="0" w:firstColumn="0" w:lastColumn="0" w:oddVBand="0" w:evenVBand="0" w:oddHBand="1" w:evenHBand="0" w:firstRowFirstColumn="0" w:firstRowLastColumn="0" w:lastRowFirstColumn="0" w:lastRowLastColumn="0"/>
              <w:rPr>
                <w:b/>
                <w:bCs/>
              </w:rPr>
            </w:pPr>
            <w:r w:rsidRPr="00B343B3">
              <w:rPr>
                <w:rFonts w:ascii="Arial" w:hAnsi="Arial" w:cs="Arial"/>
                <w:sz w:val="18"/>
                <w:szCs w:val="18"/>
              </w:rPr>
              <w:t>+</w:t>
            </w:r>
            <w:r w:rsidR="00C4670D">
              <w:rPr>
                <w:rFonts w:ascii="Arial" w:hAnsi="Arial" w:cs="Arial"/>
                <w:sz w:val="18"/>
                <w:szCs w:val="18"/>
              </w:rPr>
              <w:t>14.6</w:t>
            </w:r>
            <w:r w:rsidRPr="00B343B3">
              <w:rPr>
                <w:rFonts w:ascii="Arial" w:hAnsi="Arial" w:cs="Arial"/>
                <w:sz w:val="18"/>
                <w:szCs w:val="18"/>
              </w:rPr>
              <w:t>%</w:t>
            </w:r>
          </w:p>
        </w:tc>
      </w:tr>
      <w:tr w:rsidR="00966403" w:rsidRPr="007F5087" w14:paraId="0E7328F7" w14:textId="77777777" w:rsidTr="00244D0C">
        <w:trPr>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7639B956" w14:textId="22DFA1A6" w:rsidR="00966403" w:rsidRPr="007F5087" w:rsidRDefault="00966403" w:rsidP="00966403">
            <w:pPr>
              <w:pStyle w:val="NoSpacing"/>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 xml:space="preserve">Fresh vegetables </w:t>
            </w:r>
            <w:r>
              <w:rPr>
                <w:rFonts w:ascii="Arial" w:hAnsi="Arial" w:cs="Arial"/>
                <w:b w:val="0"/>
                <w:bCs w:val="0"/>
                <w:color w:val="215868" w:themeColor="accent5" w:themeShade="80"/>
                <w:sz w:val="18"/>
                <w:szCs w:val="18"/>
              </w:rPr>
              <w:t>latest 52 weeks thru 1/29/23</w:t>
            </w:r>
          </w:p>
        </w:tc>
        <w:tc>
          <w:tcPr>
            <w:tcW w:w="2130" w:type="dxa"/>
          </w:tcPr>
          <w:p w14:paraId="1F880C62" w14:textId="51549910" w:rsidR="00966403" w:rsidRPr="002D2080" w:rsidRDefault="00966403" w:rsidP="00966403">
            <w:pPr>
              <w:jc w:val="right"/>
              <w:cnfStyle w:val="000000000000" w:firstRow="0" w:lastRow="0" w:firstColumn="0" w:lastColumn="0" w:oddVBand="0" w:evenVBand="0" w:oddHBand="0" w:evenHBand="0" w:firstRowFirstColumn="0" w:firstRowLastColumn="0" w:lastRowFirstColumn="0" w:lastRowLastColumn="0"/>
            </w:pPr>
            <w:r w:rsidRPr="006D23EA">
              <w:rPr>
                <w:rFonts w:ascii="Arial" w:hAnsi="Arial" w:cs="Arial"/>
                <w:sz w:val="18"/>
                <w:szCs w:val="18"/>
              </w:rPr>
              <w:t>$</w:t>
            </w:r>
            <w:r w:rsidR="00C4670D">
              <w:rPr>
                <w:rFonts w:ascii="Arial" w:hAnsi="Arial" w:cs="Arial"/>
                <w:sz w:val="18"/>
                <w:szCs w:val="18"/>
              </w:rPr>
              <w:t>1.96</w:t>
            </w:r>
          </w:p>
        </w:tc>
        <w:tc>
          <w:tcPr>
            <w:tcW w:w="1702" w:type="dxa"/>
          </w:tcPr>
          <w:p w14:paraId="414FD40F" w14:textId="722E47FF" w:rsidR="00966403" w:rsidRPr="002D2080" w:rsidRDefault="00966403" w:rsidP="00966403">
            <w:pPr>
              <w:jc w:val="right"/>
              <w:cnfStyle w:val="000000000000" w:firstRow="0" w:lastRow="0" w:firstColumn="0" w:lastColumn="0" w:oddVBand="0" w:evenVBand="0" w:oddHBand="0" w:evenHBand="0" w:firstRowFirstColumn="0" w:firstRowLastColumn="0" w:lastRowFirstColumn="0" w:lastRowLastColumn="0"/>
            </w:pPr>
            <w:r w:rsidRPr="00B343B3">
              <w:rPr>
                <w:rFonts w:ascii="Arial" w:hAnsi="Arial" w:cs="Arial"/>
                <w:sz w:val="18"/>
                <w:szCs w:val="18"/>
              </w:rPr>
              <w:t>+</w:t>
            </w:r>
            <w:r w:rsidR="00C4670D">
              <w:rPr>
                <w:rFonts w:ascii="Arial" w:hAnsi="Arial" w:cs="Arial"/>
                <w:sz w:val="18"/>
                <w:szCs w:val="18"/>
              </w:rPr>
              <w:t>8.3</w:t>
            </w:r>
            <w:r w:rsidRPr="00B343B3">
              <w:rPr>
                <w:rFonts w:ascii="Arial" w:hAnsi="Arial" w:cs="Arial"/>
                <w:sz w:val="18"/>
                <w:szCs w:val="18"/>
              </w:rPr>
              <w:t>%</w:t>
            </w:r>
          </w:p>
        </w:tc>
        <w:tc>
          <w:tcPr>
            <w:tcW w:w="1916" w:type="dxa"/>
          </w:tcPr>
          <w:p w14:paraId="2E870FBA" w14:textId="6625664F" w:rsidR="00966403" w:rsidRPr="002D2080" w:rsidRDefault="00966403" w:rsidP="00966403">
            <w:pPr>
              <w:jc w:val="right"/>
              <w:cnfStyle w:val="000000000000" w:firstRow="0" w:lastRow="0" w:firstColumn="0" w:lastColumn="0" w:oddVBand="0" w:evenVBand="0" w:oddHBand="0" w:evenHBand="0" w:firstRowFirstColumn="0" w:firstRowLastColumn="0" w:lastRowFirstColumn="0" w:lastRowLastColumn="0"/>
            </w:pPr>
            <w:r w:rsidRPr="00B343B3">
              <w:rPr>
                <w:rFonts w:ascii="Arial" w:hAnsi="Arial" w:cs="Arial"/>
                <w:sz w:val="18"/>
                <w:szCs w:val="18"/>
              </w:rPr>
              <w:t>+</w:t>
            </w:r>
            <w:r w:rsidR="00C4670D">
              <w:rPr>
                <w:rFonts w:ascii="Arial" w:hAnsi="Arial" w:cs="Arial"/>
                <w:sz w:val="18"/>
                <w:szCs w:val="18"/>
              </w:rPr>
              <w:t>14.4</w:t>
            </w:r>
            <w:r w:rsidRPr="00B343B3">
              <w:rPr>
                <w:rFonts w:ascii="Arial" w:hAnsi="Arial" w:cs="Arial"/>
                <w:sz w:val="18"/>
                <w:szCs w:val="18"/>
              </w:rPr>
              <w:t>%</w:t>
            </w:r>
          </w:p>
        </w:tc>
      </w:tr>
    </w:tbl>
    <w:p w14:paraId="0F3442BC" w14:textId="77777777" w:rsidR="00DD3DF6" w:rsidRPr="008A1AD9" w:rsidRDefault="00DD3DF6" w:rsidP="00DD3DF6">
      <w:pPr>
        <w:pStyle w:val="NoSpacing"/>
        <w:rPr>
          <w:rFonts w:ascii="Arial" w:hAnsi="Arial" w:cs="Arial"/>
          <w:sz w:val="6"/>
          <w:szCs w:val="6"/>
        </w:rPr>
      </w:pPr>
    </w:p>
    <w:p w14:paraId="62F0D49A" w14:textId="59A7E7D6" w:rsidR="00DD3DF6" w:rsidRDefault="00DD3DF6" w:rsidP="00DD3DF6">
      <w:pPr>
        <w:pStyle w:val="NoSpacing"/>
        <w:rPr>
          <w:rFonts w:ascii="Arial" w:hAnsi="Arial" w:cs="Arial"/>
          <w:sz w:val="16"/>
          <w:szCs w:val="16"/>
        </w:rPr>
      </w:pPr>
      <w:r>
        <w:rPr>
          <w:rFonts w:ascii="Arial" w:hAnsi="Arial" w:cs="Arial"/>
          <w:sz w:val="16"/>
          <w:szCs w:val="16"/>
        </w:rPr>
        <w:t xml:space="preserve">Source: IRI, Integrated Fresh, Total US, MULO, average price per volume and % gain versus YA and </w:t>
      </w:r>
      <w:r w:rsidR="00F615EB">
        <w:rPr>
          <w:rFonts w:ascii="Arial" w:hAnsi="Arial" w:cs="Arial"/>
          <w:sz w:val="16"/>
          <w:szCs w:val="16"/>
        </w:rPr>
        <w:t>3</w:t>
      </w:r>
      <w:r>
        <w:rPr>
          <w:rFonts w:ascii="Arial" w:hAnsi="Arial" w:cs="Arial"/>
          <w:sz w:val="16"/>
          <w:szCs w:val="16"/>
        </w:rPr>
        <w:t>YA</w:t>
      </w:r>
    </w:p>
    <w:p w14:paraId="211051EC" w14:textId="77777777" w:rsidR="000B10BC" w:rsidRDefault="000B10BC" w:rsidP="00DD3DF6">
      <w:pPr>
        <w:pStyle w:val="NoSpacing"/>
        <w:rPr>
          <w:rFonts w:ascii="Arial" w:hAnsi="Arial" w:cs="Arial"/>
          <w:sz w:val="16"/>
          <w:szCs w:val="16"/>
        </w:rPr>
      </w:pPr>
    </w:p>
    <w:p w14:paraId="2201BAB0" w14:textId="77777777" w:rsidR="00D73271" w:rsidRPr="006879B2" w:rsidRDefault="00D73271" w:rsidP="00DD3DF6">
      <w:pPr>
        <w:pStyle w:val="NoSpacing"/>
        <w:rPr>
          <w:rFonts w:ascii="Arial" w:hAnsi="Arial" w:cs="Arial"/>
          <w:sz w:val="16"/>
          <w:szCs w:val="16"/>
        </w:rPr>
      </w:pPr>
    </w:p>
    <w:p w14:paraId="56B5FD42" w14:textId="77777777" w:rsidR="00364784" w:rsidRPr="00CF43CE" w:rsidRDefault="00364784" w:rsidP="00364784">
      <w:pPr>
        <w:pStyle w:val="NoSpacing"/>
        <w:rPr>
          <w:rFonts w:ascii="Arial" w:hAnsi="Arial" w:cs="Arial"/>
          <w:b/>
          <w:bCs/>
          <w:color w:val="595959" w:themeColor="text1" w:themeTint="A6"/>
          <w:sz w:val="24"/>
          <w:szCs w:val="24"/>
        </w:rPr>
      </w:pPr>
      <w:bookmarkStart w:id="1" w:name="_Hlk116283646"/>
      <w:r>
        <w:rPr>
          <w:rFonts w:ascii="Arial" w:hAnsi="Arial" w:cs="Arial"/>
          <w:b/>
          <w:bCs/>
          <w:color w:val="595959" w:themeColor="text1" w:themeTint="A6"/>
          <w:sz w:val="24"/>
          <w:szCs w:val="24"/>
        </w:rPr>
        <w:t>January 2023 Sales</w:t>
      </w:r>
    </w:p>
    <w:p w14:paraId="1EC19F2D" w14:textId="19322DD0" w:rsidR="00364784" w:rsidRDefault="00364784" w:rsidP="00364784">
      <w:pPr>
        <w:pStyle w:val="NoSpacing"/>
        <w:rPr>
          <w:rFonts w:ascii="Arial" w:hAnsi="Arial" w:cs="Arial"/>
          <w:sz w:val="20"/>
          <w:szCs w:val="20"/>
        </w:rPr>
      </w:pPr>
      <w:r>
        <w:rPr>
          <w:rFonts w:ascii="Arial" w:hAnsi="Arial" w:cs="Arial"/>
          <w:sz w:val="20"/>
          <w:szCs w:val="20"/>
        </w:rPr>
        <w:t xml:space="preserve">The four January </w:t>
      </w:r>
      <w:r w:rsidRPr="006A0AAA">
        <w:rPr>
          <w:rFonts w:ascii="Arial" w:hAnsi="Arial" w:cs="Arial"/>
          <w:sz w:val="20"/>
          <w:szCs w:val="20"/>
        </w:rPr>
        <w:t>202</w:t>
      </w:r>
      <w:r>
        <w:rPr>
          <w:rFonts w:ascii="Arial" w:hAnsi="Arial" w:cs="Arial"/>
          <w:sz w:val="20"/>
          <w:szCs w:val="20"/>
        </w:rPr>
        <w:t>3 weeks</w:t>
      </w:r>
      <w:r w:rsidRPr="006A0AAA">
        <w:rPr>
          <w:rFonts w:ascii="Arial" w:hAnsi="Arial" w:cs="Arial"/>
          <w:sz w:val="20"/>
          <w:szCs w:val="20"/>
        </w:rPr>
        <w:t xml:space="preserve"> brought $</w:t>
      </w:r>
      <w:r>
        <w:rPr>
          <w:rFonts w:ascii="Arial" w:hAnsi="Arial" w:cs="Arial"/>
          <w:sz w:val="20"/>
          <w:szCs w:val="20"/>
        </w:rPr>
        <w:t xml:space="preserve">57.9 billion in total food and beverage sales, substantially less than the $64.4 billion in the four December weeks — illustrating the holiday boost of retail sales. Dollars were up 6.6% versus year ago levels in January, but unit sales dropped nearly 6% behind and trailed January 2020. Perishables, including produce, seafood, meat, bakery and deli, had a slightly below-average dollar performance that was largely related to below-average inflation. Center store item sales increased 8.5%.  </w:t>
      </w:r>
    </w:p>
    <w:p w14:paraId="05043ECB" w14:textId="77777777" w:rsidR="00364784" w:rsidRDefault="00364784" w:rsidP="00364784">
      <w:pPr>
        <w:pStyle w:val="NoSpacing"/>
        <w:rPr>
          <w:rFonts w:ascii="Arial" w:hAnsi="Arial" w:cs="Arial"/>
          <w:sz w:val="20"/>
          <w:szCs w:val="20"/>
        </w:rPr>
      </w:pPr>
    </w:p>
    <w:tbl>
      <w:tblPr>
        <w:tblStyle w:val="LightShading-Accent5"/>
        <w:tblW w:w="10170" w:type="dxa"/>
        <w:tblBorders>
          <w:top w:val="none" w:sz="0" w:space="0" w:color="auto"/>
          <w:bottom w:val="none" w:sz="0" w:space="0" w:color="auto"/>
        </w:tblBorders>
        <w:tblLayout w:type="fixed"/>
        <w:tblLook w:val="04A0" w:firstRow="1" w:lastRow="0" w:firstColumn="1" w:lastColumn="0" w:noHBand="0" w:noVBand="1"/>
      </w:tblPr>
      <w:tblGrid>
        <w:gridCol w:w="2225"/>
        <w:gridCol w:w="882"/>
        <w:gridCol w:w="853"/>
        <w:gridCol w:w="913"/>
        <w:gridCol w:w="883"/>
        <w:gridCol w:w="882"/>
        <w:gridCol w:w="832"/>
        <w:gridCol w:w="934"/>
        <w:gridCol w:w="883"/>
        <w:gridCol w:w="883"/>
      </w:tblGrid>
      <w:tr w:rsidR="00364784" w:rsidRPr="00BC7615" w14:paraId="2774380A" w14:textId="77777777" w:rsidTr="00C5201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25" w:type="dxa"/>
            <w:tcBorders>
              <w:top w:val="none" w:sz="0" w:space="0" w:color="auto"/>
              <w:left w:val="none" w:sz="0" w:space="0" w:color="auto"/>
              <w:bottom w:val="none" w:sz="0" w:space="0" w:color="auto"/>
              <w:right w:val="none" w:sz="0" w:space="0" w:color="auto"/>
            </w:tcBorders>
            <w:shd w:val="clear" w:color="auto" w:fill="17365D" w:themeFill="text2" w:themeFillShade="BF"/>
            <w:noWrap/>
          </w:tcPr>
          <w:p w14:paraId="0EE9A321" w14:textId="77777777" w:rsidR="00364784" w:rsidRPr="00BC7615" w:rsidRDefault="00364784" w:rsidP="00C52016">
            <w:pPr>
              <w:jc w:val="center"/>
              <w:rPr>
                <w:rFonts w:ascii="Arial" w:eastAsia="Times New Roman" w:hAnsi="Arial" w:cs="Arial"/>
                <w:bCs w:val="0"/>
                <w:color w:val="FFFFFF" w:themeColor="background1"/>
                <w:sz w:val="18"/>
                <w:szCs w:val="18"/>
              </w:rPr>
            </w:pPr>
          </w:p>
        </w:tc>
        <w:tc>
          <w:tcPr>
            <w:tcW w:w="4413" w:type="dxa"/>
            <w:gridSpan w:val="5"/>
            <w:tcBorders>
              <w:top w:val="none" w:sz="0" w:space="0" w:color="auto"/>
              <w:left w:val="none" w:sz="0" w:space="0" w:color="auto"/>
              <w:bottom w:val="none" w:sz="0" w:space="0" w:color="auto"/>
              <w:right w:val="single" w:sz="24" w:space="0" w:color="FFFFFF" w:themeColor="background1"/>
            </w:tcBorders>
            <w:shd w:val="clear" w:color="auto" w:fill="17365D" w:themeFill="text2" w:themeFillShade="BF"/>
          </w:tcPr>
          <w:p w14:paraId="3423D100" w14:textId="77777777" w:rsidR="00364784" w:rsidRPr="00BC7615" w:rsidRDefault="00364784" w:rsidP="00C52016">
            <w:pPr>
              <w:tabs>
                <w:tab w:val="left" w:pos="699"/>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18"/>
                <w:szCs w:val="20"/>
              </w:rPr>
            </w:pPr>
            <w:r w:rsidRPr="00BC7615">
              <w:rPr>
                <w:rFonts w:ascii="Arial" w:eastAsia="Times New Roman" w:hAnsi="Arial" w:cs="Arial"/>
                <w:bCs w:val="0"/>
                <w:color w:val="FFFFFF" w:themeColor="background1"/>
                <w:sz w:val="18"/>
                <w:szCs w:val="20"/>
              </w:rPr>
              <w:t>January 2023 % change</w:t>
            </w:r>
          </w:p>
        </w:tc>
        <w:tc>
          <w:tcPr>
            <w:tcW w:w="3532" w:type="dxa"/>
            <w:gridSpan w:val="4"/>
            <w:tcBorders>
              <w:top w:val="none" w:sz="0" w:space="0" w:color="auto"/>
              <w:left w:val="single" w:sz="24" w:space="0" w:color="FFFFFF" w:themeColor="background1"/>
              <w:bottom w:val="none" w:sz="0" w:space="0" w:color="auto"/>
              <w:right w:val="none" w:sz="0" w:space="0" w:color="auto"/>
            </w:tcBorders>
            <w:shd w:val="clear" w:color="auto" w:fill="17365D" w:themeFill="text2" w:themeFillShade="BF"/>
          </w:tcPr>
          <w:p w14:paraId="5D15C6B0" w14:textId="77777777" w:rsidR="00364784" w:rsidRPr="00BC7615" w:rsidRDefault="00364784" w:rsidP="00C52016">
            <w:pPr>
              <w:tabs>
                <w:tab w:val="left" w:pos="699"/>
              </w:tabs>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sidRPr="00BC7615">
              <w:rPr>
                <w:rFonts w:ascii="Arial" w:hAnsi="Arial" w:cs="Arial"/>
                <w:bCs w:val="0"/>
                <w:color w:val="FFFFFF" w:themeColor="background1"/>
                <w:sz w:val="18"/>
                <w:szCs w:val="18"/>
              </w:rPr>
              <w:t>Latest 52 weeks % change</w:t>
            </w:r>
          </w:p>
        </w:tc>
      </w:tr>
      <w:tr w:rsidR="00364784" w:rsidRPr="00067996" w14:paraId="40B0F457" w14:textId="77777777" w:rsidTr="00C5201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225" w:type="dxa"/>
            <w:tcBorders>
              <w:left w:val="none" w:sz="0" w:space="0" w:color="auto"/>
              <w:right w:val="none" w:sz="0" w:space="0" w:color="auto"/>
            </w:tcBorders>
            <w:shd w:val="clear" w:color="auto" w:fill="17365D" w:themeFill="text2" w:themeFillShade="BF"/>
            <w:noWrap/>
            <w:hideMark/>
          </w:tcPr>
          <w:p w14:paraId="309692E7" w14:textId="77777777" w:rsidR="00364784" w:rsidRPr="00BC7615" w:rsidRDefault="00364784" w:rsidP="00C52016">
            <w:pPr>
              <w:rPr>
                <w:rFonts w:ascii="Arial" w:eastAsia="Times New Roman" w:hAnsi="Arial" w:cs="Arial"/>
                <w:b w:val="0"/>
                <w:bCs w:val="0"/>
                <w:color w:val="FFFFFF" w:themeColor="background1"/>
                <w:sz w:val="18"/>
                <w:szCs w:val="18"/>
              </w:rPr>
            </w:pPr>
          </w:p>
        </w:tc>
        <w:tc>
          <w:tcPr>
            <w:tcW w:w="882" w:type="dxa"/>
            <w:tcBorders>
              <w:left w:val="none" w:sz="0" w:space="0" w:color="auto"/>
              <w:right w:val="none" w:sz="0" w:space="0" w:color="auto"/>
            </w:tcBorders>
            <w:shd w:val="clear" w:color="auto" w:fill="17365D" w:themeFill="text2" w:themeFillShade="BF"/>
          </w:tcPr>
          <w:p w14:paraId="1B8E7565" w14:textId="77777777" w:rsidR="00364784" w:rsidRPr="00BC7615"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20"/>
              </w:rPr>
            </w:pPr>
            <w:r w:rsidRPr="00BC7615">
              <w:rPr>
                <w:rFonts w:ascii="Arial" w:eastAsia="Times New Roman" w:hAnsi="Arial" w:cs="Arial"/>
                <w:color w:val="FFFFFF" w:themeColor="background1"/>
                <w:sz w:val="18"/>
                <w:szCs w:val="20"/>
              </w:rPr>
              <w:t xml:space="preserve">Dollar </w:t>
            </w:r>
          </w:p>
          <w:p w14:paraId="433A767D" w14:textId="77777777" w:rsidR="00364784" w:rsidRPr="00BC7615"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size</w:t>
            </w:r>
          </w:p>
        </w:tc>
        <w:tc>
          <w:tcPr>
            <w:tcW w:w="853" w:type="dxa"/>
            <w:tcBorders>
              <w:left w:val="none" w:sz="0" w:space="0" w:color="auto"/>
              <w:right w:val="none" w:sz="0" w:space="0" w:color="auto"/>
            </w:tcBorders>
            <w:shd w:val="clear" w:color="auto" w:fill="17365D" w:themeFill="text2" w:themeFillShade="BF"/>
          </w:tcPr>
          <w:p w14:paraId="34E0683C" w14:textId="77777777" w:rsidR="00364784" w:rsidRPr="00BC7615"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20"/>
              </w:rPr>
            </w:pPr>
            <w:r w:rsidRPr="00BC7615">
              <w:rPr>
                <w:rFonts w:ascii="Arial" w:eastAsia="Times New Roman" w:hAnsi="Arial" w:cs="Arial"/>
                <w:color w:val="FFFFFF" w:themeColor="background1"/>
                <w:sz w:val="18"/>
                <w:szCs w:val="20"/>
              </w:rPr>
              <w:t>Dollars</w:t>
            </w:r>
          </w:p>
          <w:p w14:paraId="200BA2EF" w14:textId="77777777" w:rsidR="00364784" w:rsidRPr="00BC7615"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18"/>
              </w:rPr>
            </w:pPr>
            <w:r w:rsidRPr="00BC7615">
              <w:rPr>
                <w:rFonts w:ascii="Arial" w:eastAsia="Times New Roman" w:hAnsi="Arial" w:cs="Arial"/>
                <w:color w:val="FFFFFF" w:themeColor="background1"/>
                <w:sz w:val="18"/>
                <w:szCs w:val="20"/>
              </w:rPr>
              <w:t>vs. YA</w:t>
            </w:r>
          </w:p>
        </w:tc>
        <w:tc>
          <w:tcPr>
            <w:tcW w:w="913" w:type="dxa"/>
            <w:tcBorders>
              <w:left w:val="none" w:sz="0" w:space="0" w:color="auto"/>
              <w:right w:val="none" w:sz="0" w:space="0" w:color="auto"/>
            </w:tcBorders>
            <w:shd w:val="clear" w:color="auto" w:fill="17365D" w:themeFill="text2" w:themeFillShade="BF"/>
          </w:tcPr>
          <w:p w14:paraId="79767C31" w14:textId="77777777" w:rsidR="00364784" w:rsidRPr="00BC7615"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 xml:space="preserve">Dollars </w:t>
            </w:r>
            <w:r w:rsidRPr="00BC7615">
              <w:rPr>
                <w:rFonts w:ascii="Arial" w:eastAsia="Times New Roman" w:hAnsi="Arial" w:cs="Arial"/>
                <w:color w:val="FFFFFF" w:themeColor="background1"/>
                <w:sz w:val="18"/>
                <w:szCs w:val="20"/>
              </w:rPr>
              <w:br/>
              <w:t xml:space="preserve"> vs. 3YA</w:t>
            </w:r>
          </w:p>
        </w:tc>
        <w:tc>
          <w:tcPr>
            <w:tcW w:w="883" w:type="dxa"/>
            <w:tcBorders>
              <w:left w:val="none" w:sz="0" w:space="0" w:color="auto"/>
              <w:right w:val="none" w:sz="0" w:space="0" w:color="auto"/>
            </w:tcBorders>
            <w:shd w:val="clear" w:color="auto" w:fill="17365D" w:themeFill="text2" w:themeFillShade="BF"/>
          </w:tcPr>
          <w:p w14:paraId="51876E0B" w14:textId="77777777" w:rsidR="00364784" w:rsidRPr="00BC7615"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Units</w:t>
            </w:r>
            <w:r w:rsidRPr="00BC7615">
              <w:rPr>
                <w:rFonts w:ascii="Arial" w:eastAsia="Times New Roman" w:hAnsi="Arial" w:cs="Arial"/>
                <w:color w:val="FFFFFF" w:themeColor="background1"/>
                <w:sz w:val="18"/>
                <w:szCs w:val="20"/>
              </w:rPr>
              <w:br/>
              <w:t xml:space="preserve"> vs. YA</w:t>
            </w:r>
          </w:p>
        </w:tc>
        <w:tc>
          <w:tcPr>
            <w:tcW w:w="882" w:type="dxa"/>
            <w:tcBorders>
              <w:left w:val="none" w:sz="0" w:space="0" w:color="auto"/>
              <w:right w:val="single" w:sz="24" w:space="0" w:color="FFFFFF" w:themeColor="background1"/>
            </w:tcBorders>
            <w:shd w:val="clear" w:color="auto" w:fill="17365D" w:themeFill="text2" w:themeFillShade="BF"/>
          </w:tcPr>
          <w:p w14:paraId="53957AC8" w14:textId="77777777" w:rsidR="00364784" w:rsidRPr="00BC7615" w:rsidRDefault="00364784" w:rsidP="00C52016">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Units vs. 3YA</w:t>
            </w:r>
          </w:p>
        </w:tc>
        <w:tc>
          <w:tcPr>
            <w:tcW w:w="832" w:type="dxa"/>
            <w:tcBorders>
              <w:left w:val="single" w:sz="24" w:space="0" w:color="FFFFFF" w:themeColor="background1"/>
              <w:right w:val="none" w:sz="0" w:space="0" w:color="auto"/>
            </w:tcBorders>
            <w:shd w:val="clear" w:color="auto" w:fill="17365D" w:themeFill="text2" w:themeFillShade="BF"/>
          </w:tcPr>
          <w:p w14:paraId="28941BE1" w14:textId="77777777" w:rsidR="00364784" w:rsidRPr="00BC7615"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20"/>
              </w:rPr>
            </w:pPr>
            <w:r w:rsidRPr="00BC7615">
              <w:rPr>
                <w:rFonts w:ascii="Arial" w:eastAsia="Times New Roman" w:hAnsi="Arial" w:cs="Arial"/>
                <w:color w:val="FFFFFF" w:themeColor="background1"/>
                <w:sz w:val="18"/>
                <w:szCs w:val="20"/>
              </w:rPr>
              <w:t>Dollars</w:t>
            </w:r>
          </w:p>
          <w:p w14:paraId="54FE5CAE" w14:textId="77777777" w:rsidR="00364784" w:rsidRPr="00BC7615" w:rsidRDefault="00364784" w:rsidP="00C52016">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vs. YA</w:t>
            </w:r>
          </w:p>
        </w:tc>
        <w:tc>
          <w:tcPr>
            <w:tcW w:w="934" w:type="dxa"/>
            <w:tcBorders>
              <w:left w:val="none" w:sz="0" w:space="0" w:color="auto"/>
              <w:right w:val="none" w:sz="0" w:space="0" w:color="auto"/>
            </w:tcBorders>
            <w:shd w:val="clear" w:color="auto" w:fill="17365D" w:themeFill="text2" w:themeFillShade="BF"/>
          </w:tcPr>
          <w:p w14:paraId="3D36662A" w14:textId="77777777" w:rsidR="00364784" w:rsidRPr="00BC7615" w:rsidRDefault="00364784" w:rsidP="00C52016">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 xml:space="preserve">Dollars </w:t>
            </w:r>
            <w:r w:rsidRPr="00BC7615">
              <w:rPr>
                <w:rFonts w:ascii="Arial" w:eastAsia="Times New Roman" w:hAnsi="Arial" w:cs="Arial"/>
                <w:color w:val="FFFFFF" w:themeColor="background1"/>
                <w:sz w:val="18"/>
                <w:szCs w:val="20"/>
              </w:rPr>
              <w:br/>
              <w:t xml:space="preserve"> vs. 3YA</w:t>
            </w:r>
          </w:p>
        </w:tc>
        <w:tc>
          <w:tcPr>
            <w:tcW w:w="883" w:type="dxa"/>
            <w:tcBorders>
              <w:left w:val="none" w:sz="0" w:space="0" w:color="auto"/>
              <w:right w:val="none" w:sz="0" w:space="0" w:color="auto"/>
            </w:tcBorders>
            <w:shd w:val="clear" w:color="auto" w:fill="17365D" w:themeFill="text2" w:themeFillShade="BF"/>
          </w:tcPr>
          <w:p w14:paraId="6AFA22C3" w14:textId="77777777" w:rsidR="00364784" w:rsidRPr="00BC7615" w:rsidRDefault="00364784" w:rsidP="00C52016">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18"/>
              </w:rPr>
            </w:pPr>
            <w:r w:rsidRPr="00BC7615">
              <w:rPr>
                <w:rFonts w:ascii="Arial" w:eastAsia="Times New Roman" w:hAnsi="Arial" w:cs="Arial"/>
                <w:color w:val="FFFFFF" w:themeColor="background1"/>
                <w:sz w:val="18"/>
                <w:szCs w:val="20"/>
              </w:rPr>
              <w:t>Units</w:t>
            </w:r>
            <w:r w:rsidRPr="00BC7615">
              <w:rPr>
                <w:rFonts w:ascii="Arial" w:eastAsia="Times New Roman" w:hAnsi="Arial" w:cs="Arial"/>
                <w:color w:val="FFFFFF" w:themeColor="background1"/>
                <w:sz w:val="18"/>
                <w:szCs w:val="20"/>
              </w:rPr>
              <w:br/>
              <w:t xml:space="preserve"> vs. YA</w:t>
            </w:r>
          </w:p>
        </w:tc>
        <w:tc>
          <w:tcPr>
            <w:tcW w:w="883" w:type="dxa"/>
            <w:tcBorders>
              <w:left w:val="none" w:sz="0" w:space="0" w:color="auto"/>
              <w:right w:val="none" w:sz="0" w:space="0" w:color="auto"/>
            </w:tcBorders>
            <w:shd w:val="clear" w:color="auto" w:fill="17365D" w:themeFill="text2" w:themeFillShade="BF"/>
            <w:vAlign w:val="bottom"/>
          </w:tcPr>
          <w:p w14:paraId="191473F3" w14:textId="77777777" w:rsidR="00364784" w:rsidRPr="00BC7615" w:rsidRDefault="00364784" w:rsidP="00C52016">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hAnsi="Arial" w:cs="Arial"/>
                <w:color w:val="FFFFFF" w:themeColor="background1"/>
                <w:sz w:val="18"/>
                <w:szCs w:val="18"/>
              </w:rPr>
              <w:t>Units vs. 3YA</w:t>
            </w:r>
          </w:p>
        </w:tc>
      </w:tr>
      <w:tr w:rsidR="00364784" w:rsidRPr="00067996" w14:paraId="5A930F9B" w14:textId="77777777" w:rsidTr="00C52016">
        <w:trPr>
          <w:trHeight w:val="113"/>
        </w:trPr>
        <w:tc>
          <w:tcPr>
            <w:cnfStyle w:val="001000000000" w:firstRow="0" w:lastRow="0" w:firstColumn="1" w:lastColumn="0" w:oddVBand="0" w:evenVBand="0" w:oddHBand="0" w:evenHBand="0" w:firstRowFirstColumn="0" w:firstRowLastColumn="0" w:lastRowFirstColumn="0" w:lastRowLastColumn="0"/>
            <w:tcW w:w="2225" w:type="dxa"/>
            <w:noWrap/>
            <w:hideMark/>
          </w:tcPr>
          <w:p w14:paraId="5F9A76E2" w14:textId="77777777" w:rsidR="00364784" w:rsidRPr="00067996" w:rsidRDefault="00364784" w:rsidP="00C52016">
            <w:pPr>
              <w:rPr>
                <w:rFonts w:ascii="Arial" w:eastAsia="Times New Roman" w:hAnsi="Arial" w:cs="Arial"/>
                <w:b w:val="0"/>
                <w:color w:val="215868" w:themeColor="accent5" w:themeShade="80"/>
                <w:sz w:val="18"/>
                <w:szCs w:val="18"/>
              </w:rPr>
            </w:pPr>
            <w:r w:rsidRPr="00067996">
              <w:rPr>
                <w:rFonts w:ascii="Arial" w:eastAsia="Times New Roman" w:hAnsi="Arial" w:cs="Arial"/>
                <w:b w:val="0"/>
                <w:color w:val="215868" w:themeColor="accent5" w:themeShade="80"/>
                <w:sz w:val="18"/>
                <w:szCs w:val="18"/>
              </w:rPr>
              <w:t xml:space="preserve">Total food </w:t>
            </w:r>
            <w:r>
              <w:rPr>
                <w:rFonts w:ascii="Arial" w:eastAsia="Times New Roman" w:hAnsi="Arial" w:cs="Arial"/>
                <w:b w:val="0"/>
                <w:color w:val="215868" w:themeColor="accent5" w:themeShade="80"/>
                <w:sz w:val="18"/>
                <w:szCs w:val="18"/>
              </w:rPr>
              <w:t>&amp;</w:t>
            </w:r>
            <w:r w:rsidRPr="00067996">
              <w:rPr>
                <w:rFonts w:ascii="Arial" w:eastAsia="Times New Roman" w:hAnsi="Arial" w:cs="Arial"/>
                <w:b w:val="0"/>
                <w:color w:val="215868" w:themeColor="accent5" w:themeShade="80"/>
                <w:sz w:val="18"/>
                <w:szCs w:val="18"/>
              </w:rPr>
              <w:t xml:space="preserve"> beverages</w:t>
            </w:r>
          </w:p>
        </w:tc>
        <w:tc>
          <w:tcPr>
            <w:tcW w:w="882" w:type="dxa"/>
          </w:tcPr>
          <w:p w14:paraId="43CFAEAB" w14:textId="77777777" w:rsidR="00364784" w:rsidRPr="00067996" w:rsidRDefault="00364784" w:rsidP="00C5201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57.9</w:t>
            </w:r>
            <w:r w:rsidRPr="00067996">
              <w:rPr>
                <w:rFonts w:ascii="Arial" w:eastAsia="Times New Roman" w:hAnsi="Arial" w:cs="Arial"/>
                <w:color w:val="215868" w:themeColor="accent5" w:themeShade="80"/>
                <w:sz w:val="18"/>
                <w:szCs w:val="18"/>
              </w:rPr>
              <w:t>B</w:t>
            </w:r>
          </w:p>
        </w:tc>
        <w:tc>
          <w:tcPr>
            <w:tcW w:w="853" w:type="dxa"/>
            <w:vAlign w:val="bottom"/>
          </w:tcPr>
          <w:p w14:paraId="116CA58C" w14:textId="77777777" w:rsidR="00364784" w:rsidRPr="00067996" w:rsidRDefault="00364784" w:rsidP="00C520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+6.6</w:t>
            </w:r>
            <w:r w:rsidRPr="00067996">
              <w:rPr>
                <w:rFonts w:ascii="Arial" w:hAnsi="Arial" w:cs="Arial"/>
                <w:color w:val="215868" w:themeColor="accent5" w:themeShade="80"/>
                <w:sz w:val="18"/>
                <w:szCs w:val="18"/>
              </w:rPr>
              <w:t>%</w:t>
            </w:r>
          </w:p>
        </w:tc>
        <w:tc>
          <w:tcPr>
            <w:tcW w:w="913" w:type="dxa"/>
            <w:vAlign w:val="bottom"/>
          </w:tcPr>
          <w:p w14:paraId="1017B405" w14:textId="77777777" w:rsidR="00364784" w:rsidRDefault="00364784" w:rsidP="00C5201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+27.8</w:t>
            </w:r>
            <w:r w:rsidRPr="00067996">
              <w:rPr>
                <w:rFonts w:ascii="Arial" w:hAnsi="Arial" w:cs="Arial"/>
                <w:color w:val="215868" w:themeColor="accent5" w:themeShade="80"/>
                <w:sz w:val="18"/>
                <w:szCs w:val="18"/>
              </w:rPr>
              <w:t>%</w:t>
            </w:r>
          </w:p>
        </w:tc>
        <w:tc>
          <w:tcPr>
            <w:tcW w:w="883" w:type="dxa"/>
            <w:vAlign w:val="bottom"/>
          </w:tcPr>
          <w:p w14:paraId="7861D438" w14:textId="77777777" w:rsidR="00364784" w:rsidRDefault="00364784" w:rsidP="00C5201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-5.8</w:t>
            </w:r>
            <w:r w:rsidRPr="00067996">
              <w:rPr>
                <w:rFonts w:ascii="Arial" w:hAnsi="Arial" w:cs="Arial"/>
                <w:color w:val="215868" w:themeColor="accent5" w:themeShade="80"/>
                <w:sz w:val="18"/>
                <w:szCs w:val="18"/>
              </w:rPr>
              <w:t>%</w:t>
            </w:r>
          </w:p>
        </w:tc>
        <w:tc>
          <w:tcPr>
            <w:tcW w:w="882" w:type="dxa"/>
            <w:tcBorders>
              <w:right w:val="single" w:sz="24" w:space="0" w:color="FFFFFF" w:themeColor="background1"/>
            </w:tcBorders>
            <w:vAlign w:val="bottom"/>
          </w:tcPr>
          <w:p w14:paraId="5C174F38" w14:textId="77777777" w:rsidR="00364784" w:rsidRDefault="00364784" w:rsidP="00C52016">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-1.9</w:t>
            </w:r>
            <w:r w:rsidRPr="00FB29BD">
              <w:rPr>
                <w:rFonts w:ascii="Arial" w:hAnsi="Arial" w:cs="Arial"/>
                <w:color w:val="215868" w:themeColor="accent5" w:themeShade="80"/>
                <w:sz w:val="18"/>
                <w:szCs w:val="18"/>
              </w:rPr>
              <w:t>%</w:t>
            </w:r>
          </w:p>
        </w:tc>
        <w:tc>
          <w:tcPr>
            <w:tcW w:w="832" w:type="dxa"/>
            <w:tcBorders>
              <w:left w:val="single" w:sz="24" w:space="0" w:color="FFFFFF" w:themeColor="background1"/>
            </w:tcBorders>
            <w:vAlign w:val="bottom"/>
          </w:tcPr>
          <w:p w14:paraId="05470052" w14:textId="77777777" w:rsidR="00364784" w:rsidRDefault="00364784" w:rsidP="00C52016">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+8.9</w:t>
            </w:r>
            <w:r w:rsidRPr="00FB29BD">
              <w:rPr>
                <w:rFonts w:ascii="Arial" w:hAnsi="Arial" w:cs="Arial"/>
                <w:color w:val="215868" w:themeColor="accent5" w:themeShade="80"/>
                <w:sz w:val="18"/>
                <w:szCs w:val="18"/>
              </w:rPr>
              <w:t>%</w:t>
            </w:r>
          </w:p>
        </w:tc>
        <w:tc>
          <w:tcPr>
            <w:tcW w:w="934" w:type="dxa"/>
            <w:vAlign w:val="bottom"/>
          </w:tcPr>
          <w:p w14:paraId="0FE40FA0" w14:textId="77777777" w:rsidR="00364784" w:rsidRDefault="00364784" w:rsidP="00C52016">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+27.0</w:t>
            </w:r>
            <w:r w:rsidRPr="00FB29BD">
              <w:rPr>
                <w:rFonts w:ascii="Arial" w:hAnsi="Arial" w:cs="Arial"/>
                <w:color w:val="215868" w:themeColor="accent5" w:themeShade="80"/>
                <w:sz w:val="18"/>
                <w:szCs w:val="18"/>
              </w:rPr>
              <w:t>%</w:t>
            </w:r>
          </w:p>
        </w:tc>
        <w:tc>
          <w:tcPr>
            <w:tcW w:w="883" w:type="dxa"/>
            <w:vAlign w:val="bottom"/>
          </w:tcPr>
          <w:p w14:paraId="3B382BB1" w14:textId="77777777" w:rsidR="00364784" w:rsidRPr="00067996" w:rsidRDefault="00364784" w:rsidP="00C52016">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-3.5</w:t>
            </w:r>
            <w:r w:rsidRPr="00067996">
              <w:rPr>
                <w:rFonts w:ascii="Arial" w:hAnsi="Arial" w:cs="Arial"/>
                <w:color w:val="215868" w:themeColor="accent5" w:themeShade="80"/>
                <w:sz w:val="18"/>
                <w:szCs w:val="18"/>
              </w:rPr>
              <w:t>%</w:t>
            </w:r>
          </w:p>
        </w:tc>
        <w:tc>
          <w:tcPr>
            <w:tcW w:w="883" w:type="dxa"/>
            <w:vAlign w:val="bottom"/>
          </w:tcPr>
          <w:p w14:paraId="74F0F279" w14:textId="77777777" w:rsidR="00364784" w:rsidRDefault="00364784" w:rsidP="00C52016">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+1.2</w:t>
            </w:r>
            <w:r w:rsidRPr="00FB29BD">
              <w:rPr>
                <w:rFonts w:ascii="Arial" w:hAnsi="Arial" w:cs="Arial"/>
                <w:color w:val="215868" w:themeColor="accent5" w:themeShade="80"/>
                <w:sz w:val="18"/>
                <w:szCs w:val="18"/>
              </w:rPr>
              <w:t>%</w:t>
            </w:r>
          </w:p>
        </w:tc>
      </w:tr>
      <w:tr w:rsidR="00364784" w:rsidRPr="00067996" w14:paraId="678F062F" w14:textId="77777777" w:rsidTr="00C5201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225" w:type="dxa"/>
            <w:noWrap/>
          </w:tcPr>
          <w:p w14:paraId="56CA8CB1" w14:textId="77777777" w:rsidR="00364784" w:rsidRPr="00067996" w:rsidRDefault="00364784" w:rsidP="00C52016">
            <w:pPr>
              <w:rPr>
                <w:rFonts w:ascii="Arial" w:eastAsia="Times New Roman" w:hAnsi="Arial" w:cs="Arial"/>
                <w:b w:val="0"/>
                <w:color w:val="215868" w:themeColor="accent5" w:themeShade="80"/>
                <w:sz w:val="18"/>
                <w:szCs w:val="18"/>
              </w:rPr>
            </w:pPr>
            <w:r w:rsidRPr="00067996">
              <w:rPr>
                <w:rFonts w:ascii="Arial" w:eastAsia="Times New Roman" w:hAnsi="Arial" w:cs="Arial"/>
                <w:b w:val="0"/>
                <w:color w:val="215868" w:themeColor="accent5" w:themeShade="80"/>
                <w:sz w:val="18"/>
                <w:szCs w:val="18"/>
              </w:rPr>
              <w:t xml:space="preserve">Total </w:t>
            </w:r>
            <w:r>
              <w:rPr>
                <w:rFonts w:ascii="Arial" w:eastAsia="Times New Roman" w:hAnsi="Arial" w:cs="Arial"/>
                <w:b w:val="0"/>
                <w:color w:val="215868" w:themeColor="accent5" w:themeShade="80"/>
                <w:sz w:val="18"/>
                <w:szCs w:val="18"/>
              </w:rPr>
              <w:t>perishables</w:t>
            </w:r>
          </w:p>
        </w:tc>
        <w:tc>
          <w:tcPr>
            <w:tcW w:w="882" w:type="dxa"/>
          </w:tcPr>
          <w:p w14:paraId="338444E8" w14:textId="77777777" w:rsidR="00364784" w:rsidRPr="00853A40"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26.1</w:t>
            </w:r>
            <w:r w:rsidRPr="00067996">
              <w:rPr>
                <w:rFonts w:ascii="Arial" w:eastAsia="Times New Roman" w:hAnsi="Arial" w:cs="Arial"/>
                <w:color w:val="215868" w:themeColor="accent5" w:themeShade="80"/>
                <w:sz w:val="18"/>
                <w:szCs w:val="18"/>
              </w:rPr>
              <w:t>B</w:t>
            </w:r>
          </w:p>
        </w:tc>
        <w:tc>
          <w:tcPr>
            <w:tcW w:w="853" w:type="dxa"/>
            <w:vAlign w:val="bottom"/>
          </w:tcPr>
          <w:p w14:paraId="7454539E" w14:textId="77777777" w:rsidR="00364784" w:rsidRPr="00067996"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+5.5</w:t>
            </w:r>
            <w:r w:rsidRPr="00067996">
              <w:rPr>
                <w:rFonts w:ascii="Arial" w:hAnsi="Arial" w:cs="Arial"/>
                <w:color w:val="215868" w:themeColor="accent5" w:themeShade="80"/>
                <w:sz w:val="18"/>
                <w:szCs w:val="18"/>
              </w:rPr>
              <w:t>%</w:t>
            </w:r>
          </w:p>
        </w:tc>
        <w:tc>
          <w:tcPr>
            <w:tcW w:w="913" w:type="dxa"/>
            <w:vAlign w:val="bottom"/>
          </w:tcPr>
          <w:p w14:paraId="6218BE58" w14:textId="77777777" w:rsidR="00364784"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+25.6</w:t>
            </w:r>
            <w:r w:rsidRPr="00067996">
              <w:rPr>
                <w:rFonts w:ascii="Arial" w:hAnsi="Arial" w:cs="Arial"/>
                <w:color w:val="215868" w:themeColor="accent5" w:themeShade="80"/>
                <w:sz w:val="18"/>
                <w:szCs w:val="18"/>
              </w:rPr>
              <w:t>%</w:t>
            </w:r>
          </w:p>
        </w:tc>
        <w:tc>
          <w:tcPr>
            <w:tcW w:w="883" w:type="dxa"/>
            <w:vAlign w:val="bottom"/>
          </w:tcPr>
          <w:p w14:paraId="6A4B302D" w14:textId="77777777" w:rsidR="00364784"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-4.9</w:t>
            </w:r>
            <w:r w:rsidRPr="00067996">
              <w:rPr>
                <w:rFonts w:ascii="Arial" w:hAnsi="Arial" w:cs="Arial"/>
                <w:color w:val="215868" w:themeColor="accent5" w:themeShade="80"/>
                <w:sz w:val="18"/>
                <w:szCs w:val="18"/>
              </w:rPr>
              <w:t>%</w:t>
            </w:r>
          </w:p>
        </w:tc>
        <w:tc>
          <w:tcPr>
            <w:tcW w:w="882" w:type="dxa"/>
            <w:tcBorders>
              <w:right w:val="single" w:sz="24" w:space="0" w:color="FFFFFF" w:themeColor="background1"/>
            </w:tcBorders>
            <w:vAlign w:val="bottom"/>
          </w:tcPr>
          <w:p w14:paraId="61841200" w14:textId="77777777" w:rsidR="00364784" w:rsidRDefault="00364784" w:rsidP="00C52016">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-1.4</w:t>
            </w:r>
            <w:r w:rsidRPr="00FB29BD">
              <w:rPr>
                <w:rFonts w:ascii="Arial" w:hAnsi="Arial" w:cs="Arial"/>
                <w:color w:val="215868" w:themeColor="accent5" w:themeShade="80"/>
                <w:sz w:val="18"/>
                <w:szCs w:val="18"/>
              </w:rPr>
              <w:t>%</w:t>
            </w:r>
          </w:p>
        </w:tc>
        <w:tc>
          <w:tcPr>
            <w:tcW w:w="832" w:type="dxa"/>
            <w:tcBorders>
              <w:left w:val="single" w:sz="24" w:space="0" w:color="FFFFFF" w:themeColor="background1"/>
            </w:tcBorders>
            <w:vAlign w:val="bottom"/>
          </w:tcPr>
          <w:p w14:paraId="22B37A2B" w14:textId="77777777" w:rsidR="00364784" w:rsidRDefault="00364784" w:rsidP="00C52016">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+8.2</w:t>
            </w:r>
            <w:r w:rsidRPr="00FB29BD">
              <w:rPr>
                <w:rFonts w:ascii="Arial" w:hAnsi="Arial" w:cs="Arial"/>
                <w:color w:val="215868" w:themeColor="accent5" w:themeShade="80"/>
                <w:sz w:val="18"/>
                <w:szCs w:val="18"/>
              </w:rPr>
              <w:t>%</w:t>
            </w:r>
          </w:p>
        </w:tc>
        <w:tc>
          <w:tcPr>
            <w:tcW w:w="934" w:type="dxa"/>
            <w:vAlign w:val="bottom"/>
          </w:tcPr>
          <w:p w14:paraId="5A629A3D" w14:textId="77777777" w:rsidR="00364784" w:rsidRDefault="00364784" w:rsidP="00C52016">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+25.4</w:t>
            </w:r>
            <w:r w:rsidRPr="00FB29BD">
              <w:rPr>
                <w:rFonts w:ascii="Arial" w:hAnsi="Arial" w:cs="Arial"/>
                <w:color w:val="215868" w:themeColor="accent5" w:themeShade="80"/>
                <w:sz w:val="18"/>
                <w:szCs w:val="18"/>
              </w:rPr>
              <w:t>%</w:t>
            </w:r>
          </w:p>
        </w:tc>
        <w:tc>
          <w:tcPr>
            <w:tcW w:w="883" w:type="dxa"/>
            <w:vAlign w:val="bottom"/>
          </w:tcPr>
          <w:p w14:paraId="13C3EF1A" w14:textId="77777777" w:rsidR="00364784" w:rsidRPr="00067996" w:rsidRDefault="00364784" w:rsidP="00C52016">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-3.1</w:t>
            </w:r>
            <w:r w:rsidRPr="00067996">
              <w:rPr>
                <w:rFonts w:ascii="Arial" w:hAnsi="Arial" w:cs="Arial"/>
                <w:color w:val="215868" w:themeColor="accent5" w:themeShade="80"/>
                <w:sz w:val="18"/>
                <w:szCs w:val="18"/>
              </w:rPr>
              <w:t>%</w:t>
            </w:r>
          </w:p>
        </w:tc>
        <w:tc>
          <w:tcPr>
            <w:tcW w:w="883" w:type="dxa"/>
            <w:vAlign w:val="bottom"/>
          </w:tcPr>
          <w:p w14:paraId="5EB88339" w14:textId="77777777" w:rsidR="00364784" w:rsidRDefault="00364784" w:rsidP="00C52016">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+1.6</w:t>
            </w:r>
            <w:r w:rsidRPr="00FB29BD">
              <w:rPr>
                <w:rFonts w:ascii="Arial" w:hAnsi="Arial" w:cs="Arial"/>
                <w:color w:val="215868" w:themeColor="accent5" w:themeShade="80"/>
                <w:sz w:val="18"/>
                <w:szCs w:val="18"/>
              </w:rPr>
              <w:t>%</w:t>
            </w:r>
          </w:p>
        </w:tc>
      </w:tr>
      <w:tr w:rsidR="00364784" w:rsidRPr="00067996" w14:paraId="71FFA3A3" w14:textId="77777777" w:rsidTr="00C52016">
        <w:trPr>
          <w:trHeight w:val="113"/>
        </w:trPr>
        <w:tc>
          <w:tcPr>
            <w:cnfStyle w:val="001000000000" w:firstRow="0" w:lastRow="0" w:firstColumn="1" w:lastColumn="0" w:oddVBand="0" w:evenVBand="0" w:oddHBand="0" w:evenHBand="0" w:firstRowFirstColumn="0" w:firstRowLastColumn="0" w:lastRowFirstColumn="0" w:lastRowLastColumn="0"/>
            <w:tcW w:w="2225" w:type="dxa"/>
            <w:noWrap/>
            <w:vAlign w:val="center"/>
          </w:tcPr>
          <w:p w14:paraId="74ED292A" w14:textId="77777777" w:rsidR="00364784" w:rsidRPr="00067996" w:rsidRDefault="00364784" w:rsidP="00C52016">
            <w:pPr>
              <w:rPr>
                <w:rFonts w:ascii="Arial" w:eastAsia="Times New Roman" w:hAnsi="Arial" w:cs="Arial"/>
                <w:b w:val="0"/>
                <w:bCs w:val="0"/>
                <w:color w:val="215868" w:themeColor="accent5" w:themeShade="80"/>
                <w:sz w:val="18"/>
                <w:szCs w:val="18"/>
              </w:rPr>
            </w:pPr>
            <w:r w:rsidRPr="00067996">
              <w:rPr>
                <w:rFonts w:ascii="Arial" w:eastAsia="Times New Roman" w:hAnsi="Arial" w:cs="Arial"/>
                <w:b w:val="0"/>
                <w:bCs w:val="0"/>
                <w:color w:val="215868" w:themeColor="accent5" w:themeShade="80"/>
                <w:sz w:val="18"/>
                <w:szCs w:val="18"/>
              </w:rPr>
              <w:t xml:space="preserve">Total grocery </w:t>
            </w:r>
            <w:r>
              <w:rPr>
                <w:rFonts w:ascii="Arial" w:eastAsia="Times New Roman" w:hAnsi="Arial" w:cs="Arial"/>
                <w:b w:val="0"/>
                <w:bCs w:val="0"/>
                <w:color w:val="215868" w:themeColor="accent5" w:themeShade="80"/>
                <w:sz w:val="18"/>
                <w:szCs w:val="18"/>
              </w:rPr>
              <w:br/>
            </w:r>
            <w:r w:rsidRPr="00067996">
              <w:rPr>
                <w:rFonts w:ascii="Arial" w:eastAsia="Times New Roman" w:hAnsi="Arial" w:cs="Arial"/>
                <w:b w:val="0"/>
                <w:bCs w:val="0"/>
                <w:color w:val="215868" w:themeColor="accent5" w:themeShade="80"/>
                <w:sz w:val="18"/>
                <w:szCs w:val="18"/>
              </w:rPr>
              <w:t>(center store)</w:t>
            </w:r>
          </w:p>
        </w:tc>
        <w:tc>
          <w:tcPr>
            <w:tcW w:w="882" w:type="dxa"/>
            <w:vAlign w:val="center"/>
          </w:tcPr>
          <w:p w14:paraId="49512645" w14:textId="77777777" w:rsidR="00364784" w:rsidRPr="00067996" w:rsidRDefault="00364784" w:rsidP="00C520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28.8</w:t>
            </w:r>
            <w:r w:rsidRPr="00067996">
              <w:rPr>
                <w:rFonts w:ascii="Arial" w:eastAsia="Times New Roman" w:hAnsi="Arial" w:cs="Arial"/>
                <w:color w:val="215868" w:themeColor="accent5" w:themeShade="80"/>
                <w:sz w:val="18"/>
                <w:szCs w:val="18"/>
              </w:rPr>
              <w:t>B</w:t>
            </w:r>
          </w:p>
        </w:tc>
        <w:tc>
          <w:tcPr>
            <w:tcW w:w="853" w:type="dxa"/>
            <w:vAlign w:val="center"/>
          </w:tcPr>
          <w:p w14:paraId="49360234" w14:textId="77777777" w:rsidR="00364784" w:rsidRPr="00067996" w:rsidRDefault="00364784" w:rsidP="00C520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+8.5</w:t>
            </w:r>
            <w:r w:rsidRPr="00067996">
              <w:rPr>
                <w:rFonts w:ascii="Arial" w:hAnsi="Arial" w:cs="Arial"/>
                <w:color w:val="215868" w:themeColor="accent5" w:themeShade="80"/>
                <w:sz w:val="18"/>
                <w:szCs w:val="18"/>
              </w:rPr>
              <w:t>%</w:t>
            </w:r>
          </w:p>
        </w:tc>
        <w:tc>
          <w:tcPr>
            <w:tcW w:w="913" w:type="dxa"/>
            <w:vAlign w:val="center"/>
          </w:tcPr>
          <w:p w14:paraId="37FF5643" w14:textId="77777777" w:rsidR="00364784" w:rsidRDefault="00364784" w:rsidP="00C5201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+32.3</w:t>
            </w:r>
            <w:r w:rsidRPr="00067996">
              <w:rPr>
                <w:rFonts w:ascii="Arial" w:hAnsi="Arial" w:cs="Arial"/>
                <w:color w:val="215868" w:themeColor="accent5" w:themeShade="80"/>
                <w:sz w:val="18"/>
                <w:szCs w:val="18"/>
              </w:rPr>
              <w:t>%</w:t>
            </w:r>
          </w:p>
        </w:tc>
        <w:tc>
          <w:tcPr>
            <w:tcW w:w="883" w:type="dxa"/>
            <w:vAlign w:val="center"/>
          </w:tcPr>
          <w:p w14:paraId="599D2C38" w14:textId="77777777" w:rsidR="00364784" w:rsidRDefault="00364784" w:rsidP="00C5201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-6.6</w:t>
            </w:r>
            <w:r w:rsidRPr="00067996">
              <w:rPr>
                <w:rFonts w:ascii="Arial" w:hAnsi="Arial" w:cs="Arial"/>
                <w:color w:val="215868" w:themeColor="accent5" w:themeShade="80"/>
                <w:sz w:val="18"/>
                <w:szCs w:val="18"/>
              </w:rPr>
              <w:t>%</w:t>
            </w:r>
          </w:p>
        </w:tc>
        <w:tc>
          <w:tcPr>
            <w:tcW w:w="882" w:type="dxa"/>
            <w:tcBorders>
              <w:right w:val="single" w:sz="24" w:space="0" w:color="FFFFFF" w:themeColor="background1"/>
            </w:tcBorders>
            <w:vAlign w:val="center"/>
          </w:tcPr>
          <w:p w14:paraId="7DB63F0D" w14:textId="77777777" w:rsidR="00364784" w:rsidRDefault="00364784" w:rsidP="00C52016">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-2.1</w:t>
            </w:r>
            <w:r w:rsidRPr="00FB29BD">
              <w:rPr>
                <w:rFonts w:ascii="Arial" w:hAnsi="Arial" w:cs="Arial"/>
                <w:color w:val="215868" w:themeColor="accent5" w:themeShade="80"/>
                <w:sz w:val="18"/>
                <w:szCs w:val="18"/>
              </w:rPr>
              <w:t>%</w:t>
            </w:r>
          </w:p>
        </w:tc>
        <w:tc>
          <w:tcPr>
            <w:tcW w:w="832" w:type="dxa"/>
            <w:tcBorders>
              <w:left w:val="single" w:sz="24" w:space="0" w:color="FFFFFF" w:themeColor="background1"/>
            </w:tcBorders>
            <w:vAlign w:val="center"/>
          </w:tcPr>
          <w:p w14:paraId="539DC657" w14:textId="77777777" w:rsidR="00364784" w:rsidRDefault="00364784" w:rsidP="00C52016">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+10.7</w:t>
            </w:r>
            <w:r w:rsidRPr="00FB29BD">
              <w:rPr>
                <w:rFonts w:ascii="Arial" w:hAnsi="Arial" w:cs="Arial"/>
                <w:color w:val="215868" w:themeColor="accent5" w:themeShade="80"/>
                <w:sz w:val="18"/>
                <w:szCs w:val="18"/>
              </w:rPr>
              <w:t>%</w:t>
            </w:r>
          </w:p>
        </w:tc>
        <w:tc>
          <w:tcPr>
            <w:tcW w:w="934" w:type="dxa"/>
            <w:vAlign w:val="center"/>
          </w:tcPr>
          <w:p w14:paraId="66CED1BE" w14:textId="77777777" w:rsidR="00364784" w:rsidRDefault="00364784" w:rsidP="00C52016">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+30.5</w:t>
            </w:r>
            <w:r w:rsidRPr="00FB29BD">
              <w:rPr>
                <w:rFonts w:ascii="Arial" w:hAnsi="Arial" w:cs="Arial"/>
                <w:color w:val="215868" w:themeColor="accent5" w:themeShade="80"/>
                <w:sz w:val="18"/>
                <w:szCs w:val="18"/>
              </w:rPr>
              <w:t>%</w:t>
            </w:r>
          </w:p>
        </w:tc>
        <w:tc>
          <w:tcPr>
            <w:tcW w:w="883" w:type="dxa"/>
            <w:vAlign w:val="center"/>
          </w:tcPr>
          <w:p w14:paraId="27515392" w14:textId="77777777" w:rsidR="00364784" w:rsidRPr="00067996" w:rsidRDefault="00364784" w:rsidP="00C52016">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-3.7</w:t>
            </w:r>
            <w:r w:rsidRPr="00067996">
              <w:rPr>
                <w:rFonts w:ascii="Arial" w:hAnsi="Arial" w:cs="Arial"/>
                <w:color w:val="215868" w:themeColor="accent5" w:themeShade="80"/>
                <w:sz w:val="18"/>
                <w:szCs w:val="18"/>
              </w:rPr>
              <w:t>%</w:t>
            </w:r>
          </w:p>
        </w:tc>
        <w:tc>
          <w:tcPr>
            <w:tcW w:w="883" w:type="dxa"/>
            <w:vAlign w:val="center"/>
          </w:tcPr>
          <w:p w14:paraId="75FFD0F1" w14:textId="77777777" w:rsidR="00364784" w:rsidRDefault="00364784" w:rsidP="00C52016">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+0.9</w:t>
            </w:r>
            <w:r w:rsidRPr="00FB29BD">
              <w:rPr>
                <w:rFonts w:ascii="Arial" w:hAnsi="Arial" w:cs="Arial"/>
                <w:color w:val="215868" w:themeColor="accent5" w:themeShade="80"/>
                <w:sz w:val="18"/>
                <w:szCs w:val="18"/>
              </w:rPr>
              <w:t>%</w:t>
            </w:r>
          </w:p>
        </w:tc>
      </w:tr>
    </w:tbl>
    <w:p w14:paraId="35308E01" w14:textId="77777777" w:rsidR="00364784" w:rsidRPr="00B64ECF" w:rsidRDefault="00364784" w:rsidP="00364784">
      <w:pPr>
        <w:pStyle w:val="NoSpacing"/>
        <w:rPr>
          <w:rFonts w:ascii="Arial" w:hAnsi="Arial" w:cs="Arial"/>
          <w:sz w:val="12"/>
          <w:szCs w:val="16"/>
        </w:rPr>
      </w:pPr>
    </w:p>
    <w:p w14:paraId="22C498E7" w14:textId="77777777" w:rsidR="00364784" w:rsidRDefault="00364784" w:rsidP="00364784">
      <w:pPr>
        <w:pStyle w:val="NoSpacing"/>
        <w:rPr>
          <w:rFonts w:ascii="Arial" w:hAnsi="Arial" w:cs="Arial"/>
          <w:color w:val="7F7F7F" w:themeColor="text1" w:themeTint="80"/>
          <w:sz w:val="16"/>
          <w:szCs w:val="16"/>
        </w:rPr>
      </w:pPr>
      <w:r w:rsidRPr="00A04CFB">
        <w:rPr>
          <w:rFonts w:ascii="Arial" w:hAnsi="Arial" w:cs="Arial"/>
          <w:color w:val="7F7F7F" w:themeColor="text1" w:themeTint="80"/>
          <w:sz w:val="16"/>
          <w:szCs w:val="16"/>
        </w:rPr>
        <w:t>Source: IRI, Integrated Fresh, Total US, MULO</w:t>
      </w:r>
    </w:p>
    <w:bookmarkEnd w:id="1"/>
    <w:p w14:paraId="2359F070" w14:textId="77777777" w:rsidR="00BD7CB1" w:rsidRDefault="00BD7CB1" w:rsidP="001210D2">
      <w:pPr>
        <w:pStyle w:val="NoSpacing"/>
        <w:rPr>
          <w:rFonts w:ascii="Arial" w:hAnsi="Arial" w:cs="Arial"/>
          <w:sz w:val="20"/>
          <w:szCs w:val="20"/>
        </w:rPr>
      </w:pPr>
    </w:p>
    <w:p w14:paraId="5C40F56A" w14:textId="7EB17400" w:rsidR="001C641C" w:rsidRDefault="00364784" w:rsidP="00CF43CE">
      <w:pPr>
        <w:pStyle w:val="NoSpacing"/>
        <w:rPr>
          <w:rFonts w:ascii="Arial" w:hAnsi="Arial" w:cs="Arial"/>
          <w:sz w:val="20"/>
          <w:szCs w:val="20"/>
        </w:rPr>
      </w:pPr>
      <w:r>
        <w:rPr>
          <w:rFonts w:ascii="Arial" w:hAnsi="Arial" w:cs="Arial"/>
          <w:sz w:val="20"/>
          <w:szCs w:val="20"/>
        </w:rPr>
        <w:t>January 2023</w:t>
      </w:r>
      <w:r w:rsidR="00647DD6" w:rsidRPr="00854F55">
        <w:rPr>
          <w:rFonts w:ascii="Arial" w:hAnsi="Arial" w:cs="Arial"/>
          <w:sz w:val="20"/>
          <w:szCs w:val="20"/>
        </w:rPr>
        <w:t xml:space="preserve"> </w:t>
      </w:r>
      <w:r w:rsidR="00A96063" w:rsidRPr="00854F55">
        <w:rPr>
          <w:rFonts w:ascii="Arial" w:hAnsi="Arial" w:cs="Arial"/>
          <w:sz w:val="20"/>
          <w:szCs w:val="20"/>
        </w:rPr>
        <w:t xml:space="preserve">fresh </w:t>
      </w:r>
      <w:r w:rsidR="00891C7E" w:rsidRPr="00854F55">
        <w:rPr>
          <w:rFonts w:ascii="Arial" w:hAnsi="Arial" w:cs="Arial"/>
          <w:sz w:val="20"/>
          <w:szCs w:val="20"/>
        </w:rPr>
        <w:t xml:space="preserve">produce sales </w:t>
      </w:r>
      <w:r w:rsidR="00D046CF" w:rsidRPr="00854F55">
        <w:rPr>
          <w:rFonts w:ascii="Arial" w:hAnsi="Arial" w:cs="Arial"/>
          <w:sz w:val="20"/>
          <w:szCs w:val="20"/>
        </w:rPr>
        <w:t>reached $</w:t>
      </w:r>
      <w:r w:rsidR="00977224">
        <w:rPr>
          <w:rFonts w:ascii="Arial" w:hAnsi="Arial" w:cs="Arial"/>
          <w:sz w:val="20"/>
          <w:szCs w:val="20"/>
        </w:rPr>
        <w:t>5.</w:t>
      </w:r>
      <w:r w:rsidR="00ED603C">
        <w:rPr>
          <w:rFonts w:ascii="Arial" w:hAnsi="Arial" w:cs="Arial"/>
          <w:sz w:val="20"/>
          <w:szCs w:val="20"/>
        </w:rPr>
        <w:t>7 billion, up from $5.</w:t>
      </w:r>
      <w:r w:rsidR="00977224">
        <w:rPr>
          <w:rFonts w:ascii="Arial" w:hAnsi="Arial" w:cs="Arial"/>
          <w:sz w:val="20"/>
          <w:szCs w:val="20"/>
        </w:rPr>
        <w:t>5</w:t>
      </w:r>
      <w:r w:rsidR="00D046CF" w:rsidRPr="00854F55">
        <w:rPr>
          <w:rFonts w:ascii="Arial" w:hAnsi="Arial" w:cs="Arial"/>
          <w:sz w:val="20"/>
          <w:szCs w:val="20"/>
        </w:rPr>
        <w:t xml:space="preserve"> billion</w:t>
      </w:r>
      <w:r w:rsidR="00ED603C">
        <w:rPr>
          <w:rFonts w:ascii="Arial" w:hAnsi="Arial" w:cs="Arial"/>
          <w:sz w:val="20"/>
          <w:szCs w:val="20"/>
        </w:rPr>
        <w:t xml:space="preserve"> in December and an increase of 1.3% over January 2022 levels</w:t>
      </w:r>
      <w:r w:rsidR="001C641C" w:rsidRPr="00854F55">
        <w:rPr>
          <w:rFonts w:ascii="Arial" w:hAnsi="Arial" w:cs="Arial"/>
          <w:sz w:val="20"/>
          <w:szCs w:val="20"/>
        </w:rPr>
        <w:t xml:space="preserve">. </w:t>
      </w:r>
      <w:r w:rsidR="00977224">
        <w:rPr>
          <w:rFonts w:ascii="Arial" w:hAnsi="Arial" w:cs="Arial"/>
          <w:sz w:val="20"/>
          <w:szCs w:val="20"/>
        </w:rPr>
        <w:t>“</w:t>
      </w:r>
      <w:r w:rsidR="00ED603C">
        <w:rPr>
          <w:rFonts w:ascii="Arial" w:hAnsi="Arial" w:cs="Arial"/>
          <w:sz w:val="20"/>
          <w:szCs w:val="20"/>
        </w:rPr>
        <w:t>Though January sales certainly did not disappoint, we did not see strengthening demand in response to favorable fruit prices</w:t>
      </w:r>
      <w:r w:rsidR="00977224">
        <w:rPr>
          <w:rFonts w:ascii="Arial" w:hAnsi="Arial" w:cs="Arial"/>
          <w:sz w:val="20"/>
          <w:szCs w:val="20"/>
        </w:rPr>
        <w:t>,” Parker said</w:t>
      </w:r>
      <w:r w:rsidR="00ED603C">
        <w:rPr>
          <w:rFonts w:ascii="Arial" w:hAnsi="Arial" w:cs="Arial"/>
          <w:sz w:val="20"/>
          <w:szCs w:val="20"/>
        </w:rPr>
        <w:t>.</w:t>
      </w:r>
      <w:r w:rsidR="00977224">
        <w:rPr>
          <w:rFonts w:ascii="Arial" w:hAnsi="Arial" w:cs="Arial"/>
          <w:sz w:val="20"/>
          <w:szCs w:val="20"/>
        </w:rPr>
        <w:t xml:space="preserve"> “</w:t>
      </w:r>
      <w:r w:rsidR="00ED603C">
        <w:rPr>
          <w:rFonts w:ascii="Arial" w:hAnsi="Arial" w:cs="Arial"/>
          <w:sz w:val="20"/>
          <w:szCs w:val="20"/>
        </w:rPr>
        <w:t>In fact, units continue to sit below year-ago levels, though in the comparison to pre-pandemic, fresh produce looks quite favorable in unit sales, unlike other categories</w:t>
      </w:r>
      <w:r w:rsidR="00977224">
        <w:rPr>
          <w:rFonts w:ascii="Arial" w:hAnsi="Arial" w:cs="Arial"/>
          <w:sz w:val="20"/>
          <w:szCs w:val="20"/>
        </w:rPr>
        <w:t>.”</w:t>
      </w:r>
    </w:p>
    <w:p w14:paraId="2812D393" w14:textId="5BC9F25B" w:rsidR="00364784" w:rsidRDefault="00364784" w:rsidP="00CF43CE">
      <w:pPr>
        <w:pStyle w:val="NoSpacing"/>
        <w:rPr>
          <w:rFonts w:ascii="Arial" w:hAnsi="Arial" w:cs="Arial"/>
          <w:sz w:val="20"/>
          <w:szCs w:val="20"/>
        </w:rPr>
      </w:pPr>
    </w:p>
    <w:tbl>
      <w:tblPr>
        <w:tblStyle w:val="LightShading-Accent5"/>
        <w:tblW w:w="10170" w:type="dxa"/>
        <w:tblBorders>
          <w:top w:val="none" w:sz="0" w:space="0" w:color="auto"/>
          <w:bottom w:val="none" w:sz="0" w:space="0" w:color="auto"/>
        </w:tblBorders>
        <w:tblLayout w:type="fixed"/>
        <w:tblLook w:val="04A0" w:firstRow="1" w:lastRow="0" w:firstColumn="1" w:lastColumn="0" w:noHBand="0" w:noVBand="1"/>
      </w:tblPr>
      <w:tblGrid>
        <w:gridCol w:w="2225"/>
        <w:gridCol w:w="882"/>
        <w:gridCol w:w="853"/>
        <w:gridCol w:w="913"/>
        <w:gridCol w:w="883"/>
        <w:gridCol w:w="882"/>
        <w:gridCol w:w="832"/>
        <w:gridCol w:w="934"/>
        <w:gridCol w:w="883"/>
        <w:gridCol w:w="883"/>
      </w:tblGrid>
      <w:tr w:rsidR="00364784" w:rsidRPr="00BC7615" w14:paraId="292EAE41" w14:textId="77777777" w:rsidTr="00C5201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25" w:type="dxa"/>
            <w:tcBorders>
              <w:top w:val="none" w:sz="0" w:space="0" w:color="auto"/>
              <w:left w:val="none" w:sz="0" w:space="0" w:color="auto"/>
              <w:bottom w:val="none" w:sz="0" w:space="0" w:color="auto"/>
              <w:right w:val="none" w:sz="0" w:space="0" w:color="auto"/>
            </w:tcBorders>
            <w:shd w:val="clear" w:color="auto" w:fill="17365D" w:themeFill="text2" w:themeFillShade="BF"/>
            <w:noWrap/>
          </w:tcPr>
          <w:p w14:paraId="196F573B" w14:textId="77777777" w:rsidR="00364784" w:rsidRPr="00BC7615" w:rsidRDefault="00364784" w:rsidP="00C52016">
            <w:pPr>
              <w:jc w:val="center"/>
              <w:rPr>
                <w:rFonts w:ascii="Arial" w:eastAsia="Times New Roman" w:hAnsi="Arial" w:cs="Arial"/>
                <w:bCs w:val="0"/>
                <w:color w:val="FFFFFF" w:themeColor="background1"/>
                <w:sz w:val="18"/>
                <w:szCs w:val="18"/>
              </w:rPr>
            </w:pPr>
          </w:p>
        </w:tc>
        <w:tc>
          <w:tcPr>
            <w:tcW w:w="4413" w:type="dxa"/>
            <w:gridSpan w:val="5"/>
            <w:tcBorders>
              <w:top w:val="none" w:sz="0" w:space="0" w:color="auto"/>
              <w:left w:val="none" w:sz="0" w:space="0" w:color="auto"/>
              <w:bottom w:val="none" w:sz="0" w:space="0" w:color="auto"/>
              <w:right w:val="single" w:sz="24" w:space="0" w:color="FFFFFF" w:themeColor="background1"/>
            </w:tcBorders>
            <w:shd w:val="clear" w:color="auto" w:fill="17365D" w:themeFill="text2" w:themeFillShade="BF"/>
          </w:tcPr>
          <w:p w14:paraId="5F72259C" w14:textId="77777777" w:rsidR="00364784" w:rsidRPr="00BC7615" w:rsidRDefault="00364784" w:rsidP="00C52016">
            <w:pPr>
              <w:tabs>
                <w:tab w:val="left" w:pos="699"/>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18"/>
                <w:szCs w:val="20"/>
              </w:rPr>
            </w:pPr>
            <w:r w:rsidRPr="00BC7615">
              <w:rPr>
                <w:rFonts w:ascii="Arial" w:eastAsia="Times New Roman" w:hAnsi="Arial" w:cs="Arial"/>
                <w:bCs w:val="0"/>
                <w:color w:val="FFFFFF" w:themeColor="background1"/>
                <w:sz w:val="18"/>
                <w:szCs w:val="20"/>
              </w:rPr>
              <w:t>January 2023 % change</w:t>
            </w:r>
          </w:p>
        </w:tc>
        <w:tc>
          <w:tcPr>
            <w:tcW w:w="3532" w:type="dxa"/>
            <w:gridSpan w:val="4"/>
            <w:tcBorders>
              <w:top w:val="none" w:sz="0" w:space="0" w:color="auto"/>
              <w:left w:val="single" w:sz="24" w:space="0" w:color="FFFFFF" w:themeColor="background1"/>
              <w:bottom w:val="none" w:sz="0" w:space="0" w:color="auto"/>
              <w:right w:val="none" w:sz="0" w:space="0" w:color="auto"/>
            </w:tcBorders>
            <w:shd w:val="clear" w:color="auto" w:fill="17365D" w:themeFill="text2" w:themeFillShade="BF"/>
          </w:tcPr>
          <w:p w14:paraId="3919ADD6" w14:textId="77777777" w:rsidR="00364784" w:rsidRPr="00BC7615" w:rsidRDefault="00364784" w:rsidP="00C52016">
            <w:pPr>
              <w:tabs>
                <w:tab w:val="left" w:pos="699"/>
              </w:tabs>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sidRPr="00BC7615">
              <w:rPr>
                <w:rFonts w:ascii="Arial" w:hAnsi="Arial" w:cs="Arial"/>
                <w:bCs w:val="0"/>
                <w:color w:val="FFFFFF" w:themeColor="background1"/>
                <w:sz w:val="18"/>
                <w:szCs w:val="18"/>
              </w:rPr>
              <w:t>Latest 52 weeks % change</w:t>
            </w:r>
          </w:p>
        </w:tc>
      </w:tr>
      <w:tr w:rsidR="00364784" w:rsidRPr="00067996" w14:paraId="4651554B" w14:textId="77777777" w:rsidTr="00C5201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225" w:type="dxa"/>
            <w:tcBorders>
              <w:left w:val="none" w:sz="0" w:space="0" w:color="auto"/>
              <w:right w:val="none" w:sz="0" w:space="0" w:color="auto"/>
            </w:tcBorders>
            <w:shd w:val="clear" w:color="auto" w:fill="17365D" w:themeFill="text2" w:themeFillShade="BF"/>
            <w:noWrap/>
            <w:hideMark/>
          </w:tcPr>
          <w:p w14:paraId="7EDFC056" w14:textId="77777777" w:rsidR="00364784" w:rsidRPr="00BC7615" w:rsidRDefault="00364784" w:rsidP="00C52016">
            <w:pPr>
              <w:rPr>
                <w:rFonts w:ascii="Arial" w:eastAsia="Times New Roman" w:hAnsi="Arial" w:cs="Arial"/>
                <w:b w:val="0"/>
                <w:bCs w:val="0"/>
                <w:color w:val="FFFFFF" w:themeColor="background1"/>
                <w:sz w:val="18"/>
                <w:szCs w:val="18"/>
              </w:rPr>
            </w:pPr>
          </w:p>
        </w:tc>
        <w:tc>
          <w:tcPr>
            <w:tcW w:w="882" w:type="dxa"/>
            <w:tcBorders>
              <w:left w:val="none" w:sz="0" w:space="0" w:color="auto"/>
              <w:right w:val="none" w:sz="0" w:space="0" w:color="auto"/>
            </w:tcBorders>
            <w:shd w:val="clear" w:color="auto" w:fill="17365D" w:themeFill="text2" w:themeFillShade="BF"/>
          </w:tcPr>
          <w:p w14:paraId="68E2A371" w14:textId="77777777" w:rsidR="00364784" w:rsidRPr="00BC7615"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20"/>
              </w:rPr>
            </w:pPr>
            <w:r w:rsidRPr="00BC7615">
              <w:rPr>
                <w:rFonts w:ascii="Arial" w:eastAsia="Times New Roman" w:hAnsi="Arial" w:cs="Arial"/>
                <w:color w:val="FFFFFF" w:themeColor="background1"/>
                <w:sz w:val="18"/>
                <w:szCs w:val="20"/>
              </w:rPr>
              <w:t xml:space="preserve">Dollar </w:t>
            </w:r>
          </w:p>
          <w:p w14:paraId="59A51E29" w14:textId="77777777" w:rsidR="00364784" w:rsidRPr="00BC7615"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size</w:t>
            </w:r>
          </w:p>
        </w:tc>
        <w:tc>
          <w:tcPr>
            <w:tcW w:w="853" w:type="dxa"/>
            <w:tcBorders>
              <w:left w:val="none" w:sz="0" w:space="0" w:color="auto"/>
              <w:right w:val="none" w:sz="0" w:space="0" w:color="auto"/>
            </w:tcBorders>
            <w:shd w:val="clear" w:color="auto" w:fill="17365D" w:themeFill="text2" w:themeFillShade="BF"/>
          </w:tcPr>
          <w:p w14:paraId="2E82EB41" w14:textId="77777777" w:rsidR="00364784" w:rsidRPr="00BC7615"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20"/>
              </w:rPr>
            </w:pPr>
            <w:r w:rsidRPr="00BC7615">
              <w:rPr>
                <w:rFonts w:ascii="Arial" w:eastAsia="Times New Roman" w:hAnsi="Arial" w:cs="Arial"/>
                <w:color w:val="FFFFFF" w:themeColor="background1"/>
                <w:sz w:val="18"/>
                <w:szCs w:val="20"/>
              </w:rPr>
              <w:t>Dollars</w:t>
            </w:r>
          </w:p>
          <w:p w14:paraId="6F87E6B7" w14:textId="77777777" w:rsidR="00364784" w:rsidRPr="00BC7615"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18"/>
              </w:rPr>
            </w:pPr>
            <w:r w:rsidRPr="00BC7615">
              <w:rPr>
                <w:rFonts w:ascii="Arial" w:eastAsia="Times New Roman" w:hAnsi="Arial" w:cs="Arial"/>
                <w:color w:val="FFFFFF" w:themeColor="background1"/>
                <w:sz w:val="18"/>
                <w:szCs w:val="20"/>
              </w:rPr>
              <w:t>vs. YA</w:t>
            </w:r>
          </w:p>
        </w:tc>
        <w:tc>
          <w:tcPr>
            <w:tcW w:w="913" w:type="dxa"/>
            <w:tcBorders>
              <w:left w:val="none" w:sz="0" w:space="0" w:color="auto"/>
              <w:right w:val="none" w:sz="0" w:space="0" w:color="auto"/>
            </w:tcBorders>
            <w:shd w:val="clear" w:color="auto" w:fill="17365D" w:themeFill="text2" w:themeFillShade="BF"/>
          </w:tcPr>
          <w:p w14:paraId="4BAAECF8" w14:textId="77777777" w:rsidR="00364784" w:rsidRPr="00BC7615"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 xml:space="preserve">Dollars </w:t>
            </w:r>
            <w:r w:rsidRPr="00BC7615">
              <w:rPr>
                <w:rFonts w:ascii="Arial" w:eastAsia="Times New Roman" w:hAnsi="Arial" w:cs="Arial"/>
                <w:color w:val="FFFFFF" w:themeColor="background1"/>
                <w:sz w:val="18"/>
                <w:szCs w:val="20"/>
              </w:rPr>
              <w:br/>
              <w:t xml:space="preserve"> vs. 3YA</w:t>
            </w:r>
          </w:p>
        </w:tc>
        <w:tc>
          <w:tcPr>
            <w:tcW w:w="883" w:type="dxa"/>
            <w:tcBorders>
              <w:left w:val="none" w:sz="0" w:space="0" w:color="auto"/>
              <w:right w:val="none" w:sz="0" w:space="0" w:color="auto"/>
            </w:tcBorders>
            <w:shd w:val="clear" w:color="auto" w:fill="17365D" w:themeFill="text2" w:themeFillShade="BF"/>
          </w:tcPr>
          <w:p w14:paraId="7751D4E9" w14:textId="77777777" w:rsidR="00364784" w:rsidRPr="00BC7615"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Units</w:t>
            </w:r>
            <w:r w:rsidRPr="00BC7615">
              <w:rPr>
                <w:rFonts w:ascii="Arial" w:eastAsia="Times New Roman" w:hAnsi="Arial" w:cs="Arial"/>
                <w:color w:val="FFFFFF" w:themeColor="background1"/>
                <w:sz w:val="18"/>
                <w:szCs w:val="20"/>
              </w:rPr>
              <w:br/>
              <w:t xml:space="preserve"> vs. YA</w:t>
            </w:r>
          </w:p>
        </w:tc>
        <w:tc>
          <w:tcPr>
            <w:tcW w:w="882" w:type="dxa"/>
            <w:tcBorders>
              <w:left w:val="none" w:sz="0" w:space="0" w:color="auto"/>
              <w:right w:val="single" w:sz="24" w:space="0" w:color="FFFFFF" w:themeColor="background1"/>
            </w:tcBorders>
            <w:shd w:val="clear" w:color="auto" w:fill="17365D" w:themeFill="text2" w:themeFillShade="BF"/>
          </w:tcPr>
          <w:p w14:paraId="1961E14A" w14:textId="77777777" w:rsidR="00364784" w:rsidRPr="00BC7615" w:rsidRDefault="00364784" w:rsidP="00C52016">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Units vs. 3YA</w:t>
            </w:r>
          </w:p>
        </w:tc>
        <w:tc>
          <w:tcPr>
            <w:tcW w:w="832" w:type="dxa"/>
            <w:tcBorders>
              <w:left w:val="single" w:sz="24" w:space="0" w:color="FFFFFF" w:themeColor="background1"/>
              <w:right w:val="none" w:sz="0" w:space="0" w:color="auto"/>
            </w:tcBorders>
            <w:shd w:val="clear" w:color="auto" w:fill="17365D" w:themeFill="text2" w:themeFillShade="BF"/>
          </w:tcPr>
          <w:p w14:paraId="5B0C840F" w14:textId="77777777" w:rsidR="00364784" w:rsidRPr="00BC7615" w:rsidRDefault="00364784" w:rsidP="00C520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20"/>
              </w:rPr>
            </w:pPr>
            <w:r w:rsidRPr="00BC7615">
              <w:rPr>
                <w:rFonts w:ascii="Arial" w:eastAsia="Times New Roman" w:hAnsi="Arial" w:cs="Arial"/>
                <w:color w:val="FFFFFF" w:themeColor="background1"/>
                <w:sz w:val="18"/>
                <w:szCs w:val="20"/>
              </w:rPr>
              <w:t>Dollars</w:t>
            </w:r>
          </w:p>
          <w:p w14:paraId="0A332BCA" w14:textId="77777777" w:rsidR="00364784" w:rsidRPr="00BC7615" w:rsidRDefault="00364784" w:rsidP="00C52016">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vs. YA</w:t>
            </w:r>
          </w:p>
        </w:tc>
        <w:tc>
          <w:tcPr>
            <w:tcW w:w="934" w:type="dxa"/>
            <w:tcBorders>
              <w:left w:val="none" w:sz="0" w:space="0" w:color="auto"/>
              <w:right w:val="none" w:sz="0" w:space="0" w:color="auto"/>
            </w:tcBorders>
            <w:shd w:val="clear" w:color="auto" w:fill="17365D" w:themeFill="text2" w:themeFillShade="BF"/>
          </w:tcPr>
          <w:p w14:paraId="68238CEB" w14:textId="77777777" w:rsidR="00364784" w:rsidRPr="00BC7615" w:rsidRDefault="00364784" w:rsidP="00C52016">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eastAsia="Times New Roman" w:hAnsi="Arial" w:cs="Arial"/>
                <w:color w:val="FFFFFF" w:themeColor="background1"/>
                <w:sz w:val="18"/>
                <w:szCs w:val="20"/>
              </w:rPr>
              <w:t xml:space="preserve">Dollars </w:t>
            </w:r>
            <w:r w:rsidRPr="00BC7615">
              <w:rPr>
                <w:rFonts w:ascii="Arial" w:eastAsia="Times New Roman" w:hAnsi="Arial" w:cs="Arial"/>
                <w:color w:val="FFFFFF" w:themeColor="background1"/>
                <w:sz w:val="18"/>
                <w:szCs w:val="20"/>
              </w:rPr>
              <w:br/>
              <w:t xml:space="preserve"> vs. 3YA</w:t>
            </w:r>
          </w:p>
        </w:tc>
        <w:tc>
          <w:tcPr>
            <w:tcW w:w="883" w:type="dxa"/>
            <w:tcBorders>
              <w:left w:val="none" w:sz="0" w:space="0" w:color="auto"/>
              <w:right w:val="none" w:sz="0" w:space="0" w:color="auto"/>
            </w:tcBorders>
            <w:shd w:val="clear" w:color="auto" w:fill="17365D" w:themeFill="text2" w:themeFillShade="BF"/>
          </w:tcPr>
          <w:p w14:paraId="36E1F77A" w14:textId="77777777" w:rsidR="00364784" w:rsidRPr="00BC7615" w:rsidRDefault="00364784" w:rsidP="00C52016">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18"/>
              </w:rPr>
            </w:pPr>
            <w:r w:rsidRPr="00BC7615">
              <w:rPr>
                <w:rFonts w:ascii="Arial" w:eastAsia="Times New Roman" w:hAnsi="Arial" w:cs="Arial"/>
                <w:color w:val="FFFFFF" w:themeColor="background1"/>
                <w:sz w:val="18"/>
                <w:szCs w:val="20"/>
              </w:rPr>
              <w:t>Units</w:t>
            </w:r>
            <w:r w:rsidRPr="00BC7615">
              <w:rPr>
                <w:rFonts w:ascii="Arial" w:eastAsia="Times New Roman" w:hAnsi="Arial" w:cs="Arial"/>
                <w:color w:val="FFFFFF" w:themeColor="background1"/>
                <w:sz w:val="18"/>
                <w:szCs w:val="20"/>
              </w:rPr>
              <w:br/>
              <w:t xml:space="preserve"> vs. YA</w:t>
            </w:r>
          </w:p>
        </w:tc>
        <w:tc>
          <w:tcPr>
            <w:tcW w:w="883" w:type="dxa"/>
            <w:tcBorders>
              <w:left w:val="none" w:sz="0" w:space="0" w:color="auto"/>
              <w:right w:val="none" w:sz="0" w:space="0" w:color="auto"/>
            </w:tcBorders>
            <w:shd w:val="clear" w:color="auto" w:fill="17365D" w:themeFill="text2" w:themeFillShade="BF"/>
            <w:vAlign w:val="bottom"/>
          </w:tcPr>
          <w:p w14:paraId="15DFD093" w14:textId="77777777" w:rsidR="00364784" w:rsidRPr="00BC7615" w:rsidRDefault="00364784" w:rsidP="00C52016">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BC7615">
              <w:rPr>
                <w:rFonts w:ascii="Arial" w:hAnsi="Arial" w:cs="Arial"/>
                <w:color w:val="FFFFFF" w:themeColor="background1"/>
                <w:sz w:val="18"/>
                <w:szCs w:val="18"/>
              </w:rPr>
              <w:t>Units vs. 3YA</w:t>
            </w:r>
          </w:p>
        </w:tc>
      </w:tr>
      <w:tr w:rsidR="00364784" w:rsidRPr="00067996" w14:paraId="1C6803C1" w14:textId="77777777" w:rsidTr="00364784">
        <w:trPr>
          <w:trHeight w:val="113"/>
        </w:trPr>
        <w:tc>
          <w:tcPr>
            <w:cnfStyle w:val="001000000000" w:firstRow="0" w:lastRow="0" w:firstColumn="1" w:lastColumn="0" w:oddVBand="0" w:evenVBand="0" w:oddHBand="0" w:evenHBand="0" w:firstRowFirstColumn="0" w:firstRowLastColumn="0" w:lastRowFirstColumn="0" w:lastRowLastColumn="0"/>
            <w:tcW w:w="2225" w:type="dxa"/>
            <w:noWrap/>
          </w:tcPr>
          <w:p w14:paraId="3941F96F" w14:textId="0506FF10" w:rsidR="00364784" w:rsidRPr="00067996" w:rsidRDefault="00364784" w:rsidP="00C52016">
            <w:pPr>
              <w:rPr>
                <w:rFonts w:ascii="Arial" w:eastAsia="Times New Roman" w:hAnsi="Arial" w:cs="Arial"/>
                <w:b w:val="0"/>
                <w:color w:val="215868" w:themeColor="accent5" w:themeShade="80"/>
                <w:sz w:val="18"/>
                <w:szCs w:val="18"/>
              </w:rPr>
            </w:pPr>
            <w:r>
              <w:rPr>
                <w:rFonts w:ascii="Arial" w:eastAsia="Times New Roman" w:hAnsi="Arial" w:cs="Arial"/>
                <w:b w:val="0"/>
                <w:color w:val="215868" w:themeColor="accent5" w:themeShade="80"/>
                <w:sz w:val="18"/>
                <w:szCs w:val="18"/>
              </w:rPr>
              <w:t>Total fresh produce</w:t>
            </w:r>
          </w:p>
        </w:tc>
        <w:tc>
          <w:tcPr>
            <w:tcW w:w="882" w:type="dxa"/>
          </w:tcPr>
          <w:p w14:paraId="330AF356" w14:textId="7539CDA2" w:rsidR="00364784" w:rsidRPr="00067996" w:rsidRDefault="00364784" w:rsidP="00C5201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5.7</w:t>
            </w:r>
            <w:r w:rsidRPr="00067996">
              <w:rPr>
                <w:rFonts w:ascii="Arial" w:eastAsia="Times New Roman" w:hAnsi="Arial" w:cs="Arial"/>
                <w:color w:val="215868" w:themeColor="accent5" w:themeShade="80"/>
                <w:sz w:val="18"/>
                <w:szCs w:val="18"/>
              </w:rPr>
              <w:t>B</w:t>
            </w:r>
          </w:p>
        </w:tc>
        <w:tc>
          <w:tcPr>
            <w:tcW w:w="853" w:type="dxa"/>
            <w:vAlign w:val="bottom"/>
          </w:tcPr>
          <w:p w14:paraId="4626062E" w14:textId="23A67990" w:rsidR="00364784" w:rsidRPr="00067996" w:rsidRDefault="00364784" w:rsidP="00C520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+1.3</w:t>
            </w:r>
            <w:r w:rsidRPr="00067996">
              <w:rPr>
                <w:rFonts w:ascii="Arial" w:hAnsi="Arial" w:cs="Arial"/>
                <w:color w:val="215868" w:themeColor="accent5" w:themeShade="80"/>
                <w:sz w:val="18"/>
                <w:szCs w:val="18"/>
              </w:rPr>
              <w:t>%</w:t>
            </w:r>
          </w:p>
        </w:tc>
        <w:tc>
          <w:tcPr>
            <w:tcW w:w="913" w:type="dxa"/>
            <w:vAlign w:val="bottom"/>
          </w:tcPr>
          <w:p w14:paraId="3BC7E7AE" w14:textId="266CC551" w:rsidR="00364784" w:rsidRDefault="00364784" w:rsidP="00C5201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+18.4</w:t>
            </w:r>
            <w:r w:rsidRPr="00067996">
              <w:rPr>
                <w:rFonts w:ascii="Arial" w:hAnsi="Arial" w:cs="Arial"/>
                <w:color w:val="215868" w:themeColor="accent5" w:themeShade="80"/>
                <w:sz w:val="18"/>
                <w:szCs w:val="18"/>
              </w:rPr>
              <w:t>%</w:t>
            </w:r>
          </w:p>
        </w:tc>
        <w:tc>
          <w:tcPr>
            <w:tcW w:w="883" w:type="dxa"/>
            <w:vAlign w:val="bottom"/>
          </w:tcPr>
          <w:p w14:paraId="7F0FD74C" w14:textId="4723B7CA" w:rsidR="00364784" w:rsidRDefault="00364784" w:rsidP="00C5201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-3.2</w:t>
            </w:r>
            <w:r w:rsidRPr="00067996">
              <w:rPr>
                <w:rFonts w:ascii="Arial" w:hAnsi="Arial" w:cs="Arial"/>
                <w:color w:val="215868" w:themeColor="accent5" w:themeShade="80"/>
                <w:sz w:val="18"/>
                <w:szCs w:val="18"/>
              </w:rPr>
              <w:t>%</w:t>
            </w:r>
          </w:p>
        </w:tc>
        <w:tc>
          <w:tcPr>
            <w:tcW w:w="882" w:type="dxa"/>
            <w:tcBorders>
              <w:right w:val="single" w:sz="24" w:space="0" w:color="FFFFFF" w:themeColor="background1"/>
            </w:tcBorders>
            <w:vAlign w:val="bottom"/>
          </w:tcPr>
          <w:p w14:paraId="1DC37DB1" w14:textId="1A12E9E8" w:rsidR="00364784" w:rsidRDefault="00364784" w:rsidP="00C52016">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+1.3</w:t>
            </w:r>
            <w:r w:rsidRPr="00FB29BD">
              <w:rPr>
                <w:rFonts w:ascii="Arial" w:hAnsi="Arial" w:cs="Arial"/>
                <w:color w:val="215868" w:themeColor="accent5" w:themeShade="80"/>
                <w:sz w:val="18"/>
                <w:szCs w:val="18"/>
              </w:rPr>
              <w:t>%</w:t>
            </w:r>
          </w:p>
        </w:tc>
        <w:tc>
          <w:tcPr>
            <w:tcW w:w="832" w:type="dxa"/>
            <w:tcBorders>
              <w:left w:val="single" w:sz="24" w:space="0" w:color="FFFFFF" w:themeColor="background1"/>
            </w:tcBorders>
            <w:vAlign w:val="bottom"/>
          </w:tcPr>
          <w:p w14:paraId="6FB9A52C" w14:textId="3E36D1DB" w:rsidR="00364784" w:rsidRDefault="00364784" w:rsidP="00C52016">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+4.5</w:t>
            </w:r>
            <w:r w:rsidRPr="00FB29BD">
              <w:rPr>
                <w:rFonts w:ascii="Arial" w:hAnsi="Arial" w:cs="Arial"/>
                <w:color w:val="215868" w:themeColor="accent5" w:themeShade="80"/>
                <w:sz w:val="18"/>
                <w:szCs w:val="18"/>
              </w:rPr>
              <w:t>%</w:t>
            </w:r>
          </w:p>
        </w:tc>
        <w:tc>
          <w:tcPr>
            <w:tcW w:w="934" w:type="dxa"/>
            <w:vAlign w:val="bottom"/>
          </w:tcPr>
          <w:p w14:paraId="400279D4" w14:textId="55E50A09" w:rsidR="00364784" w:rsidRDefault="00364784" w:rsidP="00C52016">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+20.3</w:t>
            </w:r>
            <w:r w:rsidRPr="00FB29BD">
              <w:rPr>
                <w:rFonts w:ascii="Arial" w:hAnsi="Arial" w:cs="Arial"/>
                <w:color w:val="215868" w:themeColor="accent5" w:themeShade="80"/>
                <w:sz w:val="18"/>
                <w:szCs w:val="18"/>
              </w:rPr>
              <w:t>%</w:t>
            </w:r>
          </w:p>
        </w:tc>
        <w:tc>
          <w:tcPr>
            <w:tcW w:w="883" w:type="dxa"/>
            <w:vAlign w:val="bottom"/>
          </w:tcPr>
          <w:p w14:paraId="3A0882C6" w14:textId="17750D3F" w:rsidR="00364784" w:rsidRPr="00067996" w:rsidRDefault="00364784" w:rsidP="00C52016">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-3.4</w:t>
            </w:r>
            <w:r w:rsidRPr="00067996">
              <w:rPr>
                <w:rFonts w:ascii="Arial" w:hAnsi="Arial" w:cs="Arial"/>
                <w:color w:val="215868" w:themeColor="accent5" w:themeShade="80"/>
                <w:sz w:val="18"/>
                <w:szCs w:val="18"/>
              </w:rPr>
              <w:t>%</w:t>
            </w:r>
          </w:p>
        </w:tc>
        <w:tc>
          <w:tcPr>
            <w:tcW w:w="883" w:type="dxa"/>
            <w:vAlign w:val="bottom"/>
          </w:tcPr>
          <w:p w14:paraId="738DA7B7" w14:textId="46DD7719" w:rsidR="00364784" w:rsidRDefault="00364784" w:rsidP="00C52016">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+5.0</w:t>
            </w:r>
            <w:r w:rsidRPr="00FB29BD">
              <w:rPr>
                <w:rFonts w:ascii="Arial" w:hAnsi="Arial" w:cs="Arial"/>
                <w:color w:val="215868" w:themeColor="accent5" w:themeShade="80"/>
                <w:sz w:val="18"/>
                <w:szCs w:val="18"/>
              </w:rPr>
              <w:t>%</w:t>
            </w:r>
          </w:p>
        </w:tc>
      </w:tr>
      <w:tr w:rsidR="00364784" w:rsidRPr="00067996" w14:paraId="00DBC313" w14:textId="77777777" w:rsidTr="00C5201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225" w:type="dxa"/>
            <w:noWrap/>
          </w:tcPr>
          <w:p w14:paraId="5D64C8B8" w14:textId="5E14A167" w:rsidR="00364784" w:rsidRPr="00067996" w:rsidRDefault="00364784" w:rsidP="00364784">
            <w:pPr>
              <w:rPr>
                <w:rFonts w:ascii="Arial" w:eastAsia="Times New Roman" w:hAnsi="Arial" w:cs="Arial"/>
                <w:b w:val="0"/>
                <w:color w:val="215868" w:themeColor="accent5" w:themeShade="80"/>
                <w:sz w:val="18"/>
                <w:szCs w:val="18"/>
              </w:rPr>
            </w:pPr>
            <w:r>
              <w:rPr>
                <w:rFonts w:ascii="Arial" w:eastAsia="Times New Roman" w:hAnsi="Arial" w:cs="Arial"/>
                <w:b w:val="0"/>
                <w:color w:val="215868" w:themeColor="accent5" w:themeShade="80"/>
                <w:sz w:val="18"/>
                <w:szCs w:val="18"/>
              </w:rPr>
              <w:t>Fresh fruit</w:t>
            </w:r>
          </w:p>
        </w:tc>
        <w:tc>
          <w:tcPr>
            <w:tcW w:w="882" w:type="dxa"/>
          </w:tcPr>
          <w:p w14:paraId="7E75313A" w14:textId="79749966" w:rsidR="00364784" w:rsidRPr="00853A40" w:rsidRDefault="00364784" w:rsidP="003647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2.6</w:t>
            </w:r>
            <w:r w:rsidRPr="00067996">
              <w:rPr>
                <w:rFonts w:ascii="Arial" w:eastAsia="Times New Roman" w:hAnsi="Arial" w:cs="Arial"/>
                <w:color w:val="215868" w:themeColor="accent5" w:themeShade="80"/>
                <w:sz w:val="18"/>
                <w:szCs w:val="18"/>
              </w:rPr>
              <w:t>B</w:t>
            </w:r>
          </w:p>
        </w:tc>
        <w:tc>
          <w:tcPr>
            <w:tcW w:w="853" w:type="dxa"/>
            <w:vAlign w:val="bottom"/>
          </w:tcPr>
          <w:p w14:paraId="70EE7DF8" w14:textId="0CFC335B" w:rsidR="00364784" w:rsidRPr="00067996" w:rsidRDefault="00364784" w:rsidP="003647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-1.5</w:t>
            </w:r>
            <w:r w:rsidRPr="00067996">
              <w:rPr>
                <w:rFonts w:ascii="Arial" w:hAnsi="Arial" w:cs="Arial"/>
                <w:color w:val="215868" w:themeColor="accent5" w:themeShade="80"/>
                <w:sz w:val="18"/>
                <w:szCs w:val="18"/>
              </w:rPr>
              <w:t>%</w:t>
            </w:r>
          </w:p>
        </w:tc>
        <w:tc>
          <w:tcPr>
            <w:tcW w:w="913" w:type="dxa"/>
            <w:vAlign w:val="bottom"/>
          </w:tcPr>
          <w:p w14:paraId="086395B3" w14:textId="79E8EED2" w:rsidR="00364784" w:rsidRDefault="00364784" w:rsidP="0036478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+19.6</w:t>
            </w:r>
            <w:r w:rsidRPr="00067996">
              <w:rPr>
                <w:rFonts w:ascii="Arial" w:hAnsi="Arial" w:cs="Arial"/>
                <w:color w:val="215868" w:themeColor="accent5" w:themeShade="80"/>
                <w:sz w:val="18"/>
                <w:szCs w:val="18"/>
              </w:rPr>
              <w:t>%</w:t>
            </w:r>
          </w:p>
        </w:tc>
        <w:tc>
          <w:tcPr>
            <w:tcW w:w="883" w:type="dxa"/>
            <w:vAlign w:val="bottom"/>
          </w:tcPr>
          <w:p w14:paraId="6F729837" w14:textId="4E761C78" w:rsidR="00364784" w:rsidRDefault="00364784" w:rsidP="0036478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-1.4</w:t>
            </w:r>
            <w:r w:rsidRPr="00067996">
              <w:rPr>
                <w:rFonts w:ascii="Arial" w:hAnsi="Arial" w:cs="Arial"/>
                <w:color w:val="215868" w:themeColor="accent5" w:themeShade="80"/>
                <w:sz w:val="18"/>
                <w:szCs w:val="18"/>
              </w:rPr>
              <w:t>%</w:t>
            </w:r>
          </w:p>
        </w:tc>
        <w:tc>
          <w:tcPr>
            <w:tcW w:w="882" w:type="dxa"/>
            <w:tcBorders>
              <w:right w:val="single" w:sz="24" w:space="0" w:color="FFFFFF" w:themeColor="background1"/>
            </w:tcBorders>
            <w:vAlign w:val="bottom"/>
          </w:tcPr>
          <w:p w14:paraId="1A466BEC" w14:textId="3C63E67F" w:rsidR="00364784" w:rsidRDefault="00364784" w:rsidP="00364784">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+2.3</w:t>
            </w:r>
            <w:r w:rsidRPr="00FB29BD">
              <w:rPr>
                <w:rFonts w:ascii="Arial" w:hAnsi="Arial" w:cs="Arial"/>
                <w:color w:val="215868" w:themeColor="accent5" w:themeShade="80"/>
                <w:sz w:val="18"/>
                <w:szCs w:val="18"/>
              </w:rPr>
              <w:t>%</w:t>
            </w:r>
          </w:p>
        </w:tc>
        <w:tc>
          <w:tcPr>
            <w:tcW w:w="832" w:type="dxa"/>
            <w:tcBorders>
              <w:left w:val="single" w:sz="24" w:space="0" w:color="FFFFFF" w:themeColor="background1"/>
            </w:tcBorders>
            <w:vAlign w:val="bottom"/>
          </w:tcPr>
          <w:p w14:paraId="1AA6EC9E" w14:textId="7EC1D6F8" w:rsidR="00364784" w:rsidRDefault="00364784" w:rsidP="00364784">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+4.7</w:t>
            </w:r>
            <w:r w:rsidRPr="00FB29BD">
              <w:rPr>
                <w:rFonts w:ascii="Arial" w:hAnsi="Arial" w:cs="Arial"/>
                <w:color w:val="215868" w:themeColor="accent5" w:themeShade="80"/>
                <w:sz w:val="18"/>
                <w:szCs w:val="18"/>
              </w:rPr>
              <w:t>%</w:t>
            </w:r>
          </w:p>
        </w:tc>
        <w:tc>
          <w:tcPr>
            <w:tcW w:w="934" w:type="dxa"/>
            <w:vAlign w:val="bottom"/>
          </w:tcPr>
          <w:p w14:paraId="10D01F80" w14:textId="6A9DAAD3" w:rsidR="00364784" w:rsidRDefault="00364784" w:rsidP="00364784">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+22.4</w:t>
            </w:r>
            <w:r w:rsidRPr="00FB29BD">
              <w:rPr>
                <w:rFonts w:ascii="Arial" w:hAnsi="Arial" w:cs="Arial"/>
                <w:color w:val="215868" w:themeColor="accent5" w:themeShade="80"/>
                <w:sz w:val="18"/>
                <w:szCs w:val="18"/>
              </w:rPr>
              <w:t>%</w:t>
            </w:r>
          </w:p>
        </w:tc>
        <w:tc>
          <w:tcPr>
            <w:tcW w:w="883" w:type="dxa"/>
            <w:vAlign w:val="bottom"/>
          </w:tcPr>
          <w:p w14:paraId="1B552A86" w14:textId="0071F37A" w:rsidR="00364784" w:rsidRPr="00067996" w:rsidRDefault="00364784" w:rsidP="00364784">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-2.2</w:t>
            </w:r>
            <w:r w:rsidRPr="00067996">
              <w:rPr>
                <w:rFonts w:ascii="Arial" w:hAnsi="Arial" w:cs="Arial"/>
                <w:color w:val="215868" w:themeColor="accent5" w:themeShade="80"/>
                <w:sz w:val="18"/>
                <w:szCs w:val="18"/>
              </w:rPr>
              <w:t>%</w:t>
            </w:r>
          </w:p>
        </w:tc>
        <w:tc>
          <w:tcPr>
            <w:tcW w:w="883" w:type="dxa"/>
            <w:vAlign w:val="bottom"/>
          </w:tcPr>
          <w:p w14:paraId="2D4D12EC" w14:textId="6EAA7111" w:rsidR="00364784" w:rsidRDefault="00364784" w:rsidP="00364784">
            <w:pPr>
              <w:tabs>
                <w:tab w:val="left" w:pos="699"/>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+7.0</w:t>
            </w:r>
            <w:r w:rsidRPr="00FB29BD">
              <w:rPr>
                <w:rFonts w:ascii="Arial" w:hAnsi="Arial" w:cs="Arial"/>
                <w:color w:val="215868" w:themeColor="accent5" w:themeShade="80"/>
                <w:sz w:val="18"/>
                <w:szCs w:val="18"/>
              </w:rPr>
              <w:t>%</w:t>
            </w:r>
          </w:p>
        </w:tc>
      </w:tr>
      <w:tr w:rsidR="00364784" w:rsidRPr="00067996" w14:paraId="77460B0F" w14:textId="77777777" w:rsidTr="00D76FD5">
        <w:trPr>
          <w:trHeight w:val="113"/>
        </w:trPr>
        <w:tc>
          <w:tcPr>
            <w:cnfStyle w:val="001000000000" w:firstRow="0" w:lastRow="0" w:firstColumn="1" w:lastColumn="0" w:oddVBand="0" w:evenVBand="0" w:oddHBand="0" w:evenHBand="0" w:firstRowFirstColumn="0" w:firstRowLastColumn="0" w:lastRowFirstColumn="0" w:lastRowLastColumn="0"/>
            <w:tcW w:w="2225" w:type="dxa"/>
            <w:noWrap/>
            <w:vAlign w:val="center"/>
          </w:tcPr>
          <w:p w14:paraId="09D7737E" w14:textId="1902D31C" w:rsidR="00364784" w:rsidRPr="00067996" w:rsidRDefault="00364784" w:rsidP="00364784">
            <w:pPr>
              <w:rPr>
                <w:rFonts w:ascii="Arial" w:eastAsia="Times New Roman" w:hAnsi="Arial" w:cs="Arial"/>
                <w:b w:val="0"/>
                <w:bCs w:val="0"/>
                <w:color w:val="215868" w:themeColor="accent5" w:themeShade="80"/>
                <w:sz w:val="18"/>
                <w:szCs w:val="18"/>
              </w:rPr>
            </w:pPr>
            <w:r>
              <w:rPr>
                <w:rFonts w:ascii="Arial" w:eastAsia="Times New Roman" w:hAnsi="Arial" w:cs="Arial"/>
                <w:b w:val="0"/>
                <w:bCs w:val="0"/>
                <w:color w:val="215868" w:themeColor="accent5" w:themeShade="80"/>
                <w:sz w:val="18"/>
                <w:szCs w:val="18"/>
              </w:rPr>
              <w:t>Fresh vegetables</w:t>
            </w:r>
          </w:p>
        </w:tc>
        <w:tc>
          <w:tcPr>
            <w:tcW w:w="882" w:type="dxa"/>
          </w:tcPr>
          <w:p w14:paraId="2976561C" w14:textId="394ED0F3" w:rsidR="00364784" w:rsidRPr="00067996" w:rsidRDefault="00364784" w:rsidP="0036478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3.0</w:t>
            </w:r>
            <w:r w:rsidRPr="00067996">
              <w:rPr>
                <w:rFonts w:ascii="Arial" w:eastAsia="Times New Roman" w:hAnsi="Arial" w:cs="Arial"/>
                <w:color w:val="215868" w:themeColor="accent5" w:themeShade="80"/>
                <w:sz w:val="18"/>
                <w:szCs w:val="18"/>
              </w:rPr>
              <w:t>B</w:t>
            </w:r>
          </w:p>
        </w:tc>
        <w:tc>
          <w:tcPr>
            <w:tcW w:w="853" w:type="dxa"/>
            <w:vAlign w:val="bottom"/>
          </w:tcPr>
          <w:p w14:paraId="3BD22B07" w14:textId="53780445" w:rsidR="00364784" w:rsidRPr="00067996" w:rsidRDefault="00364784" w:rsidP="0036478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+3.7</w:t>
            </w:r>
            <w:r w:rsidRPr="00067996">
              <w:rPr>
                <w:rFonts w:ascii="Arial" w:hAnsi="Arial" w:cs="Arial"/>
                <w:color w:val="215868" w:themeColor="accent5" w:themeShade="80"/>
                <w:sz w:val="18"/>
                <w:szCs w:val="18"/>
              </w:rPr>
              <w:t>%</w:t>
            </w:r>
          </w:p>
        </w:tc>
        <w:tc>
          <w:tcPr>
            <w:tcW w:w="913" w:type="dxa"/>
            <w:vAlign w:val="bottom"/>
          </w:tcPr>
          <w:p w14:paraId="08C98C3E" w14:textId="66EC9146" w:rsidR="00364784" w:rsidRDefault="00364784" w:rsidP="0036478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+17.6</w:t>
            </w:r>
            <w:r w:rsidRPr="00067996">
              <w:rPr>
                <w:rFonts w:ascii="Arial" w:hAnsi="Arial" w:cs="Arial"/>
                <w:color w:val="215868" w:themeColor="accent5" w:themeShade="80"/>
                <w:sz w:val="18"/>
                <w:szCs w:val="18"/>
              </w:rPr>
              <w:t>%</w:t>
            </w:r>
          </w:p>
        </w:tc>
        <w:tc>
          <w:tcPr>
            <w:tcW w:w="883" w:type="dxa"/>
            <w:vAlign w:val="bottom"/>
          </w:tcPr>
          <w:p w14:paraId="3715D67A" w14:textId="5B56D0F8" w:rsidR="00364784" w:rsidRDefault="00364784" w:rsidP="0036478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-4.6</w:t>
            </w:r>
            <w:r w:rsidRPr="00067996">
              <w:rPr>
                <w:rFonts w:ascii="Arial" w:hAnsi="Arial" w:cs="Arial"/>
                <w:color w:val="215868" w:themeColor="accent5" w:themeShade="80"/>
                <w:sz w:val="18"/>
                <w:szCs w:val="18"/>
              </w:rPr>
              <w:t>%</w:t>
            </w:r>
          </w:p>
        </w:tc>
        <w:tc>
          <w:tcPr>
            <w:tcW w:w="882" w:type="dxa"/>
            <w:tcBorders>
              <w:right w:val="single" w:sz="24" w:space="0" w:color="FFFFFF" w:themeColor="background1"/>
            </w:tcBorders>
            <w:vAlign w:val="bottom"/>
          </w:tcPr>
          <w:p w14:paraId="5BD1E9C0" w14:textId="3A87F5D8" w:rsidR="00364784" w:rsidRDefault="00364784" w:rsidP="00364784">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+0.6</w:t>
            </w:r>
            <w:r w:rsidRPr="00FB29BD">
              <w:rPr>
                <w:rFonts w:ascii="Arial" w:hAnsi="Arial" w:cs="Arial"/>
                <w:color w:val="215868" w:themeColor="accent5" w:themeShade="80"/>
                <w:sz w:val="18"/>
                <w:szCs w:val="18"/>
              </w:rPr>
              <w:t>%</w:t>
            </w:r>
          </w:p>
        </w:tc>
        <w:tc>
          <w:tcPr>
            <w:tcW w:w="832" w:type="dxa"/>
            <w:tcBorders>
              <w:left w:val="single" w:sz="24" w:space="0" w:color="FFFFFF" w:themeColor="background1"/>
            </w:tcBorders>
            <w:vAlign w:val="bottom"/>
          </w:tcPr>
          <w:p w14:paraId="1F014604" w14:textId="038240A8" w:rsidR="00364784" w:rsidRDefault="00364784" w:rsidP="00364784">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+4.3</w:t>
            </w:r>
            <w:r w:rsidRPr="00FB29BD">
              <w:rPr>
                <w:rFonts w:ascii="Arial" w:hAnsi="Arial" w:cs="Arial"/>
                <w:color w:val="215868" w:themeColor="accent5" w:themeShade="80"/>
                <w:sz w:val="18"/>
                <w:szCs w:val="18"/>
              </w:rPr>
              <w:t>%</w:t>
            </w:r>
          </w:p>
        </w:tc>
        <w:tc>
          <w:tcPr>
            <w:tcW w:w="934" w:type="dxa"/>
            <w:vAlign w:val="bottom"/>
          </w:tcPr>
          <w:p w14:paraId="0EE7C413" w14:textId="567ECE7D" w:rsidR="00364784" w:rsidRDefault="00364784" w:rsidP="00364784">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+18.4</w:t>
            </w:r>
            <w:r w:rsidRPr="00FB29BD">
              <w:rPr>
                <w:rFonts w:ascii="Arial" w:hAnsi="Arial" w:cs="Arial"/>
                <w:color w:val="215868" w:themeColor="accent5" w:themeShade="80"/>
                <w:sz w:val="18"/>
                <w:szCs w:val="18"/>
              </w:rPr>
              <w:t>%</w:t>
            </w:r>
          </w:p>
        </w:tc>
        <w:tc>
          <w:tcPr>
            <w:tcW w:w="883" w:type="dxa"/>
            <w:vAlign w:val="bottom"/>
          </w:tcPr>
          <w:p w14:paraId="6C59BE5A" w14:textId="55943CDB" w:rsidR="00364784" w:rsidRPr="00067996" w:rsidRDefault="00364784" w:rsidP="00364784">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-4.4</w:t>
            </w:r>
            <w:r w:rsidRPr="00067996">
              <w:rPr>
                <w:rFonts w:ascii="Arial" w:hAnsi="Arial" w:cs="Arial"/>
                <w:color w:val="215868" w:themeColor="accent5" w:themeShade="80"/>
                <w:sz w:val="18"/>
                <w:szCs w:val="18"/>
              </w:rPr>
              <w:t>%</w:t>
            </w:r>
          </w:p>
        </w:tc>
        <w:tc>
          <w:tcPr>
            <w:tcW w:w="883" w:type="dxa"/>
            <w:vAlign w:val="bottom"/>
          </w:tcPr>
          <w:p w14:paraId="49E87E67" w14:textId="048867E4" w:rsidR="00364784" w:rsidRDefault="00364784" w:rsidP="00364784">
            <w:pPr>
              <w:tabs>
                <w:tab w:val="left" w:pos="699"/>
              </w:tabs>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+3.5</w:t>
            </w:r>
            <w:r w:rsidRPr="00FB29BD">
              <w:rPr>
                <w:rFonts w:ascii="Arial" w:hAnsi="Arial" w:cs="Arial"/>
                <w:color w:val="215868" w:themeColor="accent5" w:themeShade="80"/>
                <w:sz w:val="18"/>
                <w:szCs w:val="18"/>
              </w:rPr>
              <w:t>%</w:t>
            </w:r>
          </w:p>
        </w:tc>
      </w:tr>
    </w:tbl>
    <w:p w14:paraId="76F803AD" w14:textId="77777777" w:rsidR="00E97D52" w:rsidRPr="00B64ECF" w:rsidRDefault="00E97D52" w:rsidP="00E97D52">
      <w:pPr>
        <w:pStyle w:val="NoSpacing"/>
        <w:rPr>
          <w:rFonts w:ascii="Arial" w:hAnsi="Arial" w:cs="Arial"/>
          <w:sz w:val="12"/>
          <w:szCs w:val="16"/>
        </w:rPr>
      </w:pPr>
    </w:p>
    <w:p w14:paraId="7B8E71ED" w14:textId="39D7F5F7" w:rsidR="0053257C" w:rsidRDefault="00E97D52" w:rsidP="002D178D">
      <w:pPr>
        <w:pStyle w:val="NoSpacing"/>
        <w:rPr>
          <w:rFonts w:ascii="Arial" w:hAnsi="Arial" w:cs="Arial"/>
          <w:sz w:val="16"/>
          <w:szCs w:val="16"/>
        </w:rPr>
      </w:pPr>
      <w:r w:rsidRPr="005C6A11">
        <w:rPr>
          <w:rFonts w:ascii="Arial" w:hAnsi="Arial" w:cs="Arial"/>
          <w:sz w:val="16"/>
          <w:szCs w:val="16"/>
        </w:rPr>
        <w:t xml:space="preserve">Source: IRI, </w:t>
      </w:r>
      <w:r>
        <w:rPr>
          <w:rFonts w:ascii="Arial" w:hAnsi="Arial" w:cs="Arial"/>
          <w:sz w:val="16"/>
          <w:szCs w:val="16"/>
        </w:rPr>
        <w:t xml:space="preserve">Integrated Fresh, Total </w:t>
      </w:r>
      <w:r w:rsidRPr="005C6A11">
        <w:rPr>
          <w:rFonts w:ascii="Arial" w:hAnsi="Arial" w:cs="Arial"/>
          <w:sz w:val="16"/>
          <w:szCs w:val="16"/>
        </w:rPr>
        <w:t>US, MULO, % change vs. year ago.</w:t>
      </w:r>
    </w:p>
    <w:p w14:paraId="20EC010E" w14:textId="77777777" w:rsidR="008E0FB8" w:rsidRPr="00C227BA" w:rsidRDefault="008E0FB8" w:rsidP="002D178D">
      <w:pPr>
        <w:pStyle w:val="NoSpacing"/>
        <w:rPr>
          <w:rFonts w:ascii="Arial" w:hAnsi="Arial" w:cs="Arial"/>
          <w:color w:val="595959" w:themeColor="text1" w:themeTint="A6"/>
          <w:sz w:val="24"/>
        </w:rPr>
      </w:pPr>
    </w:p>
    <w:tbl>
      <w:tblPr>
        <w:tblStyle w:val="LightShading-Accent5"/>
        <w:tblpPr w:leftFromText="180" w:rightFromText="180" w:vertAnchor="text" w:horzAnchor="margin" w:tblpXSpec="right" w:tblpY="143"/>
        <w:tblOverlap w:val="never"/>
        <w:tblW w:w="5701" w:type="dxa"/>
        <w:tblBorders>
          <w:top w:val="none" w:sz="0" w:space="0" w:color="auto"/>
          <w:bottom w:val="none" w:sz="0" w:space="0" w:color="auto"/>
        </w:tblBorders>
        <w:tblLook w:val="04A0" w:firstRow="1" w:lastRow="0" w:firstColumn="1" w:lastColumn="0" w:noHBand="0" w:noVBand="1"/>
      </w:tblPr>
      <w:tblGrid>
        <w:gridCol w:w="1843"/>
        <w:gridCol w:w="1276"/>
        <w:gridCol w:w="1291"/>
        <w:gridCol w:w="1291"/>
      </w:tblGrid>
      <w:tr w:rsidR="00545DC5" w:rsidRPr="00DE633B" w14:paraId="405E707F" w14:textId="77777777" w:rsidTr="00545DC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1EF140AF" w14:textId="77777777" w:rsidR="00545DC5" w:rsidRPr="00DE633B" w:rsidRDefault="00545DC5" w:rsidP="00545DC5">
            <w:pPr>
              <w:rPr>
                <w:rFonts w:ascii="Arial" w:hAnsi="Arial" w:cs="Arial"/>
                <w:color w:val="FFFFFF" w:themeColor="background1"/>
                <w:sz w:val="18"/>
                <w:szCs w:val="20"/>
              </w:rPr>
            </w:pPr>
            <w:r>
              <w:rPr>
                <w:rFonts w:ascii="Arial" w:hAnsi="Arial" w:cs="Arial"/>
                <w:color w:val="FFFFFF" w:themeColor="background1"/>
                <w:sz w:val="18"/>
                <w:szCs w:val="20"/>
              </w:rPr>
              <w:t xml:space="preserve">Produce </w:t>
            </w:r>
            <w:r w:rsidRPr="00DE633B">
              <w:rPr>
                <w:rFonts w:ascii="Arial" w:hAnsi="Arial" w:cs="Arial"/>
                <w:color w:val="FFFFFF" w:themeColor="background1"/>
                <w:sz w:val="18"/>
                <w:szCs w:val="20"/>
              </w:rPr>
              <w:t>department</w:t>
            </w:r>
          </w:p>
        </w:tc>
        <w:tc>
          <w:tcPr>
            <w:tcW w:w="1276"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84B463A" w14:textId="77777777" w:rsidR="00545DC5" w:rsidRPr="00DE633B"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DE633B">
              <w:rPr>
                <w:rFonts w:ascii="Arial" w:hAnsi="Arial" w:cs="Arial"/>
                <w:color w:val="FFFFFF" w:themeColor="background1"/>
                <w:sz w:val="18"/>
                <w:szCs w:val="20"/>
              </w:rPr>
              <w:t xml:space="preserve">Dollar </w:t>
            </w:r>
            <w:r>
              <w:rPr>
                <w:rFonts w:ascii="Arial" w:hAnsi="Arial" w:cs="Arial"/>
                <w:color w:val="FFFFFF" w:themeColor="background1"/>
                <w:sz w:val="18"/>
                <w:szCs w:val="20"/>
              </w:rPr>
              <w:br/>
            </w:r>
            <w:r w:rsidRPr="00DE633B">
              <w:rPr>
                <w:rFonts w:ascii="Arial" w:hAnsi="Arial" w:cs="Arial"/>
                <w:color w:val="FFFFFF" w:themeColor="background1"/>
                <w:sz w:val="18"/>
                <w:szCs w:val="20"/>
              </w:rPr>
              <w:t>sales</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6AD1F1F0" w14:textId="77777777" w:rsidR="00545DC5"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r>
              <w:rPr>
                <w:rFonts w:ascii="Arial" w:hAnsi="Arial" w:cs="Arial"/>
                <w:color w:val="FFFFFF" w:themeColor="background1"/>
                <w:sz w:val="18"/>
                <w:szCs w:val="20"/>
              </w:rPr>
              <w:t xml:space="preserve">$ </w:t>
            </w:r>
          </w:p>
          <w:p w14:paraId="133B8059" w14:textId="77777777" w:rsidR="00545DC5" w:rsidRPr="00DE633B"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vs. YA</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6CB7890E" w14:textId="77777777" w:rsidR="00545DC5"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r>
              <w:rPr>
                <w:rFonts w:ascii="Arial" w:hAnsi="Arial" w:cs="Arial"/>
                <w:color w:val="FFFFFF" w:themeColor="background1"/>
                <w:sz w:val="18"/>
                <w:szCs w:val="20"/>
              </w:rPr>
              <w:t xml:space="preserve">lbs </w:t>
            </w:r>
          </w:p>
          <w:p w14:paraId="5811DD2A" w14:textId="77777777" w:rsidR="00545DC5" w:rsidRPr="00DE633B" w:rsidRDefault="00545DC5" w:rsidP="00545DC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vs. YA</w:t>
            </w:r>
          </w:p>
        </w:tc>
      </w:tr>
      <w:tr w:rsidR="00ED603C" w:rsidRPr="00361BCC" w14:paraId="0BDAE573" w14:textId="77777777" w:rsidTr="00BB309A">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020E829F" w14:textId="21304073" w:rsidR="00ED603C" w:rsidRPr="00ED603C" w:rsidRDefault="00ED603C" w:rsidP="00ED603C">
            <w:pPr>
              <w:pStyle w:val="NoSpacing"/>
              <w:rPr>
                <w:rFonts w:ascii="Arial" w:hAnsi="Arial" w:cs="Arial"/>
                <w:color w:val="215868" w:themeColor="accent5" w:themeShade="80"/>
                <w:sz w:val="18"/>
                <w:szCs w:val="18"/>
              </w:rPr>
            </w:pPr>
            <w:r w:rsidRPr="00ED603C">
              <w:rPr>
                <w:rFonts w:ascii="Arial" w:hAnsi="Arial" w:cs="Arial"/>
                <w:color w:val="215868" w:themeColor="accent5" w:themeShade="80"/>
                <w:sz w:val="18"/>
                <w:szCs w:val="18"/>
              </w:rPr>
              <w:t>January 2023</w:t>
            </w:r>
          </w:p>
        </w:tc>
        <w:tc>
          <w:tcPr>
            <w:tcW w:w="1276" w:type="dxa"/>
            <w:tcBorders>
              <w:left w:val="none" w:sz="0" w:space="0" w:color="auto"/>
              <w:right w:val="none" w:sz="0" w:space="0" w:color="auto"/>
            </w:tcBorders>
            <w:vAlign w:val="bottom"/>
          </w:tcPr>
          <w:p w14:paraId="01B5B002" w14:textId="0F1F7164" w:rsidR="00ED603C" w:rsidRPr="00ED603C" w:rsidRDefault="00ED603C" w:rsidP="00ED603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sidRPr="00ED603C">
              <w:rPr>
                <w:rFonts w:ascii="Arial" w:hAnsi="Arial" w:cs="Arial"/>
                <w:color w:val="215868" w:themeColor="accent5" w:themeShade="80"/>
                <w:sz w:val="18"/>
                <w:szCs w:val="18"/>
              </w:rPr>
              <w:t>$</w:t>
            </w:r>
            <w:r w:rsidR="00DF3122">
              <w:rPr>
                <w:rFonts w:ascii="Arial" w:hAnsi="Arial" w:cs="Arial"/>
                <w:color w:val="215868" w:themeColor="accent5" w:themeShade="80"/>
                <w:sz w:val="18"/>
                <w:szCs w:val="18"/>
              </w:rPr>
              <w:t>5.695</w:t>
            </w:r>
            <w:r w:rsidRPr="00ED603C">
              <w:rPr>
                <w:rFonts w:ascii="Arial" w:hAnsi="Arial" w:cs="Arial"/>
                <w:color w:val="215868" w:themeColor="accent5" w:themeShade="80"/>
                <w:sz w:val="18"/>
                <w:szCs w:val="18"/>
              </w:rPr>
              <w:t>B</w:t>
            </w:r>
          </w:p>
        </w:tc>
        <w:tc>
          <w:tcPr>
            <w:tcW w:w="1291" w:type="dxa"/>
            <w:tcBorders>
              <w:left w:val="none" w:sz="0" w:space="0" w:color="auto"/>
              <w:right w:val="none" w:sz="0" w:space="0" w:color="auto"/>
            </w:tcBorders>
            <w:vAlign w:val="bottom"/>
          </w:tcPr>
          <w:p w14:paraId="322DF095" w14:textId="5829E9DF" w:rsidR="00ED603C" w:rsidRPr="00ED603C" w:rsidRDefault="00ED603C" w:rsidP="00ED603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sidRPr="00ED603C">
              <w:rPr>
                <w:rFonts w:ascii="Arial" w:hAnsi="Arial" w:cs="Arial"/>
                <w:color w:val="215868" w:themeColor="accent5" w:themeShade="80"/>
                <w:sz w:val="18"/>
                <w:szCs w:val="18"/>
              </w:rPr>
              <w:t>+</w:t>
            </w:r>
            <w:r w:rsidR="00DF3122">
              <w:rPr>
                <w:rFonts w:ascii="Arial" w:hAnsi="Arial" w:cs="Arial"/>
                <w:color w:val="215868" w:themeColor="accent5" w:themeShade="80"/>
                <w:sz w:val="18"/>
                <w:szCs w:val="18"/>
              </w:rPr>
              <w:t>1.3</w:t>
            </w:r>
            <w:r w:rsidRPr="00ED603C">
              <w:rPr>
                <w:rFonts w:ascii="Arial" w:hAnsi="Arial" w:cs="Arial"/>
                <w:color w:val="215868" w:themeColor="accent5" w:themeShade="80"/>
                <w:sz w:val="18"/>
                <w:szCs w:val="18"/>
              </w:rPr>
              <w:t>%</w:t>
            </w:r>
          </w:p>
        </w:tc>
        <w:tc>
          <w:tcPr>
            <w:tcW w:w="1291" w:type="dxa"/>
            <w:tcBorders>
              <w:left w:val="none" w:sz="0" w:space="0" w:color="auto"/>
              <w:right w:val="none" w:sz="0" w:space="0" w:color="auto"/>
            </w:tcBorders>
            <w:vAlign w:val="bottom"/>
          </w:tcPr>
          <w:p w14:paraId="277342EA" w14:textId="135BCE26" w:rsidR="00ED603C" w:rsidRPr="00ED603C" w:rsidRDefault="00ED603C" w:rsidP="00ED603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color w:val="215868" w:themeColor="accent5" w:themeShade="80"/>
                <w:sz w:val="18"/>
                <w:szCs w:val="18"/>
              </w:rPr>
              <w:t>-</w:t>
            </w:r>
            <w:r w:rsidR="00DF3122">
              <w:rPr>
                <w:rFonts w:ascii="Arial" w:hAnsi="Arial" w:cs="Arial"/>
                <w:color w:val="215868" w:themeColor="accent5" w:themeShade="80"/>
                <w:sz w:val="18"/>
                <w:szCs w:val="18"/>
              </w:rPr>
              <w:t>4.1</w:t>
            </w:r>
            <w:r w:rsidRPr="00ED603C">
              <w:rPr>
                <w:rFonts w:ascii="Arial" w:hAnsi="Arial" w:cs="Arial"/>
                <w:color w:val="215868" w:themeColor="accent5" w:themeShade="80"/>
                <w:sz w:val="18"/>
                <w:szCs w:val="18"/>
              </w:rPr>
              <w:t>%</w:t>
            </w:r>
          </w:p>
        </w:tc>
      </w:tr>
      <w:tr w:rsidR="00DF3122" w:rsidRPr="00E736B9" w14:paraId="0C6B555F" w14:textId="77777777" w:rsidTr="00BB309A">
        <w:trPr>
          <w:trHeight w:val="158"/>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789929E" w14:textId="583038A4" w:rsidR="00DF3122" w:rsidRPr="00ED603C" w:rsidRDefault="00DF3122" w:rsidP="00DF3122">
            <w:pPr>
              <w:rPr>
                <w:color w:val="215868" w:themeColor="accent5" w:themeShade="80"/>
              </w:rPr>
            </w:pPr>
            <w:r w:rsidRPr="00ED603C">
              <w:rPr>
                <w:rFonts w:ascii="Arial" w:hAnsi="Arial" w:cs="Arial"/>
                <w:b w:val="0"/>
                <w:color w:val="215868" w:themeColor="accent5" w:themeShade="80"/>
                <w:sz w:val="18"/>
                <w:szCs w:val="18"/>
              </w:rPr>
              <w:t>w.e. 1/8/2023</w:t>
            </w:r>
          </w:p>
        </w:tc>
        <w:tc>
          <w:tcPr>
            <w:tcW w:w="1276" w:type="dxa"/>
            <w:vAlign w:val="bottom"/>
          </w:tcPr>
          <w:p w14:paraId="53CA9B6D" w14:textId="3BEDADED" w:rsidR="00DF3122" w:rsidRPr="00ED603C" w:rsidRDefault="00DF3122" w:rsidP="00DF312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ED603C">
              <w:rPr>
                <w:rFonts w:ascii="Arial" w:hAnsi="Arial" w:cs="Arial"/>
                <w:color w:val="215868" w:themeColor="accent5" w:themeShade="80"/>
                <w:sz w:val="18"/>
                <w:szCs w:val="18"/>
              </w:rPr>
              <w:t>$</w:t>
            </w:r>
            <w:r>
              <w:rPr>
                <w:rFonts w:ascii="Arial" w:hAnsi="Arial" w:cs="Arial"/>
                <w:color w:val="215868" w:themeColor="accent5" w:themeShade="80"/>
                <w:sz w:val="18"/>
                <w:szCs w:val="18"/>
              </w:rPr>
              <w:t>1.420</w:t>
            </w:r>
            <w:r w:rsidRPr="00ED603C">
              <w:rPr>
                <w:rFonts w:ascii="Arial" w:hAnsi="Arial" w:cs="Arial"/>
                <w:color w:val="215868" w:themeColor="accent5" w:themeShade="80"/>
                <w:sz w:val="18"/>
                <w:szCs w:val="18"/>
              </w:rPr>
              <w:t>B</w:t>
            </w:r>
          </w:p>
        </w:tc>
        <w:tc>
          <w:tcPr>
            <w:tcW w:w="1291" w:type="dxa"/>
            <w:vAlign w:val="bottom"/>
          </w:tcPr>
          <w:p w14:paraId="1EB9913F" w14:textId="2235FFEF" w:rsidR="00DF3122" w:rsidRPr="00ED603C" w:rsidRDefault="00DF3122" w:rsidP="00DF312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ED603C">
              <w:rPr>
                <w:rFonts w:ascii="Arial" w:hAnsi="Arial" w:cs="Arial"/>
                <w:color w:val="215868" w:themeColor="accent5" w:themeShade="80"/>
                <w:sz w:val="18"/>
                <w:szCs w:val="18"/>
              </w:rPr>
              <w:t>+</w:t>
            </w:r>
            <w:r>
              <w:rPr>
                <w:rFonts w:ascii="Arial" w:hAnsi="Arial" w:cs="Arial"/>
                <w:color w:val="215868" w:themeColor="accent5" w:themeShade="80"/>
                <w:sz w:val="18"/>
                <w:szCs w:val="18"/>
              </w:rPr>
              <w:t>2.2</w:t>
            </w:r>
            <w:r w:rsidRPr="00ED603C">
              <w:rPr>
                <w:rFonts w:ascii="Arial" w:hAnsi="Arial" w:cs="Arial"/>
                <w:color w:val="215868" w:themeColor="accent5" w:themeShade="80"/>
                <w:sz w:val="18"/>
                <w:szCs w:val="18"/>
              </w:rPr>
              <w:t>%</w:t>
            </w:r>
          </w:p>
        </w:tc>
        <w:tc>
          <w:tcPr>
            <w:tcW w:w="1291" w:type="dxa"/>
            <w:vAlign w:val="bottom"/>
          </w:tcPr>
          <w:p w14:paraId="5005DFE6" w14:textId="324D576A" w:rsidR="00DF3122" w:rsidRPr="00ED603C" w:rsidRDefault="00DF3122" w:rsidP="00DF312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18"/>
              </w:rPr>
              <w:t>-3.2</w:t>
            </w:r>
            <w:r w:rsidRPr="00ED603C">
              <w:rPr>
                <w:rFonts w:ascii="Arial" w:hAnsi="Arial" w:cs="Arial"/>
                <w:color w:val="215868" w:themeColor="accent5" w:themeShade="80"/>
                <w:sz w:val="18"/>
                <w:szCs w:val="18"/>
              </w:rPr>
              <w:t>%</w:t>
            </w:r>
          </w:p>
        </w:tc>
      </w:tr>
      <w:tr w:rsidR="00DF3122" w:rsidRPr="00E736B9" w14:paraId="5D8AA84A" w14:textId="77777777" w:rsidTr="00BB309A">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CB6D6AF" w14:textId="2761D12A" w:rsidR="00DF3122" w:rsidRPr="00ED603C" w:rsidRDefault="00DF3122" w:rsidP="00DF3122">
            <w:pPr>
              <w:rPr>
                <w:color w:val="215868" w:themeColor="accent5" w:themeShade="80"/>
              </w:rPr>
            </w:pPr>
            <w:r w:rsidRPr="00ED603C">
              <w:rPr>
                <w:rFonts w:ascii="Arial" w:hAnsi="Arial" w:cs="Arial"/>
                <w:b w:val="0"/>
                <w:color w:val="215868" w:themeColor="accent5" w:themeShade="80"/>
                <w:sz w:val="18"/>
                <w:szCs w:val="18"/>
              </w:rPr>
              <w:t>w.e. 1/15/2023</w:t>
            </w:r>
          </w:p>
        </w:tc>
        <w:tc>
          <w:tcPr>
            <w:tcW w:w="1276" w:type="dxa"/>
            <w:vAlign w:val="bottom"/>
          </w:tcPr>
          <w:p w14:paraId="5D56C1C0" w14:textId="47344D18" w:rsidR="00DF3122" w:rsidRPr="00ED603C" w:rsidRDefault="00DF3122" w:rsidP="00DF3122">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ED603C">
              <w:rPr>
                <w:rFonts w:ascii="Arial" w:hAnsi="Arial" w:cs="Arial"/>
                <w:color w:val="215868" w:themeColor="accent5" w:themeShade="80"/>
                <w:sz w:val="18"/>
                <w:szCs w:val="18"/>
              </w:rPr>
              <w:t>$</w:t>
            </w:r>
            <w:r>
              <w:rPr>
                <w:rFonts w:ascii="Arial" w:hAnsi="Arial" w:cs="Arial"/>
                <w:color w:val="215868" w:themeColor="accent5" w:themeShade="80"/>
                <w:sz w:val="18"/>
                <w:szCs w:val="18"/>
              </w:rPr>
              <w:t>1.440</w:t>
            </w:r>
            <w:r w:rsidRPr="00ED603C">
              <w:rPr>
                <w:rFonts w:ascii="Arial" w:hAnsi="Arial" w:cs="Arial"/>
                <w:color w:val="215868" w:themeColor="accent5" w:themeShade="80"/>
                <w:sz w:val="18"/>
                <w:szCs w:val="18"/>
              </w:rPr>
              <w:t>B</w:t>
            </w:r>
          </w:p>
        </w:tc>
        <w:tc>
          <w:tcPr>
            <w:tcW w:w="1291" w:type="dxa"/>
            <w:vAlign w:val="bottom"/>
          </w:tcPr>
          <w:p w14:paraId="6453DC35" w14:textId="431C6122" w:rsidR="00DF3122" w:rsidRPr="00ED603C" w:rsidRDefault="00DF3122" w:rsidP="00DF312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ED603C">
              <w:rPr>
                <w:rFonts w:ascii="Arial" w:hAnsi="Arial" w:cs="Arial"/>
                <w:color w:val="215868" w:themeColor="accent5" w:themeShade="80"/>
                <w:sz w:val="18"/>
                <w:szCs w:val="18"/>
              </w:rPr>
              <w:t>+</w:t>
            </w:r>
            <w:r>
              <w:rPr>
                <w:rFonts w:ascii="Arial" w:hAnsi="Arial" w:cs="Arial"/>
                <w:color w:val="215868" w:themeColor="accent5" w:themeShade="80"/>
                <w:sz w:val="18"/>
                <w:szCs w:val="18"/>
              </w:rPr>
              <w:t>0.0</w:t>
            </w:r>
            <w:r w:rsidRPr="00ED603C">
              <w:rPr>
                <w:rFonts w:ascii="Arial" w:hAnsi="Arial" w:cs="Arial"/>
                <w:color w:val="215868" w:themeColor="accent5" w:themeShade="80"/>
                <w:sz w:val="18"/>
                <w:szCs w:val="18"/>
              </w:rPr>
              <w:t>%</w:t>
            </w:r>
          </w:p>
        </w:tc>
        <w:tc>
          <w:tcPr>
            <w:tcW w:w="1291" w:type="dxa"/>
            <w:vAlign w:val="bottom"/>
          </w:tcPr>
          <w:p w14:paraId="0033C7F5" w14:textId="7A6B7838" w:rsidR="00DF3122" w:rsidRPr="00ED603C" w:rsidRDefault="00DF3122" w:rsidP="00DF312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18"/>
              </w:rPr>
              <w:t>-6.2</w:t>
            </w:r>
            <w:r w:rsidRPr="00ED603C">
              <w:rPr>
                <w:rFonts w:ascii="Arial" w:hAnsi="Arial" w:cs="Arial"/>
                <w:color w:val="215868" w:themeColor="accent5" w:themeShade="80"/>
                <w:sz w:val="18"/>
                <w:szCs w:val="18"/>
              </w:rPr>
              <w:t>%</w:t>
            </w:r>
          </w:p>
        </w:tc>
      </w:tr>
      <w:tr w:rsidR="00DF3122" w:rsidRPr="00E736B9" w14:paraId="1B947347" w14:textId="77777777" w:rsidTr="00BB309A">
        <w:trPr>
          <w:trHeight w:val="6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B67181F" w14:textId="554A980E" w:rsidR="00DF3122" w:rsidRPr="00ED603C" w:rsidRDefault="00DF3122" w:rsidP="00DF3122">
            <w:pPr>
              <w:rPr>
                <w:color w:val="215868" w:themeColor="accent5" w:themeShade="80"/>
              </w:rPr>
            </w:pPr>
            <w:r w:rsidRPr="00ED603C">
              <w:rPr>
                <w:rFonts w:ascii="Arial" w:hAnsi="Arial" w:cs="Arial"/>
                <w:b w:val="0"/>
                <w:color w:val="215868" w:themeColor="accent5" w:themeShade="80"/>
                <w:sz w:val="18"/>
                <w:szCs w:val="18"/>
              </w:rPr>
              <w:t>w.e. 1/22/2023</w:t>
            </w:r>
          </w:p>
        </w:tc>
        <w:tc>
          <w:tcPr>
            <w:tcW w:w="1276" w:type="dxa"/>
            <w:vAlign w:val="bottom"/>
          </w:tcPr>
          <w:p w14:paraId="2D151B14" w14:textId="14D9C40B" w:rsidR="00DF3122" w:rsidRPr="00ED603C" w:rsidRDefault="00DF3122" w:rsidP="00DF3122">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ED603C">
              <w:rPr>
                <w:rFonts w:ascii="Arial" w:hAnsi="Arial" w:cs="Arial"/>
                <w:color w:val="215868" w:themeColor="accent5" w:themeShade="80"/>
                <w:sz w:val="18"/>
                <w:szCs w:val="18"/>
              </w:rPr>
              <w:t>$</w:t>
            </w:r>
            <w:r>
              <w:rPr>
                <w:rFonts w:ascii="Arial" w:hAnsi="Arial" w:cs="Arial"/>
                <w:color w:val="215868" w:themeColor="accent5" w:themeShade="80"/>
                <w:sz w:val="18"/>
                <w:szCs w:val="18"/>
              </w:rPr>
              <w:t>1.431</w:t>
            </w:r>
            <w:r w:rsidRPr="00ED603C">
              <w:rPr>
                <w:rFonts w:ascii="Arial" w:hAnsi="Arial" w:cs="Arial"/>
                <w:color w:val="215868" w:themeColor="accent5" w:themeShade="80"/>
                <w:sz w:val="18"/>
                <w:szCs w:val="18"/>
              </w:rPr>
              <w:t>B</w:t>
            </w:r>
          </w:p>
        </w:tc>
        <w:tc>
          <w:tcPr>
            <w:tcW w:w="1291" w:type="dxa"/>
            <w:vAlign w:val="bottom"/>
          </w:tcPr>
          <w:p w14:paraId="1DBCA27D" w14:textId="149E60E4" w:rsidR="00DF3122" w:rsidRPr="00ED603C" w:rsidRDefault="00DF3122" w:rsidP="00DF312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ED603C">
              <w:rPr>
                <w:rFonts w:ascii="Arial" w:hAnsi="Arial" w:cs="Arial"/>
                <w:color w:val="215868" w:themeColor="accent5" w:themeShade="80"/>
                <w:sz w:val="18"/>
                <w:szCs w:val="18"/>
              </w:rPr>
              <w:t>+</w:t>
            </w:r>
            <w:r>
              <w:rPr>
                <w:rFonts w:ascii="Arial" w:hAnsi="Arial" w:cs="Arial"/>
                <w:color w:val="215868" w:themeColor="accent5" w:themeShade="80"/>
                <w:sz w:val="18"/>
                <w:szCs w:val="18"/>
              </w:rPr>
              <w:t>3.6</w:t>
            </w:r>
            <w:r w:rsidRPr="00ED603C">
              <w:rPr>
                <w:rFonts w:ascii="Arial" w:hAnsi="Arial" w:cs="Arial"/>
                <w:color w:val="215868" w:themeColor="accent5" w:themeShade="80"/>
                <w:sz w:val="18"/>
                <w:szCs w:val="18"/>
              </w:rPr>
              <w:t>%</w:t>
            </w:r>
          </w:p>
        </w:tc>
        <w:tc>
          <w:tcPr>
            <w:tcW w:w="1291" w:type="dxa"/>
            <w:vAlign w:val="bottom"/>
          </w:tcPr>
          <w:p w14:paraId="68B24F2D" w14:textId="5A70151D" w:rsidR="00DF3122" w:rsidRPr="00ED603C" w:rsidRDefault="00DF3122" w:rsidP="00DF312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18"/>
              </w:rPr>
              <w:t>-1.9</w:t>
            </w:r>
            <w:r w:rsidRPr="00ED603C">
              <w:rPr>
                <w:rFonts w:ascii="Arial" w:hAnsi="Arial" w:cs="Arial"/>
                <w:color w:val="215868" w:themeColor="accent5" w:themeShade="80"/>
                <w:sz w:val="18"/>
                <w:szCs w:val="18"/>
              </w:rPr>
              <w:t>%</w:t>
            </w:r>
          </w:p>
        </w:tc>
      </w:tr>
      <w:tr w:rsidR="00DF3122" w:rsidRPr="00E736B9" w14:paraId="65358342" w14:textId="77777777" w:rsidTr="00BB309A">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9171CEC" w14:textId="18C99DFB" w:rsidR="00DF3122" w:rsidRPr="00ED603C" w:rsidRDefault="00DF3122" w:rsidP="00DF3122">
            <w:pPr>
              <w:rPr>
                <w:rFonts w:ascii="Arial" w:hAnsi="Arial" w:cs="Arial"/>
                <w:color w:val="215868" w:themeColor="accent5" w:themeShade="80"/>
                <w:sz w:val="18"/>
                <w:szCs w:val="18"/>
              </w:rPr>
            </w:pPr>
            <w:r w:rsidRPr="00ED603C">
              <w:rPr>
                <w:rFonts w:ascii="Arial" w:hAnsi="Arial" w:cs="Arial"/>
                <w:b w:val="0"/>
                <w:color w:val="215868" w:themeColor="accent5" w:themeShade="80"/>
                <w:sz w:val="18"/>
                <w:szCs w:val="18"/>
              </w:rPr>
              <w:t>w.e. 1/29/2023</w:t>
            </w:r>
          </w:p>
        </w:tc>
        <w:tc>
          <w:tcPr>
            <w:tcW w:w="1276" w:type="dxa"/>
            <w:vAlign w:val="bottom"/>
          </w:tcPr>
          <w:p w14:paraId="76BD5110" w14:textId="6511A0B9" w:rsidR="00DF3122" w:rsidRPr="00ED603C" w:rsidRDefault="00DF3122" w:rsidP="00DF312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ED603C">
              <w:rPr>
                <w:rFonts w:ascii="Arial" w:hAnsi="Arial" w:cs="Arial"/>
                <w:color w:val="215868" w:themeColor="accent5" w:themeShade="80"/>
                <w:sz w:val="18"/>
                <w:szCs w:val="18"/>
              </w:rPr>
              <w:t>$</w:t>
            </w:r>
            <w:r>
              <w:rPr>
                <w:rFonts w:ascii="Arial" w:hAnsi="Arial" w:cs="Arial"/>
                <w:color w:val="215868" w:themeColor="accent5" w:themeShade="80"/>
                <w:sz w:val="18"/>
                <w:szCs w:val="18"/>
              </w:rPr>
              <w:t>1.404</w:t>
            </w:r>
            <w:r w:rsidRPr="00ED603C">
              <w:rPr>
                <w:rFonts w:ascii="Arial" w:hAnsi="Arial" w:cs="Arial"/>
                <w:color w:val="215868" w:themeColor="accent5" w:themeShade="80"/>
                <w:sz w:val="18"/>
                <w:szCs w:val="18"/>
              </w:rPr>
              <w:t>B</w:t>
            </w:r>
          </w:p>
        </w:tc>
        <w:tc>
          <w:tcPr>
            <w:tcW w:w="1291" w:type="dxa"/>
            <w:vAlign w:val="bottom"/>
          </w:tcPr>
          <w:p w14:paraId="57DBD004" w14:textId="6CC5EBEB" w:rsidR="00DF3122" w:rsidRPr="00ED603C" w:rsidRDefault="00DF3122" w:rsidP="00DF312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18"/>
              </w:rPr>
              <w:t>-0.5</w:t>
            </w:r>
            <w:r w:rsidRPr="00ED603C">
              <w:rPr>
                <w:rFonts w:ascii="Arial" w:hAnsi="Arial" w:cs="Arial"/>
                <w:color w:val="215868" w:themeColor="accent5" w:themeShade="80"/>
                <w:sz w:val="18"/>
                <w:szCs w:val="18"/>
              </w:rPr>
              <w:t>%</w:t>
            </w:r>
          </w:p>
        </w:tc>
        <w:tc>
          <w:tcPr>
            <w:tcW w:w="1291" w:type="dxa"/>
            <w:vAlign w:val="bottom"/>
          </w:tcPr>
          <w:p w14:paraId="26C81760" w14:textId="09D12AE6" w:rsidR="00DF3122" w:rsidRPr="00ED603C" w:rsidRDefault="00DF3122" w:rsidP="00DF312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18"/>
              </w:rPr>
              <w:t>-5.0</w:t>
            </w:r>
            <w:r w:rsidRPr="00ED603C">
              <w:rPr>
                <w:rFonts w:ascii="Arial" w:hAnsi="Arial" w:cs="Arial"/>
                <w:color w:val="215868" w:themeColor="accent5" w:themeShade="80"/>
                <w:sz w:val="18"/>
                <w:szCs w:val="18"/>
              </w:rPr>
              <w:t>%</w:t>
            </w:r>
          </w:p>
        </w:tc>
      </w:tr>
    </w:tbl>
    <w:p w14:paraId="2E1C73C4" w14:textId="5FD96C5D" w:rsidR="00253765" w:rsidRDefault="00DE78A5" w:rsidP="00D4285A">
      <w:pPr>
        <w:spacing w:after="0" w:line="240" w:lineRule="auto"/>
        <w:rPr>
          <w:rFonts w:ascii="Arial" w:hAnsi="Arial" w:cs="Arial"/>
          <w:sz w:val="20"/>
          <w:szCs w:val="20"/>
        </w:rPr>
      </w:pPr>
      <w:r>
        <w:rPr>
          <w:rFonts w:ascii="Arial" w:hAnsi="Arial" w:cs="Arial"/>
          <w:noProof/>
          <w:sz w:val="20"/>
          <w:szCs w:val="20"/>
          <w:lang w:val="nl-NL" w:eastAsia="nl-NL"/>
        </w:rPr>
        <mc:AlternateContent>
          <mc:Choice Requires="wps">
            <w:drawing>
              <wp:anchor distT="0" distB="0" distL="114300" distR="114300" simplePos="0" relativeHeight="251662336" behindDoc="0" locked="0" layoutInCell="1" allowOverlap="1" wp14:anchorId="521DE452" wp14:editId="1846AEFF">
                <wp:simplePos x="0" y="0"/>
                <wp:positionH relativeFrom="column">
                  <wp:posOffset>3070225</wp:posOffset>
                </wp:positionH>
                <wp:positionV relativeFrom="paragraph">
                  <wp:posOffset>1052830</wp:posOffset>
                </wp:positionV>
                <wp:extent cx="3547745" cy="20066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00660"/>
                        </a:xfrm>
                        <a:prstGeom prst="rect">
                          <a:avLst/>
                        </a:prstGeom>
                        <a:solidFill>
                          <a:srgbClr val="FFFFFF"/>
                        </a:solidFill>
                        <a:ln>
                          <a:noFill/>
                        </a:ln>
                      </wps:spPr>
                      <wps:txbx>
                        <w:txbxContent>
                          <w:p w14:paraId="61B6AA1E" w14:textId="77777777" w:rsidR="00F26464" w:rsidRDefault="00F26464" w:rsidP="0053257C">
                            <w:pPr>
                              <w:pStyle w:val="NoSpacing"/>
                            </w:pPr>
                            <w:r>
                              <w:rPr>
                                <w:rFonts w:ascii="Arial" w:hAnsi="Arial" w:cs="Arial"/>
                                <w:sz w:val="16"/>
                                <w:szCs w:val="16"/>
                              </w:rPr>
                              <w:t>Source: IRI, Integrated Fresh, Total US, MULO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DE452" id="_x0000_t202" coordsize="21600,21600" o:spt="202" path="m,l,21600r21600,l21600,xe">
                <v:stroke joinstyle="miter"/>
                <v:path gradientshapeok="t" o:connecttype="rect"/>
              </v:shapetype>
              <v:shape id="Text Box 7" o:spid="_x0000_s1026" type="#_x0000_t202" style="position:absolute;margin-left:241.75pt;margin-top:82.9pt;width:279.3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" stroked="f">
                <v:textbox>
                  <w:txbxContent>
                    <w:p w14:paraId="61B6AA1E" w14:textId="77777777" w:rsidR="00F26464" w:rsidRDefault="00F26464" w:rsidP="0053257C">
                      <w:pPr>
                        <w:pStyle w:val="NoSpacing"/>
                      </w:pPr>
                      <w:r>
                        <w:rPr>
                          <w:rFonts w:ascii="Arial" w:hAnsi="Arial" w:cs="Arial"/>
                          <w:sz w:val="16"/>
                          <w:szCs w:val="16"/>
                        </w:rPr>
                        <w:t>Source: IRI, Integrated Fresh, Total US, MULO</w:t>
                      </w:r>
                    </w:p>
                  </w:txbxContent>
                </v:textbox>
                <w10:wrap type="square"/>
              </v:shape>
            </w:pict>
          </mc:Fallback>
        </mc:AlternateContent>
      </w:r>
      <w:r w:rsidR="00DF3122">
        <w:rPr>
          <w:rFonts w:ascii="Arial" w:hAnsi="Arial" w:cs="Arial"/>
          <w:sz w:val="20"/>
          <w:szCs w:val="20"/>
        </w:rPr>
        <w:t>Weekly sales were fairly consistent in January, averaging around $1.4 billion each</w:t>
      </w:r>
      <w:r>
        <w:rPr>
          <w:rFonts w:ascii="Arial" w:hAnsi="Arial" w:cs="Arial"/>
          <w:sz w:val="20"/>
          <w:szCs w:val="20"/>
        </w:rPr>
        <w:t>.</w:t>
      </w:r>
      <w:r w:rsidR="00DF3122">
        <w:rPr>
          <w:rFonts w:ascii="Arial" w:hAnsi="Arial" w:cs="Arial"/>
          <w:sz w:val="20"/>
          <w:szCs w:val="20"/>
        </w:rPr>
        <w:t xml:space="preserve"> Pound sales trailed January 2022 by 4.1%, while units were down 3.2%. The difference in the decrease in pounds versus units shows that consumers are switching to smaller pack sizes, at least in some cases. </w:t>
      </w:r>
    </w:p>
    <w:p w14:paraId="3D60D6F7" w14:textId="0DC9DD1F" w:rsidR="00253765" w:rsidRDefault="00253765" w:rsidP="00D4285A">
      <w:pPr>
        <w:spacing w:after="0" w:line="240" w:lineRule="auto"/>
        <w:rPr>
          <w:rFonts w:ascii="Arial" w:hAnsi="Arial" w:cs="Arial"/>
          <w:sz w:val="20"/>
          <w:szCs w:val="20"/>
        </w:rPr>
      </w:pPr>
    </w:p>
    <w:p w14:paraId="7AF020BD" w14:textId="2DF2E666" w:rsidR="00824EAC" w:rsidRDefault="009A10DA" w:rsidP="00D4285A">
      <w:pPr>
        <w:spacing w:after="0" w:line="240" w:lineRule="auto"/>
        <w:rPr>
          <w:rFonts w:ascii="Arial" w:hAnsi="Arial" w:cs="Arial"/>
          <w:sz w:val="20"/>
          <w:szCs w:val="20"/>
        </w:rPr>
      </w:pPr>
      <w:r>
        <w:rPr>
          <w:rFonts w:ascii="Arial" w:hAnsi="Arial" w:cs="Arial"/>
          <w:sz w:val="20"/>
          <w:szCs w:val="20"/>
        </w:rPr>
        <w:t>“</w:t>
      </w:r>
      <w:r w:rsidR="004B2570">
        <w:rPr>
          <w:rFonts w:ascii="Arial" w:hAnsi="Arial" w:cs="Arial"/>
          <w:sz w:val="20"/>
          <w:szCs w:val="20"/>
        </w:rPr>
        <w:t>Dollar g</w:t>
      </w:r>
      <w:r w:rsidR="00742FB5">
        <w:rPr>
          <w:rFonts w:ascii="Arial" w:hAnsi="Arial" w:cs="Arial"/>
          <w:sz w:val="20"/>
          <w:szCs w:val="20"/>
        </w:rPr>
        <w:t xml:space="preserve">rowth for fruit </w:t>
      </w:r>
      <w:r w:rsidR="004B2570">
        <w:rPr>
          <w:rFonts w:ascii="Arial" w:hAnsi="Arial" w:cs="Arial"/>
          <w:sz w:val="20"/>
          <w:szCs w:val="20"/>
        </w:rPr>
        <w:t xml:space="preserve">had been slowing in the past few months </w:t>
      </w:r>
      <w:r w:rsidR="00742FB5">
        <w:rPr>
          <w:rFonts w:ascii="Arial" w:hAnsi="Arial" w:cs="Arial"/>
          <w:sz w:val="20"/>
          <w:szCs w:val="20"/>
        </w:rPr>
        <w:t>due to moderating levels of inflation</w:t>
      </w:r>
      <w:r w:rsidR="00637FD9">
        <w:rPr>
          <w:rFonts w:ascii="Arial" w:hAnsi="Arial" w:cs="Arial"/>
          <w:sz w:val="20"/>
          <w:szCs w:val="20"/>
        </w:rPr>
        <w:t>,” said Watson</w:t>
      </w:r>
      <w:r w:rsidR="00003384">
        <w:rPr>
          <w:rFonts w:ascii="Arial" w:hAnsi="Arial" w:cs="Arial"/>
          <w:sz w:val="20"/>
          <w:szCs w:val="20"/>
        </w:rPr>
        <w:t>. “</w:t>
      </w:r>
      <w:r w:rsidR="004B2570">
        <w:rPr>
          <w:rFonts w:ascii="Arial" w:hAnsi="Arial" w:cs="Arial"/>
          <w:sz w:val="20"/>
          <w:szCs w:val="20"/>
        </w:rPr>
        <w:t>In January, dollars dipped below year ago levels as inflation no longer offset the drop in pounds. Prices are favorable, but demand is just not at the levels we would like to see</w:t>
      </w:r>
      <w:r w:rsidR="00314133">
        <w:rPr>
          <w:rFonts w:ascii="Arial" w:hAnsi="Arial" w:cs="Arial"/>
          <w:sz w:val="20"/>
          <w:szCs w:val="20"/>
        </w:rPr>
        <w:t>.</w:t>
      </w:r>
      <w:r w:rsidR="004B2570">
        <w:rPr>
          <w:rFonts w:ascii="Arial" w:hAnsi="Arial" w:cs="Arial"/>
          <w:sz w:val="20"/>
          <w:szCs w:val="20"/>
        </w:rPr>
        <w:t xml:space="preserve"> That emphasizes all the ways in which fresh produce tends to drive impulse purchases: quality, eye-catching displays, hot promotions and sampling —making operational excellence in execution is extremely important in today’s marketplace.</w:t>
      </w:r>
      <w:r w:rsidR="00314133">
        <w:rPr>
          <w:rFonts w:ascii="Arial" w:hAnsi="Arial" w:cs="Arial"/>
          <w:sz w:val="20"/>
          <w:szCs w:val="20"/>
        </w:rPr>
        <w:t>”</w:t>
      </w:r>
      <w:r w:rsidR="00F026CE">
        <w:rPr>
          <w:rFonts w:ascii="Arial" w:hAnsi="Arial" w:cs="Arial"/>
          <w:sz w:val="20"/>
          <w:szCs w:val="20"/>
        </w:rPr>
        <w:t xml:space="preserve"> </w:t>
      </w:r>
    </w:p>
    <w:p w14:paraId="3AE2F20C" w14:textId="0A408A7A" w:rsidR="00824EAC" w:rsidRDefault="00D10591" w:rsidP="00D4285A">
      <w:pPr>
        <w:spacing w:after="0" w:line="240" w:lineRule="auto"/>
        <w:rPr>
          <w:rFonts w:ascii="Arial" w:hAnsi="Arial" w:cs="Arial"/>
          <w:sz w:val="20"/>
          <w:szCs w:val="20"/>
        </w:rPr>
      </w:pPr>
      <w:r>
        <w:rPr>
          <w:noProof/>
        </w:rPr>
        <w:lastRenderedPageBreak/>
        <w:drawing>
          <wp:inline distT="0" distB="0" distL="0" distR="0" wp14:anchorId="690D104F" wp14:editId="40B9601F">
            <wp:extent cx="6750685" cy="2621915"/>
            <wp:effectExtent l="0" t="0" r="0" b="6985"/>
            <wp:docPr id="9" name="Chart 9">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B2008E" w14:textId="77777777" w:rsidR="0068309E" w:rsidRDefault="0068309E" w:rsidP="0068309E">
      <w:pPr>
        <w:pStyle w:val="NoSpacing"/>
        <w:rPr>
          <w:rFonts w:ascii="Arial" w:hAnsi="Arial" w:cs="Arial"/>
          <w:sz w:val="16"/>
          <w:szCs w:val="16"/>
        </w:rPr>
      </w:pPr>
      <w:r w:rsidRPr="00B35CE9">
        <w:rPr>
          <w:rFonts w:ascii="Arial" w:hAnsi="Arial" w:cs="Arial"/>
          <w:sz w:val="16"/>
          <w:szCs w:val="16"/>
        </w:rPr>
        <w:t>Source</w:t>
      </w:r>
      <w:r>
        <w:rPr>
          <w:rFonts w:ascii="Arial" w:hAnsi="Arial" w:cs="Arial"/>
          <w:sz w:val="16"/>
          <w:szCs w:val="16"/>
        </w:rPr>
        <w:t>: IRI Integrated Fresh, Total U.S., MULO</w:t>
      </w:r>
    </w:p>
    <w:p w14:paraId="3CCC5188" w14:textId="77777777" w:rsidR="0068309E" w:rsidRDefault="0068309E" w:rsidP="00151CCC">
      <w:pPr>
        <w:pStyle w:val="NoSpacing"/>
        <w:rPr>
          <w:rFonts w:ascii="Arial" w:hAnsi="Arial" w:cs="Arial"/>
          <w:sz w:val="20"/>
          <w:szCs w:val="20"/>
        </w:rPr>
      </w:pPr>
    </w:p>
    <w:p w14:paraId="64B3B221" w14:textId="5DC9080B" w:rsidR="00C573F6" w:rsidRPr="00507D74" w:rsidRDefault="00043B43" w:rsidP="00160D1A">
      <w:pPr>
        <w:pStyle w:val="NoSpacing"/>
        <w:rPr>
          <w:rFonts w:ascii="Arial" w:hAnsi="Arial" w:cs="Arial"/>
          <w:b/>
          <w:color w:val="595959" w:themeColor="text1" w:themeTint="A6"/>
          <w:sz w:val="24"/>
          <w:szCs w:val="24"/>
        </w:rPr>
      </w:pPr>
      <w:r w:rsidRPr="00507D74">
        <w:rPr>
          <w:rFonts w:ascii="Arial" w:hAnsi="Arial" w:cs="Arial"/>
          <w:b/>
          <w:color w:val="595959" w:themeColor="text1" w:themeTint="A6"/>
          <w:sz w:val="24"/>
          <w:szCs w:val="24"/>
        </w:rPr>
        <w:t xml:space="preserve">Fresh </w:t>
      </w:r>
      <w:r w:rsidR="00C23843">
        <w:rPr>
          <w:rFonts w:ascii="Arial" w:hAnsi="Arial" w:cs="Arial"/>
          <w:b/>
          <w:color w:val="595959" w:themeColor="text1" w:themeTint="A6"/>
          <w:sz w:val="24"/>
          <w:szCs w:val="24"/>
        </w:rPr>
        <w:t xml:space="preserve">Produce </w:t>
      </w:r>
      <w:r w:rsidRPr="00507D74">
        <w:rPr>
          <w:rFonts w:ascii="Arial" w:hAnsi="Arial" w:cs="Arial"/>
          <w:b/>
          <w:color w:val="595959" w:themeColor="text1" w:themeTint="A6"/>
          <w:sz w:val="24"/>
          <w:szCs w:val="24"/>
        </w:rPr>
        <w:t>Share</w:t>
      </w:r>
      <w:r w:rsidR="00EB33CE">
        <w:rPr>
          <w:rFonts w:ascii="Arial" w:hAnsi="Arial" w:cs="Arial"/>
          <w:b/>
          <w:color w:val="595959" w:themeColor="text1" w:themeTint="A6"/>
          <w:sz w:val="24"/>
          <w:szCs w:val="24"/>
        </w:rPr>
        <w:t xml:space="preserve"> </w:t>
      </w:r>
      <w:r w:rsidR="00C23843">
        <w:rPr>
          <w:rFonts w:ascii="Arial" w:hAnsi="Arial" w:cs="Arial"/>
          <w:b/>
          <w:color w:val="595959" w:themeColor="text1" w:themeTint="A6"/>
          <w:sz w:val="24"/>
          <w:szCs w:val="24"/>
        </w:rPr>
        <w:t>of Total Fruits and Vegetables</w:t>
      </w:r>
    </w:p>
    <w:p w14:paraId="5CC596CB" w14:textId="458BBE43" w:rsidR="00AC0CDA" w:rsidRDefault="0028208D" w:rsidP="00AC0CDA">
      <w:pPr>
        <w:pStyle w:val="NoSpacing"/>
        <w:rPr>
          <w:rFonts w:ascii="Arial" w:hAnsi="Arial" w:cs="Arial"/>
          <w:sz w:val="20"/>
          <w:szCs w:val="20"/>
        </w:rPr>
      </w:pPr>
      <w:r>
        <w:rPr>
          <w:rFonts w:ascii="Arial" w:hAnsi="Arial" w:cs="Arial"/>
          <w:sz w:val="20"/>
          <w:szCs w:val="20"/>
        </w:rPr>
        <w:t>“</w:t>
      </w:r>
      <w:r w:rsidR="00FC6CD0">
        <w:rPr>
          <w:rFonts w:ascii="Arial" w:hAnsi="Arial" w:cs="Arial"/>
          <w:sz w:val="20"/>
          <w:szCs w:val="20"/>
        </w:rPr>
        <w:t>The difference in inflationary levels between fresh, frozen and canned is staggering</w:t>
      </w:r>
      <w:r>
        <w:rPr>
          <w:rFonts w:ascii="Arial" w:hAnsi="Arial" w:cs="Arial"/>
          <w:sz w:val="20"/>
          <w:szCs w:val="20"/>
        </w:rPr>
        <w:t xml:space="preserve">,” </w:t>
      </w:r>
      <w:r w:rsidR="00FC6CD0">
        <w:rPr>
          <w:rFonts w:ascii="Arial" w:hAnsi="Arial" w:cs="Arial"/>
          <w:sz w:val="20"/>
          <w:szCs w:val="20"/>
        </w:rPr>
        <w:t xml:space="preserve">Parker </w:t>
      </w:r>
      <w:r>
        <w:rPr>
          <w:rFonts w:ascii="Arial" w:hAnsi="Arial" w:cs="Arial"/>
          <w:sz w:val="20"/>
          <w:szCs w:val="20"/>
        </w:rPr>
        <w:t xml:space="preserve">commented. </w:t>
      </w:r>
      <w:r w:rsidR="00FC6CD0">
        <w:rPr>
          <w:rFonts w:ascii="Arial" w:hAnsi="Arial" w:cs="Arial"/>
          <w:sz w:val="20"/>
          <w:szCs w:val="20"/>
        </w:rPr>
        <w:t xml:space="preserve">“Per Joe’s earlier point, despite fresh produce having much less inflation, consumers still name it among the top five examples of items that cost more now than last year. At the same time, when voting with their wallets, consumers </w:t>
      </w:r>
      <w:r w:rsidR="00F30A13">
        <w:rPr>
          <w:rFonts w:ascii="Arial" w:hAnsi="Arial" w:cs="Arial"/>
          <w:sz w:val="20"/>
          <w:szCs w:val="20"/>
        </w:rPr>
        <w:t xml:space="preserve">are pulling back on fresh product units much less than in </w:t>
      </w:r>
      <w:r w:rsidR="00FC6CD0">
        <w:rPr>
          <w:rFonts w:ascii="Arial" w:hAnsi="Arial" w:cs="Arial"/>
          <w:sz w:val="20"/>
          <w:szCs w:val="20"/>
        </w:rPr>
        <w:t>frozen and canned.”</w:t>
      </w:r>
    </w:p>
    <w:p w14:paraId="2336DEC9" w14:textId="77777777" w:rsidR="00770809" w:rsidRPr="00B265F0" w:rsidRDefault="00770809" w:rsidP="00770809">
      <w:pPr>
        <w:pStyle w:val="NoSpacing"/>
        <w:rPr>
          <w:rFonts w:ascii="Arial" w:hAnsi="Arial" w:cs="Arial"/>
          <w:sz w:val="16"/>
          <w:szCs w:val="16"/>
        </w:rPr>
      </w:pPr>
    </w:p>
    <w:tbl>
      <w:tblPr>
        <w:tblStyle w:val="LightShading-Accent5"/>
        <w:tblW w:w="10620" w:type="dxa"/>
        <w:tblBorders>
          <w:top w:val="none" w:sz="0" w:space="0" w:color="auto"/>
          <w:bottom w:val="none" w:sz="0" w:space="0" w:color="auto"/>
        </w:tblBorders>
        <w:tblLook w:val="04A0" w:firstRow="1" w:lastRow="0" w:firstColumn="1" w:lastColumn="0" w:noHBand="0" w:noVBand="1"/>
      </w:tblPr>
      <w:tblGrid>
        <w:gridCol w:w="2700"/>
        <w:gridCol w:w="1584"/>
        <w:gridCol w:w="1584"/>
        <w:gridCol w:w="1584"/>
        <w:gridCol w:w="1584"/>
        <w:gridCol w:w="1584"/>
      </w:tblGrid>
      <w:tr w:rsidR="00770809" w:rsidRPr="00B265F0" w14:paraId="6403B5CC" w14:textId="77777777" w:rsidTr="00BC21C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B0D9439" w14:textId="33F0E29E" w:rsidR="00770809" w:rsidRPr="00B265F0" w:rsidRDefault="004B2570" w:rsidP="001F29DC">
            <w:pPr>
              <w:pStyle w:val="NoSpacing"/>
              <w:rPr>
                <w:rFonts w:ascii="Arial" w:hAnsi="Arial" w:cs="Arial"/>
                <w:color w:val="FFFFFF" w:themeColor="background1"/>
                <w:sz w:val="18"/>
                <w:szCs w:val="20"/>
              </w:rPr>
            </w:pPr>
            <w:r>
              <w:rPr>
                <w:rFonts w:ascii="Arial" w:hAnsi="Arial" w:cs="Arial"/>
                <w:color w:val="FFFFFF" w:themeColor="background1"/>
                <w:sz w:val="18"/>
                <w:szCs w:val="20"/>
              </w:rPr>
              <w:t>January 2023</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2FC01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Dollar</w:t>
            </w:r>
            <w:r>
              <w:rPr>
                <w:rFonts w:ascii="Arial" w:hAnsi="Arial" w:cs="Arial"/>
                <w:color w:val="FFFFFF" w:themeColor="background1"/>
                <w:sz w:val="18"/>
                <w:szCs w:val="20"/>
              </w:rPr>
              <w:br/>
              <w:t>sales</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38E3F723" w14:textId="44951771"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 gains v</w:t>
            </w:r>
            <w:r>
              <w:rPr>
                <w:rFonts w:ascii="Arial" w:hAnsi="Arial" w:cs="Arial"/>
                <w:color w:val="FFFFFF" w:themeColor="background1"/>
                <w:sz w:val="18"/>
                <w:szCs w:val="20"/>
              </w:rPr>
              <w:t xml:space="preserve">s. </w:t>
            </w:r>
            <w:r w:rsidR="00FC6CD0">
              <w:rPr>
                <w:rFonts w:ascii="Arial" w:hAnsi="Arial" w:cs="Arial"/>
                <w:color w:val="FFFFFF" w:themeColor="background1"/>
                <w:sz w:val="18"/>
                <w:szCs w:val="20"/>
              </w:rPr>
              <w:t>YA</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1C8CB91B" w14:textId="31803856" w:rsidR="00770809" w:rsidRPr="00B265F0" w:rsidRDefault="00FC6CD0"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 xml:space="preserve">Unit gains </w:t>
            </w:r>
            <w:r>
              <w:rPr>
                <w:rFonts w:ascii="Arial" w:hAnsi="Arial" w:cs="Arial"/>
                <w:color w:val="FFFFFF" w:themeColor="background1"/>
                <w:sz w:val="18"/>
                <w:szCs w:val="20"/>
              </w:rPr>
              <w:br/>
              <w:t>vs. YA</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DA60DE9"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Average price per unit</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67079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Increase price vs. YA</w:t>
            </w:r>
          </w:p>
        </w:tc>
      </w:tr>
      <w:tr w:rsidR="00390E81" w:rsidRPr="00390E81" w14:paraId="28B74F40" w14:textId="77777777" w:rsidTr="002B56AC">
        <w:tblPrEx>
          <w:tblBorders>
            <w:top w:val="single" w:sz="8" w:space="0" w:color="4BACC6" w:themeColor="accent5"/>
            <w:bottom w:val="single" w:sz="8" w:space="0" w:color="4BACC6" w:themeColor="accent5"/>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Pr>
          <w:p w14:paraId="3DC9A607" w14:textId="77777777" w:rsidR="00390E81" w:rsidRPr="00390E81" w:rsidRDefault="00390E81" w:rsidP="00390E81">
            <w:pPr>
              <w:pStyle w:val="NoSpacing"/>
              <w:rPr>
                <w:rFonts w:ascii="Arial" w:hAnsi="Arial" w:cs="Arial"/>
                <w:bCs w:val="0"/>
                <w:color w:val="215868" w:themeColor="accent5" w:themeShade="80"/>
                <w:sz w:val="18"/>
                <w:szCs w:val="20"/>
              </w:rPr>
            </w:pPr>
            <w:r w:rsidRPr="00390E81">
              <w:rPr>
                <w:rFonts w:ascii="Arial" w:hAnsi="Arial" w:cs="Arial"/>
                <w:bCs w:val="0"/>
                <w:color w:val="215868" w:themeColor="accent5" w:themeShade="80"/>
                <w:sz w:val="18"/>
                <w:szCs w:val="20"/>
              </w:rPr>
              <w:t>Fresh produce department</w:t>
            </w:r>
          </w:p>
        </w:tc>
        <w:tc>
          <w:tcPr>
            <w:tcW w:w="1584" w:type="dxa"/>
            <w:vAlign w:val="bottom"/>
          </w:tcPr>
          <w:p w14:paraId="7BF32325" w14:textId="2EE6E9B0" w:rsidR="00390E81" w:rsidRPr="00390E81" w:rsidRDefault="00390E81" w:rsidP="00390E81">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390E81">
              <w:rPr>
                <w:rFonts w:ascii="Arial" w:hAnsi="Arial" w:cs="Arial"/>
                <w:b/>
                <w:sz w:val="18"/>
                <w:szCs w:val="18"/>
              </w:rPr>
              <w:t>$</w:t>
            </w:r>
            <w:r w:rsidR="00FC6CD0">
              <w:rPr>
                <w:rFonts w:ascii="Arial" w:hAnsi="Arial" w:cs="Arial"/>
                <w:b/>
                <w:sz w:val="18"/>
                <w:szCs w:val="18"/>
              </w:rPr>
              <w:t>5.7</w:t>
            </w:r>
            <w:r w:rsidRPr="00390E81">
              <w:rPr>
                <w:rFonts w:ascii="Arial" w:hAnsi="Arial" w:cs="Arial"/>
                <w:b/>
                <w:sz w:val="18"/>
                <w:szCs w:val="18"/>
              </w:rPr>
              <w:t>B</w:t>
            </w:r>
          </w:p>
        </w:tc>
        <w:tc>
          <w:tcPr>
            <w:tcW w:w="1584" w:type="dxa"/>
            <w:vAlign w:val="bottom"/>
          </w:tcPr>
          <w:p w14:paraId="39984305" w14:textId="5A4890E2" w:rsidR="00390E81" w:rsidRPr="00390E81" w:rsidRDefault="00390E81" w:rsidP="00390E81">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390E81">
              <w:rPr>
                <w:rFonts w:ascii="Arial" w:hAnsi="Arial" w:cs="Arial"/>
                <w:b/>
                <w:sz w:val="18"/>
                <w:szCs w:val="18"/>
              </w:rPr>
              <w:t>+</w:t>
            </w:r>
            <w:r w:rsidR="00FC6CD0">
              <w:rPr>
                <w:rFonts w:ascii="Arial" w:hAnsi="Arial" w:cs="Arial"/>
                <w:b/>
                <w:sz w:val="18"/>
                <w:szCs w:val="18"/>
              </w:rPr>
              <w:t>1.3</w:t>
            </w:r>
            <w:r w:rsidRPr="00390E81">
              <w:rPr>
                <w:rFonts w:ascii="Arial" w:hAnsi="Arial" w:cs="Arial"/>
                <w:b/>
                <w:sz w:val="18"/>
                <w:szCs w:val="18"/>
              </w:rPr>
              <w:t>%</w:t>
            </w:r>
          </w:p>
        </w:tc>
        <w:tc>
          <w:tcPr>
            <w:tcW w:w="1584" w:type="dxa"/>
            <w:vAlign w:val="bottom"/>
          </w:tcPr>
          <w:p w14:paraId="214FE4F8" w14:textId="1C99C4DB" w:rsidR="00390E81" w:rsidRPr="00390E81" w:rsidRDefault="00FC6CD0" w:rsidP="00390E81">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sz w:val="18"/>
                <w:szCs w:val="18"/>
              </w:rPr>
              <w:t>-3.2</w:t>
            </w:r>
            <w:r w:rsidR="00390E81" w:rsidRPr="00390E81">
              <w:rPr>
                <w:rFonts w:ascii="Arial" w:hAnsi="Arial" w:cs="Arial"/>
                <w:b/>
                <w:sz w:val="18"/>
                <w:szCs w:val="18"/>
              </w:rPr>
              <w:t>%</w:t>
            </w:r>
          </w:p>
        </w:tc>
        <w:tc>
          <w:tcPr>
            <w:tcW w:w="1584" w:type="dxa"/>
            <w:vAlign w:val="bottom"/>
          </w:tcPr>
          <w:p w14:paraId="110FC2E2" w14:textId="229A5728" w:rsidR="00390E81" w:rsidRPr="00390E81" w:rsidRDefault="00390E81" w:rsidP="00390E81">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390E81">
              <w:rPr>
                <w:rFonts w:ascii="Arial" w:hAnsi="Arial" w:cs="Arial"/>
                <w:b/>
                <w:sz w:val="18"/>
                <w:szCs w:val="18"/>
              </w:rPr>
              <w:t>$</w:t>
            </w:r>
            <w:r w:rsidR="00FC6CD0">
              <w:rPr>
                <w:rFonts w:ascii="Arial" w:hAnsi="Arial" w:cs="Arial"/>
                <w:b/>
                <w:sz w:val="18"/>
                <w:szCs w:val="18"/>
              </w:rPr>
              <w:t>2.63</w:t>
            </w:r>
          </w:p>
        </w:tc>
        <w:tc>
          <w:tcPr>
            <w:tcW w:w="1584" w:type="dxa"/>
            <w:vAlign w:val="bottom"/>
          </w:tcPr>
          <w:p w14:paraId="24B401D7" w14:textId="4B594B51" w:rsidR="00390E81" w:rsidRPr="00390E81" w:rsidRDefault="00390E81" w:rsidP="00390E81">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390E81">
              <w:rPr>
                <w:rFonts w:ascii="Arial" w:hAnsi="Arial" w:cs="Arial"/>
                <w:b/>
                <w:sz w:val="18"/>
                <w:szCs w:val="18"/>
              </w:rPr>
              <w:t>+</w:t>
            </w:r>
            <w:r w:rsidR="00FC6CD0">
              <w:rPr>
                <w:rFonts w:ascii="Arial" w:hAnsi="Arial" w:cs="Arial"/>
                <w:b/>
                <w:sz w:val="18"/>
                <w:szCs w:val="18"/>
              </w:rPr>
              <w:t>4.7</w:t>
            </w:r>
            <w:r w:rsidRPr="00390E81">
              <w:rPr>
                <w:rFonts w:ascii="Arial" w:hAnsi="Arial" w:cs="Arial"/>
                <w:b/>
                <w:sz w:val="18"/>
                <w:szCs w:val="18"/>
              </w:rPr>
              <w:t>%</w:t>
            </w:r>
          </w:p>
        </w:tc>
      </w:tr>
      <w:tr w:rsidR="00390E81" w:rsidRPr="00E43E81" w14:paraId="53607A39" w14:textId="77777777" w:rsidTr="002B56AC">
        <w:trPr>
          <w:trHeight w:val="227"/>
        </w:trPr>
        <w:tc>
          <w:tcPr>
            <w:cnfStyle w:val="001000000000" w:firstRow="0" w:lastRow="0" w:firstColumn="1" w:lastColumn="0" w:oddVBand="0" w:evenVBand="0" w:oddHBand="0" w:evenHBand="0" w:firstRowFirstColumn="0" w:firstRowLastColumn="0" w:lastRowFirstColumn="0" w:lastRowLastColumn="0"/>
            <w:tcW w:w="2700" w:type="dxa"/>
          </w:tcPr>
          <w:p w14:paraId="063DF506" w14:textId="77777777" w:rsidR="00390E81" w:rsidRPr="000D5031" w:rsidRDefault="00390E81" w:rsidP="00390E81">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Frozen fruits and vegetables</w:t>
            </w:r>
          </w:p>
        </w:tc>
        <w:tc>
          <w:tcPr>
            <w:tcW w:w="1584" w:type="dxa"/>
            <w:vAlign w:val="bottom"/>
          </w:tcPr>
          <w:p w14:paraId="11ED8EE5" w14:textId="6D1CA284" w:rsidR="00390E81" w:rsidRPr="00390E81" w:rsidRDefault="00390E81" w:rsidP="00390E8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90E81">
              <w:rPr>
                <w:rFonts w:ascii="Arial" w:hAnsi="Arial" w:cs="Arial"/>
                <w:sz w:val="18"/>
                <w:szCs w:val="18"/>
              </w:rPr>
              <w:t>$</w:t>
            </w:r>
            <w:r w:rsidR="00FC6CD0">
              <w:rPr>
                <w:rFonts w:ascii="Arial" w:hAnsi="Arial" w:cs="Arial"/>
                <w:sz w:val="18"/>
                <w:szCs w:val="18"/>
              </w:rPr>
              <w:t>678</w:t>
            </w:r>
            <w:r w:rsidRPr="00390E81">
              <w:rPr>
                <w:rFonts w:ascii="Arial" w:hAnsi="Arial" w:cs="Arial"/>
                <w:sz w:val="18"/>
                <w:szCs w:val="18"/>
              </w:rPr>
              <w:t>M</w:t>
            </w:r>
          </w:p>
        </w:tc>
        <w:tc>
          <w:tcPr>
            <w:tcW w:w="1584" w:type="dxa"/>
            <w:vAlign w:val="bottom"/>
          </w:tcPr>
          <w:p w14:paraId="618FA501" w14:textId="5B862100" w:rsidR="00390E81" w:rsidRPr="00390E81" w:rsidRDefault="00390E81" w:rsidP="00390E8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w:t>
            </w:r>
            <w:r w:rsidR="00FC6CD0">
              <w:rPr>
                <w:rFonts w:ascii="Arial" w:hAnsi="Arial" w:cs="Arial"/>
                <w:sz w:val="18"/>
                <w:szCs w:val="18"/>
              </w:rPr>
              <w:t>11.1</w:t>
            </w:r>
            <w:r w:rsidRPr="00390E81">
              <w:rPr>
                <w:rFonts w:ascii="Arial" w:hAnsi="Arial" w:cs="Arial"/>
                <w:sz w:val="18"/>
                <w:szCs w:val="18"/>
              </w:rPr>
              <w:t>%</w:t>
            </w:r>
          </w:p>
        </w:tc>
        <w:tc>
          <w:tcPr>
            <w:tcW w:w="1584" w:type="dxa"/>
            <w:vAlign w:val="bottom"/>
          </w:tcPr>
          <w:p w14:paraId="5EBA11F2" w14:textId="4E0E8A7A" w:rsidR="00390E81" w:rsidRPr="00390E81" w:rsidRDefault="00FC6CD0" w:rsidP="00390E8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18"/>
              </w:rPr>
              <w:t>-7.0</w:t>
            </w:r>
            <w:r w:rsidR="00390E81" w:rsidRPr="00390E81">
              <w:rPr>
                <w:rFonts w:ascii="Arial" w:hAnsi="Arial" w:cs="Arial"/>
                <w:sz w:val="18"/>
                <w:szCs w:val="18"/>
              </w:rPr>
              <w:t>%</w:t>
            </w:r>
          </w:p>
        </w:tc>
        <w:tc>
          <w:tcPr>
            <w:tcW w:w="1584" w:type="dxa"/>
            <w:vAlign w:val="bottom"/>
          </w:tcPr>
          <w:p w14:paraId="234F510D" w14:textId="0D236FE3" w:rsidR="00390E81" w:rsidRPr="00390E81" w:rsidRDefault="00390E81" w:rsidP="00390E8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90E81">
              <w:rPr>
                <w:rFonts w:ascii="Arial" w:hAnsi="Arial" w:cs="Arial"/>
                <w:sz w:val="18"/>
                <w:szCs w:val="18"/>
              </w:rPr>
              <w:t>$</w:t>
            </w:r>
            <w:r w:rsidR="00FC6CD0">
              <w:rPr>
                <w:rFonts w:ascii="Arial" w:hAnsi="Arial" w:cs="Arial"/>
                <w:sz w:val="18"/>
                <w:szCs w:val="18"/>
              </w:rPr>
              <w:t>3.19</w:t>
            </w:r>
          </w:p>
        </w:tc>
        <w:tc>
          <w:tcPr>
            <w:tcW w:w="1584" w:type="dxa"/>
            <w:vAlign w:val="bottom"/>
          </w:tcPr>
          <w:p w14:paraId="34E514EC" w14:textId="6023AD67" w:rsidR="00390E81" w:rsidRPr="00390E81" w:rsidRDefault="00390E81" w:rsidP="00390E8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w:t>
            </w:r>
            <w:r w:rsidR="00FC6CD0">
              <w:rPr>
                <w:rFonts w:ascii="Arial" w:hAnsi="Arial" w:cs="Arial"/>
                <w:sz w:val="18"/>
                <w:szCs w:val="18"/>
              </w:rPr>
              <w:t>22.0</w:t>
            </w:r>
            <w:r w:rsidRPr="00390E81">
              <w:rPr>
                <w:rFonts w:ascii="Arial" w:hAnsi="Arial" w:cs="Arial"/>
                <w:sz w:val="18"/>
                <w:szCs w:val="18"/>
              </w:rPr>
              <w:t>%</w:t>
            </w:r>
          </w:p>
        </w:tc>
      </w:tr>
      <w:tr w:rsidR="004B2570" w:rsidRPr="00E43E81" w14:paraId="6436AB32" w14:textId="77777777" w:rsidTr="002B56A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Pr>
          <w:p w14:paraId="2DECF2C9" w14:textId="77777777" w:rsidR="004B2570" w:rsidRPr="000D5031" w:rsidRDefault="004B2570" w:rsidP="004B2570">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 xml:space="preserve">Shelf stable fruits </w:t>
            </w:r>
          </w:p>
        </w:tc>
        <w:tc>
          <w:tcPr>
            <w:tcW w:w="1584" w:type="dxa"/>
            <w:vAlign w:val="bottom"/>
          </w:tcPr>
          <w:p w14:paraId="762ADF8F" w14:textId="10A210B5" w:rsidR="004B2570" w:rsidRPr="00390E81" w:rsidRDefault="004B2570" w:rsidP="004B257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390E81">
              <w:rPr>
                <w:rFonts w:ascii="Arial" w:hAnsi="Arial" w:cs="Arial"/>
                <w:sz w:val="18"/>
                <w:szCs w:val="18"/>
              </w:rPr>
              <w:t>$</w:t>
            </w:r>
            <w:r w:rsidR="00FC6CD0">
              <w:rPr>
                <w:rFonts w:ascii="Arial" w:hAnsi="Arial" w:cs="Arial"/>
                <w:sz w:val="18"/>
                <w:szCs w:val="18"/>
              </w:rPr>
              <w:t>367</w:t>
            </w:r>
            <w:r w:rsidRPr="00390E81">
              <w:rPr>
                <w:rFonts w:ascii="Arial" w:hAnsi="Arial" w:cs="Arial"/>
                <w:sz w:val="18"/>
                <w:szCs w:val="18"/>
              </w:rPr>
              <w:t>M</w:t>
            </w:r>
          </w:p>
        </w:tc>
        <w:tc>
          <w:tcPr>
            <w:tcW w:w="1584" w:type="dxa"/>
            <w:vAlign w:val="bottom"/>
          </w:tcPr>
          <w:p w14:paraId="65CF6948" w14:textId="70830C27" w:rsidR="004B2570" w:rsidRPr="00390E81" w:rsidRDefault="004B2570" w:rsidP="004B257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18"/>
              </w:rPr>
              <w:t>+</w:t>
            </w:r>
            <w:r w:rsidR="00FC6CD0">
              <w:rPr>
                <w:rFonts w:ascii="Arial" w:hAnsi="Arial" w:cs="Arial"/>
                <w:sz w:val="18"/>
                <w:szCs w:val="18"/>
              </w:rPr>
              <w:t>6.5</w:t>
            </w:r>
            <w:r w:rsidRPr="00390E81">
              <w:rPr>
                <w:rFonts w:ascii="Arial" w:hAnsi="Arial" w:cs="Arial"/>
                <w:sz w:val="18"/>
                <w:szCs w:val="18"/>
              </w:rPr>
              <w:t>%</w:t>
            </w:r>
          </w:p>
        </w:tc>
        <w:tc>
          <w:tcPr>
            <w:tcW w:w="1584" w:type="dxa"/>
            <w:vAlign w:val="bottom"/>
          </w:tcPr>
          <w:p w14:paraId="6106E491" w14:textId="0DDB5FB8" w:rsidR="004B2570" w:rsidRPr="00390E81" w:rsidRDefault="00FC6CD0" w:rsidP="004B2570">
            <w:pPr>
              <w:jc w:val="right"/>
              <w:cnfStyle w:val="000000100000" w:firstRow="0" w:lastRow="0" w:firstColumn="0" w:lastColumn="0" w:oddVBand="0" w:evenVBand="0" w:oddHBand="1" w:evenHBand="0" w:firstRowFirstColumn="0" w:firstRowLastColumn="0" w:lastRowFirstColumn="0" w:lastRowLastColumn="0"/>
              <w:rPr>
                <w:rFonts w:ascii="Arial" w:hAnsi="Arial" w:cs="Arial"/>
                <w:highlight w:val="red"/>
              </w:rPr>
            </w:pPr>
            <w:r>
              <w:rPr>
                <w:rFonts w:ascii="Arial" w:hAnsi="Arial" w:cs="Arial"/>
                <w:sz w:val="18"/>
                <w:szCs w:val="18"/>
              </w:rPr>
              <w:t>-11.6</w:t>
            </w:r>
            <w:r w:rsidR="004B2570" w:rsidRPr="00390E81">
              <w:rPr>
                <w:rFonts w:ascii="Arial" w:hAnsi="Arial" w:cs="Arial"/>
                <w:sz w:val="18"/>
                <w:szCs w:val="18"/>
              </w:rPr>
              <w:t>%</w:t>
            </w:r>
          </w:p>
        </w:tc>
        <w:tc>
          <w:tcPr>
            <w:tcW w:w="1584" w:type="dxa"/>
            <w:vAlign w:val="bottom"/>
          </w:tcPr>
          <w:p w14:paraId="607B80B7" w14:textId="2414B22B" w:rsidR="004B2570" w:rsidRPr="00390E81" w:rsidRDefault="004B2570" w:rsidP="004B257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390E81">
              <w:rPr>
                <w:rFonts w:ascii="Arial" w:hAnsi="Arial" w:cs="Arial"/>
                <w:sz w:val="18"/>
                <w:szCs w:val="18"/>
              </w:rPr>
              <w:t>$</w:t>
            </w:r>
            <w:r w:rsidR="00FC6CD0">
              <w:rPr>
                <w:rFonts w:ascii="Arial" w:hAnsi="Arial" w:cs="Arial"/>
                <w:sz w:val="18"/>
                <w:szCs w:val="18"/>
              </w:rPr>
              <w:t>3.40</w:t>
            </w:r>
          </w:p>
        </w:tc>
        <w:tc>
          <w:tcPr>
            <w:tcW w:w="1584" w:type="dxa"/>
            <w:vAlign w:val="bottom"/>
          </w:tcPr>
          <w:p w14:paraId="7D05D7D9" w14:textId="0FF66DEA" w:rsidR="004B2570" w:rsidRPr="00390E81" w:rsidRDefault="004B2570" w:rsidP="004B257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18"/>
              </w:rPr>
              <w:t>+</w:t>
            </w:r>
            <w:r w:rsidR="00FC6CD0">
              <w:rPr>
                <w:rFonts w:ascii="Arial" w:hAnsi="Arial" w:cs="Arial"/>
                <w:sz w:val="18"/>
                <w:szCs w:val="18"/>
              </w:rPr>
              <w:t>20.4</w:t>
            </w:r>
            <w:r w:rsidRPr="00390E81">
              <w:rPr>
                <w:rFonts w:ascii="Arial" w:hAnsi="Arial" w:cs="Arial"/>
                <w:sz w:val="18"/>
                <w:szCs w:val="18"/>
              </w:rPr>
              <w:t>%</w:t>
            </w:r>
          </w:p>
        </w:tc>
      </w:tr>
      <w:tr w:rsidR="004B2570" w:rsidRPr="00E43E81" w14:paraId="136DBAD7" w14:textId="77777777" w:rsidTr="002B56AC">
        <w:trPr>
          <w:trHeight w:val="227"/>
        </w:trPr>
        <w:tc>
          <w:tcPr>
            <w:cnfStyle w:val="001000000000" w:firstRow="0" w:lastRow="0" w:firstColumn="1" w:lastColumn="0" w:oddVBand="0" w:evenVBand="0" w:oddHBand="0" w:evenHBand="0" w:firstRowFirstColumn="0" w:firstRowLastColumn="0" w:lastRowFirstColumn="0" w:lastRowLastColumn="0"/>
            <w:tcW w:w="2700" w:type="dxa"/>
          </w:tcPr>
          <w:p w14:paraId="205297AD" w14:textId="77777777" w:rsidR="004B2570" w:rsidRPr="000D5031" w:rsidRDefault="004B2570" w:rsidP="004B2570">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Shelf stable vegetables</w:t>
            </w:r>
          </w:p>
        </w:tc>
        <w:tc>
          <w:tcPr>
            <w:tcW w:w="1584" w:type="dxa"/>
            <w:vAlign w:val="bottom"/>
          </w:tcPr>
          <w:p w14:paraId="1B917AA7" w14:textId="7DC5A950" w:rsidR="004B2570" w:rsidRPr="00390E81" w:rsidRDefault="004B2570" w:rsidP="004B257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390E81">
              <w:rPr>
                <w:rFonts w:ascii="Arial" w:hAnsi="Arial" w:cs="Arial"/>
                <w:sz w:val="18"/>
                <w:szCs w:val="18"/>
              </w:rPr>
              <w:t>$</w:t>
            </w:r>
            <w:r w:rsidR="00FC6CD0">
              <w:rPr>
                <w:rFonts w:ascii="Arial" w:hAnsi="Arial" w:cs="Arial"/>
                <w:sz w:val="18"/>
                <w:szCs w:val="18"/>
              </w:rPr>
              <w:t>576</w:t>
            </w:r>
            <w:r w:rsidRPr="00390E81">
              <w:rPr>
                <w:rFonts w:ascii="Arial" w:hAnsi="Arial" w:cs="Arial"/>
                <w:sz w:val="18"/>
                <w:szCs w:val="18"/>
              </w:rPr>
              <w:t>M</w:t>
            </w:r>
          </w:p>
        </w:tc>
        <w:tc>
          <w:tcPr>
            <w:tcW w:w="1584" w:type="dxa"/>
            <w:vAlign w:val="bottom"/>
          </w:tcPr>
          <w:p w14:paraId="371B11FD" w14:textId="32E4144B" w:rsidR="004B2570" w:rsidRPr="00390E81" w:rsidRDefault="004B2570" w:rsidP="004B257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18"/>
              </w:rPr>
              <w:t>+</w:t>
            </w:r>
            <w:r w:rsidR="00FC6CD0">
              <w:rPr>
                <w:rFonts w:ascii="Arial" w:hAnsi="Arial" w:cs="Arial"/>
                <w:sz w:val="18"/>
                <w:szCs w:val="18"/>
              </w:rPr>
              <w:t>4.5</w:t>
            </w:r>
            <w:r w:rsidRPr="00390E81">
              <w:rPr>
                <w:rFonts w:ascii="Arial" w:hAnsi="Arial" w:cs="Arial"/>
                <w:sz w:val="18"/>
                <w:szCs w:val="18"/>
              </w:rPr>
              <w:t>%</w:t>
            </w:r>
          </w:p>
        </w:tc>
        <w:tc>
          <w:tcPr>
            <w:tcW w:w="1584" w:type="dxa"/>
            <w:vAlign w:val="bottom"/>
          </w:tcPr>
          <w:p w14:paraId="248DEF07" w14:textId="598DA509" w:rsidR="004B2570" w:rsidRPr="00390E81" w:rsidRDefault="00FC6CD0" w:rsidP="004B2570">
            <w:pPr>
              <w:jc w:val="right"/>
              <w:cnfStyle w:val="000000000000" w:firstRow="0" w:lastRow="0" w:firstColumn="0" w:lastColumn="0" w:oddVBand="0" w:evenVBand="0" w:oddHBand="0" w:evenHBand="0" w:firstRowFirstColumn="0" w:firstRowLastColumn="0" w:lastRowFirstColumn="0" w:lastRowLastColumn="0"/>
              <w:rPr>
                <w:rFonts w:ascii="Arial" w:hAnsi="Arial" w:cs="Arial"/>
                <w:highlight w:val="red"/>
              </w:rPr>
            </w:pPr>
            <w:r>
              <w:rPr>
                <w:rFonts w:ascii="Arial" w:hAnsi="Arial" w:cs="Arial"/>
                <w:sz w:val="18"/>
                <w:szCs w:val="18"/>
              </w:rPr>
              <w:t>-12.8</w:t>
            </w:r>
            <w:r w:rsidR="004B2570" w:rsidRPr="00390E81">
              <w:rPr>
                <w:rFonts w:ascii="Arial" w:hAnsi="Arial" w:cs="Arial"/>
                <w:sz w:val="18"/>
                <w:szCs w:val="18"/>
              </w:rPr>
              <w:t>%</w:t>
            </w:r>
          </w:p>
        </w:tc>
        <w:tc>
          <w:tcPr>
            <w:tcW w:w="1584" w:type="dxa"/>
            <w:vAlign w:val="bottom"/>
          </w:tcPr>
          <w:p w14:paraId="7417AA65" w14:textId="31AFD039" w:rsidR="004B2570" w:rsidRPr="00390E81" w:rsidRDefault="004B2570" w:rsidP="004B257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390E81">
              <w:rPr>
                <w:rFonts w:ascii="Arial" w:hAnsi="Arial" w:cs="Arial"/>
                <w:sz w:val="18"/>
                <w:szCs w:val="18"/>
              </w:rPr>
              <w:t>$</w:t>
            </w:r>
            <w:r w:rsidR="00FC6CD0">
              <w:rPr>
                <w:rFonts w:ascii="Arial" w:hAnsi="Arial" w:cs="Arial"/>
                <w:sz w:val="18"/>
                <w:szCs w:val="18"/>
              </w:rPr>
              <w:t>1.49</w:t>
            </w:r>
          </w:p>
        </w:tc>
        <w:tc>
          <w:tcPr>
            <w:tcW w:w="1584" w:type="dxa"/>
            <w:vAlign w:val="bottom"/>
          </w:tcPr>
          <w:p w14:paraId="4AF0D023" w14:textId="57863B67" w:rsidR="004B2570" w:rsidRPr="00390E81" w:rsidRDefault="004B2570" w:rsidP="004B257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18"/>
              </w:rPr>
              <w:t>+</w:t>
            </w:r>
            <w:r w:rsidR="00FC6CD0">
              <w:rPr>
                <w:rFonts w:ascii="Arial" w:hAnsi="Arial" w:cs="Arial"/>
                <w:sz w:val="18"/>
                <w:szCs w:val="18"/>
              </w:rPr>
              <w:t>19.8</w:t>
            </w:r>
            <w:r w:rsidRPr="00390E81">
              <w:rPr>
                <w:rFonts w:ascii="Arial" w:hAnsi="Arial" w:cs="Arial"/>
                <w:sz w:val="18"/>
                <w:szCs w:val="18"/>
              </w:rPr>
              <w:t>%</w:t>
            </w:r>
          </w:p>
        </w:tc>
      </w:tr>
    </w:tbl>
    <w:p w14:paraId="788E9F0B" w14:textId="77777777" w:rsidR="00770809" w:rsidRPr="008B064E" w:rsidRDefault="00770809" w:rsidP="00770809">
      <w:pPr>
        <w:pStyle w:val="NoSpacing"/>
        <w:rPr>
          <w:rFonts w:ascii="Arial" w:hAnsi="Arial" w:cs="Arial"/>
          <w:sz w:val="4"/>
          <w:szCs w:val="4"/>
        </w:rPr>
      </w:pPr>
    </w:p>
    <w:p w14:paraId="127869F3" w14:textId="1128B80A" w:rsidR="00770809" w:rsidRPr="00B35CE9" w:rsidRDefault="00770809" w:rsidP="00770809">
      <w:pPr>
        <w:pStyle w:val="NoSpacing"/>
        <w:rPr>
          <w:rFonts w:ascii="Arial" w:hAnsi="Arial" w:cs="Arial"/>
          <w:sz w:val="16"/>
          <w:szCs w:val="16"/>
        </w:rPr>
      </w:pPr>
      <w:r w:rsidRPr="00B265F0">
        <w:rPr>
          <w:rFonts w:ascii="Arial" w:hAnsi="Arial" w:cs="Arial"/>
          <w:sz w:val="16"/>
          <w:szCs w:val="16"/>
        </w:rPr>
        <w:t>Source: IRI</w:t>
      </w:r>
      <w:r>
        <w:rPr>
          <w:rFonts w:ascii="Arial" w:hAnsi="Arial" w:cs="Arial"/>
          <w:sz w:val="16"/>
          <w:szCs w:val="16"/>
        </w:rPr>
        <w:t xml:space="preserve"> Integrated Fresh, </w:t>
      </w:r>
      <w:r w:rsidRPr="00B265F0">
        <w:rPr>
          <w:rFonts w:ascii="Arial" w:hAnsi="Arial" w:cs="Arial"/>
          <w:sz w:val="16"/>
          <w:szCs w:val="16"/>
        </w:rPr>
        <w:t>Total US, MULO</w:t>
      </w:r>
    </w:p>
    <w:p w14:paraId="308559FB" w14:textId="17CD21FF" w:rsidR="00770809" w:rsidRDefault="00F30A13" w:rsidP="00770809">
      <w:pPr>
        <w:pStyle w:val="NoSpacing"/>
        <w:rPr>
          <w:rFonts w:ascii="Arial" w:hAnsi="Arial" w:cs="Arial"/>
          <w:sz w:val="20"/>
          <w:szCs w:val="20"/>
        </w:rPr>
      </w:pPr>
      <w:r>
        <w:rPr>
          <w:noProof/>
        </w:rPr>
        <w:drawing>
          <wp:anchor distT="0" distB="0" distL="114300" distR="114300" simplePos="0" relativeHeight="251663360" behindDoc="0" locked="0" layoutInCell="1" allowOverlap="1" wp14:anchorId="5DADF366" wp14:editId="339E04A3">
            <wp:simplePos x="0" y="0"/>
            <wp:positionH relativeFrom="margin">
              <wp:align>right</wp:align>
            </wp:positionH>
            <wp:positionV relativeFrom="paragraph">
              <wp:posOffset>134595</wp:posOffset>
            </wp:positionV>
            <wp:extent cx="4462272" cy="2611527"/>
            <wp:effectExtent l="0" t="0" r="0" b="0"/>
            <wp:wrapSquare wrapText="bothSides"/>
            <wp:docPr id="10" name="Chart 10">
              <a:extLst xmlns:a="http://schemas.openxmlformats.org/drawingml/2006/main">
                <a:ext uri="{FF2B5EF4-FFF2-40B4-BE49-F238E27FC236}">
                  <a16:creationId xmlns:a16="http://schemas.microsoft.com/office/drawing/2014/main" id="{2FA70E28-DB44-49A9-8B6F-65A0A80619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4DD6B51A" w14:textId="77777777" w:rsidR="00F30A13" w:rsidRDefault="00F30A13" w:rsidP="00770809">
      <w:pPr>
        <w:pStyle w:val="NoSpacing"/>
        <w:rPr>
          <w:rFonts w:ascii="Arial" w:hAnsi="Arial" w:cs="Arial"/>
          <w:sz w:val="20"/>
          <w:szCs w:val="20"/>
        </w:rPr>
      </w:pPr>
      <w:r>
        <w:rPr>
          <w:rFonts w:ascii="Arial" w:hAnsi="Arial" w:cs="Arial"/>
          <w:sz w:val="20"/>
          <w:szCs w:val="20"/>
        </w:rPr>
        <w:t>In January 2023,</w:t>
      </w:r>
      <w:r w:rsidR="009A4953">
        <w:rPr>
          <w:rFonts w:ascii="Arial" w:hAnsi="Arial" w:cs="Arial"/>
          <w:sz w:val="20"/>
          <w:szCs w:val="20"/>
        </w:rPr>
        <w:t xml:space="preserve"> the share of fresh fruit and vegetables </w:t>
      </w:r>
      <w:r>
        <w:rPr>
          <w:rFonts w:ascii="Arial" w:hAnsi="Arial" w:cs="Arial"/>
          <w:sz w:val="20"/>
          <w:szCs w:val="20"/>
        </w:rPr>
        <w:t>dropped</w:t>
      </w:r>
      <w:r w:rsidR="00F801C4">
        <w:rPr>
          <w:rFonts w:ascii="Arial" w:hAnsi="Arial" w:cs="Arial"/>
          <w:sz w:val="20"/>
          <w:szCs w:val="20"/>
        </w:rPr>
        <w:t xml:space="preserve"> </w:t>
      </w:r>
      <w:r>
        <w:rPr>
          <w:rFonts w:ascii="Arial" w:hAnsi="Arial" w:cs="Arial"/>
          <w:sz w:val="20"/>
          <w:szCs w:val="20"/>
        </w:rPr>
        <w:t xml:space="preserve">to 77.8% in large part due to the below-average inflation. The share of frozen increased to 9.3%. Winter months do tend to see higher levels of frozen foods as meal choices shift to soups, stews and casseroles versus summer salad and barbecue season. </w:t>
      </w:r>
    </w:p>
    <w:p w14:paraId="197FB966" w14:textId="77777777" w:rsidR="00F30A13" w:rsidRDefault="00F30A13" w:rsidP="00770809">
      <w:pPr>
        <w:pStyle w:val="NoSpacing"/>
        <w:rPr>
          <w:rFonts w:ascii="Arial" w:hAnsi="Arial" w:cs="Arial"/>
          <w:sz w:val="20"/>
          <w:szCs w:val="20"/>
        </w:rPr>
      </w:pPr>
    </w:p>
    <w:p w14:paraId="53C7F7C1" w14:textId="3128F346" w:rsidR="00E33D11" w:rsidRDefault="00F30A13" w:rsidP="00770809">
      <w:pPr>
        <w:pStyle w:val="NoSpacing"/>
        <w:rPr>
          <w:rFonts w:ascii="Arial" w:hAnsi="Arial" w:cs="Arial"/>
          <w:sz w:val="20"/>
          <w:szCs w:val="20"/>
        </w:rPr>
      </w:pPr>
      <w:r>
        <w:rPr>
          <w:rFonts w:ascii="Arial" w:hAnsi="Arial" w:cs="Arial"/>
          <w:sz w:val="20"/>
          <w:szCs w:val="20"/>
        </w:rPr>
        <w:t xml:space="preserve">Fresh produce represented 77.3% of pounds, with 8.2% for frozen fruit and vegetables and 14.6% for shelf-stable produce.  </w:t>
      </w:r>
    </w:p>
    <w:p w14:paraId="55311572" w14:textId="4D20DB5F" w:rsidR="003508FD" w:rsidRPr="00983F3F" w:rsidRDefault="003508FD" w:rsidP="00983F3F">
      <w:pPr>
        <w:spacing w:after="0" w:line="240" w:lineRule="auto"/>
        <w:rPr>
          <w:rFonts w:ascii="Arial" w:hAnsi="Arial" w:cs="Arial"/>
          <w:color w:val="000000" w:themeColor="text1"/>
          <w:sz w:val="10"/>
          <w:szCs w:val="10"/>
          <w:shd w:val="clear" w:color="auto" w:fill="FFFFFF"/>
        </w:rPr>
      </w:pPr>
    </w:p>
    <w:p w14:paraId="0751DC13" w14:textId="15B554A3" w:rsidR="008111C0" w:rsidRDefault="008111C0" w:rsidP="00983F3F">
      <w:pPr>
        <w:spacing w:after="0" w:line="240" w:lineRule="auto"/>
        <w:rPr>
          <w:rFonts w:ascii="Arial" w:hAnsi="Arial" w:cs="Arial"/>
          <w:sz w:val="16"/>
          <w:szCs w:val="16"/>
        </w:rPr>
      </w:pPr>
      <w:r w:rsidRPr="00507D74">
        <w:rPr>
          <w:rFonts w:ascii="Arial" w:hAnsi="Arial" w:cs="Arial"/>
          <w:sz w:val="16"/>
          <w:szCs w:val="16"/>
        </w:rPr>
        <w:t>Source: Source: IRI Integrated Fresh, Total U.S., MULO</w:t>
      </w:r>
    </w:p>
    <w:p w14:paraId="6A747D79" w14:textId="32DB7BC7" w:rsidR="008111C0" w:rsidRDefault="008111C0" w:rsidP="0053257C">
      <w:pPr>
        <w:spacing w:after="0" w:line="240" w:lineRule="auto"/>
        <w:rPr>
          <w:rFonts w:ascii="Arial" w:hAnsi="Arial" w:cs="Arial"/>
          <w:sz w:val="20"/>
          <w:shd w:val="clear" w:color="auto" w:fill="FFFFFF"/>
        </w:rPr>
      </w:pPr>
    </w:p>
    <w:p w14:paraId="29284688" w14:textId="77777777" w:rsidR="00215410" w:rsidRDefault="00215410" w:rsidP="0053257C">
      <w:pPr>
        <w:spacing w:after="0" w:line="240" w:lineRule="auto"/>
        <w:rPr>
          <w:rFonts w:ascii="Arial" w:hAnsi="Arial" w:cs="Arial"/>
          <w:sz w:val="20"/>
          <w:shd w:val="clear" w:color="auto" w:fill="FFFFFF"/>
        </w:rPr>
      </w:pPr>
    </w:p>
    <w:p w14:paraId="6839CE99" w14:textId="77777777" w:rsidR="002137F5" w:rsidRPr="00CF309B" w:rsidRDefault="006C3FCE" w:rsidP="006069A6">
      <w:pPr>
        <w:pStyle w:val="NoSpacing"/>
        <w:rPr>
          <w:rFonts w:ascii="Arial" w:hAnsi="Arial" w:cs="Arial"/>
          <w:b/>
          <w:color w:val="595959" w:themeColor="text1" w:themeTint="A6"/>
          <w:sz w:val="24"/>
          <w:szCs w:val="24"/>
        </w:rPr>
      </w:pPr>
      <w:r w:rsidRPr="00CF309B">
        <w:rPr>
          <w:rFonts w:ascii="Arial" w:hAnsi="Arial" w:cs="Arial"/>
          <w:b/>
          <w:color w:val="595959" w:themeColor="text1" w:themeTint="A6"/>
          <w:sz w:val="24"/>
          <w:szCs w:val="24"/>
        </w:rPr>
        <w:t xml:space="preserve">Fresh Produce </w:t>
      </w:r>
      <w:r w:rsidR="002137F5" w:rsidRPr="00CF309B">
        <w:rPr>
          <w:rFonts w:ascii="Arial" w:hAnsi="Arial" w:cs="Arial"/>
          <w:b/>
          <w:color w:val="595959" w:themeColor="text1" w:themeTint="A6"/>
          <w:sz w:val="24"/>
          <w:szCs w:val="24"/>
        </w:rPr>
        <w:t>Dollars versus Volume</w:t>
      </w:r>
    </w:p>
    <w:p w14:paraId="0CB7AB49" w14:textId="0A0F8E14" w:rsidR="0005157F" w:rsidRDefault="00223410" w:rsidP="006069A6">
      <w:pPr>
        <w:pStyle w:val="NoSpacing"/>
        <w:rPr>
          <w:rFonts w:ascii="Arial" w:hAnsi="Arial" w:cs="Arial"/>
          <w:sz w:val="20"/>
          <w:szCs w:val="20"/>
        </w:rPr>
      </w:pPr>
      <w:r>
        <w:rPr>
          <w:rFonts w:ascii="Arial" w:hAnsi="Arial" w:cs="Arial"/>
          <w:sz w:val="20"/>
          <w:szCs w:val="20"/>
        </w:rPr>
        <w:t xml:space="preserve">Fresh produce pound sales </w:t>
      </w:r>
      <w:r w:rsidR="00D36C5A">
        <w:rPr>
          <w:rFonts w:ascii="Arial" w:hAnsi="Arial" w:cs="Arial"/>
          <w:sz w:val="20"/>
          <w:szCs w:val="20"/>
        </w:rPr>
        <w:t>ha</w:t>
      </w:r>
      <w:r w:rsidR="00034C1B">
        <w:rPr>
          <w:rFonts w:ascii="Arial" w:hAnsi="Arial" w:cs="Arial"/>
          <w:sz w:val="20"/>
          <w:szCs w:val="20"/>
        </w:rPr>
        <w:t>ve</w:t>
      </w:r>
      <w:r w:rsidR="00D36C5A">
        <w:rPr>
          <w:rFonts w:ascii="Arial" w:hAnsi="Arial" w:cs="Arial"/>
          <w:sz w:val="20"/>
          <w:szCs w:val="20"/>
        </w:rPr>
        <w:t xml:space="preserve"> </w:t>
      </w:r>
      <w:r>
        <w:rPr>
          <w:rFonts w:ascii="Arial" w:hAnsi="Arial" w:cs="Arial"/>
          <w:sz w:val="20"/>
          <w:szCs w:val="20"/>
        </w:rPr>
        <w:t xml:space="preserve">trailed behind year ago levels </w:t>
      </w:r>
      <w:r w:rsidR="00D36C5A">
        <w:rPr>
          <w:rFonts w:ascii="Arial" w:hAnsi="Arial" w:cs="Arial"/>
          <w:sz w:val="20"/>
          <w:szCs w:val="20"/>
        </w:rPr>
        <w:t>since March 2021</w:t>
      </w:r>
      <w:r w:rsidR="00F30A13">
        <w:rPr>
          <w:rFonts w:ascii="Arial" w:hAnsi="Arial" w:cs="Arial"/>
          <w:sz w:val="20"/>
          <w:szCs w:val="20"/>
        </w:rPr>
        <w:t xml:space="preserve">. Pound volume had been recovering but dropped a bit in January to -4.1% when compared to January 2022. </w:t>
      </w:r>
      <w:r w:rsidR="00A84528">
        <w:rPr>
          <w:rFonts w:ascii="Arial" w:hAnsi="Arial" w:cs="Arial"/>
          <w:sz w:val="20"/>
          <w:szCs w:val="20"/>
        </w:rPr>
        <w:t xml:space="preserve">After a very strong fourth quarter, fresh produce pounds are back in line with the second and third quarter performance of 2022 in terms of its levels versus pre-pandemic. </w:t>
      </w:r>
    </w:p>
    <w:p w14:paraId="33F0DBEC" w14:textId="28859AC2" w:rsidR="00BA5935" w:rsidRDefault="00D10591" w:rsidP="009D1A60">
      <w:pPr>
        <w:pStyle w:val="NoSpacing"/>
        <w:rPr>
          <w:noProof/>
        </w:rPr>
      </w:pPr>
      <w:r>
        <w:rPr>
          <w:noProof/>
        </w:rPr>
        <w:lastRenderedPageBreak/>
        <w:drawing>
          <wp:inline distT="0" distB="0" distL="0" distR="0" wp14:anchorId="288EBC3A" wp14:editId="13F4D716">
            <wp:extent cx="6750685" cy="2508885"/>
            <wp:effectExtent l="0" t="0" r="0" b="5715"/>
            <wp:docPr id="4" name="Chart 4">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E9A45F" w14:textId="77777777" w:rsidR="00441E8F" w:rsidRPr="00CF309B" w:rsidRDefault="00441E8F" w:rsidP="00441E8F">
      <w:pPr>
        <w:pStyle w:val="NoSpacing"/>
        <w:rPr>
          <w:rFonts w:ascii="Arial" w:hAnsi="Arial" w:cs="Arial"/>
          <w:sz w:val="16"/>
          <w:szCs w:val="16"/>
        </w:rPr>
      </w:pPr>
      <w:r w:rsidRPr="00CF309B">
        <w:rPr>
          <w:rFonts w:ascii="Arial" w:hAnsi="Arial" w:cs="Arial"/>
          <w:sz w:val="16"/>
          <w:szCs w:val="16"/>
        </w:rPr>
        <w:t>Source: Source: IRI</w:t>
      </w:r>
      <w:r w:rsidR="00906C46">
        <w:rPr>
          <w:rFonts w:ascii="Arial" w:hAnsi="Arial" w:cs="Arial"/>
          <w:sz w:val="16"/>
          <w:szCs w:val="16"/>
        </w:rPr>
        <w:t xml:space="preserve"> Integrated Fresh</w:t>
      </w:r>
      <w:r w:rsidRPr="00CF309B">
        <w:rPr>
          <w:rFonts w:ascii="Arial" w:hAnsi="Arial" w:cs="Arial"/>
          <w:sz w:val="16"/>
          <w:szCs w:val="16"/>
        </w:rPr>
        <w:t>, Total U.S., MULO</w:t>
      </w:r>
      <w:r w:rsidR="00AA6AEB">
        <w:rPr>
          <w:rFonts w:ascii="Arial" w:hAnsi="Arial" w:cs="Arial"/>
          <w:sz w:val="16"/>
          <w:szCs w:val="16"/>
        </w:rPr>
        <w:t xml:space="preserve"> </w:t>
      </w:r>
    </w:p>
    <w:p w14:paraId="6D359850" w14:textId="77777777" w:rsidR="00D10591" w:rsidRDefault="00D10591" w:rsidP="007C430F">
      <w:pPr>
        <w:pStyle w:val="NoSpacing"/>
        <w:rPr>
          <w:rFonts w:ascii="Arial" w:hAnsi="Arial" w:cs="Arial"/>
          <w:color w:val="000000" w:themeColor="text1"/>
          <w:sz w:val="20"/>
          <w:szCs w:val="18"/>
          <w:shd w:val="clear" w:color="auto" w:fill="FFFFFF"/>
        </w:rPr>
      </w:pPr>
    </w:p>
    <w:p w14:paraId="14CF2F77" w14:textId="52AB4DBB" w:rsidR="00EF524A" w:rsidRDefault="00A84528" w:rsidP="007C430F">
      <w:pPr>
        <w:pStyle w:val="NoSpacing"/>
        <w:rPr>
          <w:rFonts w:ascii="Arial" w:hAnsi="Arial" w:cs="Arial"/>
          <w:color w:val="000000" w:themeColor="text1"/>
          <w:sz w:val="20"/>
          <w:szCs w:val="18"/>
          <w:shd w:val="clear" w:color="auto" w:fill="FFFFFF"/>
        </w:rPr>
      </w:pPr>
      <w:r>
        <w:rPr>
          <w:rFonts w:ascii="Arial" w:hAnsi="Arial" w:cs="Arial"/>
          <w:color w:val="000000" w:themeColor="text1"/>
          <w:sz w:val="20"/>
          <w:szCs w:val="18"/>
          <w:shd w:val="clear" w:color="auto" w:fill="FFFFFF"/>
        </w:rPr>
        <w:t>After a strong December, the fresh fruit and vegetable performance retreated a bit in January</w:t>
      </w:r>
      <w:r w:rsidR="00F515F4">
        <w:rPr>
          <w:rFonts w:ascii="Arial" w:hAnsi="Arial" w:cs="Arial"/>
          <w:color w:val="000000" w:themeColor="text1"/>
          <w:sz w:val="20"/>
          <w:szCs w:val="18"/>
          <w:shd w:val="clear" w:color="auto" w:fill="FFFFFF"/>
        </w:rPr>
        <w:t xml:space="preserve">. </w:t>
      </w:r>
    </w:p>
    <w:p w14:paraId="18A8E37F" w14:textId="77777777" w:rsidR="00F700E5" w:rsidRDefault="00F700E5" w:rsidP="007C430F">
      <w:pPr>
        <w:pStyle w:val="NoSpacing"/>
        <w:rPr>
          <w:rFonts w:ascii="Arial" w:hAnsi="Arial" w:cs="Arial"/>
          <w:color w:val="000000" w:themeColor="text1"/>
          <w:sz w:val="20"/>
          <w:szCs w:val="18"/>
          <w:shd w:val="clear" w:color="auto" w:fill="FFFFFF"/>
        </w:rPr>
      </w:pPr>
    </w:p>
    <w:tbl>
      <w:tblPr>
        <w:tblStyle w:val="LightShading-Accent5"/>
        <w:tblW w:w="10553" w:type="dxa"/>
        <w:tblBorders>
          <w:top w:val="none" w:sz="0" w:space="0" w:color="auto"/>
          <w:bottom w:val="none" w:sz="0" w:space="0" w:color="auto"/>
        </w:tblBorders>
        <w:tblLook w:val="04A0" w:firstRow="1" w:lastRow="0" w:firstColumn="1" w:lastColumn="0" w:noHBand="0" w:noVBand="1"/>
      </w:tblPr>
      <w:tblGrid>
        <w:gridCol w:w="1160"/>
        <w:gridCol w:w="342"/>
        <w:gridCol w:w="549"/>
        <w:gridCol w:w="217"/>
        <w:gridCol w:w="851"/>
        <w:gridCol w:w="857"/>
        <w:gridCol w:w="986"/>
        <w:gridCol w:w="850"/>
        <w:gridCol w:w="992"/>
        <w:gridCol w:w="829"/>
        <w:gridCol w:w="949"/>
        <w:gridCol w:w="934"/>
        <w:gridCol w:w="1037"/>
      </w:tblGrid>
      <w:tr w:rsidR="002A3B9B" w:rsidRPr="00CF309B" w14:paraId="54D27BD5" w14:textId="77777777" w:rsidTr="00184177">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1D9731B" w14:textId="77777777" w:rsidR="002A3B9B" w:rsidRPr="00B7196D" w:rsidRDefault="002A3B9B" w:rsidP="00EC62BA">
            <w:pPr>
              <w:pStyle w:val="NoSpacing"/>
              <w:jc w:val="center"/>
              <w:rPr>
                <w:rFonts w:ascii="Arial" w:hAnsi="Arial" w:cs="Arial"/>
                <w:color w:val="FFFFFF" w:themeColor="background1"/>
                <w:sz w:val="18"/>
                <w:szCs w:val="18"/>
              </w:rPr>
            </w:pPr>
            <w:bookmarkStart w:id="2" w:name="_Hlk114217515"/>
          </w:p>
        </w:tc>
        <w:tc>
          <w:tcPr>
            <w:tcW w:w="891"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6CFA624D" w14:textId="77777777" w:rsidR="002A3B9B" w:rsidRPr="00CF309B" w:rsidRDefault="002A3B9B"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8502" w:type="dxa"/>
            <w:gridSpan w:val="10"/>
            <w:tcBorders>
              <w:top w:val="none" w:sz="0" w:space="0" w:color="auto"/>
              <w:left w:val="none" w:sz="0" w:space="0" w:color="auto"/>
              <w:bottom w:val="none" w:sz="0" w:space="0" w:color="auto"/>
              <w:right w:val="none" w:sz="0" w:space="0" w:color="auto"/>
            </w:tcBorders>
            <w:shd w:val="clear" w:color="auto" w:fill="17365D" w:themeFill="text2" w:themeFillShade="BF"/>
          </w:tcPr>
          <w:p w14:paraId="5C2A10C7" w14:textId="7C02BD85" w:rsidR="002A3B9B" w:rsidRPr="00CF309B" w:rsidRDefault="002A3B9B"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F309B">
              <w:rPr>
                <w:rFonts w:ascii="Arial" w:hAnsi="Arial" w:cs="Arial"/>
                <w:color w:val="FFFFFF" w:themeColor="background1"/>
                <w:sz w:val="18"/>
                <w:szCs w:val="18"/>
              </w:rPr>
              <w:t>Growth over comparable period</w:t>
            </w:r>
          </w:p>
        </w:tc>
      </w:tr>
      <w:tr w:rsidR="00A61E56" w:rsidRPr="00CF309B" w14:paraId="2188E4FF" w14:textId="77777777" w:rsidTr="001841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02" w:type="dxa"/>
            <w:gridSpan w:val="2"/>
            <w:tcBorders>
              <w:left w:val="none" w:sz="0" w:space="0" w:color="auto"/>
              <w:right w:val="none" w:sz="0" w:space="0" w:color="auto"/>
            </w:tcBorders>
            <w:shd w:val="clear" w:color="auto" w:fill="17365D" w:themeFill="text2" w:themeFillShade="BF"/>
            <w:vAlign w:val="center"/>
          </w:tcPr>
          <w:p w14:paraId="29E5768B" w14:textId="77777777" w:rsidR="00A61E56" w:rsidRPr="00B7196D" w:rsidRDefault="00A61E56" w:rsidP="00494940">
            <w:pPr>
              <w:pStyle w:val="NoSpacing"/>
              <w:jc w:val="right"/>
              <w:rPr>
                <w:rFonts w:ascii="Arial" w:hAnsi="Arial" w:cs="Arial"/>
                <w:color w:val="FFFFFF" w:themeColor="background1"/>
                <w:sz w:val="18"/>
                <w:szCs w:val="18"/>
              </w:rPr>
            </w:pPr>
          </w:p>
        </w:tc>
        <w:tc>
          <w:tcPr>
            <w:tcW w:w="766" w:type="dxa"/>
            <w:gridSpan w:val="2"/>
            <w:tcBorders>
              <w:left w:val="none" w:sz="0" w:space="0" w:color="auto"/>
              <w:right w:val="none" w:sz="0" w:space="0" w:color="auto"/>
            </w:tcBorders>
            <w:shd w:val="clear" w:color="auto" w:fill="17365D" w:themeFill="text2" w:themeFillShade="BF"/>
            <w:vAlign w:val="center"/>
          </w:tcPr>
          <w:p w14:paraId="63017601" w14:textId="77777777" w:rsidR="00A61E56" w:rsidRPr="003C245B"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851" w:type="dxa"/>
            <w:tcBorders>
              <w:left w:val="none" w:sz="0" w:space="0" w:color="auto"/>
              <w:right w:val="none" w:sz="0" w:space="0" w:color="auto"/>
            </w:tcBorders>
            <w:shd w:val="clear" w:color="auto" w:fill="17365D" w:themeFill="text2" w:themeFillShade="BF"/>
            <w:vAlign w:val="center"/>
          </w:tcPr>
          <w:p w14:paraId="4A18F774" w14:textId="77777777" w:rsidR="00A61E56" w:rsidRPr="003C245B"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857" w:type="dxa"/>
            <w:tcBorders>
              <w:left w:val="none" w:sz="0" w:space="0" w:color="auto"/>
              <w:right w:val="none" w:sz="0" w:space="0" w:color="auto"/>
            </w:tcBorders>
            <w:shd w:val="clear" w:color="auto" w:fill="17365D" w:themeFill="text2" w:themeFillShade="BF"/>
            <w:vAlign w:val="center"/>
          </w:tcPr>
          <w:p w14:paraId="1A442681" w14:textId="71F4D752" w:rsidR="00A61E56"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2021</w:t>
            </w:r>
          </w:p>
        </w:tc>
        <w:tc>
          <w:tcPr>
            <w:tcW w:w="986" w:type="dxa"/>
            <w:tcBorders>
              <w:left w:val="none" w:sz="0" w:space="0" w:color="auto"/>
              <w:right w:val="none" w:sz="0" w:space="0" w:color="auto"/>
            </w:tcBorders>
            <w:shd w:val="clear" w:color="auto" w:fill="17365D" w:themeFill="text2" w:themeFillShade="BF"/>
            <w:vAlign w:val="center"/>
          </w:tcPr>
          <w:p w14:paraId="4385EE9E" w14:textId="22D4D9C4" w:rsidR="00A61E56"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850" w:type="dxa"/>
            <w:tcBorders>
              <w:left w:val="none" w:sz="0" w:space="0" w:color="auto"/>
              <w:right w:val="none" w:sz="0" w:space="0" w:color="auto"/>
            </w:tcBorders>
            <w:shd w:val="clear" w:color="auto" w:fill="17365D" w:themeFill="text2" w:themeFillShade="BF"/>
            <w:vAlign w:val="center"/>
          </w:tcPr>
          <w:p w14:paraId="1C76D19F" w14:textId="11890A13" w:rsidR="00A61E56"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22</w:t>
            </w:r>
          </w:p>
        </w:tc>
        <w:tc>
          <w:tcPr>
            <w:tcW w:w="992" w:type="dxa"/>
            <w:tcBorders>
              <w:left w:val="none" w:sz="0" w:space="0" w:color="auto"/>
              <w:right w:val="none" w:sz="0" w:space="0" w:color="auto"/>
            </w:tcBorders>
            <w:shd w:val="clear" w:color="auto" w:fill="17365D" w:themeFill="text2" w:themeFillShade="BF"/>
            <w:vAlign w:val="center"/>
          </w:tcPr>
          <w:p w14:paraId="49CD60B3" w14:textId="22F34E36" w:rsidR="00A61E56"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22</w:t>
            </w:r>
          </w:p>
        </w:tc>
        <w:tc>
          <w:tcPr>
            <w:tcW w:w="829" w:type="dxa"/>
            <w:tcBorders>
              <w:left w:val="none" w:sz="0" w:space="0" w:color="auto"/>
              <w:right w:val="none" w:sz="0" w:space="0" w:color="auto"/>
            </w:tcBorders>
            <w:shd w:val="clear" w:color="auto" w:fill="17365D" w:themeFill="text2" w:themeFillShade="BF"/>
            <w:vAlign w:val="center"/>
          </w:tcPr>
          <w:p w14:paraId="518A748D" w14:textId="7BFF7048" w:rsidR="00A61E56"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22</w:t>
            </w:r>
          </w:p>
        </w:tc>
        <w:tc>
          <w:tcPr>
            <w:tcW w:w="949" w:type="dxa"/>
            <w:tcBorders>
              <w:left w:val="none" w:sz="0" w:space="0" w:color="auto"/>
              <w:right w:val="none" w:sz="0" w:space="0" w:color="auto"/>
            </w:tcBorders>
            <w:shd w:val="clear" w:color="auto" w:fill="17365D" w:themeFill="text2" w:themeFillShade="BF"/>
            <w:vAlign w:val="center"/>
          </w:tcPr>
          <w:p w14:paraId="7DD4E35E" w14:textId="66E22727" w:rsidR="00A61E56" w:rsidRDefault="00A84528"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 xml:space="preserve">Jan </w:t>
            </w:r>
            <w:r w:rsidR="00A61E56">
              <w:rPr>
                <w:rFonts w:ascii="Arial" w:hAnsi="Arial" w:cs="Arial"/>
                <w:b/>
                <w:color w:val="FFFFFF" w:themeColor="background1"/>
                <w:sz w:val="18"/>
                <w:szCs w:val="18"/>
              </w:rPr>
              <w:t>2</w:t>
            </w:r>
            <w:r>
              <w:rPr>
                <w:rFonts w:ascii="Arial" w:hAnsi="Arial" w:cs="Arial"/>
                <w:b/>
                <w:color w:val="FFFFFF" w:themeColor="background1"/>
                <w:sz w:val="18"/>
                <w:szCs w:val="18"/>
              </w:rPr>
              <w:t>3</w:t>
            </w:r>
          </w:p>
        </w:tc>
        <w:tc>
          <w:tcPr>
            <w:tcW w:w="934" w:type="dxa"/>
            <w:tcBorders>
              <w:left w:val="none" w:sz="0" w:space="0" w:color="auto"/>
              <w:right w:val="none" w:sz="0" w:space="0" w:color="auto"/>
            </w:tcBorders>
            <w:shd w:val="clear" w:color="auto" w:fill="17365D" w:themeFill="text2" w:themeFillShade="BF"/>
            <w:vAlign w:val="center"/>
          </w:tcPr>
          <w:p w14:paraId="041FEF61" w14:textId="4E21B2CB" w:rsidR="00A61E56"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vs YA</w:t>
            </w:r>
          </w:p>
        </w:tc>
        <w:tc>
          <w:tcPr>
            <w:tcW w:w="1037" w:type="dxa"/>
            <w:tcBorders>
              <w:left w:val="none" w:sz="0" w:space="0" w:color="auto"/>
              <w:right w:val="none" w:sz="0" w:space="0" w:color="auto"/>
            </w:tcBorders>
            <w:shd w:val="clear" w:color="auto" w:fill="17365D" w:themeFill="text2" w:themeFillShade="BF"/>
            <w:vAlign w:val="center"/>
          </w:tcPr>
          <w:p w14:paraId="582F16C2" w14:textId="434607A6" w:rsidR="00A61E56" w:rsidRDefault="00A61E56" w:rsidP="0049494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 xml:space="preserve">vs </w:t>
            </w:r>
            <w:r w:rsidR="00A84528">
              <w:rPr>
                <w:rFonts w:ascii="Arial" w:hAnsi="Arial" w:cs="Arial"/>
                <w:b/>
                <w:color w:val="FFFFFF" w:themeColor="background1"/>
                <w:sz w:val="18"/>
                <w:szCs w:val="18"/>
              </w:rPr>
              <w:t>3YA</w:t>
            </w:r>
          </w:p>
        </w:tc>
      </w:tr>
      <w:tr w:rsidR="00A61E56" w:rsidRPr="00E43E81" w14:paraId="63E25688" w14:textId="77777777" w:rsidTr="00BD7A5B">
        <w:trPr>
          <w:trHeight w:val="300"/>
        </w:trPr>
        <w:tc>
          <w:tcPr>
            <w:cnfStyle w:val="001000000000" w:firstRow="0" w:lastRow="0" w:firstColumn="1" w:lastColumn="0" w:oddVBand="0" w:evenVBand="0" w:oddHBand="0" w:evenHBand="0" w:firstRowFirstColumn="0" w:firstRowLastColumn="0" w:lastRowFirstColumn="0" w:lastRowLastColumn="0"/>
            <w:tcW w:w="1502" w:type="dxa"/>
            <w:gridSpan w:val="2"/>
            <w:vAlign w:val="center"/>
          </w:tcPr>
          <w:p w14:paraId="1BC5E048" w14:textId="77777777" w:rsidR="00A61E56" w:rsidRPr="00E43E81" w:rsidRDefault="00A61E56" w:rsidP="003A7E92">
            <w:pPr>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Fruit</w:t>
            </w:r>
          </w:p>
        </w:tc>
        <w:tc>
          <w:tcPr>
            <w:tcW w:w="766" w:type="dxa"/>
            <w:gridSpan w:val="2"/>
            <w:vAlign w:val="center"/>
          </w:tcPr>
          <w:p w14:paraId="1139F53D" w14:textId="77777777" w:rsidR="00A61E56" w:rsidRPr="00E43E81" w:rsidRDefault="00A61E56"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1" w:type="dxa"/>
            <w:vAlign w:val="center"/>
          </w:tcPr>
          <w:p w14:paraId="7781D8C8" w14:textId="77777777" w:rsidR="00A61E56" w:rsidRPr="00E43E81" w:rsidRDefault="00A61E56"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7" w:type="dxa"/>
          </w:tcPr>
          <w:p w14:paraId="2AA16F83" w14:textId="77777777" w:rsidR="00A61E56" w:rsidRPr="00E43E81" w:rsidRDefault="00A61E56"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86" w:type="dxa"/>
          </w:tcPr>
          <w:p w14:paraId="0E3FBDB9" w14:textId="77777777" w:rsidR="00A61E56" w:rsidRPr="00E43E81" w:rsidRDefault="00A61E56"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63E23AFE" w14:textId="77777777" w:rsidR="00A61E56" w:rsidRPr="00E43E81" w:rsidRDefault="00A61E56"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92" w:type="dxa"/>
            <w:vAlign w:val="center"/>
          </w:tcPr>
          <w:p w14:paraId="0DF8158F" w14:textId="77777777" w:rsidR="00A61E56" w:rsidRPr="00E43E81"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29" w:type="dxa"/>
          </w:tcPr>
          <w:p w14:paraId="4B6FB592" w14:textId="77777777" w:rsidR="00A61E56" w:rsidRPr="00E43E81" w:rsidRDefault="00A61E56"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49" w:type="dxa"/>
          </w:tcPr>
          <w:p w14:paraId="4EFAFB8B" w14:textId="47A621E9" w:rsidR="00A61E56" w:rsidRPr="00E43E81" w:rsidRDefault="00A61E56"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34" w:type="dxa"/>
          </w:tcPr>
          <w:p w14:paraId="3E5E2079" w14:textId="6B23943E" w:rsidR="00A61E56" w:rsidRPr="00E43E81" w:rsidRDefault="00A61E56"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1037" w:type="dxa"/>
          </w:tcPr>
          <w:p w14:paraId="3C1099A0" w14:textId="77777777" w:rsidR="00A61E56" w:rsidRPr="00E43E81" w:rsidRDefault="00A61E56"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r>
      <w:tr w:rsidR="00A61E56" w:rsidRPr="00EF524A" w14:paraId="5AEC7600" w14:textId="77777777" w:rsidTr="00184177">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502" w:type="dxa"/>
            <w:gridSpan w:val="2"/>
            <w:tcBorders>
              <w:left w:val="none" w:sz="0" w:space="0" w:color="auto"/>
              <w:right w:val="none" w:sz="0" w:space="0" w:color="auto"/>
            </w:tcBorders>
            <w:vAlign w:val="center"/>
          </w:tcPr>
          <w:p w14:paraId="7D1E7D37" w14:textId="4D3D1D32" w:rsidR="00A61E56" w:rsidRPr="00D642D0" w:rsidRDefault="00A61E56" w:rsidP="00A84528">
            <w:pPr>
              <w:pStyle w:val="NoSpacing"/>
              <w:rPr>
                <w:rFonts w:ascii="Arial" w:hAnsi="Arial" w:cs="Arial"/>
                <w:b w:val="0"/>
                <w:bCs w:val="0"/>
                <w:color w:val="215868" w:themeColor="accent5" w:themeShade="80"/>
                <w:sz w:val="18"/>
                <w:szCs w:val="18"/>
              </w:rPr>
            </w:pPr>
            <w:r w:rsidRPr="00D642D0">
              <w:rPr>
                <w:rFonts w:ascii="Arial" w:hAnsi="Arial" w:cs="Arial"/>
                <w:b w:val="0"/>
                <w:bCs w:val="0"/>
                <w:color w:val="215868"/>
                <w:sz w:val="18"/>
                <w:szCs w:val="18"/>
              </w:rPr>
              <w:t xml:space="preserve">   Dollars</w:t>
            </w:r>
          </w:p>
        </w:tc>
        <w:tc>
          <w:tcPr>
            <w:tcW w:w="766" w:type="dxa"/>
            <w:gridSpan w:val="2"/>
            <w:tcBorders>
              <w:left w:val="none" w:sz="0" w:space="0" w:color="auto"/>
              <w:right w:val="none" w:sz="0" w:space="0" w:color="auto"/>
            </w:tcBorders>
            <w:vAlign w:val="center"/>
          </w:tcPr>
          <w:p w14:paraId="15B690B5" w14:textId="587D8887" w:rsidR="00A61E56" w:rsidRPr="00EF524A"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
                <w:bCs/>
                <w:color w:val="215868"/>
                <w:sz w:val="18"/>
                <w:szCs w:val="18"/>
              </w:rPr>
              <w:t>+0%</w:t>
            </w:r>
          </w:p>
        </w:tc>
        <w:tc>
          <w:tcPr>
            <w:tcW w:w="851" w:type="dxa"/>
            <w:tcBorders>
              <w:left w:val="none" w:sz="0" w:space="0" w:color="auto"/>
              <w:right w:val="none" w:sz="0" w:space="0" w:color="auto"/>
            </w:tcBorders>
            <w:vAlign w:val="center"/>
          </w:tcPr>
          <w:p w14:paraId="17DA2E9F" w14:textId="0EA60C18" w:rsidR="00A61E56" w:rsidRPr="00EF524A"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
                <w:bCs/>
                <w:color w:val="215868"/>
                <w:sz w:val="18"/>
                <w:szCs w:val="18"/>
              </w:rPr>
              <w:t>+9%</w:t>
            </w:r>
          </w:p>
        </w:tc>
        <w:tc>
          <w:tcPr>
            <w:tcW w:w="857" w:type="dxa"/>
            <w:tcBorders>
              <w:left w:val="none" w:sz="0" w:space="0" w:color="auto"/>
              <w:right w:val="none" w:sz="0" w:space="0" w:color="auto"/>
            </w:tcBorders>
            <w:vAlign w:val="center"/>
          </w:tcPr>
          <w:p w14:paraId="59F7AEF4" w14:textId="7581E355" w:rsidR="00A61E56" w:rsidRPr="00EF524A" w:rsidRDefault="00477FBF"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+6.5</w:t>
            </w:r>
            <w:r w:rsidR="00A61E56">
              <w:rPr>
                <w:rFonts w:ascii="Arial" w:hAnsi="Arial" w:cs="Arial"/>
                <w:b/>
                <w:bCs/>
                <w:color w:val="215868"/>
                <w:sz w:val="18"/>
                <w:szCs w:val="18"/>
              </w:rPr>
              <w:t>%</w:t>
            </w:r>
          </w:p>
        </w:tc>
        <w:tc>
          <w:tcPr>
            <w:tcW w:w="986" w:type="dxa"/>
            <w:tcBorders>
              <w:left w:val="none" w:sz="0" w:space="0" w:color="auto"/>
              <w:right w:val="none" w:sz="0" w:space="0" w:color="auto"/>
            </w:tcBorders>
            <w:vAlign w:val="center"/>
          </w:tcPr>
          <w:p w14:paraId="0DFFA07C" w14:textId="31614361" w:rsidR="00A61E56" w:rsidRPr="00EF524A"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+10%</w:t>
            </w:r>
          </w:p>
        </w:tc>
        <w:tc>
          <w:tcPr>
            <w:tcW w:w="850" w:type="dxa"/>
            <w:tcBorders>
              <w:left w:val="none" w:sz="0" w:space="0" w:color="auto"/>
              <w:right w:val="none" w:sz="0" w:space="0" w:color="auto"/>
            </w:tcBorders>
            <w:vAlign w:val="center"/>
          </w:tcPr>
          <w:p w14:paraId="483B56F7" w14:textId="7B62B4E7" w:rsidR="00A61E56"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+4%</w:t>
            </w:r>
          </w:p>
        </w:tc>
        <w:tc>
          <w:tcPr>
            <w:tcW w:w="992" w:type="dxa"/>
            <w:tcBorders>
              <w:left w:val="none" w:sz="0" w:space="0" w:color="auto"/>
              <w:right w:val="none" w:sz="0" w:space="0" w:color="auto"/>
            </w:tcBorders>
            <w:vAlign w:val="center"/>
          </w:tcPr>
          <w:p w14:paraId="4FD296DE" w14:textId="2B93212B" w:rsidR="00A61E56"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sz w:val="18"/>
                <w:szCs w:val="18"/>
              </w:rPr>
            </w:pPr>
            <w:r>
              <w:rPr>
                <w:rFonts w:ascii="Arial" w:hAnsi="Arial" w:cs="Arial"/>
                <w:b/>
                <w:bCs/>
                <w:color w:val="215868"/>
                <w:sz w:val="18"/>
                <w:szCs w:val="18"/>
              </w:rPr>
              <w:t>+4.6%</w:t>
            </w:r>
          </w:p>
        </w:tc>
        <w:tc>
          <w:tcPr>
            <w:tcW w:w="829" w:type="dxa"/>
            <w:tcBorders>
              <w:left w:val="none" w:sz="0" w:space="0" w:color="auto"/>
              <w:right w:val="none" w:sz="0" w:space="0" w:color="auto"/>
            </w:tcBorders>
          </w:tcPr>
          <w:p w14:paraId="5C343E9E" w14:textId="3F161A55" w:rsidR="00A61E56" w:rsidRDefault="00477FBF"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sz w:val="18"/>
                <w:szCs w:val="18"/>
              </w:rPr>
            </w:pPr>
            <w:r>
              <w:rPr>
                <w:rFonts w:ascii="Arial" w:hAnsi="Arial" w:cs="Arial"/>
                <w:b/>
                <w:bCs/>
                <w:color w:val="215868"/>
                <w:sz w:val="18"/>
                <w:szCs w:val="18"/>
              </w:rPr>
              <w:t>+1.3</w:t>
            </w:r>
            <w:r w:rsidR="00A61E56">
              <w:rPr>
                <w:rFonts w:ascii="Arial" w:hAnsi="Arial" w:cs="Arial"/>
                <w:b/>
                <w:bCs/>
                <w:color w:val="215868"/>
                <w:sz w:val="18"/>
                <w:szCs w:val="18"/>
              </w:rPr>
              <w:t>%</w:t>
            </w:r>
          </w:p>
        </w:tc>
        <w:tc>
          <w:tcPr>
            <w:tcW w:w="949" w:type="dxa"/>
            <w:tcBorders>
              <w:left w:val="none" w:sz="0" w:space="0" w:color="auto"/>
              <w:right w:val="none" w:sz="0" w:space="0" w:color="auto"/>
            </w:tcBorders>
            <w:vAlign w:val="center"/>
          </w:tcPr>
          <w:p w14:paraId="0B316AC7" w14:textId="655ECA8D" w:rsidR="00A61E56" w:rsidRPr="00EF524A"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w:t>
            </w:r>
            <w:r w:rsidR="00A84528">
              <w:rPr>
                <w:rFonts w:ascii="Arial" w:hAnsi="Arial" w:cs="Arial"/>
                <w:b/>
                <w:bCs/>
                <w:color w:val="215868"/>
                <w:sz w:val="18"/>
                <w:szCs w:val="18"/>
              </w:rPr>
              <w:t>2.6</w:t>
            </w:r>
            <w:r>
              <w:rPr>
                <w:rFonts w:ascii="Arial" w:hAnsi="Arial" w:cs="Arial"/>
                <w:b/>
                <w:bCs/>
                <w:color w:val="215868"/>
                <w:sz w:val="18"/>
                <w:szCs w:val="18"/>
              </w:rPr>
              <w:t>B</w:t>
            </w:r>
          </w:p>
        </w:tc>
        <w:tc>
          <w:tcPr>
            <w:tcW w:w="934" w:type="dxa"/>
            <w:tcBorders>
              <w:left w:val="none" w:sz="0" w:space="0" w:color="auto"/>
              <w:right w:val="none" w:sz="0" w:space="0" w:color="auto"/>
            </w:tcBorders>
            <w:vAlign w:val="center"/>
          </w:tcPr>
          <w:p w14:paraId="22BC605C" w14:textId="1DD680FD" w:rsidR="00A61E56" w:rsidRPr="00EF524A" w:rsidRDefault="00A84528"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-1.5</w:t>
            </w:r>
            <w:r w:rsidR="00A61E56">
              <w:rPr>
                <w:rFonts w:ascii="Arial" w:hAnsi="Arial" w:cs="Arial"/>
                <w:b/>
                <w:bCs/>
                <w:color w:val="215868"/>
                <w:sz w:val="18"/>
                <w:szCs w:val="18"/>
              </w:rPr>
              <w:t>%</w:t>
            </w:r>
          </w:p>
        </w:tc>
        <w:tc>
          <w:tcPr>
            <w:tcW w:w="1037" w:type="dxa"/>
            <w:tcBorders>
              <w:left w:val="none" w:sz="0" w:space="0" w:color="auto"/>
              <w:right w:val="none" w:sz="0" w:space="0" w:color="auto"/>
            </w:tcBorders>
            <w:vAlign w:val="center"/>
          </w:tcPr>
          <w:p w14:paraId="2FC95C73" w14:textId="6F572688" w:rsidR="00A61E56" w:rsidRPr="00EF524A" w:rsidRDefault="00A61E56" w:rsidP="00797A8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w:t>
            </w:r>
            <w:r w:rsidR="00A84528">
              <w:rPr>
                <w:rFonts w:ascii="Arial" w:hAnsi="Arial" w:cs="Arial"/>
                <w:b/>
                <w:bCs/>
                <w:color w:val="215868"/>
                <w:sz w:val="18"/>
                <w:szCs w:val="18"/>
              </w:rPr>
              <w:t>19.6</w:t>
            </w:r>
            <w:r>
              <w:rPr>
                <w:rFonts w:ascii="Arial" w:hAnsi="Arial" w:cs="Arial"/>
                <w:b/>
                <w:bCs/>
                <w:color w:val="215868"/>
                <w:sz w:val="18"/>
                <w:szCs w:val="18"/>
              </w:rPr>
              <w:t>%</w:t>
            </w:r>
          </w:p>
        </w:tc>
      </w:tr>
      <w:tr w:rsidR="00A61E56" w:rsidRPr="00E43E81" w14:paraId="3476271B" w14:textId="77777777" w:rsidTr="00A61E56">
        <w:trPr>
          <w:trHeight w:val="146"/>
        </w:trPr>
        <w:tc>
          <w:tcPr>
            <w:cnfStyle w:val="001000000000" w:firstRow="0" w:lastRow="0" w:firstColumn="1" w:lastColumn="0" w:oddVBand="0" w:evenVBand="0" w:oddHBand="0" w:evenHBand="0" w:firstRowFirstColumn="0" w:firstRowLastColumn="0" w:lastRowFirstColumn="0" w:lastRowLastColumn="0"/>
            <w:tcW w:w="1502" w:type="dxa"/>
            <w:gridSpan w:val="2"/>
            <w:vAlign w:val="center"/>
          </w:tcPr>
          <w:p w14:paraId="3C77D01E" w14:textId="5EB81D7D" w:rsidR="00A61E56" w:rsidRPr="00D642D0" w:rsidRDefault="00A61E56" w:rsidP="00A84528">
            <w:pPr>
              <w:pStyle w:val="NoSpacing"/>
              <w:rPr>
                <w:rFonts w:ascii="Arial" w:hAnsi="Arial" w:cs="Arial"/>
                <w:b w:val="0"/>
                <w:bCs w:val="0"/>
                <w:color w:val="215868" w:themeColor="accent5" w:themeShade="80"/>
                <w:sz w:val="18"/>
                <w:szCs w:val="18"/>
              </w:rPr>
            </w:pPr>
            <w:r w:rsidRPr="00D642D0">
              <w:rPr>
                <w:rFonts w:ascii="Arial" w:hAnsi="Arial" w:cs="Arial"/>
                <w:b w:val="0"/>
                <w:bCs w:val="0"/>
                <w:color w:val="215868"/>
                <w:sz w:val="18"/>
                <w:szCs w:val="18"/>
              </w:rPr>
              <w:t xml:space="preserve">   Volume</w:t>
            </w:r>
          </w:p>
        </w:tc>
        <w:tc>
          <w:tcPr>
            <w:tcW w:w="766" w:type="dxa"/>
            <w:gridSpan w:val="2"/>
            <w:vAlign w:val="center"/>
          </w:tcPr>
          <w:p w14:paraId="5B77DAE0" w14:textId="19345A6B" w:rsidR="00A61E56" w:rsidRPr="00EF524A"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w:t>
            </w:r>
          </w:p>
        </w:tc>
        <w:tc>
          <w:tcPr>
            <w:tcW w:w="851" w:type="dxa"/>
            <w:vAlign w:val="center"/>
          </w:tcPr>
          <w:p w14:paraId="2014A442" w14:textId="2792669B"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+9%</w:t>
            </w:r>
          </w:p>
        </w:tc>
        <w:tc>
          <w:tcPr>
            <w:tcW w:w="857" w:type="dxa"/>
            <w:vAlign w:val="center"/>
          </w:tcPr>
          <w:p w14:paraId="75D8DE48" w14:textId="71700AA2" w:rsidR="00A61E56" w:rsidRDefault="00477FBF"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-1.9</w:t>
            </w:r>
            <w:r w:rsidR="00A61E56">
              <w:rPr>
                <w:rFonts w:ascii="Arial" w:hAnsi="Arial" w:cs="Arial"/>
                <w:color w:val="215868"/>
                <w:sz w:val="18"/>
                <w:szCs w:val="18"/>
              </w:rPr>
              <w:t>%</w:t>
            </w:r>
          </w:p>
        </w:tc>
        <w:tc>
          <w:tcPr>
            <w:tcW w:w="986" w:type="dxa"/>
            <w:vAlign w:val="center"/>
          </w:tcPr>
          <w:p w14:paraId="1BD47635" w14:textId="763C3805"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-4%</w:t>
            </w:r>
          </w:p>
        </w:tc>
        <w:tc>
          <w:tcPr>
            <w:tcW w:w="850" w:type="dxa"/>
            <w:vAlign w:val="center"/>
          </w:tcPr>
          <w:p w14:paraId="14C8E331" w14:textId="0AC7D99A"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-5%</w:t>
            </w:r>
          </w:p>
        </w:tc>
        <w:tc>
          <w:tcPr>
            <w:tcW w:w="992" w:type="dxa"/>
            <w:vAlign w:val="center"/>
          </w:tcPr>
          <w:p w14:paraId="61FFE954" w14:textId="6D12DE22"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-5.0%</w:t>
            </w:r>
          </w:p>
        </w:tc>
        <w:tc>
          <w:tcPr>
            <w:tcW w:w="829" w:type="dxa"/>
          </w:tcPr>
          <w:p w14:paraId="1D046544" w14:textId="0AF0BEC4" w:rsidR="00A61E56" w:rsidRDefault="00477FBF"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-1.8</w:t>
            </w:r>
            <w:r w:rsidR="00A61E56">
              <w:rPr>
                <w:rFonts w:ascii="Arial" w:hAnsi="Arial" w:cs="Arial"/>
                <w:color w:val="215868"/>
                <w:sz w:val="18"/>
                <w:szCs w:val="18"/>
              </w:rPr>
              <w:t>%</w:t>
            </w:r>
          </w:p>
        </w:tc>
        <w:tc>
          <w:tcPr>
            <w:tcW w:w="949" w:type="dxa"/>
            <w:vAlign w:val="center"/>
          </w:tcPr>
          <w:p w14:paraId="24ED1C4B" w14:textId="402F36DC" w:rsidR="00A61E56" w:rsidRDefault="00A84528"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1.4</w:t>
            </w:r>
            <w:r w:rsidR="00A61E56">
              <w:rPr>
                <w:rFonts w:ascii="Arial" w:hAnsi="Arial" w:cs="Arial"/>
                <w:color w:val="215868"/>
                <w:sz w:val="18"/>
                <w:szCs w:val="18"/>
              </w:rPr>
              <w:t>B</w:t>
            </w:r>
          </w:p>
        </w:tc>
        <w:tc>
          <w:tcPr>
            <w:tcW w:w="934" w:type="dxa"/>
            <w:vAlign w:val="center"/>
          </w:tcPr>
          <w:p w14:paraId="40C78115" w14:textId="6A1D4B96" w:rsidR="00A61E56" w:rsidRPr="00E43E81" w:rsidRDefault="00A84528"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-3.6</w:t>
            </w:r>
            <w:r w:rsidR="00A61E56">
              <w:rPr>
                <w:rFonts w:ascii="Arial" w:hAnsi="Arial" w:cs="Arial"/>
                <w:color w:val="215868"/>
                <w:sz w:val="18"/>
                <w:szCs w:val="18"/>
              </w:rPr>
              <w:t>%</w:t>
            </w:r>
          </w:p>
        </w:tc>
        <w:tc>
          <w:tcPr>
            <w:tcW w:w="1037" w:type="dxa"/>
            <w:vAlign w:val="center"/>
          </w:tcPr>
          <w:p w14:paraId="40AFD473" w14:textId="4294F300" w:rsidR="00A61E56" w:rsidRPr="00E43E81" w:rsidRDefault="00A84528"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-1.2</w:t>
            </w:r>
            <w:r w:rsidR="00A61E56">
              <w:rPr>
                <w:rFonts w:ascii="Arial" w:hAnsi="Arial" w:cs="Arial"/>
                <w:color w:val="215868"/>
                <w:sz w:val="18"/>
                <w:szCs w:val="18"/>
              </w:rPr>
              <w:t>%</w:t>
            </w:r>
          </w:p>
        </w:tc>
      </w:tr>
      <w:tr w:rsidR="00A61E56" w:rsidRPr="00E43E81" w14:paraId="086B8DCB" w14:textId="77777777" w:rsidTr="0018417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502" w:type="dxa"/>
            <w:gridSpan w:val="2"/>
            <w:tcBorders>
              <w:left w:val="none" w:sz="0" w:space="0" w:color="auto"/>
              <w:right w:val="none" w:sz="0" w:space="0" w:color="auto"/>
            </w:tcBorders>
            <w:vAlign w:val="center"/>
          </w:tcPr>
          <w:p w14:paraId="33C6FCCB" w14:textId="5B9F8EE3" w:rsidR="00A61E56" w:rsidRPr="00D642D0" w:rsidRDefault="00A61E56" w:rsidP="00A84528">
            <w:pPr>
              <w:pStyle w:val="NoSpacing"/>
              <w:rPr>
                <w:rFonts w:ascii="Arial" w:hAnsi="Arial" w:cs="Arial"/>
                <w:color w:val="215868" w:themeColor="accent5" w:themeShade="80"/>
                <w:sz w:val="18"/>
                <w:szCs w:val="18"/>
              </w:rPr>
            </w:pPr>
            <w:r w:rsidRPr="00D642D0">
              <w:rPr>
                <w:rFonts w:ascii="Arial" w:hAnsi="Arial" w:cs="Arial"/>
                <w:color w:val="215868"/>
                <w:sz w:val="18"/>
                <w:szCs w:val="18"/>
              </w:rPr>
              <w:t>Vegetables</w:t>
            </w:r>
          </w:p>
        </w:tc>
        <w:tc>
          <w:tcPr>
            <w:tcW w:w="766" w:type="dxa"/>
            <w:gridSpan w:val="2"/>
            <w:tcBorders>
              <w:left w:val="none" w:sz="0" w:space="0" w:color="auto"/>
              <w:right w:val="none" w:sz="0" w:space="0" w:color="auto"/>
            </w:tcBorders>
            <w:vAlign w:val="center"/>
          </w:tcPr>
          <w:p w14:paraId="73DCC43F" w14:textId="77777777" w:rsidR="00A61E56" w:rsidRPr="00EF524A"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1" w:type="dxa"/>
            <w:tcBorders>
              <w:left w:val="none" w:sz="0" w:space="0" w:color="auto"/>
              <w:right w:val="none" w:sz="0" w:space="0" w:color="auto"/>
            </w:tcBorders>
            <w:vAlign w:val="center"/>
          </w:tcPr>
          <w:p w14:paraId="7761902E" w14:textId="77777777" w:rsidR="00A61E56"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7" w:type="dxa"/>
            <w:tcBorders>
              <w:left w:val="none" w:sz="0" w:space="0" w:color="auto"/>
              <w:right w:val="none" w:sz="0" w:space="0" w:color="auto"/>
            </w:tcBorders>
            <w:vAlign w:val="center"/>
          </w:tcPr>
          <w:p w14:paraId="6BD6E949" w14:textId="77777777"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986" w:type="dxa"/>
            <w:tcBorders>
              <w:left w:val="none" w:sz="0" w:space="0" w:color="auto"/>
              <w:right w:val="none" w:sz="0" w:space="0" w:color="auto"/>
            </w:tcBorders>
            <w:vAlign w:val="center"/>
          </w:tcPr>
          <w:p w14:paraId="2EC07E7F" w14:textId="77777777"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0" w:type="dxa"/>
            <w:tcBorders>
              <w:left w:val="none" w:sz="0" w:space="0" w:color="auto"/>
              <w:right w:val="none" w:sz="0" w:space="0" w:color="auto"/>
            </w:tcBorders>
            <w:vAlign w:val="center"/>
          </w:tcPr>
          <w:p w14:paraId="6CFBC54D" w14:textId="77777777"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992" w:type="dxa"/>
            <w:tcBorders>
              <w:left w:val="none" w:sz="0" w:space="0" w:color="auto"/>
              <w:right w:val="none" w:sz="0" w:space="0" w:color="auto"/>
            </w:tcBorders>
            <w:vAlign w:val="center"/>
          </w:tcPr>
          <w:p w14:paraId="7640A3CF" w14:textId="77777777"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29" w:type="dxa"/>
            <w:tcBorders>
              <w:left w:val="none" w:sz="0" w:space="0" w:color="auto"/>
              <w:right w:val="none" w:sz="0" w:space="0" w:color="auto"/>
            </w:tcBorders>
          </w:tcPr>
          <w:p w14:paraId="3A7A54CC" w14:textId="77777777"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949" w:type="dxa"/>
            <w:tcBorders>
              <w:left w:val="none" w:sz="0" w:space="0" w:color="auto"/>
              <w:right w:val="none" w:sz="0" w:space="0" w:color="auto"/>
            </w:tcBorders>
            <w:vAlign w:val="center"/>
          </w:tcPr>
          <w:p w14:paraId="7096CAC7" w14:textId="4CAD96AD"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934" w:type="dxa"/>
            <w:tcBorders>
              <w:left w:val="none" w:sz="0" w:space="0" w:color="auto"/>
              <w:right w:val="none" w:sz="0" w:space="0" w:color="auto"/>
            </w:tcBorders>
            <w:vAlign w:val="center"/>
          </w:tcPr>
          <w:p w14:paraId="29C1AAF9" w14:textId="37631E86"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037" w:type="dxa"/>
            <w:tcBorders>
              <w:left w:val="none" w:sz="0" w:space="0" w:color="auto"/>
              <w:right w:val="none" w:sz="0" w:space="0" w:color="auto"/>
            </w:tcBorders>
            <w:vAlign w:val="center"/>
          </w:tcPr>
          <w:p w14:paraId="05C8EE53" w14:textId="77777777"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A61E56" w:rsidRPr="00E43E81" w14:paraId="21073A7E" w14:textId="77777777" w:rsidTr="00A61E56">
        <w:trPr>
          <w:trHeight w:val="146"/>
        </w:trPr>
        <w:tc>
          <w:tcPr>
            <w:cnfStyle w:val="001000000000" w:firstRow="0" w:lastRow="0" w:firstColumn="1" w:lastColumn="0" w:oddVBand="0" w:evenVBand="0" w:oddHBand="0" w:evenHBand="0" w:firstRowFirstColumn="0" w:firstRowLastColumn="0" w:lastRowFirstColumn="0" w:lastRowLastColumn="0"/>
            <w:tcW w:w="1502" w:type="dxa"/>
            <w:gridSpan w:val="2"/>
            <w:vAlign w:val="center"/>
          </w:tcPr>
          <w:p w14:paraId="212B5B99" w14:textId="1EF31D37" w:rsidR="00A61E56" w:rsidRPr="00D642D0" w:rsidRDefault="00A61E56" w:rsidP="00A84528">
            <w:pPr>
              <w:pStyle w:val="NoSpacing"/>
              <w:rPr>
                <w:rFonts w:ascii="Arial" w:hAnsi="Arial" w:cs="Arial"/>
                <w:b w:val="0"/>
                <w:bCs w:val="0"/>
                <w:color w:val="215868" w:themeColor="accent5" w:themeShade="80"/>
                <w:sz w:val="18"/>
                <w:szCs w:val="18"/>
              </w:rPr>
            </w:pPr>
            <w:r w:rsidRPr="00D642D0">
              <w:rPr>
                <w:rFonts w:ascii="Arial" w:hAnsi="Arial" w:cs="Arial"/>
                <w:b w:val="0"/>
                <w:bCs w:val="0"/>
                <w:color w:val="215868"/>
                <w:sz w:val="18"/>
                <w:szCs w:val="18"/>
              </w:rPr>
              <w:t xml:space="preserve">   Dollars</w:t>
            </w:r>
          </w:p>
        </w:tc>
        <w:tc>
          <w:tcPr>
            <w:tcW w:w="766" w:type="dxa"/>
            <w:gridSpan w:val="2"/>
            <w:vAlign w:val="center"/>
          </w:tcPr>
          <w:p w14:paraId="1765AE90" w14:textId="62EB795C" w:rsidR="00A61E56" w:rsidRPr="00EF524A"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w:t>
            </w:r>
          </w:p>
        </w:tc>
        <w:tc>
          <w:tcPr>
            <w:tcW w:w="851" w:type="dxa"/>
            <w:vAlign w:val="center"/>
          </w:tcPr>
          <w:p w14:paraId="32E683B5" w14:textId="299A82A3"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+15%</w:t>
            </w:r>
          </w:p>
        </w:tc>
        <w:tc>
          <w:tcPr>
            <w:tcW w:w="857" w:type="dxa"/>
            <w:vAlign w:val="center"/>
          </w:tcPr>
          <w:p w14:paraId="04FFBCC4" w14:textId="71A38CE9" w:rsidR="00A61E56" w:rsidRDefault="00477FBF"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-1.2</w:t>
            </w:r>
            <w:r w:rsidR="00A61E56">
              <w:rPr>
                <w:rFonts w:ascii="Arial" w:hAnsi="Arial" w:cs="Arial"/>
                <w:color w:val="215868"/>
                <w:sz w:val="18"/>
                <w:szCs w:val="18"/>
              </w:rPr>
              <w:t>%</w:t>
            </w:r>
          </w:p>
        </w:tc>
        <w:tc>
          <w:tcPr>
            <w:tcW w:w="986" w:type="dxa"/>
            <w:vAlign w:val="center"/>
          </w:tcPr>
          <w:p w14:paraId="61F9669F" w14:textId="661480E8"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+0%</w:t>
            </w:r>
          </w:p>
        </w:tc>
        <w:tc>
          <w:tcPr>
            <w:tcW w:w="850" w:type="dxa"/>
            <w:vAlign w:val="center"/>
          </w:tcPr>
          <w:p w14:paraId="046A612B" w14:textId="25BD312E"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color w:val="215868"/>
                <w:sz w:val="18"/>
                <w:szCs w:val="18"/>
              </w:rPr>
              <w:t>+3%</w:t>
            </w:r>
          </w:p>
        </w:tc>
        <w:tc>
          <w:tcPr>
            <w:tcW w:w="992" w:type="dxa"/>
            <w:vAlign w:val="center"/>
          </w:tcPr>
          <w:p w14:paraId="2E31ACB9" w14:textId="044143EA"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+4.8%</w:t>
            </w:r>
          </w:p>
        </w:tc>
        <w:tc>
          <w:tcPr>
            <w:tcW w:w="829" w:type="dxa"/>
          </w:tcPr>
          <w:p w14:paraId="50FD598E" w14:textId="273CCC81" w:rsidR="00A61E56" w:rsidRDefault="00477FBF"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+6.8</w:t>
            </w:r>
            <w:r w:rsidR="00A61E56">
              <w:rPr>
                <w:rFonts w:ascii="Arial" w:hAnsi="Arial" w:cs="Arial"/>
                <w:color w:val="215868"/>
                <w:sz w:val="18"/>
                <w:szCs w:val="18"/>
              </w:rPr>
              <w:t>%</w:t>
            </w:r>
          </w:p>
        </w:tc>
        <w:tc>
          <w:tcPr>
            <w:tcW w:w="949" w:type="dxa"/>
            <w:vAlign w:val="center"/>
          </w:tcPr>
          <w:p w14:paraId="3FA0D484" w14:textId="463F4F94" w:rsidR="00A61E56"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A84528">
              <w:rPr>
                <w:rFonts w:ascii="Arial" w:hAnsi="Arial" w:cs="Arial"/>
                <w:color w:val="215868"/>
                <w:sz w:val="18"/>
                <w:szCs w:val="18"/>
              </w:rPr>
              <w:t>3.0</w:t>
            </w:r>
            <w:r>
              <w:rPr>
                <w:rFonts w:ascii="Arial" w:hAnsi="Arial" w:cs="Arial"/>
                <w:color w:val="215868"/>
                <w:sz w:val="18"/>
                <w:szCs w:val="18"/>
              </w:rPr>
              <w:t>B</w:t>
            </w:r>
          </w:p>
        </w:tc>
        <w:tc>
          <w:tcPr>
            <w:tcW w:w="934" w:type="dxa"/>
            <w:vAlign w:val="center"/>
          </w:tcPr>
          <w:p w14:paraId="37E2BD2D" w14:textId="3214F510" w:rsidR="00A61E56" w:rsidRPr="00E43E81"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A84528">
              <w:rPr>
                <w:rFonts w:ascii="Arial" w:hAnsi="Arial" w:cs="Arial"/>
                <w:color w:val="215868"/>
                <w:sz w:val="18"/>
                <w:szCs w:val="18"/>
              </w:rPr>
              <w:t>3.7</w:t>
            </w:r>
            <w:r>
              <w:rPr>
                <w:rFonts w:ascii="Arial" w:hAnsi="Arial" w:cs="Arial"/>
                <w:color w:val="215868"/>
                <w:sz w:val="18"/>
                <w:szCs w:val="18"/>
              </w:rPr>
              <w:t>%</w:t>
            </w:r>
          </w:p>
        </w:tc>
        <w:tc>
          <w:tcPr>
            <w:tcW w:w="1037" w:type="dxa"/>
            <w:vAlign w:val="center"/>
          </w:tcPr>
          <w:p w14:paraId="108031E8" w14:textId="44FA96FD" w:rsidR="00A61E56" w:rsidRPr="00E43E81" w:rsidRDefault="00A61E56"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A84528">
              <w:rPr>
                <w:rFonts w:ascii="Arial" w:hAnsi="Arial" w:cs="Arial"/>
                <w:color w:val="215868"/>
                <w:sz w:val="18"/>
                <w:szCs w:val="18"/>
              </w:rPr>
              <w:t>17.6</w:t>
            </w:r>
            <w:r>
              <w:rPr>
                <w:rFonts w:ascii="Arial" w:hAnsi="Arial" w:cs="Arial"/>
                <w:color w:val="215868"/>
                <w:sz w:val="18"/>
                <w:szCs w:val="18"/>
              </w:rPr>
              <w:t>%</w:t>
            </w:r>
          </w:p>
        </w:tc>
      </w:tr>
      <w:tr w:rsidR="00A61E56" w:rsidRPr="00E43E81" w14:paraId="43A744ED" w14:textId="77777777" w:rsidTr="00184177">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02" w:type="dxa"/>
            <w:gridSpan w:val="2"/>
            <w:tcBorders>
              <w:left w:val="none" w:sz="0" w:space="0" w:color="auto"/>
              <w:right w:val="none" w:sz="0" w:space="0" w:color="auto"/>
            </w:tcBorders>
            <w:vAlign w:val="center"/>
          </w:tcPr>
          <w:p w14:paraId="2D5BC9DE" w14:textId="4F82E929" w:rsidR="00A61E56" w:rsidRPr="00D642D0" w:rsidRDefault="00A61E56" w:rsidP="00A84528">
            <w:pPr>
              <w:pStyle w:val="NoSpacing"/>
              <w:rPr>
                <w:rFonts w:ascii="Arial" w:hAnsi="Arial" w:cs="Arial"/>
                <w:b w:val="0"/>
                <w:bCs w:val="0"/>
                <w:color w:val="215868" w:themeColor="accent5" w:themeShade="80"/>
                <w:sz w:val="18"/>
                <w:szCs w:val="18"/>
              </w:rPr>
            </w:pPr>
            <w:r w:rsidRPr="00D642D0">
              <w:rPr>
                <w:rFonts w:ascii="Arial" w:hAnsi="Arial" w:cs="Arial"/>
                <w:b w:val="0"/>
                <w:bCs w:val="0"/>
                <w:color w:val="215868"/>
                <w:sz w:val="18"/>
                <w:szCs w:val="18"/>
              </w:rPr>
              <w:t xml:space="preserve">   Volume</w:t>
            </w:r>
          </w:p>
        </w:tc>
        <w:tc>
          <w:tcPr>
            <w:tcW w:w="766" w:type="dxa"/>
            <w:gridSpan w:val="2"/>
            <w:tcBorders>
              <w:left w:val="none" w:sz="0" w:space="0" w:color="auto"/>
              <w:right w:val="none" w:sz="0" w:space="0" w:color="auto"/>
            </w:tcBorders>
            <w:vAlign w:val="center"/>
          </w:tcPr>
          <w:p w14:paraId="355C182D" w14:textId="7E9BA1D9" w:rsidR="00A61E56" w:rsidRPr="00EF524A"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+2%</w:t>
            </w:r>
          </w:p>
        </w:tc>
        <w:tc>
          <w:tcPr>
            <w:tcW w:w="851" w:type="dxa"/>
            <w:tcBorders>
              <w:left w:val="none" w:sz="0" w:space="0" w:color="auto"/>
              <w:right w:val="none" w:sz="0" w:space="0" w:color="auto"/>
            </w:tcBorders>
            <w:vAlign w:val="center"/>
          </w:tcPr>
          <w:p w14:paraId="2918379D" w14:textId="339D0376" w:rsidR="00A61E56"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w:t>
            </w:r>
          </w:p>
        </w:tc>
        <w:tc>
          <w:tcPr>
            <w:tcW w:w="857" w:type="dxa"/>
            <w:tcBorders>
              <w:left w:val="none" w:sz="0" w:space="0" w:color="auto"/>
              <w:right w:val="none" w:sz="0" w:space="0" w:color="auto"/>
            </w:tcBorders>
            <w:vAlign w:val="center"/>
          </w:tcPr>
          <w:p w14:paraId="155D24DC" w14:textId="4810F2AE" w:rsidR="00A61E56" w:rsidRDefault="00477FBF"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-5.3</w:t>
            </w:r>
            <w:r w:rsidR="00A61E56">
              <w:rPr>
                <w:rFonts w:ascii="Arial" w:hAnsi="Arial" w:cs="Arial"/>
                <w:color w:val="215868"/>
                <w:sz w:val="18"/>
                <w:szCs w:val="18"/>
              </w:rPr>
              <w:t>%</w:t>
            </w:r>
          </w:p>
        </w:tc>
        <w:tc>
          <w:tcPr>
            <w:tcW w:w="986" w:type="dxa"/>
            <w:tcBorders>
              <w:left w:val="none" w:sz="0" w:space="0" w:color="auto"/>
              <w:right w:val="none" w:sz="0" w:space="0" w:color="auto"/>
            </w:tcBorders>
            <w:vAlign w:val="center"/>
          </w:tcPr>
          <w:p w14:paraId="315BB821" w14:textId="0C78CAA8" w:rsidR="00A61E56"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-6%</w:t>
            </w:r>
          </w:p>
        </w:tc>
        <w:tc>
          <w:tcPr>
            <w:tcW w:w="850" w:type="dxa"/>
            <w:tcBorders>
              <w:left w:val="none" w:sz="0" w:space="0" w:color="auto"/>
              <w:right w:val="none" w:sz="0" w:space="0" w:color="auto"/>
            </w:tcBorders>
            <w:vAlign w:val="center"/>
          </w:tcPr>
          <w:p w14:paraId="28025221" w14:textId="452F65FE" w:rsidR="00A61E56"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-5%</w:t>
            </w:r>
          </w:p>
        </w:tc>
        <w:tc>
          <w:tcPr>
            <w:tcW w:w="992" w:type="dxa"/>
            <w:tcBorders>
              <w:left w:val="none" w:sz="0" w:space="0" w:color="auto"/>
              <w:right w:val="none" w:sz="0" w:space="0" w:color="auto"/>
            </w:tcBorders>
            <w:vAlign w:val="center"/>
          </w:tcPr>
          <w:p w14:paraId="400ADA07" w14:textId="05DA5F96" w:rsidR="00A61E56"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-4.7%</w:t>
            </w:r>
          </w:p>
        </w:tc>
        <w:tc>
          <w:tcPr>
            <w:tcW w:w="829" w:type="dxa"/>
            <w:tcBorders>
              <w:left w:val="none" w:sz="0" w:space="0" w:color="auto"/>
              <w:right w:val="none" w:sz="0" w:space="0" w:color="auto"/>
            </w:tcBorders>
          </w:tcPr>
          <w:p w14:paraId="0EDE29BA" w14:textId="51871E22" w:rsidR="00A61E56" w:rsidRDefault="00477FBF"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w:t>
            </w:r>
            <w:r w:rsidR="00A61E56">
              <w:rPr>
                <w:rFonts w:ascii="Arial" w:hAnsi="Arial" w:cs="Arial"/>
                <w:color w:val="215868"/>
                <w:sz w:val="18"/>
                <w:szCs w:val="18"/>
              </w:rPr>
              <w:t>%</w:t>
            </w:r>
          </w:p>
        </w:tc>
        <w:tc>
          <w:tcPr>
            <w:tcW w:w="949" w:type="dxa"/>
            <w:tcBorders>
              <w:left w:val="none" w:sz="0" w:space="0" w:color="auto"/>
              <w:right w:val="none" w:sz="0" w:space="0" w:color="auto"/>
            </w:tcBorders>
            <w:vAlign w:val="center"/>
          </w:tcPr>
          <w:p w14:paraId="286BF450" w14:textId="2240C89A" w:rsidR="00A61E56" w:rsidRDefault="00A84528"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1.4</w:t>
            </w:r>
            <w:r w:rsidR="00A61E56">
              <w:rPr>
                <w:rFonts w:ascii="Arial" w:hAnsi="Arial" w:cs="Arial"/>
                <w:color w:val="215868"/>
                <w:sz w:val="18"/>
                <w:szCs w:val="18"/>
              </w:rPr>
              <w:t>B</w:t>
            </w:r>
          </w:p>
        </w:tc>
        <w:tc>
          <w:tcPr>
            <w:tcW w:w="934" w:type="dxa"/>
            <w:tcBorders>
              <w:left w:val="none" w:sz="0" w:space="0" w:color="auto"/>
              <w:right w:val="none" w:sz="0" w:space="0" w:color="auto"/>
            </w:tcBorders>
            <w:vAlign w:val="center"/>
          </w:tcPr>
          <w:p w14:paraId="26B3AA46" w14:textId="1F2194F4" w:rsidR="00A61E56" w:rsidRPr="00E43E81" w:rsidRDefault="00A84528"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-4.8</w:t>
            </w:r>
            <w:r w:rsidR="00A61E56">
              <w:rPr>
                <w:rFonts w:ascii="Arial" w:hAnsi="Arial" w:cs="Arial"/>
                <w:color w:val="215868"/>
                <w:sz w:val="18"/>
                <w:szCs w:val="18"/>
              </w:rPr>
              <w:t>%</w:t>
            </w:r>
          </w:p>
        </w:tc>
        <w:tc>
          <w:tcPr>
            <w:tcW w:w="1037" w:type="dxa"/>
            <w:tcBorders>
              <w:left w:val="none" w:sz="0" w:space="0" w:color="auto"/>
              <w:right w:val="none" w:sz="0" w:space="0" w:color="auto"/>
            </w:tcBorders>
            <w:vAlign w:val="center"/>
          </w:tcPr>
          <w:p w14:paraId="55980290" w14:textId="22F7E3DF" w:rsidR="00A61E56" w:rsidRPr="00E43E81" w:rsidRDefault="00A61E56"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A84528">
              <w:rPr>
                <w:rFonts w:ascii="Arial" w:hAnsi="Arial" w:cs="Arial"/>
                <w:color w:val="215868"/>
                <w:sz w:val="18"/>
                <w:szCs w:val="18"/>
              </w:rPr>
              <w:t>2.5</w:t>
            </w:r>
            <w:r>
              <w:rPr>
                <w:rFonts w:ascii="Arial" w:hAnsi="Arial" w:cs="Arial"/>
                <w:color w:val="215868"/>
                <w:sz w:val="18"/>
                <w:szCs w:val="18"/>
              </w:rPr>
              <w:t>%</w:t>
            </w:r>
          </w:p>
        </w:tc>
      </w:tr>
    </w:tbl>
    <w:bookmarkEnd w:id="2"/>
    <w:p w14:paraId="030C002F" w14:textId="77777777" w:rsidR="00315642" w:rsidRPr="002E09F5" w:rsidRDefault="00FE5D0F" w:rsidP="006069A6">
      <w:pPr>
        <w:pStyle w:val="NoSpacing"/>
        <w:rPr>
          <w:rFonts w:ascii="Arial" w:hAnsi="Arial" w:cs="Arial"/>
          <w:sz w:val="6"/>
          <w:szCs w:val="10"/>
        </w:rPr>
      </w:pPr>
      <w:r w:rsidRPr="002E09F5">
        <w:rPr>
          <w:rFonts w:ascii="Arial" w:hAnsi="Arial" w:cs="Arial"/>
          <w:sz w:val="6"/>
          <w:szCs w:val="10"/>
        </w:rPr>
        <w:t xml:space="preserve"> </w:t>
      </w:r>
    </w:p>
    <w:p w14:paraId="7E6FB482" w14:textId="77777777" w:rsidR="00441E8F" w:rsidRDefault="00441E8F" w:rsidP="00441E8F">
      <w:pPr>
        <w:pStyle w:val="NoSpacing"/>
        <w:rPr>
          <w:rFonts w:ascii="Arial" w:hAnsi="Arial" w:cs="Arial"/>
          <w:sz w:val="16"/>
          <w:szCs w:val="16"/>
        </w:rPr>
      </w:pPr>
      <w:r w:rsidRPr="00CF309B">
        <w:rPr>
          <w:rFonts w:ascii="Arial" w:hAnsi="Arial" w:cs="Arial"/>
          <w:sz w:val="16"/>
          <w:szCs w:val="16"/>
        </w:rPr>
        <w:t>Source:</w:t>
      </w:r>
      <w:r w:rsidR="00BA516E" w:rsidRPr="00CF309B">
        <w:rPr>
          <w:rFonts w:ascii="Arial" w:hAnsi="Arial" w:cs="Arial"/>
          <w:sz w:val="16"/>
          <w:szCs w:val="16"/>
        </w:rPr>
        <w:t xml:space="preserve"> IRI</w:t>
      </w:r>
      <w:r w:rsidR="00906C46">
        <w:rPr>
          <w:rFonts w:ascii="Arial" w:hAnsi="Arial" w:cs="Arial"/>
          <w:sz w:val="16"/>
          <w:szCs w:val="16"/>
        </w:rPr>
        <w:t xml:space="preserve"> Integrated Fresh,</w:t>
      </w:r>
      <w:r w:rsidR="00BA516E" w:rsidRPr="00CF309B">
        <w:rPr>
          <w:rFonts w:ascii="Arial" w:hAnsi="Arial" w:cs="Arial"/>
          <w:sz w:val="16"/>
          <w:szCs w:val="16"/>
        </w:rPr>
        <w:t xml:space="preserve"> Total U.S., MULO</w:t>
      </w:r>
    </w:p>
    <w:p w14:paraId="60F9AD1F" w14:textId="77777777" w:rsidR="00A84528" w:rsidRDefault="00A84528" w:rsidP="009F5C6A">
      <w:pPr>
        <w:spacing w:after="0"/>
        <w:rPr>
          <w:rFonts w:ascii="Arial" w:hAnsi="Arial" w:cs="Arial"/>
          <w:b/>
          <w:color w:val="595959" w:themeColor="text1" w:themeTint="A6"/>
          <w:sz w:val="24"/>
          <w:szCs w:val="24"/>
        </w:rPr>
      </w:pPr>
    </w:p>
    <w:p w14:paraId="7EA9214F" w14:textId="10D1F03A" w:rsidR="00CB6454" w:rsidRPr="00B34F5D" w:rsidRDefault="00CB6454" w:rsidP="009F5C6A">
      <w:pPr>
        <w:spacing w:after="0"/>
        <w:rPr>
          <w:rFonts w:ascii="Arial" w:hAnsi="Arial" w:cs="Arial"/>
          <w:b/>
          <w:color w:val="595959" w:themeColor="text1" w:themeTint="A6"/>
          <w:sz w:val="24"/>
          <w:szCs w:val="24"/>
        </w:rPr>
      </w:pPr>
      <w:r w:rsidRPr="00B34F5D">
        <w:rPr>
          <w:rFonts w:ascii="Arial" w:hAnsi="Arial" w:cs="Arial"/>
          <w:b/>
          <w:color w:val="595959" w:themeColor="text1" w:themeTint="A6"/>
          <w:sz w:val="24"/>
          <w:szCs w:val="24"/>
        </w:rPr>
        <w:t>Fresh Fruit</w:t>
      </w:r>
      <w:r w:rsidR="00EB33CE">
        <w:rPr>
          <w:rFonts w:ascii="Arial" w:hAnsi="Arial" w:cs="Arial"/>
          <w:b/>
          <w:color w:val="595959" w:themeColor="text1" w:themeTint="A6"/>
          <w:sz w:val="24"/>
          <w:szCs w:val="24"/>
        </w:rPr>
        <w:t xml:space="preserve"> Sales </w:t>
      </w:r>
    </w:p>
    <w:tbl>
      <w:tblPr>
        <w:tblStyle w:val="LightShading-Accent5"/>
        <w:tblpPr w:leftFromText="180" w:rightFromText="180" w:vertAnchor="text" w:tblpXSpec="right" w:tblpY="1"/>
        <w:tblOverlap w:val="never"/>
        <w:tblW w:w="5490" w:type="dxa"/>
        <w:jc w:val="right"/>
        <w:tblLayout w:type="fixed"/>
        <w:tblLook w:val="04A0" w:firstRow="1" w:lastRow="0" w:firstColumn="1" w:lastColumn="0" w:noHBand="0" w:noVBand="1"/>
      </w:tblPr>
      <w:tblGrid>
        <w:gridCol w:w="1109"/>
        <w:gridCol w:w="543"/>
        <w:gridCol w:w="790"/>
        <w:gridCol w:w="168"/>
        <w:gridCol w:w="1350"/>
        <w:gridCol w:w="1530"/>
      </w:tblGrid>
      <w:tr w:rsidR="00381BAC" w:rsidRPr="00AB1306" w14:paraId="2D8E2539" w14:textId="77777777" w:rsidTr="00381BAC">
        <w:trPr>
          <w:cnfStyle w:val="100000000000" w:firstRow="1" w:lastRow="0" w:firstColumn="0" w:lastColumn="0" w:oddVBand="0" w:evenVBand="0" w:oddHBand="0" w:evenHBand="0" w:firstRowFirstColumn="0" w:firstRowLastColumn="0" w:lastRowFirstColumn="0" w:lastRowLastColumn="0"/>
          <w:trHeight w:val="258"/>
          <w:jc w:val="right"/>
        </w:trPr>
        <w:tc>
          <w:tcPr>
            <w:cnfStyle w:val="001000000000" w:firstRow="0" w:lastRow="0" w:firstColumn="1" w:lastColumn="0" w:oddVBand="0" w:evenVBand="0" w:oddHBand="0" w:evenHBand="0" w:firstRowFirstColumn="0" w:firstRowLastColumn="0" w:lastRowFirstColumn="0" w:lastRowLastColumn="0"/>
            <w:tcW w:w="1652" w:type="dxa"/>
            <w:gridSpan w:val="2"/>
            <w:tcBorders>
              <w:top w:val="nil"/>
              <w:bottom w:val="nil"/>
            </w:tcBorders>
            <w:shd w:val="clear" w:color="auto" w:fill="17365D" w:themeFill="text2" w:themeFillShade="BF"/>
          </w:tcPr>
          <w:p w14:paraId="2534F2B2" w14:textId="77777777" w:rsidR="00381BAC" w:rsidRPr="00AB1306" w:rsidRDefault="00381BAC" w:rsidP="00381BAC">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3838" w:type="dxa"/>
            <w:gridSpan w:val="4"/>
            <w:tcBorders>
              <w:top w:val="nil"/>
              <w:bottom w:val="nil"/>
            </w:tcBorders>
            <w:shd w:val="clear" w:color="auto" w:fill="17365D" w:themeFill="text2" w:themeFillShade="BF"/>
          </w:tcPr>
          <w:p w14:paraId="7B4F5573" w14:textId="77777777" w:rsidR="00381BAC" w:rsidRPr="00AB1306" w:rsidRDefault="00381BAC" w:rsidP="00381BAC">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January 2023</w:t>
            </w:r>
          </w:p>
        </w:tc>
      </w:tr>
      <w:tr w:rsidR="00381BAC" w:rsidRPr="002A3B9B" w14:paraId="77639452" w14:textId="77777777" w:rsidTr="00381BAC">
        <w:trPr>
          <w:cnfStyle w:val="000000100000" w:firstRow="0" w:lastRow="0" w:firstColumn="0" w:lastColumn="0" w:oddVBand="0" w:evenVBand="0" w:oddHBand="1" w:evenHBand="0" w:firstRowFirstColumn="0" w:firstRowLastColumn="0" w:lastRowFirstColumn="0" w:lastRowLastColumn="0"/>
          <w:trHeight w:val="239"/>
          <w:jc w:val="right"/>
        </w:trPr>
        <w:tc>
          <w:tcPr>
            <w:cnfStyle w:val="001000000000" w:firstRow="0" w:lastRow="0" w:firstColumn="1" w:lastColumn="0" w:oddVBand="0" w:evenVBand="0" w:oddHBand="0" w:evenHBand="0" w:firstRowFirstColumn="0" w:firstRowLastColumn="0" w:lastRowFirstColumn="0" w:lastRowLastColumn="0"/>
            <w:tcW w:w="1109" w:type="dxa"/>
            <w:tcBorders>
              <w:top w:val="nil"/>
              <w:bottom w:val="nil"/>
            </w:tcBorders>
            <w:shd w:val="clear" w:color="auto" w:fill="17365D" w:themeFill="text2" w:themeFillShade="BF"/>
          </w:tcPr>
          <w:p w14:paraId="4136CCB4" w14:textId="77777777" w:rsidR="00381BAC" w:rsidRPr="002A3B9B" w:rsidRDefault="00381BAC" w:rsidP="00381BAC">
            <w:pPr>
              <w:pStyle w:val="NoSpacing"/>
              <w:rPr>
                <w:rFonts w:ascii="Arial" w:hAnsi="Arial" w:cs="Arial"/>
                <w:color w:val="FFFFFF" w:themeColor="background1"/>
                <w:sz w:val="18"/>
                <w:szCs w:val="18"/>
              </w:rPr>
            </w:pPr>
            <w:r w:rsidRPr="002A3B9B">
              <w:rPr>
                <w:rFonts w:ascii="Arial" w:hAnsi="Arial" w:cs="Arial"/>
                <w:color w:val="FFFFFF" w:themeColor="background1"/>
                <w:sz w:val="18"/>
                <w:szCs w:val="18"/>
              </w:rPr>
              <w:t>Type</w:t>
            </w:r>
          </w:p>
        </w:tc>
        <w:tc>
          <w:tcPr>
            <w:tcW w:w="1501" w:type="dxa"/>
            <w:gridSpan w:val="3"/>
            <w:tcBorders>
              <w:top w:val="nil"/>
              <w:bottom w:val="nil"/>
            </w:tcBorders>
            <w:shd w:val="clear" w:color="auto" w:fill="17365D" w:themeFill="text2" w:themeFillShade="BF"/>
          </w:tcPr>
          <w:p w14:paraId="6E57FCCA"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sales</w:t>
            </w:r>
          </w:p>
        </w:tc>
        <w:tc>
          <w:tcPr>
            <w:tcW w:w="1350" w:type="dxa"/>
            <w:tcBorders>
              <w:top w:val="nil"/>
              <w:bottom w:val="nil"/>
            </w:tcBorders>
            <w:shd w:val="clear" w:color="auto" w:fill="17365D" w:themeFill="text2" w:themeFillShade="BF"/>
          </w:tcPr>
          <w:p w14:paraId="4089C4B3"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vs. YA</w:t>
            </w:r>
          </w:p>
        </w:tc>
        <w:tc>
          <w:tcPr>
            <w:tcW w:w="1530" w:type="dxa"/>
            <w:tcBorders>
              <w:top w:val="nil"/>
              <w:bottom w:val="nil"/>
            </w:tcBorders>
            <w:shd w:val="clear" w:color="auto" w:fill="17365D" w:themeFill="text2" w:themeFillShade="BF"/>
          </w:tcPr>
          <w:p w14:paraId="004BCF7D" w14:textId="77777777" w:rsidR="00381BAC" w:rsidRPr="002A3B9B" w:rsidRDefault="00381BAC" w:rsidP="00381BAC">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Lbs vs. YA</w:t>
            </w:r>
          </w:p>
        </w:tc>
      </w:tr>
      <w:tr w:rsidR="00381BAC" w:rsidRPr="002A3B9B" w14:paraId="0700B13B" w14:textId="77777777" w:rsidTr="00381BAC">
        <w:trPr>
          <w:trHeight w:val="303"/>
          <w:jc w:val="right"/>
        </w:trPr>
        <w:tc>
          <w:tcPr>
            <w:cnfStyle w:val="001000000000" w:firstRow="0" w:lastRow="0" w:firstColumn="1" w:lastColumn="0" w:oddVBand="0" w:evenVBand="0" w:oddHBand="0" w:evenHBand="0" w:firstRowFirstColumn="0" w:firstRowLastColumn="0" w:lastRowFirstColumn="0" w:lastRowLastColumn="0"/>
            <w:tcW w:w="1109" w:type="dxa"/>
            <w:tcBorders>
              <w:top w:val="nil"/>
              <w:bottom w:val="nil"/>
            </w:tcBorders>
            <w:vAlign w:val="center"/>
          </w:tcPr>
          <w:p w14:paraId="423E0A8C" w14:textId="77777777" w:rsidR="00381BAC" w:rsidRPr="002A3B9B" w:rsidRDefault="00381BAC" w:rsidP="00381BAC">
            <w:pPr>
              <w:pStyle w:val="NoSpacing"/>
              <w:jc w:val="right"/>
              <w:rPr>
                <w:rFonts w:ascii="Arial" w:hAnsi="Arial" w:cs="Arial"/>
                <w:sz w:val="18"/>
                <w:szCs w:val="18"/>
              </w:rPr>
            </w:pPr>
            <w:r w:rsidRPr="002A3B9B">
              <w:rPr>
                <w:rFonts w:ascii="Arial" w:hAnsi="Arial" w:cs="Arial"/>
                <w:sz w:val="18"/>
                <w:szCs w:val="18"/>
              </w:rPr>
              <w:t>Fresh fruit</w:t>
            </w:r>
          </w:p>
        </w:tc>
        <w:tc>
          <w:tcPr>
            <w:tcW w:w="1333" w:type="dxa"/>
            <w:gridSpan w:val="2"/>
            <w:tcBorders>
              <w:top w:val="nil"/>
              <w:bottom w:val="nil"/>
            </w:tcBorders>
            <w:vAlign w:val="center"/>
          </w:tcPr>
          <w:p w14:paraId="61276F5B"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w:t>
            </w:r>
            <w:r>
              <w:rPr>
                <w:rFonts w:ascii="Arial" w:hAnsi="Arial" w:cs="Arial"/>
                <w:b/>
                <w:bCs/>
                <w:sz w:val="18"/>
                <w:szCs w:val="18"/>
              </w:rPr>
              <w:t>2.6</w:t>
            </w:r>
            <w:r w:rsidRPr="002A3B9B">
              <w:rPr>
                <w:rFonts w:ascii="Arial" w:hAnsi="Arial" w:cs="Arial"/>
                <w:b/>
                <w:bCs/>
                <w:sz w:val="18"/>
                <w:szCs w:val="18"/>
              </w:rPr>
              <w:t>B</w:t>
            </w:r>
          </w:p>
        </w:tc>
        <w:tc>
          <w:tcPr>
            <w:tcW w:w="1518" w:type="dxa"/>
            <w:gridSpan w:val="2"/>
            <w:tcBorders>
              <w:top w:val="nil"/>
              <w:bottom w:val="nil"/>
            </w:tcBorders>
            <w:vAlign w:val="center"/>
          </w:tcPr>
          <w:p w14:paraId="40E7CF60"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-1.5</w:t>
            </w:r>
            <w:r w:rsidRPr="002A3B9B">
              <w:rPr>
                <w:rFonts w:ascii="Arial" w:hAnsi="Arial" w:cs="Arial"/>
                <w:b/>
                <w:bCs/>
                <w:sz w:val="18"/>
                <w:szCs w:val="18"/>
              </w:rPr>
              <w:t>%</w:t>
            </w:r>
          </w:p>
        </w:tc>
        <w:tc>
          <w:tcPr>
            <w:tcW w:w="1530" w:type="dxa"/>
            <w:tcBorders>
              <w:top w:val="nil"/>
              <w:bottom w:val="nil"/>
              <w:right w:val="nil"/>
            </w:tcBorders>
            <w:vAlign w:val="center"/>
          </w:tcPr>
          <w:p w14:paraId="180B5D22"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w:t>
            </w:r>
            <w:r>
              <w:rPr>
                <w:rFonts w:ascii="Arial" w:hAnsi="Arial" w:cs="Arial"/>
                <w:b/>
                <w:bCs/>
                <w:sz w:val="18"/>
                <w:szCs w:val="18"/>
              </w:rPr>
              <w:t>3.6</w:t>
            </w:r>
            <w:r w:rsidRPr="002A3B9B">
              <w:rPr>
                <w:rFonts w:ascii="Arial" w:hAnsi="Arial" w:cs="Arial"/>
                <w:b/>
                <w:bCs/>
                <w:sz w:val="18"/>
                <w:szCs w:val="18"/>
              </w:rPr>
              <w:t>%</w:t>
            </w:r>
          </w:p>
        </w:tc>
      </w:tr>
      <w:tr w:rsidR="00381BAC" w:rsidRPr="002A3B9B" w14:paraId="71AE7ACF" w14:textId="77777777" w:rsidTr="00381BAC">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109" w:type="dxa"/>
            <w:tcBorders>
              <w:top w:val="nil"/>
              <w:bottom w:val="nil"/>
            </w:tcBorders>
            <w:vAlign w:val="center"/>
          </w:tcPr>
          <w:p w14:paraId="409BC9AC" w14:textId="77777777" w:rsidR="00381BAC" w:rsidRPr="002A3B9B" w:rsidRDefault="00381BAC" w:rsidP="00381BAC">
            <w:pPr>
              <w:pStyle w:val="NoSpacing"/>
              <w:jc w:val="right"/>
              <w:rPr>
                <w:rFonts w:ascii="Arial" w:hAnsi="Arial" w:cs="Arial"/>
                <w:b w:val="0"/>
                <w:bCs w:val="0"/>
                <w:sz w:val="18"/>
                <w:szCs w:val="18"/>
              </w:rPr>
            </w:pPr>
            <w:r w:rsidRPr="002A3B9B">
              <w:rPr>
                <w:rFonts w:ascii="Arial" w:hAnsi="Arial" w:cs="Arial"/>
                <w:b w:val="0"/>
                <w:bCs w:val="0"/>
                <w:sz w:val="18"/>
                <w:szCs w:val="18"/>
              </w:rPr>
              <w:t>Berries</w:t>
            </w:r>
          </w:p>
        </w:tc>
        <w:tc>
          <w:tcPr>
            <w:tcW w:w="1333" w:type="dxa"/>
            <w:gridSpan w:val="2"/>
            <w:tcBorders>
              <w:top w:val="nil"/>
              <w:bottom w:val="nil"/>
            </w:tcBorders>
            <w:vAlign w:val="center"/>
          </w:tcPr>
          <w:p w14:paraId="3394AFE4"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657M</w:t>
            </w:r>
          </w:p>
        </w:tc>
        <w:tc>
          <w:tcPr>
            <w:tcW w:w="1518" w:type="dxa"/>
            <w:gridSpan w:val="2"/>
            <w:tcBorders>
              <w:top w:val="nil"/>
              <w:bottom w:val="nil"/>
            </w:tcBorders>
            <w:vAlign w:val="center"/>
          </w:tcPr>
          <w:p w14:paraId="6A2C8096"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-0.5</w:t>
            </w:r>
            <w:r w:rsidRPr="002A3B9B">
              <w:rPr>
                <w:rFonts w:ascii="Arial" w:hAnsi="Arial" w:cs="Arial"/>
                <w:sz w:val="18"/>
                <w:szCs w:val="18"/>
              </w:rPr>
              <w:t>%</w:t>
            </w:r>
          </w:p>
        </w:tc>
        <w:tc>
          <w:tcPr>
            <w:tcW w:w="1530" w:type="dxa"/>
            <w:tcBorders>
              <w:top w:val="nil"/>
              <w:bottom w:val="nil"/>
            </w:tcBorders>
            <w:vAlign w:val="center"/>
          </w:tcPr>
          <w:p w14:paraId="484DF4A0"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4.5</w:t>
            </w:r>
            <w:r w:rsidRPr="002A3B9B">
              <w:rPr>
                <w:rFonts w:ascii="Arial" w:hAnsi="Arial" w:cs="Arial"/>
                <w:sz w:val="18"/>
                <w:szCs w:val="18"/>
              </w:rPr>
              <w:t>%</w:t>
            </w:r>
          </w:p>
        </w:tc>
      </w:tr>
      <w:tr w:rsidR="00381BAC" w:rsidRPr="002A3B9B" w14:paraId="3C0A571E" w14:textId="77777777" w:rsidTr="00381BAC">
        <w:trPr>
          <w:trHeight w:val="257"/>
          <w:jc w:val="right"/>
        </w:trPr>
        <w:tc>
          <w:tcPr>
            <w:cnfStyle w:val="001000000000" w:firstRow="0" w:lastRow="0" w:firstColumn="1" w:lastColumn="0" w:oddVBand="0" w:evenVBand="0" w:oddHBand="0" w:evenHBand="0" w:firstRowFirstColumn="0" w:firstRowLastColumn="0" w:lastRowFirstColumn="0" w:lastRowLastColumn="0"/>
            <w:tcW w:w="1109" w:type="dxa"/>
            <w:tcBorders>
              <w:top w:val="nil"/>
              <w:bottom w:val="nil"/>
            </w:tcBorders>
            <w:vAlign w:val="center"/>
          </w:tcPr>
          <w:p w14:paraId="4DAA4B7D" w14:textId="77777777" w:rsidR="00381BAC" w:rsidRPr="002A3B9B" w:rsidRDefault="00381BAC" w:rsidP="00381BAC">
            <w:pPr>
              <w:pStyle w:val="NoSpacing"/>
              <w:jc w:val="right"/>
              <w:rPr>
                <w:rFonts w:ascii="Arial" w:hAnsi="Arial" w:cs="Arial"/>
                <w:b w:val="0"/>
                <w:bCs w:val="0"/>
                <w:sz w:val="18"/>
                <w:szCs w:val="18"/>
              </w:rPr>
            </w:pPr>
            <w:r w:rsidRPr="002A3B9B">
              <w:rPr>
                <w:rFonts w:ascii="Arial" w:hAnsi="Arial" w:cs="Arial"/>
                <w:b w:val="0"/>
                <w:bCs w:val="0"/>
                <w:sz w:val="18"/>
                <w:szCs w:val="18"/>
              </w:rPr>
              <w:t>Apples</w:t>
            </w:r>
          </w:p>
        </w:tc>
        <w:tc>
          <w:tcPr>
            <w:tcW w:w="1333" w:type="dxa"/>
            <w:gridSpan w:val="2"/>
            <w:tcBorders>
              <w:top w:val="nil"/>
              <w:bottom w:val="nil"/>
            </w:tcBorders>
            <w:vAlign w:val="center"/>
          </w:tcPr>
          <w:p w14:paraId="191ED0A8"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362M</w:t>
            </w:r>
          </w:p>
        </w:tc>
        <w:tc>
          <w:tcPr>
            <w:tcW w:w="1518" w:type="dxa"/>
            <w:gridSpan w:val="2"/>
            <w:tcBorders>
              <w:top w:val="nil"/>
              <w:bottom w:val="nil"/>
            </w:tcBorders>
            <w:vAlign w:val="center"/>
          </w:tcPr>
          <w:p w14:paraId="4E377321"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-2.6</w:t>
            </w:r>
            <w:r w:rsidRPr="002A3B9B">
              <w:rPr>
                <w:rFonts w:ascii="Arial" w:hAnsi="Arial" w:cs="Arial"/>
                <w:sz w:val="18"/>
                <w:szCs w:val="18"/>
              </w:rPr>
              <w:t>%</w:t>
            </w:r>
          </w:p>
        </w:tc>
        <w:tc>
          <w:tcPr>
            <w:tcW w:w="1530" w:type="dxa"/>
            <w:tcBorders>
              <w:top w:val="nil"/>
              <w:bottom w:val="nil"/>
              <w:right w:val="nil"/>
            </w:tcBorders>
            <w:vAlign w:val="center"/>
          </w:tcPr>
          <w:p w14:paraId="4048985F"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7.6</w:t>
            </w:r>
            <w:r w:rsidRPr="002A3B9B">
              <w:rPr>
                <w:rFonts w:ascii="Arial" w:hAnsi="Arial" w:cs="Arial"/>
                <w:sz w:val="18"/>
                <w:szCs w:val="18"/>
              </w:rPr>
              <w:t>%</w:t>
            </w:r>
          </w:p>
        </w:tc>
      </w:tr>
      <w:tr w:rsidR="00381BAC" w:rsidRPr="002A3B9B" w14:paraId="12E5FE2A" w14:textId="77777777" w:rsidTr="00381BAC">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109" w:type="dxa"/>
            <w:tcBorders>
              <w:top w:val="nil"/>
              <w:bottom w:val="nil"/>
            </w:tcBorders>
            <w:vAlign w:val="center"/>
          </w:tcPr>
          <w:p w14:paraId="73BCF53C" w14:textId="77777777" w:rsidR="00381BAC" w:rsidRPr="002A3B9B" w:rsidRDefault="00381BAC" w:rsidP="00381BAC">
            <w:pPr>
              <w:pStyle w:val="NoSpacing"/>
              <w:jc w:val="right"/>
              <w:rPr>
                <w:rFonts w:ascii="Arial" w:hAnsi="Arial" w:cs="Arial"/>
                <w:b w:val="0"/>
                <w:bCs w:val="0"/>
                <w:sz w:val="18"/>
                <w:szCs w:val="18"/>
              </w:rPr>
            </w:pPr>
            <w:r w:rsidRPr="002A3B9B">
              <w:rPr>
                <w:rFonts w:ascii="Arial" w:hAnsi="Arial" w:cs="Arial"/>
                <w:b w:val="0"/>
                <w:bCs w:val="0"/>
                <w:sz w:val="18"/>
                <w:szCs w:val="18"/>
              </w:rPr>
              <w:t>Grapes</w:t>
            </w:r>
          </w:p>
        </w:tc>
        <w:tc>
          <w:tcPr>
            <w:tcW w:w="1333" w:type="dxa"/>
            <w:gridSpan w:val="2"/>
            <w:tcBorders>
              <w:top w:val="nil"/>
              <w:bottom w:val="nil"/>
            </w:tcBorders>
            <w:vAlign w:val="center"/>
          </w:tcPr>
          <w:p w14:paraId="3318E8BF"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273M</w:t>
            </w:r>
          </w:p>
        </w:tc>
        <w:tc>
          <w:tcPr>
            <w:tcW w:w="1518" w:type="dxa"/>
            <w:gridSpan w:val="2"/>
            <w:tcBorders>
              <w:top w:val="nil"/>
              <w:bottom w:val="nil"/>
            </w:tcBorders>
            <w:vAlign w:val="center"/>
          </w:tcPr>
          <w:p w14:paraId="5DA5BB3B"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+5.4</w:t>
            </w:r>
            <w:r w:rsidRPr="002A3B9B">
              <w:rPr>
                <w:rFonts w:ascii="Arial" w:hAnsi="Arial" w:cs="Arial"/>
                <w:sz w:val="18"/>
                <w:szCs w:val="18"/>
              </w:rPr>
              <w:t>%</w:t>
            </w:r>
          </w:p>
        </w:tc>
        <w:tc>
          <w:tcPr>
            <w:tcW w:w="1530" w:type="dxa"/>
            <w:tcBorders>
              <w:top w:val="nil"/>
              <w:bottom w:val="nil"/>
            </w:tcBorders>
            <w:vAlign w:val="center"/>
          </w:tcPr>
          <w:p w14:paraId="3A0CAA17"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+2.6</w:t>
            </w:r>
            <w:r w:rsidRPr="002A3B9B">
              <w:rPr>
                <w:rFonts w:ascii="Arial" w:hAnsi="Arial" w:cs="Arial"/>
                <w:sz w:val="18"/>
                <w:szCs w:val="18"/>
              </w:rPr>
              <w:t>%</w:t>
            </w:r>
          </w:p>
        </w:tc>
      </w:tr>
      <w:tr w:rsidR="00381BAC" w:rsidRPr="002A3B9B" w14:paraId="2143E351" w14:textId="77777777" w:rsidTr="00381BAC">
        <w:trPr>
          <w:trHeight w:val="257"/>
          <w:jc w:val="right"/>
        </w:trPr>
        <w:tc>
          <w:tcPr>
            <w:cnfStyle w:val="001000000000" w:firstRow="0" w:lastRow="0" w:firstColumn="1" w:lastColumn="0" w:oddVBand="0" w:evenVBand="0" w:oddHBand="0" w:evenHBand="0" w:firstRowFirstColumn="0" w:firstRowLastColumn="0" w:lastRowFirstColumn="0" w:lastRowLastColumn="0"/>
            <w:tcW w:w="1109" w:type="dxa"/>
            <w:tcBorders>
              <w:top w:val="nil"/>
              <w:bottom w:val="nil"/>
            </w:tcBorders>
            <w:vAlign w:val="center"/>
          </w:tcPr>
          <w:p w14:paraId="1C544184" w14:textId="77777777" w:rsidR="00381BAC" w:rsidRPr="002A3B9B" w:rsidRDefault="00381BAC" w:rsidP="00381BAC">
            <w:pPr>
              <w:pStyle w:val="NoSpacing"/>
              <w:jc w:val="right"/>
              <w:rPr>
                <w:rFonts w:ascii="Arial" w:hAnsi="Arial" w:cs="Arial"/>
                <w:b w:val="0"/>
                <w:bCs w:val="0"/>
                <w:sz w:val="18"/>
                <w:szCs w:val="18"/>
              </w:rPr>
            </w:pPr>
            <w:r w:rsidRPr="002A3B9B">
              <w:rPr>
                <w:rFonts w:ascii="Arial" w:hAnsi="Arial" w:cs="Arial"/>
                <w:b w:val="0"/>
                <w:bCs w:val="0"/>
                <w:sz w:val="18"/>
                <w:szCs w:val="18"/>
              </w:rPr>
              <w:t>Bananas</w:t>
            </w:r>
          </w:p>
        </w:tc>
        <w:tc>
          <w:tcPr>
            <w:tcW w:w="1333" w:type="dxa"/>
            <w:gridSpan w:val="2"/>
            <w:tcBorders>
              <w:top w:val="nil"/>
              <w:bottom w:val="nil"/>
            </w:tcBorders>
            <w:vAlign w:val="center"/>
          </w:tcPr>
          <w:p w14:paraId="67621787"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260M</w:t>
            </w:r>
          </w:p>
        </w:tc>
        <w:tc>
          <w:tcPr>
            <w:tcW w:w="1518" w:type="dxa"/>
            <w:gridSpan w:val="2"/>
            <w:tcBorders>
              <w:top w:val="nil"/>
              <w:bottom w:val="nil"/>
            </w:tcBorders>
            <w:vAlign w:val="center"/>
          </w:tcPr>
          <w:p w14:paraId="392D872F"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+1.0</w:t>
            </w:r>
            <w:r w:rsidRPr="002A3B9B">
              <w:rPr>
                <w:rFonts w:ascii="Arial" w:hAnsi="Arial" w:cs="Arial"/>
                <w:sz w:val="18"/>
                <w:szCs w:val="18"/>
              </w:rPr>
              <w:t>%</w:t>
            </w:r>
          </w:p>
        </w:tc>
        <w:tc>
          <w:tcPr>
            <w:tcW w:w="1530" w:type="dxa"/>
            <w:tcBorders>
              <w:top w:val="nil"/>
              <w:bottom w:val="nil"/>
              <w:right w:val="nil"/>
            </w:tcBorders>
            <w:vAlign w:val="center"/>
          </w:tcPr>
          <w:p w14:paraId="22A7FA8E"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1.6</w:t>
            </w:r>
            <w:r w:rsidRPr="002A3B9B">
              <w:rPr>
                <w:rFonts w:ascii="Arial" w:hAnsi="Arial" w:cs="Arial"/>
                <w:sz w:val="18"/>
                <w:szCs w:val="18"/>
              </w:rPr>
              <w:t>%</w:t>
            </w:r>
          </w:p>
        </w:tc>
      </w:tr>
      <w:tr w:rsidR="00381BAC" w:rsidRPr="002A3B9B" w14:paraId="633C2C07" w14:textId="77777777" w:rsidTr="00381BAC">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109" w:type="dxa"/>
            <w:tcBorders>
              <w:top w:val="nil"/>
              <w:bottom w:val="nil"/>
            </w:tcBorders>
            <w:vAlign w:val="center"/>
          </w:tcPr>
          <w:p w14:paraId="44746A13" w14:textId="77777777" w:rsidR="00381BAC" w:rsidRPr="002A3B9B" w:rsidRDefault="00381BAC" w:rsidP="00381BAC">
            <w:pPr>
              <w:pStyle w:val="NoSpacing"/>
              <w:jc w:val="right"/>
              <w:rPr>
                <w:rFonts w:ascii="Arial" w:hAnsi="Arial" w:cs="Arial"/>
                <w:b w:val="0"/>
                <w:bCs w:val="0"/>
                <w:sz w:val="18"/>
                <w:szCs w:val="18"/>
              </w:rPr>
            </w:pPr>
            <w:r w:rsidRPr="002A3B9B">
              <w:rPr>
                <w:rFonts w:ascii="Arial" w:hAnsi="Arial" w:cs="Arial"/>
                <w:b w:val="0"/>
                <w:bCs w:val="0"/>
                <w:sz w:val="18"/>
                <w:szCs w:val="18"/>
              </w:rPr>
              <w:t>Avocados</w:t>
            </w:r>
          </w:p>
        </w:tc>
        <w:tc>
          <w:tcPr>
            <w:tcW w:w="1333" w:type="dxa"/>
            <w:gridSpan w:val="2"/>
            <w:tcBorders>
              <w:top w:val="nil"/>
              <w:bottom w:val="nil"/>
            </w:tcBorders>
            <w:vAlign w:val="center"/>
          </w:tcPr>
          <w:p w14:paraId="411637F7"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184M</w:t>
            </w:r>
          </w:p>
        </w:tc>
        <w:tc>
          <w:tcPr>
            <w:tcW w:w="1518" w:type="dxa"/>
            <w:gridSpan w:val="2"/>
            <w:tcBorders>
              <w:top w:val="nil"/>
              <w:bottom w:val="nil"/>
            </w:tcBorders>
            <w:vAlign w:val="center"/>
          </w:tcPr>
          <w:p w14:paraId="0C6DC923"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-13.8</w:t>
            </w:r>
            <w:r w:rsidRPr="002A3B9B">
              <w:rPr>
                <w:rFonts w:ascii="Arial" w:hAnsi="Arial" w:cs="Arial"/>
                <w:sz w:val="18"/>
                <w:szCs w:val="18"/>
              </w:rPr>
              <w:t>%</w:t>
            </w:r>
          </w:p>
        </w:tc>
        <w:tc>
          <w:tcPr>
            <w:tcW w:w="1530" w:type="dxa"/>
            <w:tcBorders>
              <w:top w:val="nil"/>
              <w:bottom w:val="nil"/>
            </w:tcBorders>
            <w:vAlign w:val="center"/>
          </w:tcPr>
          <w:p w14:paraId="6ACA055A"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+4.0</w:t>
            </w:r>
            <w:r w:rsidRPr="002A3B9B">
              <w:rPr>
                <w:rFonts w:ascii="Arial" w:hAnsi="Arial" w:cs="Arial"/>
                <w:sz w:val="18"/>
                <w:szCs w:val="18"/>
              </w:rPr>
              <w:t>%</w:t>
            </w:r>
          </w:p>
        </w:tc>
      </w:tr>
      <w:tr w:rsidR="00381BAC" w:rsidRPr="002A3B9B" w14:paraId="0FCBB098" w14:textId="77777777" w:rsidTr="00381BAC">
        <w:trPr>
          <w:trHeight w:val="257"/>
          <w:jc w:val="right"/>
        </w:trPr>
        <w:tc>
          <w:tcPr>
            <w:cnfStyle w:val="001000000000" w:firstRow="0" w:lastRow="0" w:firstColumn="1" w:lastColumn="0" w:oddVBand="0" w:evenVBand="0" w:oddHBand="0" w:evenHBand="0" w:firstRowFirstColumn="0" w:firstRowLastColumn="0" w:lastRowFirstColumn="0" w:lastRowLastColumn="0"/>
            <w:tcW w:w="1109" w:type="dxa"/>
            <w:tcBorders>
              <w:top w:val="nil"/>
              <w:bottom w:val="nil"/>
            </w:tcBorders>
            <w:vAlign w:val="center"/>
          </w:tcPr>
          <w:p w14:paraId="1671FCC2" w14:textId="77777777" w:rsidR="00381BAC" w:rsidRPr="002A3B9B" w:rsidRDefault="00381BAC" w:rsidP="00381BAC">
            <w:pPr>
              <w:pStyle w:val="NoSpacing"/>
              <w:jc w:val="right"/>
              <w:rPr>
                <w:rFonts w:ascii="Arial" w:hAnsi="Arial" w:cs="Arial"/>
                <w:b w:val="0"/>
                <w:bCs w:val="0"/>
                <w:sz w:val="18"/>
                <w:szCs w:val="18"/>
              </w:rPr>
            </w:pPr>
            <w:r w:rsidRPr="002A3B9B">
              <w:rPr>
                <w:rFonts w:ascii="Arial" w:hAnsi="Arial" w:cs="Arial"/>
                <w:b w:val="0"/>
                <w:bCs w:val="0"/>
                <w:sz w:val="18"/>
                <w:szCs w:val="18"/>
              </w:rPr>
              <w:t>Mandarins</w:t>
            </w:r>
          </w:p>
        </w:tc>
        <w:tc>
          <w:tcPr>
            <w:tcW w:w="1333" w:type="dxa"/>
            <w:gridSpan w:val="2"/>
            <w:tcBorders>
              <w:top w:val="nil"/>
              <w:bottom w:val="nil"/>
            </w:tcBorders>
            <w:vAlign w:val="center"/>
          </w:tcPr>
          <w:p w14:paraId="2DFA6DC1"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159M</w:t>
            </w:r>
          </w:p>
        </w:tc>
        <w:tc>
          <w:tcPr>
            <w:tcW w:w="1518" w:type="dxa"/>
            <w:gridSpan w:val="2"/>
            <w:tcBorders>
              <w:top w:val="nil"/>
              <w:bottom w:val="nil"/>
            </w:tcBorders>
            <w:vAlign w:val="center"/>
          </w:tcPr>
          <w:p w14:paraId="7B513F54"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-11.0</w:t>
            </w:r>
            <w:r w:rsidRPr="002A3B9B">
              <w:rPr>
                <w:rFonts w:ascii="Arial" w:hAnsi="Arial" w:cs="Arial"/>
                <w:sz w:val="18"/>
                <w:szCs w:val="18"/>
              </w:rPr>
              <w:t>%</w:t>
            </w:r>
          </w:p>
        </w:tc>
        <w:tc>
          <w:tcPr>
            <w:tcW w:w="1530" w:type="dxa"/>
            <w:tcBorders>
              <w:top w:val="nil"/>
              <w:bottom w:val="nil"/>
              <w:right w:val="nil"/>
            </w:tcBorders>
            <w:vAlign w:val="center"/>
          </w:tcPr>
          <w:p w14:paraId="76F77EE3"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8.9</w:t>
            </w:r>
            <w:r w:rsidRPr="002A3B9B">
              <w:rPr>
                <w:rFonts w:ascii="Arial" w:hAnsi="Arial" w:cs="Arial"/>
                <w:sz w:val="18"/>
                <w:szCs w:val="18"/>
              </w:rPr>
              <w:t>%</w:t>
            </w:r>
          </w:p>
        </w:tc>
      </w:tr>
      <w:tr w:rsidR="00381BAC" w:rsidRPr="002A3B9B" w14:paraId="6CB40D3D" w14:textId="77777777" w:rsidTr="00381BAC">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109" w:type="dxa"/>
            <w:tcBorders>
              <w:top w:val="nil"/>
              <w:bottom w:val="nil"/>
            </w:tcBorders>
            <w:vAlign w:val="center"/>
          </w:tcPr>
          <w:p w14:paraId="144280E0" w14:textId="77777777" w:rsidR="00381BAC" w:rsidRPr="002A3B9B" w:rsidRDefault="00381BAC" w:rsidP="00381BAC">
            <w:pPr>
              <w:pStyle w:val="NoSpacing"/>
              <w:jc w:val="right"/>
              <w:rPr>
                <w:rFonts w:ascii="Arial" w:hAnsi="Arial" w:cs="Arial"/>
                <w:b w:val="0"/>
                <w:bCs w:val="0"/>
                <w:sz w:val="18"/>
                <w:szCs w:val="18"/>
              </w:rPr>
            </w:pPr>
            <w:r w:rsidRPr="002A3B9B">
              <w:rPr>
                <w:rFonts w:ascii="Arial" w:hAnsi="Arial" w:cs="Arial"/>
                <w:b w:val="0"/>
                <w:bCs w:val="0"/>
                <w:sz w:val="18"/>
                <w:szCs w:val="18"/>
              </w:rPr>
              <w:t>Melons</w:t>
            </w:r>
          </w:p>
        </w:tc>
        <w:tc>
          <w:tcPr>
            <w:tcW w:w="1333" w:type="dxa"/>
            <w:gridSpan w:val="2"/>
            <w:tcBorders>
              <w:top w:val="nil"/>
              <w:bottom w:val="nil"/>
            </w:tcBorders>
            <w:vAlign w:val="center"/>
          </w:tcPr>
          <w:p w14:paraId="5656DA0E"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139M</w:t>
            </w:r>
          </w:p>
        </w:tc>
        <w:tc>
          <w:tcPr>
            <w:tcW w:w="1518" w:type="dxa"/>
            <w:gridSpan w:val="2"/>
            <w:tcBorders>
              <w:top w:val="nil"/>
              <w:bottom w:val="nil"/>
            </w:tcBorders>
            <w:vAlign w:val="center"/>
          </w:tcPr>
          <w:p w14:paraId="5CF82C44"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+2.2</w:t>
            </w:r>
            <w:r w:rsidRPr="002A3B9B">
              <w:rPr>
                <w:rFonts w:ascii="Arial" w:hAnsi="Arial" w:cs="Arial"/>
                <w:sz w:val="18"/>
                <w:szCs w:val="18"/>
              </w:rPr>
              <w:t>%</w:t>
            </w:r>
          </w:p>
        </w:tc>
        <w:tc>
          <w:tcPr>
            <w:tcW w:w="1530" w:type="dxa"/>
            <w:tcBorders>
              <w:top w:val="nil"/>
              <w:bottom w:val="nil"/>
            </w:tcBorders>
            <w:vAlign w:val="center"/>
          </w:tcPr>
          <w:p w14:paraId="37C71D19"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5.2</w:t>
            </w:r>
            <w:r w:rsidRPr="002A3B9B">
              <w:rPr>
                <w:rFonts w:ascii="Arial" w:hAnsi="Arial" w:cs="Arial"/>
                <w:sz w:val="18"/>
                <w:szCs w:val="18"/>
              </w:rPr>
              <w:t>%</w:t>
            </w:r>
          </w:p>
        </w:tc>
      </w:tr>
      <w:tr w:rsidR="00381BAC" w:rsidRPr="002A3B9B" w14:paraId="3BC92AB8" w14:textId="77777777" w:rsidTr="00381BAC">
        <w:trPr>
          <w:trHeight w:val="257"/>
          <w:jc w:val="right"/>
        </w:trPr>
        <w:tc>
          <w:tcPr>
            <w:cnfStyle w:val="001000000000" w:firstRow="0" w:lastRow="0" w:firstColumn="1" w:lastColumn="0" w:oddVBand="0" w:evenVBand="0" w:oddHBand="0" w:evenHBand="0" w:firstRowFirstColumn="0" w:firstRowLastColumn="0" w:lastRowFirstColumn="0" w:lastRowLastColumn="0"/>
            <w:tcW w:w="1109" w:type="dxa"/>
            <w:tcBorders>
              <w:top w:val="nil"/>
              <w:bottom w:val="nil"/>
            </w:tcBorders>
            <w:vAlign w:val="center"/>
          </w:tcPr>
          <w:p w14:paraId="526CD019" w14:textId="77777777" w:rsidR="00381BAC" w:rsidRPr="002A3B9B" w:rsidRDefault="00381BAC" w:rsidP="00381BAC">
            <w:pPr>
              <w:pStyle w:val="NoSpacing"/>
              <w:jc w:val="right"/>
              <w:rPr>
                <w:rFonts w:ascii="Arial" w:hAnsi="Arial" w:cs="Arial"/>
                <w:b w:val="0"/>
                <w:bCs w:val="0"/>
                <w:sz w:val="18"/>
                <w:szCs w:val="18"/>
              </w:rPr>
            </w:pPr>
            <w:r w:rsidRPr="002A3B9B">
              <w:rPr>
                <w:rFonts w:ascii="Arial" w:hAnsi="Arial" w:cs="Arial"/>
                <w:b w:val="0"/>
                <w:bCs w:val="0"/>
                <w:sz w:val="18"/>
                <w:szCs w:val="18"/>
              </w:rPr>
              <w:t>Oranges</w:t>
            </w:r>
          </w:p>
        </w:tc>
        <w:tc>
          <w:tcPr>
            <w:tcW w:w="1333" w:type="dxa"/>
            <w:gridSpan w:val="2"/>
            <w:tcBorders>
              <w:top w:val="nil"/>
              <w:bottom w:val="nil"/>
            </w:tcBorders>
            <w:vAlign w:val="center"/>
          </w:tcPr>
          <w:p w14:paraId="33784180"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123M</w:t>
            </w:r>
          </w:p>
        </w:tc>
        <w:tc>
          <w:tcPr>
            <w:tcW w:w="1518" w:type="dxa"/>
            <w:gridSpan w:val="2"/>
            <w:tcBorders>
              <w:top w:val="nil"/>
              <w:bottom w:val="nil"/>
            </w:tcBorders>
            <w:vAlign w:val="center"/>
          </w:tcPr>
          <w:p w14:paraId="27758CFD"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-13.7</w:t>
            </w:r>
            <w:r w:rsidRPr="002A3B9B">
              <w:rPr>
                <w:rFonts w:ascii="Arial" w:hAnsi="Arial" w:cs="Arial"/>
                <w:sz w:val="18"/>
                <w:szCs w:val="18"/>
              </w:rPr>
              <w:t>%</w:t>
            </w:r>
          </w:p>
        </w:tc>
        <w:tc>
          <w:tcPr>
            <w:tcW w:w="1530" w:type="dxa"/>
            <w:tcBorders>
              <w:top w:val="nil"/>
              <w:bottom w:val="nil"/>
              <w:right w:val="nil"/>
            </w:tcBorders>
            <w:vAlign w:val="center"/>
          </w:tcPr>
          <w:p w14:paraId="63AE964E"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16.6</w:t>
            </w:r>
            <w:r w:rsidRPr="002A3B9B">
              <w:rPr>
                <w:rFonts w:ascii="Arial" w:hAnsi="Arial" w:cs="Arial"/>
                <w:sz w:val="18"/>
                <w:szCs w:val="18"/>
              </w:rPr>
              <w:t>%</w:t>
            </w:r>
          </w:p>
        </w:tc>
      </w:tr>
      <w:tr w:rsidR="00381BAC" w:rsidRPr="002A3B9B" w14:paraId="34360E89" w14:textId="77777777" w:rsidTr="00381BAC">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109" w:type="dxa"/>
            <w:tcBorders>
              <w:top w:val="nil"/>
              <w:bottom w:val="nil"/>
            </w:tcBorders>
            <w:vAlign w:val="center"/>
          </w:tcPr>
          <w:p w14:paraId="2F789C67" w14:textId="77777777" w:rsidR="00381BAC" w:rsidRPr="002A3B9B" w:rsidRDefault="00381BAC" w:rsidP="00381BAC">
            <w:pPr>
              <w:pStyle w:val="NoSpacing"/>
              <w:jc w:val="right"/>
              <w:rPr>
                <w:rFonts w:ascii="Arial" w:hAnsi="Arial" w:cs="Arial"/>
                <w:b w:val="0"/>
                <w:bCs w:val="0"/>
                <w:sz w:val="18"/>
                <w:szCs w:val="18"/>
              </w:rPr>
            </w:pPr>
            <w:r w:rsidRPr="002A3B9B">
              <w:rPr>
                <w:rFonts w:ascii="Arial" w:hAnsi="Arial" w:cs="Arial"/>
                <w:b w:val="0"/>
                <w:bCs w:val="0"/>
                <w:sz w:val="18"/>
                <w:szCs w:val="18"/>
              </w:rPr>
              <w:t>Mixed fruit</w:t>
            </w:r>
          </w:p>
        </w:tc>
        <w:tc>
          <w:tcPr>
            <w:tcW w:w="1333" w:type="dxa"/>
            <w:gridSpan w:val="2"/>
            <w:tcBorders>
              <w:top w:val="nil"/>
              <w:bottom w:val="nil"/>
            </w:tcBorders>
            <w:vAlign w:val="center"/>
          </w:tcPr>
          <w:p w14:paraId="4114E0CD"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70M</w:t>
            </w:r>
          </w:p>
        </w:tc>
        <w:tc>
          <w:tcPr>
            <w:tcW w:w="1518" w:type="dxa"/>
            <w:gridSpan w:val="2"/>
            <w:tcBorders>
              <w:top w:val="nil"/>
              <w:bottom w:val="nil"/>
            </w:tcBorders>
            <w:vAlign w:val="center"/>
          </w:tcPr>
          <w:p w14:paraId="5900F9F4"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+4.1</w:t>
            </w:r>
            <w:r w:rsidRPr="002A3B9B">
              <w:rPr>
                <w:rFonts w:ascii="Arial" w:hAnsi="Arial" w:cs="Arial"/>
                <w:sz w:val="18"/>
                <w:szCs w:val="18"/>
              </w:rPr>
              <w:t>%</w:t>
            </w:r>
          </w:p>
        </w:tc>
        <w:tc>
          <w:tcPr>
            <w:tcW w:w="1530" w:type="dxa"/>
            <w:tcBorders>
              <w:top w:val="nil"/>
              <w:bottom w:val="nil"/>
            </w:tcBorders>
            <w:vAlign w:val="center"/>
          </w:tcPr>
          <w:p w14:paraId="1581EB8C"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+0.5</w:t>
            </w:r>
            <w:r w:rsidRPr="002A3B9B">
              <w:rPr>
                <w:rFonts w:ascii="Arial" w:hAnsi="Arial" w:cs="Arial"/>
                <w:sz w:val="18"/>
                <w:szCs w:val="18"/>
              </w:rPr>
              <w:t>%</w:t>
            </w:r>
          </w:p>
        </w:tc>
      </w:tr>
      <w:tr w:rsidR="00381BAC" w:rsidRPr="002A3B9B" w14:paraId="5209A420" w14:textId="77777777" w:rsidTr="00381BAC">
        <w:trPr>
          <w:trHeight w:val="257"/>
          <w:jc w:val="right"/>
        </w:trPr>
        <w:tc>
          <w:tcPr>
            <w:cnfStyle w:val="001000000000" w:firstRow="0" w:lastRow="0" w:firstColumn="1" w:lastColumn="0" w:oddVBand="0" w:evenVBand="0" w:oddHBand="0" w:evenHBand="0" w:firstRowFirstColumn="0" w:firstRowLastColumn="0" w:lastRowFirstColumn="0" w:lastRowLastColumn="0"/>
            <w:tcW w:w="1109" w:type="dxa"/>
            <w:tcBorders>
              <w:top w:val="nil"/>
              <w:bottom w:val="nil"/>
            </w:tcBorders>
            <w:vAlign w:val="center"/>
          </w:tcPr>
          <w:p w14:paraId="18D86BD9" w14:textId="77777777" w:rsidR="00381BAC" w:rsidRPr="002A3B9B" w:rsidRDefault="00381BAC" w:rsidP="00381BAC">
            <w:pPr>
              <w:pStyle w:val="NoSpacing"/>
              <w:jc w:val="right"/>
              <w:rPr>
                <w:rFonts w:ascii="Arial" w:hAnsi="Arial" w:cs="Arial"/>
                <w:b w:val="0"/>
                <w:sz w:val="18"/>
                <w:szCs w:val="18"/>
              </w:rPr>
            </w:pPr>
            <w:r>
              <w:rPr>
                <w:rFonts w:ascii="Arial" w:hAnsi="Arial" w:cs="Arial"/>
                <w:b w:val="0"/>
                <w:sz w:val="18"/>
                <w:szCs w:val="18"/>
              </w:rPr>
              <w:t>Pineapples</w:t>
            </w:r>
          </w:p>
        </w:tc>
        <w:tc>
          <w:tcPr>
            <w:tcW w:w="1333" w:type="dxa"/>
            <w:gridSpan w:val="2"/>
            <w:tcBorders>
              <w:top w:val="nil"/>
              <w:bottom w:val="nil"/>
            </w:tcBorders>
            <w:vAlign w:val="center"/>
          </w:tcPr>
          <w:p w14:paraId="41AE21A6"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69M</w:t>
            </w:r>
          </w:p>
        </w:tc>
        <w:tc>
          <w:tcPr>
            <w:tcW w:w="1518" w:type="dxa"/>
            <w:gridSpan w:val="2"/>
            <w:tcBorders>
              <w:top w:val="nil"/>
              <w:bottom w:val="nil"/>
            </w:tcBorders>
            <w:vAlign w:val="center"/>
          </w:tcPr>
          <w:p w14:paraId="504DB186"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+3.6</w:t>
            </w:r>
            <w:r w:rsidRPr="002A3B9B">
              <w:rPr>
                <w:rFonts w:ascii="Arial" w:hAnsi="Arial" w:cs="Arial"/>
                <w:sz w:val="18"/>
                <w:szCs w:val="18"/>
              </w:rPr>
              <w:t>%</w:t>
            </w:r>
          </w:p>
        </w:tc>
        <w:tc>
          <w:tcPr>
            <w:tcW w:w="1530" w:type="dxa"/>
            <w:tcBorders>
              <w:top w:val="nil"/>
              <w:bottom w:val="nil"/>
              <w:right w:val="nil"/>
            </w:tcBorders>
            <w:vAlign w:val="center"/>
          </w:tcPr>
          <w:p w14:paraId="4FA041D0"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+1.1</w:t>
            </w:r>
            <w:r w:rsidRPr="002A3B9B">
              <w:rPr>
                <w:rFonts w:ascii="Arial" w:hAnsi="Arial" w:cs="Arial"/>
                <w:sz w:val="18"/>
                <w:szCs w:val="18"/>
              </w:rPr>
              <w:t>%</w:t>
            </w:r>
          </w:p>
        </w:tc>
      </w:tr>
    </w:tbl>
    <w:p w14:paraId="0A2BF398" w14:textId="56EA381D" w:rsidR="00BB3051" w:rsidRDefault="00381BAC" w:rsidP="00CB6454">
      <w:pPr>
        <w:pStyle w:val="NoSpacing"/>
        <w:rPr>
          <w:rFonts w:ascii="Arial" w:hAnsi="Arial" w:cs="Arial"/>
          <w:sz w:val="20"/>
          <w:szCs w:val="20"/>
        </w:rPr>
      </w:pPr>
      <w:r>
        <w:rPr>
          <w:rFonts w:ascii="Arial" w:hAnsi="Arial" w:cs="Arial"/>
          <w:sz w:val="20"/>
          <w:szCs w:val="20"/>
        </w:rPr>
        <w:t xml:space="preserve"> </w:t>
      </w:r>
      <w:r w:rsidR="00CB6454">
        <w:rPr>
          <w:rFonts w:ascii="Arial" w:hAnsi="Arial" w:cs="Arial"/>
          <w:sz w:val="20"/>
          <w:szCs w:val="20"/>
        </w:rPr>
        <w:t>“</w:t>
      </w:r>
      <w:r w:rsidR="00565AF2">
        <w:rPr>
          <w:rFonts w:ascii="Arial" w:hAnsi="Arial" w:cs="Arial"/>
          <w:sz w:val="20"/>
          <w:szCs w:val="20"/>
        </w:rPr>
        <w:t>The fruit performance in January 2023 was more mixed than we have seen in recent months</w:t>
      </w:r>
      <w:r w:rsidR="00BE4D67">
        <w:rPr>
          <w:rFonts w:ascii="Arial" w:hAnsi="Arial" w:cs="Arial"/>
          <w:sz w:val="20"/>
          <w:szCs w:val="20"/>
        </w:rPr>
        <w:t xml:space="preserve">,” </w:t>
      </w:r>
      <w:r w:rsidR="002A3B9B">
        <w:rPr>
          <w:rFonts w:ascii="Arial" w:hAnsi="Arial" w:cs="Arial"/>
          <w:sz w:val="20"/>
          <w:szCs w:val="20"/>
        </w:rPr>
        <w:t xml:space="preserve">said </w:t>
      </w:r>
      <w:r w:rsidR="00BE4D67">
        <w:rPr>
          <w:rFonts w:ascii="Arial" w:hAnsi="Arial" w:cs="Arial"/>
          <w:sz w:val="20"/>
          <w:szCs w:val="20"/>
        </w:rPr>
        <w:t xml:space="preserve">Parker. </w:t>
      </w:r>
      <w:r w:rsidR="002A3B9B">
        <w:rPr>
          <w:rFonts w:ascii="Arial" w:hAnsi="Arial" w:cs="Arial"/>
          <w:sz w:val="20"/>
          <w:szCs w:val="20"/>
        </w:rPr>
        <w:t>“</w:t>
      </w:r>
      <w:r w:rsidR="00565AF2">
        <w:rPr>
          <w:rFonts w:ascii="Arial" w:hAnsi="Arial" w:cs="Arial"/>
          <w:sz w:val="20"/>
          <w:szCs w:val="20"/>
        </w:rPr>
        <w:t xml:space="preserve">Berries are still the powerhouse, but even berries could not hold the line on pounds that were down 4.5%.” Only four out of the top 10 fruit sellers increased in pounds, being grapes, avocados, mixed fruit and pineapples. </w:t>
      </w:r>
    </w:p>
    <w:p w14:paraId="09DFFB42" w14:textId="2303DBBB" w:rsidR="00CB6454" w:rsidRPr="00EA1FE4" w:rsidRDefault="00CB6454" w:rsidP="00CB6454">
      <w:pPr>
        <w:pStyle w:val="NoSpacing"/>
        <w:rPr>
          <w:rFonts w:ascii="Arial" w:hAnsi="Arial" w:cs="Arial"/>
          <w:sz w:val="10"/>
          <w:szCs w:val="10"/>
        </w:rPr>
      </w:pPr>
    </w:p>
    <w:p w14:paraId="70B6D0A4" w14:textId="3FF7E6B0" w:rsidR="00CB6454" w:rsidRPr="00B35CE9" w:rsidRDefault="00CB6454" w:rsidP="00CB6454">
      <w:pPr>
        <w:pStyle w:val="NoSpacing"/>
        <w:rPr>
          <w:rFonts w:ascii="Arial" w:hAnsi="Arial" w:cs="Arial"/>
          <w:sz w:val="16"/>
          <w:szCs w:val="16"/>
        </w:rPr>
      </w:pPr>
      <w:r w:rsidRPr="00B35CE9">
        <w:rPr>
          <w:rFonts w:ascii="Arial" w:hAnsi="Arial" w:cs="Arial"/>
          <w:sz w:val="16"/>
          <w:szCs w:val="16"/>
        </w:rPr>
        <w:t>Source: Source</w:t>
      </w:r>
      <w:r>
        <w:rPr>
          <w:rFonts w:ascii="Arial" w:hAnsi="Arial" w:cs="Arial"/>
          <w:sz w:val="16"/>
          <w:szCs w:val="16"/>
        </w:rPr>
        <w:t>: IRI Integrated Fresh, Total U.S., MULO</w:t>
      </w:r>
    </w:p>
    <w:p w14:paraId="3EF2F674" w14:textId="7B6BB7F0" w:rsidR="009C4990" w:rsidRDefault="009C4990" w:rsidP="00B10C22">
      <w:pPr>
        <w:pStyle w:val="NoSpacing"/>
        <w:rPr>
          <w:rFonts w:ascii="Arial" w:hAnsi="Arial" w:cs="Arial"/>
          <w:b/>
          <w:color w:val="595959" w:themeColor="text1" w:themeTint="A6"/>
          <w:sz w:val="24"/>
          <w:szCs w:val="24"/>
        </w:rPr>
      </w:pPr>
    </w:p>
    <w:p w14:paraId="0808A248" w14:textId="72779E3A" w:rsidR="00565AF2" w:rsidRDefault="00565AF2">
      <w:pPr>
        <w:rPr>
          <w:rFonts w:ascii="Arial" w:hAnsi="Arial" w:cs="Arial"/>
          <w:b/>
          <w:color w:val="595959" w:themeColor="text1" w:themeTint="A6"/>
          <w:sz w:val="24"/>
          <w:szCs w:val="24"/>
        </w:rPr>
      </w:pPr>
    </w:p>
    <w:p w14:paraId="3B5CAF5A" w14:textId="77777777" w:rsidR="00381BAC" w:rsidRDefault="00381BAC">
      <w:pPr>
        <w:rPr>
          <w:rFonts w:ascii="Arial" w:hAnsi="Arial" w:cs="Arial"/>
          <w:b/>
          <w:color w:val="595959" w:themeColor="text1" w:themeTint="A6"/>
          <w:sz w:val="24"/>
          <w:szCs w:val="24"/>
        </w:rPr>
      </w:pPr>
      <w:r>
        <w:rPr>
          <w:rFonts w:ascii="Arial" w:hAnsi="Arial" w:cs="Arial"/>
          <w:b/>
          <w:color w:val="595959" w:themeColor="text1" w:themeTint="A6"/>
          <w:sz w:val="24"/>
          <w:szCs w:val="24"/>
        </w:rPr>
        <w:br w:type="page"/>
      </w:r>
    </w:p>
    <w:p w14:paraId="16F61730" w14:textId="71FE1446" w:rsidR="00B10C22" w:rsidRPr="00BF7B2A" w:rsidRDefault="00B10C22" w:rsidP="00B10C22">
      <w:pPr>
        <w:pStyle w:val="NoSpacing"/>
        <w:rPr>
          <w:rFonts w:ascii="Arial" w:hAnsi="Arial" w:cs="Arial"/>
          <w:b/>
          <w:color w:val="595959" w:themeColor="text1" w:themeTint="A6"/>
          <w:sz w:val="24"/>
          <w:szCs w:val="24"/>
        </w:rPr>
      </w:pPr>
      <w:r w:rsidRPr="00BF7B2A">
        <w:rPr>
          <w:rFonts w:ascii="Arial" w:hAnsi="Arial" w:cs="Arial"/>
          <w:b/>
          <w:color w:val="595959" w:themeColor="text1" w:themeTint="A6"/>
          <w:sz w:val="24"/>
          <w:szCs w:val="24"/>
        </w:rPr>
        <w:lastRenderedPageBreak/>
        <w:t xml:space="preserve">Fresh </w:t>
      </w:r>
      <w:r w:rsidR="00BF7B2A">
        <w:rPr>
          <w:rFonts w:ascii="Arial" w:hAnsi="Arial" w:cs="Arial"/>
          <w:b/>
          <w:color w:val="595959" w:themeColor="text1" w:themeTint="A6"/>
          <w:sz w:val="24"/>
          <w:szCs w:val="24"/>
        </w:rPr>
        <w:t>V</w:t>
      </w:r>
      <w:r w:rsidRPr="00BF7B2A">
        <w:rPr>
          <w:rFonts w:ascii="Arial" w:hAnsi="Arial" w:cs="Arial"/>
          <w:b/>
          <w:color w:val="595959" w:themeColor="text1" w:themeTint="A6"/>
          <w:sz w:val="24"/>
          <w:szCs w:val="24"/>
        </w:rPr>
        <w:t>egetables</w:t>
      </w:r>
      <w:r w:rsidR="00EB33CE">
        <w:rPr>
          <w:rFonts w:ascii="Arial" w:hAnsi="Arial" w:cs="Arial"/>
          <w:b/>
          <w:color w:val="595959" w:themeColor="text1" w:themeTint="A6"/>
          <w:sz w:val="24"/>
          <w:szCs w:val="24"/>
        </w:rPr>
        <w:t xml:space="preserve"> Sales </w:t>
      </w:r>
    </w:p>
    <w:tbl>
      <w:tblPr>
        <w:tblStyle w:val="LightShading-Accent5"/>
        <w:tblpPr w:leftFromText="180" w:rightFromText="180" w:vertAnchor="text" w:tblpXSpec="right" w:tblpY="1"/>
        <w:tblOverlap w:val="never"/>
        <w:tblW w:w="5220" w:type="dxa"/>
        <w:jc w:val="right"/>
        <w:tblLayout w:type="fixed"/>
        <w:tblLook w:val="04A0" w:firstRow="1" w:lastRow="0" w:firstColumn="1" w:lastColumn="0" w:noHBand="0" w:noVBand="1"/>
      </w:tblPr>
      <w:tblGrid>
        <w:gridCol w:w="1710"/>
        <w:gridCol w:w="900"/>
        <w:gridCol w:w="90"/>
        <w:gridCol w:w="1075"/>
        <w:gridCol w:w="1445"/>
      </w:tblGrid>
      <w:tr w:rsidR="00381BAC" w:rsidRPr="00AB1306" w14:paraId="0CA58155" w14:textId="77777777" w:rsidTr="00381BAC">
        <w:trPr>
          <w:cnfStyle w:val="100000000000" w:firstRow="1" w:lastRow="0" w:firstColumn="0" w:lastColumn="0" w:oddVBand="0" w:evenVBand="0" w:oddHBand="0" w:evenHBand="0" w:firstRowFirstColumn="0" w:firstRowLastColumn="0" w:lastRowFirstColumn="0" w:lastRowLastColumn="0"/>
          <w:trHeight w:val="258"/>
          <w:jc w:val="right"/>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shd w:val="clear" w:color="auto" w:fill="17365D" w:themeFill="text2" w:themeFillShade="BF"/>
          </w:tcPr>
          <w:p w14:paraId="479F14A1" w14:textId="77777777" w:rsidR="00381BAC" w:rsidRPr="00AB1306" w:rsidRDefault="00381BAC" w:rsidP="00381BAC">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3510" w:type="dxa"/>
            <w:gridSpan w:val="4"/>
            <w:tcBorders>
              <w:top w:val="nil"/>
              <w:bottom w:val="nil"/>
              <w:right w:val="single" w:sz="24" w:space="0" w:color="FFFFFF" w:themeColor="background1"/>
            </w:tcBorders>
            <w:shd w:val="clear" w:color="auto" w:fill="17365D" w:themeFill="text2" w:themeFillShade="BF"/>
          </w:tcPr>
          <w:p w14:paraId="3CE7333D" w14:textId="77777777" w:rsidR="00381BAC" w:rsidRPr="00AB1306" w:rsidRDefault="00381BAC" w:rsidP="00381BAC">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January 2023</w:t>
            </w:r>
          </w:p>
        </w:tc>
      </w:tr>
      <w:tr w:rsidR="00381BAC" w:rsidRPr="002A3B9B" w14:paraId="2AB14797" w14:textId="77777777" w:rsidTr="00381BAC">
        <w:trPr>
          <w:cnfStyle w:val="000000100000" w:firstRow="0" w:lastRow="0" w:firstColumn="0" w:lastColumn="0" w:oddVBand="0" w:evenVBand="0" w:oddHBand="1" w:evenHBand="0" w:firstRowFirstColumn="0" w:firstRowLastColumn="0" w:lastRowFirstColumn="0" w:lastRowLastColumn="0"/>
          <w:trHeight w:val="239"/>
          <w:jc w:val="right"/>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shd w:val="clear" w:color="auto" w:fill="17365D" w:themeFill="text2" w:themeFillShade="BF"/>
          </w:tcPr>
          <w:p w14:paraId="445F4902" w14:textId="77777777" w:rsidR="00381BAC" w:rsidRPr="002A3B9B" w:rsidRDefault="00381BAC" w:rsidP="00381BAC">
            <w:pPr>
              <w:pStyle w:val="NoSpacing"/>
              <w:rPr>
                <w:rFonts w:ascii="Arial" w:hAnsi="Arial" w:cs="Arial"/>
                <w:color w:val="FFFFFF" w:themeColor="background1"/>
                <w:sz w:val="18"/>
                <w:szCs w:val="18"/>
              </w:rPr>
            </w:pPr>
            <w:r w:rsidRPr="002A3B9B">
              <w:rPr>
                <w:rFonts w:ascii="Arial" w:hAnsi="Arial" w:cs="Arial"/>
                <w:color w:val="FFFFFF" w:themeColor="background1"/>
                <w:sz w:val="18"/>
                <w:szCs w:val="18"/>
              </w:rPr>
              <w:t>Type</w:t>
            </w:r>
          </w:p>
        </w:tc>
        <w:tc>
          <w:tcPr>
            <w:tcW w:w="900" w:type="dxa"/>
            <w:tcBorders>
              <w:top w:val="nil"/>
              <w:bottom w:val="nil"/>
            </w:tcBorders>
            <w:shd w:val="clear" w:color="auto" w:fill="17365D" w:themeFill="text2" w:themeFillShade="BF"/>
          </w:tcPr>
          <w:p w14:paraId="1680B53C"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sales</w:t>
            </w:r>
          </w:p>
        </w:tc>
        <w:tc>
          <w:tcPr>
            <w:tcW w:w="1165" w:type="dxa"/>
            <w:gridSpan w:val="2"/>
            <w:tcBorders>
              <w:top w:val="nil"/>
              <w:bottom w:val="nil"/>
            </w:tcBorders>
            <w:shd w:val="clear" w:color="auto" w:fill="17365D" w:themeFill="text2" w:themeFillShade="BF"/>
          </w:tcPr>
          <w:p w14:paraId="62B57AAA"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vs. YA</w:t>
            </w:r>
          </w:p>
        </w:tc>
        <w:tc>
          <w:tcPr>
            <w:tcW w:w="1445" w:type="dxa"/>
            <w:tcBorders>
              <w:top w:val="nil"/>
              <w:bottom w:val="nil"/>
              <w:right w:val="single" w:sz="24" w:space="0" w:color="FFFFFF" w:themeColor="background1"/>
            </w:tcBorders>
            <w:shd w:val="clear" w:color="auto" w:fill="17365D" w:themeFill="text2" w:themeFillShade="BF"/>
          </w:tcPr>
          <w:p w14:paraId="672FAA9D" w14:textId="77777777" w:rsidR="00381BAC" w:rsidRPr="002A3B9B" w:rsidRDefault="00381BAC" w:rsidP="00381BAC">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Lbs vs. YA</w:t>
            </w:r>
          </w:p>
        </w:tc>
      </w:tr>
      <w:tr w:rsidR="00381BAC" w:rsidRPr="002A3B9B" w14:paraId="0F38386E" w14:textId="77777777" w:rsidTr="00381BAC">
        <w:trPr>
          <w:trHeight w:val="303"/>
          <w:jc w:val="right"/>
        </w:trPr>
        <w:tc>
          <w:tcPr>
            <w:cnfStyle w:val="001000000000" w:firstRow="0" w:lastRow="0" w:firstColumn="1" w:lastColumn="0" w:oddVBand="0" w:evenVBand="0" w:oddHBand="0" w:evenHBand="0" w:firstRowFirstColumn="0" w:firstRowLastColumn="0" w:lastRowFirstColumn="0" w:lastRowLastColumn="0"/>
            <w:tcW w:w="1710" w:type="dxa"/>
            <w:tcBorders>
              <w:top w:val="nil"/>
            </w:tcBorders>
            <w:vAlign w:val="center"/>
          </w:tcPr>
          <w:p w14:paraId="6E143DAD" w14:textId="77777777" w:rsidR="00381BAC" w:rsidRPr="002A3B9B" w:rsidRDefault="00381BAC" w:rsidP="00381BAC">
            <w:pPr>
              <w:pStyle w:val="NoSpacing"/>
              <w:jc w:val="right"/>
              <w:rPr>
                <w:rFonts w:ascii="Arial" w:hAnsi="Arial" w:cs="Arial"/>
                <w:sz w:val="18"/>
                <w:szCs w:val="18"/>
              </w:rPr>
            </w:pPr>
            <w:r w:rsidRPr="002A3B9B">
              <w:rPr>
                <w:rFonts w:ascii="Arial" w:hAnsi="Arial" w:cs="Arial"/>
                <w:sz w:val="18"/>
                <w:szCs w:val="18"/>
              </w:rPr>
              <w:t xml:space="preserve">Fresh </w:t>
            </w:r>
            <w:r>
              <w:rPr>
                <w:rFonts w:ascii="Arial" w:hAnsi="Arial" w:cs="Arial"/>
                <w:sz w:val="18"/>
                <w:szCs w:val="18"/>
              </w:rPr>
              <w:t>vegetables</w:t>
            </w:r>
          </w:p>
        </w:tc>
        <w:tc>
          <w:tcPr>
            <w:tcW w:w="990" w:type="dxa"/>
            <w:gridSpan w:val="2"/>
            <w:tcBorders>
              <w:top w:val="nil"/>
            </w:tcBorders>
            <w:vAlign w:val="center"/>
          </w:tcPr>
          <w:p w14:paraId="198EFD2D"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w:t>
            </w:r>
            <w:r>
              <w:rPr>
                <w:rFonts w:ascii="Arial" w:hAnsi="Arial" w:cs="Arial"/>
                <w:b/>
                <w:bCs/>
                <w:sz w:val="18"/>
                <w:szCs w:val="18"/>
              </w:rPr>
              <w:t>3.0</w:t>
            </w:r>
            <w:r w:rsidRPr="002A3B9B">
              <w:rPr>
                <w:rFonts w:ascii="Arial" w:hAnsi="Arial" w:cs="Arial"/>
                <w:b/>
                <w:bCs/>
                <w:sz w:val="18"/>
                <w:szCs w:val="18"/>
              </w:rPr>
              <w:t>B</w:t>
            </w:r>
          </w:p>
        </w:tc>
        <w:tc>
          <w:tcPr>
            <w:tcW w:w="1075" w:type="dxa"/>
            <w:tcBorders>
              <w:top w:val="nil"/>
            </w:tcBorders>
            <w:vAlign w:val="center"/>
          </w:tcPr>
          <w:p w14:paraId="1D936D68"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2A3B9B">
              <w:rPr>
                <w:rFonts w:ascii="Arial" w:hAnsi="Arial" w:cs="Arial"/>
                <w:b/>
                <w:bCs/>
                <w:sz w:val="18"/>
                <w:szCs w:val="18"/>
              </w:rPr>
              <w:t>+</w:t>
            </w:r>
            <w:r>
              <w:rPr>
                <w:rFonts w:ascii="Arial" w:hAnsi="Arial" w:cs="Arial"/>
                <w:b/>
                <w:bCs/>
                <w:sz w:val="18"/>
                <w:szCs w:val="18"/>
              </w:rPr>
              <w:t>3.7</w:t>
            </w:r>
            <w:r w:rsidRPr="002A3B9B">
              <w:rPr>
                <w:rFonts w:ascii="Arial" w:hAnsi="Arial" w:cs="Arial"/>
                <w:b/>
                <w:bCs/>
                <w:sz w:val="18"/>
                <w:szCs w:val="18"/>
              </w:rPr>
              <w:t>%</w:t>
            </w:r>
          </w:p>
        </w:tc>
        <w:tc>
          <w:tcPr>
            <w:tcW w:w="1445" w:type="dxa"/>
            <w:tcBorders>
              <w:top w:val="nil"/>
              <w:bottom w:val="nil"/>
              <w:right w:val="single" w:sz="24" w:space="0" w:color="FFFFFF" w:themeColor="background1"/>
            </w:tcBorders>
            <w:vAlign w:val="center"/>
          </w:tcPr>
          <w:p w14:paraId="3BD90240"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-4.8</w:t>
            </w:r>
            <w:r w:rsidRPr="002A3B9B">
              <w:rPr>
                <w:rFonts w:ascii="Arial" w:hAnsi="Arial" w:cs="Arial"/>
                <w:b/>
                <w:bCs/>
                <w:sz w:val="18"/>
                <w:szCs w:val="18"/>
              </w:rPr>
              <w:t>%</w:t>
            </w:r>
          </w:p>
        </w:tc>
      </w:tr>
      <w:tr w:rsidR="00381BAC" w:rsidRPr="002A3B9B" w14:paraId="1A03AC8A" w14:textId="77777777" w:rsidTr="00381BAC">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7AD98C01" w14:textId="77777777" w:rsidR="00381BAC" w:rsidRPr="002A3B9B" w:rsidRDefault="00381BAC" w:rsidP="00381BAC">
            <w:pPr>
              <w:pStyle w:val="NoSpacing"/>
              <w:jc w:val="right"/>
              <w:rPr>
                <w:rFonts w:ascii="Arial" w:hAnsi="Arial" w:cs="Arial"/>
                <w:b w:val="0"/>
                <w:bCs w:val="0"/>
                <w:sz w:val="18"/>
                <w:szCs w:val="18"/>
              </w:rPr>
            </w:pPr>
            <w:r>
              <w:rPr>
                <w:rFonts w:ascii="Arial" w:hAnsi="Arial" w:cs="Arial"/>
                <w:b w:val="0"/>
                <w:bCs w:val="0"/>
                <w:sz w:val="18"/>
                <w:szCs w:val="18"/>
              </w:rPr>
              <w:t>Tomatoes</w:t>
            </w:r>
          </w:p>
        </w:tc>
        <w:tc>
          <w:tcPr>
            <w:tcW w:w="990" w:type="dxa"/>
            <w:gridSpan w:val="2"/>
            <w:vAlign w:val="center"/>
          </w:tcPr>
          <w:p w14:paraId="06DCFD79"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325</w:t>
            </w:r>
            <w:r w:rsidRPr="002A3B9B">
              <w:rPr>
                <w:rFonts w:ascii="Arial" w:hAnsi="Arial" w:cs="Arial"/>
                <w:sz w:val="18"/>
                <w:szCs w:val="18"/>
              </w:rPr>
              <w:t>M</w:t>
            </w:r>
          </w:p>
        </w:tc>
        <w:tc>
          <w:tcPr>
            <w:tcW w:w="1075" w:type="dxa"/>
            <w:vAlign w:val="center"/>
          </w:tcPr>
          <w:p w14:paraId="66F4CF37"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+7.0</w:t>
            </w:r>
            <w:r w:rsidRPr="002A3B9B">
              <w:rPr>
                <w:rFonts w:ascii="Arial" w:hAnsi="Arial" w:cs="Arial"/>
                <w:sz w:val="18"/>
                <w:szCs w:val="18"/>
              </w:rPr>
              <w:t>%</w:t>
            </w:r>
          </w:p>
        </w:tc>
        <w:tc>
          <w:tcPr>
            <w:tcW w:w="1445" w:type="dxa"/>
            <w:tcBorders>
              <w:top w:val="nil"/>
              <w:bottom w:val="nil"/>
              <w:right w:val="single" w:sz="24" w:space="0" w:color="FFFFFF" w:themeColor="background1"/>
            </w:tcBorders>
            <w:vAlign w:val="center"/>
          </w:tcPr>
          <w:p w14:paraId="58BE5D07"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-0.9</w:t>
            </w:r>
            <w:r w:rsidRPr="002A3B9B">
              <w:rPr>
                <w:rFonts w:ascii="Arial" w:hAnsi="Arial" w:cs="Arial"/>
                <w:sz w:val="18"/>
                <w:szCs w:val="18"/>
              </w:rPr>
              <w:t>%</w:t>
            </w:r>
          </w:p>
        </w:tc>
      </w:tr>
      <w:tr w:rsidR="00381BAC" w:rsidRPr="002A3B9B" w14:paraId="7EFF5C48" w14:textId="77777777" w:rsidTr="00381BAC">
        <w:trPr>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19FED931" w14:textId="77777777" w:rsidR="00381BAC" w:rsidRPr="002A3B9B" w:rsidRDefault="00381BAC" w:rsidP="00381BAC">
            <w:pPr>
              <w:pStyle w:val="NoSpacing"/>
              <w:jc w:val="right"/>
              <w:rPr>
                <w:rFonts w:ascii="Arial" w:hAnsi="Arial" w:cs="Arial"/>
                <w:b w:val="0"/>
                <w:bCs w:val="0"/>
                <w:sz w:val="18"/>
                <w:szCs w:val="18"/>
              </w:rPr>
            </w:pPr>
            <w:r>
              <w:rPr>
                <w:rFonts w:ascii="Arial" w:hAnsi="Arial" w:cs="Arial"/>
                <w:b w:val="0"/>
                <w:bCs w:val="0"/>
                <w:sz w:val="18"/>
                <w:szCs w:val="18"/>
              </w:rPr>
              <w:t>Potatoes</w:t>
            </w:r>
          </w:p>
        </w:tc>
        <w:tc>
          <w:tcPr>
            <w:tcW w:w="990" w:type="dxa"/>
            <w:gridSpan w:val="2"/>
            <w:vAlign w:val="center"/>
          </w:tcPr>
          <w:p w14:paraId="60DEE2F9"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306</w:t>
            </w:r>
            <w:r w:rsidRPr="002A3B9B">
              <w:rPr>
                <w:rFonts w:ascii="Arial" w:hAnsi="Arial" w:cs="Arial"/>
                <w:sz w:val="18"/>
                <w:szCs w:val="18"/>
              </w:rPr>
              <w:t>M</w:t>
            </w:r>
          </w:p>
        </w:tc>
        <w:tc>
          <w:tcPr>
            <w:tcW w:w="1075" w:type="dxa"/>
            <w:vAlign w:val="center"/>
          </w:tcPr>
          <w:p w14:paraId="61B650CF"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+9.0</w:t>
            </w:r>
            <w:r w:rsidRPr="002A3B9B">
              <w:rPr>
                <w:rFonts w:ascii="Arial" w:hAnsi="Arial" w:cs="Arial"/>
                <w:sz w:val="18"/>
                <w:szCs w:val="18"/>
              </w:rPr>
              <w:t>%</w:t>
            </w:r>
          </w:p>
        </w:tc>
        <w:tc>
          <w:tcPr>
            <w:tcW w:w="1445" w:type="dxa"/>
            <w:tcBorders>
              <w:top w:val="nil"/>
              <w:bottom w:val="nil"/>
              <w:right w:val="single" w:sz="24" w:space="0" w:color="FFFFFF" w:themeColor="background1"/>
            </w:tcBorders>
            <w:vAlign w:val="center"/>
          </w:tcPr>
          <w:p w14:paraId="2A46F3AF"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-8.5</w:t>
            </w:r>
            <w:r w:rsidRPr="002A3B9B">
              <w:rPr>
                <w:rFonts w:ascii="Arial" w:hAnsi="Arial" w:cs="Arial"/>
                <w:sz w:val="18"/>
                <w:szCs w:val="18"/>
              </w:rPr>
              <w:t>%</w:t>
            </w:r>
          </w:p>
        </w:tc>
      </w:tr>
      <w:tr w:rsidR="00381BAC" w:rsidRPr="00381BAC" w14:paraId="697D5A00" w14:textId="77777777" w:rsidTr="00381BAC">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258442F3" w14:textId="77777777" w:rsidR="00381BAC" w:rsidRPr="00381BAC" w:rsidRDefault="00381BAC" w:rsidP="00381BAC">
            <w:pPr>
              <w:pStyle w:val="NoSpacing"/>
              <w:jc w:val="right"/>
              <w:rPr>
                <w:rFonts w:ascii="Arial" w:hAnsi="Arial" w:cs="Arial"/>
                <w:b w:val="0"/>
                <w:bCs w:val="0"/>
                <w:sz w:val="18"/>
                <w:szCs w:val="18"/>
              </w:rPr>
            </w:pPr>
            <w:r>
              <w:rPr>
                <w:rFonts w:ascii="Arial" w:hAnsi="Arial" w:cs="Arial"/>
                <w:b w:val="0"/>
                <w:bCs w:val="0"/>
                <w:sz w:val="18"/>
                <w:szCs w:val="18"/>
              </w:rPr>
              <w:t>Salad kits</w:t>
            </w:r>
          </w:p>
        </w:tc>
        <w:tc>
          <w:tcPr>
            <w:tcW w:w="990" w:type="dxa"/>
            <w:gridSpan w:val="2"/>
            <w:vAlign w:val="center"/>
          </w:tcPr>
          <w:p w14:paraId="5E092371" w14:textId="77777777" w:rsidR="00381BAC" w:rsidRPr="00381BAC"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A3B9B">
              <w:rPr>
                <w:rFonts w:ascii="Arial" w:hAnsi="Arial" w:cs="Arial"/>
                <w:sz w:val="18"/>
                <w:szCs w:val="18"/>
              </w:rPr>
              <w:t>$</w:t>
            </w:r>
            <w:r>
              <w:rPr>
                <w:rFonts w:ascii="Arial" w:hAnsi="Arial" w:cs="Arial"/>
                <w:sz w:val="18"/>
                <w:szCs w:val="18"/>
              </w:rPr>
              <w:t>259</w:t>
            </w:r>
            <w:r w:rsidRPr="002A3B9B">
              <w:rPr>
                <w:rFonts w:ascii="Arial" w:hAnsi="Arial" w:cs="Arial"/>
                <w:sz w:val="18"/>
                <w:szCs w:val="18"/>
              </w:rPr>
              <w:t>M</w:t>
            </w:r>
          </w:p>
        </w:tc>
        <w:tc>
          <w:tcPr>
            <w:tcW w:w="1075" w:type="dxa"/>
            <w:vAlign w:val="center"/>
          </w:tcPr>
          <w:p w14:paraId="1FA1849D" w14:textId="77777777" w:rsidR="00381BAC" w:rsidRPr="00381BAC"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+5.6</w:t>
            </w:r>
            <w:r w:rsidRPr="002A3B9B">
              <w:rPr>
                <w:rFonts w:ascii="Arial" w:hAnsi="Arial" w:cs="Arial"/>
                <w:sz w:val="18"/>
                <w:szCs w:val="18"/>
              </w:rPr>
              <w:t>%</w:t>
            </w:r>
          </w:p>
        </w:tc>
        <w:tc>
          <w:tcPr>
            <w:tcW w:w="1445" w:type="dxa"/>
            <w:tcBorders>
              <w:top w:val="nil"/>
              <w:bottom w:val="nil"/>
              <w:right w:val="single" w:sz="24" w:space="0" w:color="FFFFFF" w:themeColor="background1"/>
            </w:tcBorders>
            <w:vAlign w:val="center"/>
          </w:tcPr>
          <w:p w14:paraId="1269375B" w14:textId="77777777" w:rsidR="00381BAC" w:rsidRPr="00381BAC"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-0.1</w:t>
            </w:r>
            <w:r w:rsidRPr="002A3B9B">
              <w:rPr>
                <w:rFonts w:ascii="Arial" w:hAnsi="Arial" w:cs="Arial"/>
                <w:sz w:val="18"/>
                <w:szCs w:val="18"/>
              </w:rPr>
              <w:t>%</w:t>
            </w:r>
          </w:p>
        </w:tc>
      </w:tr>
      <w:tr w:rsidR="00381BAC" w:rsidRPr="002A3B9B" w14:paraId="37829544" w14:textId="77777777" w:rsidTr="00381BAC">
        <w:trPr>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08F297D5" w14:textId="77777777" w:rsidR="00381BAC" w:rsidRPr="002A3B9B" w:rsidRDefault="00381BAC" w:rsidP="00381BAC">
            <w:pPr>
              <w:pStyle w:val="NoSpacing"/>
              <w:jc w:val="right"/>
              <w:rPr>
                <w:rFonts w:ascii="Arial" w:hAnsi="Arial" w:cs="Arial"/>
                <w:b w:val="0"/>
                <w:bCs w:val="0"/>
                <w:sz w:val="18"/>
                <w:szCs w:val="18"/>
              </w:rPr>
            </w:pPr>
            <w:r>
              <w:rPr>
                <w:rFonts w:ascii="Arial" w:hAnsi="Arial" w:cs="Arial"/>
                <w:b w:val="0"/>
                <w:bCs w:val="0"/>
                <w:sz w:val="18"/>
                <w:szCs w:val="18"/>
              </w:rPr>
              <w:t>Lettuce</w:t>
            </w:r>
          </w:p>
        </w:tc>
        <w:tc>
          <w:tcPr>
            <w:tcW w:w="990" w:type="dxa"/>
            <w:gridSpan w:val="2"/>
            <w:vAlign w:val="center"/>
          </w:tcPr>
          <w:p w14:paraId="5DB77415"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248</w:t>
            </w:r>
            <w:r w:rsidRPr="002A3B9B">
              <w:rPr>
                <w:rFonts w:ascii="Arial" w:hAnsi="Arial" w:cs="Arial"/>
                <w:sz w:val="18"/>
                <w:szCs w:val="18"/>
              </w:rPr>
              <w:t>M</w:t>
            </w:r>
          </w:p>
        </w:tc>
        <w:tc>
          <w:tcPr>
            <w:tcW w:w="1075" w:type="dxa"/>
            <w:vAlign w:val="center"/>
          </w:tcPr>
          <w:p w14:paraId="61ED4230"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+15.6</w:t>
            </w:r>
            <w:r w:rsidRPr="002A3B9B">
              <w:rPr>
                <w:rFonts w:ascii="Arial" w:hAnsi="Arial" w:cs="Arial"/>
                <w:sz w:val="18"/>
                <w:szCs w:val="18"/>
              </w:rPr>
              <w:t>%</w:t>
            </w:r>
          </w:p>
        </w:tc>
        <w:tc>
          <w:tcPr>
            <w:tcW w:w="1445" w:type="dxa"/>
            <w:tcBorders>
              <w:top w:val="nil"/>
              <w:bottom w:val="nil"/>
              <w:right w:val="single" w:sz="24" w:space="0" w:color="FFFFFF" w:themeColor="background1"/>
            </w:tcBorders>
            <w:vAlign w:val="center"/>
          </w:tcPr>
          <w:p w14:paraId="66110F3D"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+0.9</w:t>
            </w:r>
            <w:r w:rsidRPr="002A3B9B">
              <w:rPr>
                <w:rFonts w:ascii="Arial" w:hAnsi="Arial" w:cs="Arial"/>
                <w:sz w:val="18"/>
                <w:szCs w:val="18"/>
              </w:rPr>
              <w:t>%</w:t>
            </w:r>
          </w:p>
        </w:tc>
      </w:tr>
      <w:tr w:rsidR="00381BAC" w:rsidRPr="002A3B9B" w14:paraId="3B7110B9" w14:textId="77777777" w:rsidTr="00381BAC">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27A52014" w14:textId="77777777" w:rsidR="00381BAC" w:rsidRPr="002A3B9B" w:rsidRDefault="00381BAC" w:rsidP="00381BAC">
            <w:pPr>
              <w:pStyle w:val="NoSpacing"/>
              <w:jc w:val="right"/>
              <w:rPr>
                <w:rFonts w:ascii="Arial" w:hAnsi="Arial" w:cs="Arial"/>
                <w:b w:val="0"/>
                <w:bCs w:val="0"/>
                <w:sz w:val="18"/>
                <w:szCs w:val="18"/>
              </w:rPr>
            </w:pPr>
            <w:r>
              <w:rPr>
                <w:rFonts w:ascii="Arial" w:hAnsi="Arial" w:cs="Arial"/>
                <w:b w:val="0"/>
                <w:bCs w:val="0"/>
                <w:sz w:val="18"/>
                <w:szCs w:val="18"/>
              </w:rPr>
              <w:t>Onions</w:t>
            </w:r>
          </w:p>
        </w:tc>
        <w:tc>
          <w:tcPr>
            <w:tcW w:w="990" w:type="dxa"/>
            <w:gridSpan w:val="2"/>
            <w:vAlign w:val="center"/>
          </w:tcPr>
          <w:p w14:paraId="04CC78F5"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222</w:t>
            </w:r>
            <w:r w:rsidRPr="002A3B9B">
              <w:rPr>
                <w:rFonts w:ascii="Arial" w:hAnsi="Arial" w:cs="Arial"/>
                <w:sz w:val="18"/>
                <w:szCs w:val="18"/>
              </w:rPr>
              <w:t>M</w:t>
            </w:r>
          </w:p>
        </w:tc>
        <w:tc>
          <w:tcPr>
            <w:tcW w:w="1075" w:type="dxa"/>
            <w:vAlign w:val="center"/>
          </w:tcPr>
          <w:p w14:paraId="334912BD"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+5.4</w:t>
            </w:r>
            <w:r w:rsidRPr="002A3B9B">
              <w:rPr>
                <w:rFonts w:ascii="Arial" w:hAnsi="Arial" w:cs="Arial"/>
                <w:sz w:val="18"/>
                <w:szCs w:val="18"/>
              </w:rPr>
              <w:t>%</w:t>
            </w:r>
          </w:p>
        </w:tc>
        <w:tc>
          <w:tcPr>
            <w:tcW w:w="1445" w:type="dxa"/>
            <w:tcBorders>
              <w:top w:val="nil"/>
              <w:bottom w:val="nil"/>
              <w:right w:val="single" w:sz="24" w:space="0" w:color="FFFFFF" w:themeColor="background1"/>
            </w:tcBorders>
            <w:vAlign w:val="center"/>
          </w:tcPr>
          <w:p w14:paraId="1560BE4B"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-0.2</w:t>
            </w:r>
            <w:r w:rsidRPr="002A3B9B">
              <w:rPr>
                <w:rFonts w:ascii="Arial" w:hAnsi="Arial" w:cs="Arial"/>
                <w:sz w:val="18"/>
                <w:szCs w:val="18"/>
              </w:rPr>
              <w:t>%</w:t>
            </w:r>
          </w:p>
        </w:tc>
      </w:tr>
      <w:tr w:rsidR="00381BAC" w:rsidRPr="002A3B9B" w14:paraId="277AEAD0" w14:textId="77777777" w:rsidTr="00381BAC">
        <w:trPr>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7B9B5C00" w14:textId="77777777" w:rsidR="00381BAC" w:rsidRPr="002A3B9B" w:rsidRDefault="00381BAC" w:rsidP="00381BAC">
            <w:pPr>
              <w:pStyle w:val="NoSpacing"/>
              <w:jc w:val="right"/>
              <w:rPr>
                <w:rFonts w:ascii="Arial" w:hAnsi="Arial" w:cs="Arial"/>
                <w:b w:val="0"/>
                <w:bCs w:val="0"/>
                <w:sz w:val="18"/>
                <w:szCs w:val="18"/>
              </w:rPr>
            </w:pPr>
            <w:r>
              <w:rPr>
                <w:rFonts w:ascii="Arial" w:hAnsi="Arial" w:cs="Arial"/>
                <w:b w:val="0"/>
                <w:bCs w:val="0"/>
                <w:sz w:val="18"/>
                <w:szCs w:val="18"/>
              </w:rPr>
              <w:t>Peppers</w:t>
            </w:r>
          </w:p>
        </w:tc>
        <w:tc>
          <w:tcPr>
            <w:tcW w:w="990" w:type="dxa"/>
            <w:gridSpan w:val="2"/>
            <w:vAlign w:val="center"/>
          </w:tcPr>
          <w:p w14:paraId="12256131"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208</w:t>
            </w:r>
            <w:r w:rsidRPr="002A3B9B">
              <w:rPr>
                <w:rFonts w:ascii="Arial" w:hAnsi="Arial" w:cs="Arial"/>
                <w:sz w:val="18"/>
                <w:szCs w:val="18"/>
              </w:rPr>
              <w:t>M</w:t>
            </w:r>
          </w:p>
        </w:tc>
        <w:tc>
          <w:tcPr>
            <w:tcW w:w="1075" w:type="dxa"/>
            <w:vAlign w:val="center"/>
          </w:tcPr>
          <w:p w14:paraId="3F0E4B93"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-0.2</w:t>
            </w:r>
            <w:r w:rsidRPr="002A3B9B">
              <w:rPr>
                <w:rFonts w:ascii="Arial" w:hAnsi="Arial" w:cs="Arial"/>
                <w:sz w:val="18"/>
                <w:szCs w:val="18"/>
              </w:rPr>
              <w:t>%</w:t>
            </w:r>
          </w:p>
        </w:tc>
        <w:tc>
          <w:tcPr>
            <w:tcW w:w="1445" w:type="dxa"/>
            <w:tcBorders>
              <w:top w:val="nil"/>
              <w:bottom w:val="nil"/>
              <w:right w:val="single" w:sz="24" w:space="0" w:color="FFFFFF" w:themeColor="background1"/>
            </w:tcBorders>
            <w:vAlign w:val="center"/>
          </w:tcPr>
          <w:p w14:paraId="227617C7"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-3.4</w:t>
            </w:r>
            <w:r w:rsidRPr="002A3B9B">
              <w:rPr>
                <w:rFonts w:ascii="Arial" w:hAnsi="Arial" w:cs="Arial"/>
                <w:sz w:val="18"/>
                <w:szCs w:val="18"/>
              </w:rPr>
              <w:t>%</w:t>
            </w:r>
          </w:p>
        </w:tc>
      </w:tr>
      <w:tr w:rsidR="00381BAC" w:rsidRPr="002A3B9B" w14:paraId="579BBCD8" w14:textId="77777777" w:rsidTr="00381BAC">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tcBorders>
              <w:bottom w:val="nil"/>
            </w:tcBorders>
            <w:vAlign w:val="center"/>
          </w:tcPr>
          <w:p w14:paraId="318EE5E9" w14:textId="77777777" w:rsidR="00381BAC" w:rsidRPr="002A3B9B" w:rsidRDefault="00381BAC" w:rsidP="00381BAC">
            <w:pPr>
              <w:pStyle w:val="NoSpacing"/>
              <w:jc w:val="right"/>
              <w:rPr>
                <w:rFonts w:ascii="Arial" w:hAnsi="Arial" w:cs="Arial"/>
                <w:b w:val="0"/>
                <w:bCs w:val="0"/>
                <w:sz w:val="18"/>
                <w:szCs w:val="18"/>
              </w:rPr>
            </w:pPr>
            <w:r>
              <w:rPr>
                <w:rFonts w:ascii="Arial" w:hAnsi="Arial" w:cs="Arial"/>
                <w:b w:val="0"/>
                <w:bCs w:val="0"/>
                <w:sz w:val="18"/>
                <w:szCs w:val="18"/>
              </w:rPr>
              <w:t>Cucumbers</w:t>
            </w:r>
          </w:p>
        </w:tc>
        <w:tc>
          <w:tcPr>
            <w:tcW w:w="990" w:type="dxa"/>
            <w:gridSpan w:val="2"/>
            <w:tcBorders>
              <w:bottom w:val="nil"/>
            </w:tcBorders>
            <w:vAlign w:val="center"/>
          </w:tcPr>
          <w:p w14:paraId="5216E5E6"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116</w:t>
            </w:r>
            <w:r w:rsidRPr="002A3B9B">
              <w:rPr>
                <w:rFonts w:ascii="Arial" w:hAnsi="Arial" w:cs="Arial"/>
                <w:sz w:val="18"/>
                <w:szCs w:val="18"/>
              </w:rPr>
              <w:t>M</w:t>
            </w:r>
          </w:p>
        </w:tc>
        <w:tc>
          <w:tcPr>
            <w:tcW w:w="1075" w:type="dxa"/>
            <w:tcBorders>
              <w:bottom w:val="nil"/>
            </w:tcBorders>
            <w:vAlign w:val="center"/>
          </w:tcPr>
          <w:p w14:paraId="537E829E"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+13.4</w:t>
            </w:r>
            <w:r w:rsidRPr="002A3B9B">
              <w:rPr>
                <w:rFonts w:ascii="Arial" w:hAnsi="Arial" w:cs="Arial"/>
                <w:sz w:val="18"/>
                <w:szCs w:val="18"/>
              </w:rPr>
              <w:t>%</w:t>
            </w:r>
          </w:p>
        </w:tc>
        <w:tc>
          <w:tcPr>
            <w:tcW w:w="1445" w:type="dxa"/>
            <w:tcBorders>
              <w:top w:val="nil"/>
              <w:bottom w:val="nil"/>
              <w:right w:val="single" w:sz="24" w:space="0" w:color="FFFFFF" w:themeColor="background1"/>
            </w:tcBorders>
            <w:vAlign w:val="center"/>
          </w:tcPr>
          <w:p w14:paraId="3765CDFA"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+6.0</w:t>
            </w:r>
            <w:r w:rsidRPr="002A3B9B">
              <w:rPr>
                <w:rFonts w:ascii="Arial" w:hAnsi="Arial" w:cs="Arial"/>
                <w:sz w:val="18"/>
                <w:szCs w:val="18"/>
              </w:rPr>
              <w:t>%</w:t>
            </w:r>
          </w:p>
        </w:tc>
      </w:tr>
      <w:tr w:rsidR="00381BAC" w:rsidRPr="002A3B9B" w14:paraId="7E3D1175" w14:textId="77777777" w:rsidTr="00381BAC">
        <w:trPr>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0CA8A02F" w14:textId="77777777" w:rsidR="00381BAC" w:rsidRPr="002A3B9B" w:rsidRDefault="00381BAC" w:rsidP="00381BAC">
            <w:pPr>
              <w:pStyle w:val="NoSpacing"/>
              <w:jc w:val="right"/>
              <w:rPr>
                <w:rFonts w:ascii="Arial" w:hAnsi="Arial" w:cs="Arial"/>
                <w:b w:val="0"/>
                <w:bCs w:val="0"/>
                <w:sz w:val="18"/>
                <w:szCs w:val="18"/>
              </w:rPr>
            </w:pPr>
            <w:r>
              <w:rPr>
                <w:rFonts w:ascii="Arial" w:hAnsi="Arial" w:cs="Arial"/>
                <w:b w:val="0"/>
                <w:bCs w:val="0"/>
                <w:sz w:val="18"/>
                <w:szCs w:val="18"/>
              </w:rPr>
              <w:t>Carrots</w:t>
            </w:r>
          </w:p>
        </w:tc>
        <w:tc>
          <w:tcPr>
            <w:tcW w:w="990" w:type="dxa"/>
            <w:gridSpan w:val="2"/>
            <w:vAlign w:val="center"/>
          </w:tcPr>
          <w:p w14:paraId="3C15EC43"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116</w:t>
            </w:r>
            <w:r w:rsidRPr="002A3B9B">
              <w:rPr>
                <w:rFonts w:ascii="Arial" w:hAnsi="Arial" w:cs="Arial"/>
                <w:sz w:val="18"/>
                <w:szCs w:val="18"/>
              </w:rPr>
              <w:t>M</w:t>
            </w:r>
          </w:p>
        </w:tc>
        <w:tc>
          <w:tcPr>
            <w:tcW w:w="1075" w:type="dxa"/>
            <w:vAlign w:val="center"/>
          </w:tcPr>
          <w:p w14:paraId="3015A13B"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-4.6</w:t>
            </w:r>
            <w:r w:rsidRPr="002A3B9B">
              <w:rPr>
                <w:rFonts w:ascii="Arial" w:hAnsi="Arial" w:cs="Arial"/>
                <w:sz w:val="18"/>
                <w:szCs w:val="18"/>
              </w:rPr>
              <w:t>%</w:t>
            </w:r>
          </w:p>
        </w:tc>
        <w:tc>
          <w:tcPr>
            <w:tcW w:w="1445" w:type="dxa"/>
            <w:tcBorders>
              <w:top w:val="nil"/>
              <w:bottom w:val="nil"/>
              <w:right w:val="single" w:sz="24" w:space="0" w:color="FFFFFF" w:themeColor="background1"/>
            </w:tcBorders>
            <w:vAlign w:val="center"/>
          </w:tcPr>
          <w:p w14:paraId="48D71492"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-11.2</w:t>
            </w:r>
            <w:r w:rsidRPr="002A3B9B">
              <w:rPr>
                <w:rFonts w:ascii="Arial" w:hAnsi="Arial" w:cs="Arial"/>
                <w:sz w:val="18"/>
                <w:szCs w:val="18"/>
              </w:rPr>
              <w:t>%</w:t>
            </w:r>
          </w:p>
        </w:tc>
      </w:tr>
      <w:tr w:rsidR="00381BAC" w:rsidRPr="002A3B9B" w14:paraId="0E989883" w14:textId="77777777" w:rsidTr="00381BAC">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vAlign w:val="center"/>
          </w:tcPr>
          <w:p w14:paraId="07D3AF57" w14:textId="77777777" w:rsidR="00381BAC" w:rsidRPr="002A3B9B" w:rsidRDefault="00381BAC" w:rsidP="00381BAC">
            <w:pPr>
              <w:pStyle w:val="NoSpacing"/>
              <w:jc w:val="right"/>
              <w:rPr>
                <w:rFonts w:ascii="Arial" w:hAnsi="Arial" w:cs="Arial"/>
                <w:b w:val="0"/>
                <w:bCs w:val="0"/>
                <w:sz w:val="18"/>
                <w:szCs w:val="18"/>
              </w:rPr>
            </w:pPr>
            <w:r>
              <w:rPr>
                <w:rFonts w:ascii="Arial" w:hAnsi="Arial" w:cs="Arial"/>
                <w:b w:val="0"/>
                <w:bCs w:val="0"/>
                <w:sz w:val="18"/>
                <w:szCs w:val="18"/>
              </w:rPr>
              <w:t>Broccoli</w:t>
            </w:r>
          </w:p>
        </w:tc>
        <w:tc>
          <w:tcPr>
            <w:tcW w:w="990" w:type="dxa"/>
            <w:gridSpan w:val="2"/>
            <w:tcBorders>
              <w:top w:val="nil"/>
              <w:bottom w:val="nil"/>
            </w:tcBorders>
            <w:vAlign w:val="center"/>
          </w:tcPr>
          <w:p w14:paraId="5EFA5D91"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114</w:t>
            </w:r>
            <w:r w:rsidRPr="002A3B9B">
              <w:rPr>
                <w:rFonts w:ascii="Arial" w:hAnsi="Arial" w:cs="Arial"/>
                <w:sz w:val="18"/>
                <w:szCs w:val="18"/>
              </w:rPr>
              <w:t>M</w:t>
            </w:r>
          </w:p>
        </w:tc>
        <w:tc>
          <w:tcPr>
            <w:tcW w:w="1075" w:type="dxa"/>
            <w:tcBorders>
              <w:top w:val="nil"/>
              <w:bottom w:val="nil"/>
            </w:tcBorders>
            <w:vAlign w:val="center"/>
          </w:tcPr>
          <w:p w14:paraId="45E47006"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+6.5</w:t>
            </w:r>
            <w:r w:rsidRPr="002A3B9B">
              <w:rPr>
                <w:rFonts w:ascii="Arial" w:hAnsi="Arial" w:cs="Arial"/>
                <w:sz w:val="18"/>
                <w:szCs w:val="18"/>
              </w:rPr>
              <w:t>%</w:t>
            </w:r>
          </w:p>
        </w:tc>
        <w:tc>
          <w:tcPr>
            <w:tcW w:w="1445" w:type="dxa"/>
            <w:tcBorders>
              <w:top w:val="nil"/>
              <w:bottom w:val="nil"/>
              <w:right w:val="single" w:sz="24" w:space="0" w:color="FFFFFF" w:themeColor="background1"/>
            </w:tcBorders>
            <w:vAlign w:val="center"/>
          </w:tcPr>
          <w:p w14:paraId="67AA62AE"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sz w:val="18"/>
                <w:szCs w:val="18"/>
              </w:rPr>
              <w:t>-10.5</w:t>
            </w:r>
            <w:r w:rsidRPr="002A3B9B">
              <w:rPr>
                <w:rFonts w:ascii="Arial" w:hAnsi="Arial" w:cs="Arial"/>
                <w:sz w:val="18"/>
                <w:szCs w:val="18"/>
              </w:rPr>
              <w:t>%</w:t>
            </w:r>
          </w:p>
        </w:tc>
      </w:tr>
      <w:tr w:rsidR="00381BAC" w:rsidRPr="002A3B9B" w14:paraId="60A76D3D" w14:textId="77777777" w:rsidTr="00381BAC">
        <w:trPr>
          <w:trHeight w:val="257"/>
          <w:jc w:val="right"/>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vAlign w:val="center"/>
          </w:tcPr>
          <w:p w14:paraId="0F1F9144" w14:textId="77777777" w:rsidR="00381BAC" w:rsidRPr="002A3B9B" w:rsidRDefault="00381BAC" w:rsidP="00381BAC">
            <w:pPr>
              <w:pStyle w:val="NoSpacing"/>
              <w:jc w:val="right"/>
              <w:rPr>
                <w:rFonts w:ascii="Arial" w:hAnsi="Arial" w:cs="Arial"/>
                <w:b w:val="0"/>
                <w:sz w:val="18"/>
                <w:szCs w:val="18"/>
              </w:rPr>
            </w:pPr>
            <w:r>
              <w:rPr>
                <w:rFonts w:ascii="Arial" w:hAnsi="Arial" w:cs="Arial"/>
                <w:b w:val="0"/>
                <w:sz w:val="18"/>
                <w:szCs w:val="18"/>
              </w:rPr>
              <w:t>Mushrooms</w:t>
            </w:r>
          </w:p>
        </w:tc>
        <w:tc>
          <w:tcPr>
            <w:tcW w:w="990" w:type="dxa"/>
            <w:gridSpan w:val="2"/>
            <w:tcBorders>
              <w:top w:val="nil"/>
              <w:bottom w:val="nil"/>
            </w:tcBorders>
            <w:vAlign w:val="center"/>
          </w:tcPr>
          <w:p w14:paraId="49148F9B"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2A3B9B">
              <w:rPr>
                <w:rFonts w:ascii="Arial" w:hAnsi="Arial" w:cs="Arial"/>
                <w:sz w:val="18"/>
                <w:szCs w:val="18"/>
              </w:rPr>
              <w:t>$</w:t>
            </w:r>
            <w:r>
              <w:rPr>
                <w:rFonts w:ascii="Arial" w:hAnsi="Arial" w:cs="Arial"/>
                <w:sz w:val="18"/>
                <w:szCs w:val="18"/>
              </w:rPr>
              <w:t>100</w:t>
            </w:r>
            <w:r w:rsidRPr="002A3B9B">
              <w:rPr>
                <w:rFonts w:ascii="Arial" w:hAnsi="Arial" w:cs="Arial"/>
                <w:sz w:val="18"/>
                <w:szCs w:val="18"/>
              </w:rPr>
              <w:t>M</w:t>
            </w:r>
          </w:p>
        </w:tc>
        <w:tc>
          <w:tcPr>
            <w:tcW w:w="1075" w:type="dxa"/>
            <w:tcBorders>
              <w:top w:val="nil"/>
              <w:bottom w:val="nil"/>
            </w:tcBorders>
            <w:vAlign w:val="center"/>
          </w:tcPr>
          <w:p w14:paraId="34D6061A"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-9.9</w:t>
            </w:r>
            <w:r w:rsidRPr="002A3B9B">
              <w:rPr>
                <w:rFonts w:ascii="Arial" w:hAnsi="Arial" w:cs="Arial"/>
                <w:sz w:val="18"/>
                <w:szCs w:val="18"/>
              </w:rPr>
              <w:t>%</w:t>
            </w:r>
          </w:p>
        </w:tc>
        <w:tc>
          <w:tcPr>
            <w:tcW w:w="1445" w:type="dxa"/>
            <w:tcBorders>
              <w:top w:val="nil"/>
              <w:bottom w:val="nil"/>
              <w:right w:val="single" w:sz="24" w:space="0" w:color="FFFFFF" w:themeColor="background1"/>
            </w:tcBorders>
            <w:vAlign w:val="center"/>
          </w:tcPr>
          <w:p w14:paraId="11B4D04A" w14:textId="77777777" w:rsidR="00381BAC" w:rsidRPr="002A3B9B"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-14.2</w:t>
            </w:r>
            <w:r w:rsidRPr="002A3B9B">
              <w:rPr>
                <w:rFonts w:ascii="Arial" w:hAnsi="Arial" w:cs="Arial"/>
                <w:sz w:val="18"/>
                <w:szCs w:val="18"/>
              </w:rPr>
              <w:t>%</w:t>
            </w:r>
          </w:p>
        </w:tc>
      </w:tr>
    </w:tbl>
    <w:p w14:paraId="79E43D5D" w14:textId="014ABF8C" w:rsidR="00836D73" w:rsidRDefault="00381BAC" w:rsidP="00B10C22">
      <w:pPr>
        <w:pStyle w:val="NoSpacing"/>
        <w:rPr>
          <w:rFonts w:ascii="Arial" w:hAnsi="Arial" w:cs="Arial"/>
          <w:sz w:val="20"/>
          <w:szCs w:val="20"/>
        </w:rPr>
      </w:pPr>
      <w:r>
        <w:rPr>
          <w:rFonts w:ascii="Arial" w:hAnsi="Arial" w:cs="Arial"/>
          <w:sz w:val="20"/>
          <w:szCs w:val="20"/>
        </w:rPr>
        <w:t xml:space="preserve"> </w:t>
      </w:r>
      <w:r w:rsidR="007273B2">
        <w:rPr>
          <w:rFonts w:ascii="Arial" w:hAnsi="Arial" w:cs="Arial"/>
          <w:sz w:val="20"/>
          <w:szCs w:val="20"/>
        </w:rPr>
        <w:t>“</w:t>
      </w:r>
      <w:r w:rsidR="00AD0F45">
        <w:rPr>
          <w:rFonts w:ascii="Arial" w:hAnsi="Arial" w:cs="Arial"/>
          <w:sz w:val="20"/>
          <w:szCs w:val="20"/>
        </w:rPr>
        <w:t>The same mixed performance is seen for fresh vegetable as well</w:t>
      </w:r>
      <w:r w:rsidR="00546508">
        <w:rPr>
          <w:rFonts w:ascii="Arial" w:hAnsi="Arial" w:cs="Arial"/>
          <w:sz w:val="20"/>
          <w:szCs w:val="20"/>
        </w:rPr>
        <w:t xml:space="preserve">,” said Watson. </w:t>
      </w:r>
      <w:r w:rsidR="00084469">
        <w:rPr>
          <w:rFonts w:ascii="Arial" w:hAnsi="Arial" w:cs="Arial"/>
          <w:sz w:val="20"/>
          <w:szCs w:val="20"/>
        </w:rPr>
        <w:t>“</w:t>
      </w:r>
      <w:r w:rsidR="00AD0F45">
        <w:rPr>
          <w:rFonts w:ascii="Arial" w:hAnsi="Arial" w:cs="Arial"/>
          <w:sz w:val="20"/>
          <w:szCs w:val="20"/>
        </w:rPr>
        <w:t xml:space="preserve">A few items got close to or exceeded year-ago levels in terms of pound sales, being tomatoes, salad kits and onions. Others continue to trend significantly behind, including carrots, broccoli and mushrooms. </w:t>
      </w:r>
    </w:p>
    <w:p w14:paraId="07A3C315" w14:textId="511E4FC8" w:rsidR="002A3B9B" w:rsidRPr="00381BAC" w:rsidRDefault="002A3B9B" w:rsidP="00B10C22">
      <w:pPr>
        <w:pStyle w:val="NoSpacing"/>
        <w:rPr>
          <w:rFonts w:ascii="Arial" w:hAnsi="Arial" w:cs="Arial"/>
          <w:sz w:val="10"/>
          <w:szCs w:val="10"/>
        </w:rPr>
      </w:pPr>
    </w:p>
    <w:p w14:paraId="32A125DE" w14:textId="77777777" w:rsidR="00EC2806" w:rsidRPr="00381BAC" w:rsidRDefault="00EC2806" w:rsidP="00EC2806">
      <w:pPr>
        <w:pStyle w:val="NoSpacing"/>
        <w:rPr>
          <w:rFonts w:ascii="Arial" w:hAnsi="Arial" w:cs="Arial"/>
          <w:color w:val="7F7F7F" w:themeColor="text1" w:themeTint="80"/>
          <w:sz w:val="16"/>
          <w:szCs w:val="16"/>
        </w:rPr>
      </w:pPr>
      <w:r w:rsidRPr="00381BAC">
        <w:rPr>
          <w:rFonts w:ascii="Arial" w:hAnsi="Arial" w:cs="Arial"/>
          <w:color w:val="7F7F7F" w:themeColor="text1" w:themeTint="80"/>
          <w:sz w:val="16"/>
          <w:szCs w:val="16"/>
        </w:rPr>
        <w:t>Source: Source:</w:t>
      </w:r>
      <w:r w:rsidR="007E5948" w:rsidRPr="00381BAC">
        <w:rPr>
          <w:rFonts w:ascii="Arial" w:hAnsi="Arial" w:cs="Arial"/>
          <w:color w:val="7F7F7F" w:themeColor="text1" w:themeTint="80"/>
          <w:sz w:val="16"/>
          <w:szCs w:val="16"/>
        </w:rPr>
        <w:t xml:space="preserve"> IRI</w:t>
      </w:r>
      <w:r w:rsidR="00012355" w:rsidRPr="00381BAC">
        <w:rPr>
          <w:rFonts w:ascii="Arial" w:hAnsi="Arial" w:cs="Arial"/>
          <w:color w:val="7F7F7F" w:themeColor="text1" w:themeTint="80"/>
          <w:sz w:val="16"/>
          <w:szCs w:val="16"/>
        </w:rPr>
        <w:t xml:space="preserve"> Integrated Fresh</w:t>
      </w:r>
      <w:r w:rsidR="007E5948" w:rsidRPr="00381BAC">
        <w:rPr>
          <w:rFonts w:ascii="Arial" w:hAnsi="Arial" w:cs="Arial"/>
          <w:color w:val="7F7F7F" w:themeColor="text1" w:themeTint="80"/>
          <w:sz w:val="16"/>
          <w:szCs w:val="16"/>
        </w:rPr>
        <w:t>, Total U.S., MULO</w:t>
      </w:r>
    </w:p>
    <w:p w14:paraId="22AD59C7" w14:textId="097FA16E" w:rsidR="008B064E" w:rsidRDefault="008B064E" w:rsidP="009E5261">
      <w:pPr>
        <w:pStyle w:val="NoSpacing"/>
        <w:rPr>
          <w:rFonts w:ascii="Arial" w:hAnsi="Arial" w:cs="Arial"/>
          <w:b/>
          <w:color w:val="595959" w:themeColor="text1" w:themeTint="A6"/>
          <w:sz w:val="24"/>
          <w:szCs w:val="20"/>
        </w:rPr>
      </w:pPr>
    </w:p>
    <w:p w14:paraId="0060C1F2" w14:textId="77777777" w:rsidR="00381BAC" w:rsidRDefault="00381BAC" w:rsidP="009E5261">
      <w:pPr>
        <w:pStyle w:val="NoSpacing"/>
        <w:rPr>
          <w:rFonts w:ascii="Arial" w:hAnsi="Arial" w:cs="Arial"/>
          <w:b/>
          <w:color w:val="595959" w:themeColor="text1" w:themeTint="A6"/>
          <w:sz w:val="24"/>
          <w:szCs w:val="20"/>
        </w:rPr>
      </w:pPr>
    </w:p>
    <w:p w14:paraId="0B7F3A9D" w14:textId="77777777" w:rsidR="00381BAC" w:rsidRDefault="00381BAC" w:rsidP="009E5261">
      <w:pPr>
        <w:pStyle w:val="NoSpacing"/>
        <w:rPr>
          <w:rFonts w:ascii="Arial" w:hAnsi="Arial" w:cs="Arial"/>
          <w:b/>
          <w:color w:val="595959" w:themeColor="text1" w:themeTint="A6"/>
          <w:sz w:val="24"/>
          <w:szCs w:val="20"/>
        </w:rPr>
      </w:pPr>
    </w:p>
    <w:p w14:paraId="151752AF" w14:textId="77777777" w:rsidR="00381BAC" w:rsidRDefault="00381BAC" w:rsidP="009E5261">
      <w:pPr>
        <w:pStyle w:val="NoSpacing"/>
        <w:rPr>
          <w:rFonts w:ascii="Arial" w:hAnsi="Arial" w:cs="Arial"/>
          <w:b/>
          <w:color w:val="595959" w:themeColor="text1" w:themeTint="A6"/>
          <w:sz w:val="24"/>
          <w:szCs w:val="20"/>
        </w:rPr>
      </w:pPr>
    </w:p>
    <w:p w14:paraId="35A74EF9" w14:textId="77777777" w:rsidR="00381BAC" w:rsidRDefault="00381BAC" w:rsidP="009E5261">
      <w:pPr>
        <w:pStyle w:val="NoSpacing"/>
        <w:rPr>
          <w:rFonts w:ascii="Arial" w:hAnsi="Arial" w:cs="Arial"/>
          <w:b/>
          <w:color w:val="595959" w:themeColor="text1" w:themeTint="A6"/>
          <w:sz w:val="24"/>
          <w:szCs w:val="20"/>
        </w:rPr>
      </w:pPr>
    </w:p>
    <w:p w14:paraId="41BCC09B" w14:textId="77777777" w:rsidR="00381BAC" w:rsidRDefault="00381BAC" w:rsidP="009E5261">
      <w:pPr>
        <w:pStyle w:val="NoSpacing"/>
        <w:rPr>
          <w:rFonts w:ascii="Arial" w:hAnsi="Arial" w:cs="Arial"/>
          <w:b/>
          <w:color w:val="595959" w:themeColor="text1" w:themeTint="A6"/>
          <w:sz w:val="24"/>
          <w:szCs w:val="20"/>
        </w:rPr>
      </w:pPr>
    </w:p>
    <w:p w14:paraId="08F60908" w14:textId="77777777" w:rsidR="00381BAC" w:rsidRDefault="00381BAC" w:rsidP="009E5261">
      <w:pPr>
        <w:pStyle w:val="NoSpacing"/>
        <w:rPr>
          <w:rFonts w:ascii="Arial" w:hAnsi="Arial" w:cs="Arial"/>
          <w:b/>
          <w:color w:val="595959" w:themeColor="text1" w:themeTint="A6"/>
          <w:sz w:val="24"/>
          <w:szCs w:val="20"/>
        </w:rPr>
      </w:pPr>
    </w:p>
    <w:p w14:paraId="6BE12E7C" w14:textId="77777777" w:rsidR="00381BAC" w:rsidRDefault="00381BAC" w:rsidP="009E5261">
      <w:pPr>
        <w:pStyle w:val="NoSpacing"/>
        <w:rPr>
          <w:rFonts w:ascii="Arial" w:hAnsi="Arial" w:cs="Arial"/>
          <w:b/>
          <w:color w:val="595959" w:themeColor="text1" w:themeTint="A6"/>
          <w:sz w:val="24"/>
          <w:szCs w:val="20"/>
        </w:rPr>
      </w:pPr>
    </w:p>
    <w:p w14:paraId="23DE661B" w14:textId="44578048" w:rsidR="009E5261" w:rsidRPr="001A4F53" w:rsidRDefault="00280853" w:rsidP="009E5261">
      <w:pPr>
        <w:pStyle w:val="NoSpacing"/>
        <w:rPr>
          <w:rFonts w:ascii="Arial" w:hAnsi="Arial" w:cs="Arial"/>
          <w:b/>
          <w:color w:val="595959" w:themeColor="text1" w:themeTint="A6"/>
          <w:sz w:val="24"/>
          <w:szCs w:val="20"/>
        </w:rPr>
      </w:pPr>
      <w:r>
        <w:rPr>
          <w:rFonts w:ascii="Arial" w:hAnsi="Arial" w:cs="Arial"/>
          <w:b/>
          <w:color w:val="595959" w:themeColor="text1" w:themeTint="A6"/>
          <w:sz w:val="24"/>
          <w:szCs w:val="20"/>
        </w:rPr>
        <w:t xml:space="preserve">Fresh Produce </w:t>
      </w:r>
      <w:r w:rsidR="009E5261" w:rsidRPr="005E2F61">
        <w:rPr>
          <w:rFonts w:ascii="Arial" w:hAnsi="Arial" w:cs="Arial"/>
          <w:b/>
          <w:color w:val="595959" w:themeColor="text1" w:themeTint="A6"/>
          <w:sz w:val="24"/>
          <w:szCs w:val="20"/>
        </w:rPr>
        <w:t xml:space="preserve">Absolute Dollar </w:t>
      </w:r>
      <w:r>
        <w:rPr>
          <w:rFonts w:ascii="Arial" w:hAnsi="Arial" w:cs="Arial"/>
          <w:b/>
          <w:color w:val="595959" w:themeColor="text1" w:themeTint="A6"/>
          <w:sz w:val="24"/>
          <w:szCs w:val="20"/>
        </w:rPr>
        <w:t>Gains</w:t>
      </w:r>
    </w:p>
    <w:tbl>
      <w:tblPr>
        <w:tblStyle w:val="LightShading-Accent5"/>
        <w:tblpPr w:leftFromText="180" w:rightFromText="180" w:vertAnchor="text" w:tblpXSpec="right" w:tblpY="1"/>
        <w:tblOverlap w:val="never"/>
        <w:tblW w:w="5040" w:type="dxa"/>
        <w:jc w:val="right"/>
        <w:tblLayout w:type="fixed"/>
        <w:tblLook w:val="04A0" w:firstRow="1" w:lastRow="0" w:firstColumn="1" w:lastColumn="0" w:noHBand="0" w:noVBand="1"/>
      </w:tblPr>
      <w:tblGrid>
        <w:gridCol w:w="1710"/>
        <w:gridCol w:w="900"/>
        <w:gridCol w:w="90"/>
        <w:gridCol w:w="1075"/>
        <w:gridCol w:w="1265"/>
      </w:tblGrid>
      <w:tr w:rsidR="00381BAC" w:rsidRPr="00AB1306" w14:paraId="3D498C6E" w14:textId="77777777" w:rsidTr="00C52016">
        <w:trPr>
          <w:cnfStyle w:val="100000000000" w:firstRow="1" w:lastRow="0" w:firstColumn="0" w:lastColumn="0" w:oddVBand="0" w:evenVBand="0" w:oddHBand="0" w:evenHBand="0" w:firstRowFirstColumn="0" w:firstRowLastColumn="0" w:lastRowFirstColumn="0" w:lastRowLastColumn="0"/>
          <w:trHeight w:val="258"/>
          <w:jc w:val="right"/>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shd w:val="clear" w:color="auto" w:fill="17365D" w:themeFill="text2" w:themeFillShade="BF"/>
          </w:tcPr>
          <w:p w14:paraId="624F5FFF" w14:textId="77777777" w:rsidR="00381BAC" w:rsidRPr="00AB1306" w:rsidRDefault="00381BAC" w:rsidP="00C52016">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 xml:space="preserve">Top 10 </w:t>
            </w:r>
            <w:r>
              <w:rPr>
                <w:rFonts w:ascii="Arial" w:hAnsi="Arial" w:cs="Arial"/>
                <w:color w:val="FFFFFF" w:themeColor="background1"/>
                <w:sz w:val="18"/>
                <w:szCs w:val="18"/>
              </w:rPr>
              <w:t>absolute</w:t>
            </w:r>
          </w:p>
        </w:tc>
        <w:tc>
          <w:tcPr>
            <w:tcW w:w="3330" w:type="dxa"/>
            <w:gridSpan w:val="4"/>
            <w:tcBorders>
              <w:top w:val="nil"/>
              <w:bottom w:val="nil"/>
            </w:tcBorders>
            <w:shd w:val="clear" w:color="auto" w:fill="17365D" w:themeFill="text2" w:themeFillShade="BF"/>
          </w:tcPr>
          <w:p w14:paraId="1A229F64" w14:textId="77777777" w:rsidR="00381BAC" w:rsidRPr="00AB1306" w:rsidRDefault="00381BAC" w:rsidP="00AD0F45">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January 2023</w:t>
            </w:r>
          </w:p>
        </w:tc>
      </w:tr>
      <w:tr w:rsidR="00381BAC" w:rsidRPr="002A3B9B" w14:paraId="194BE7B9" w14:textId="77777777" w:rsidTr="00C52016">
        <w:trPr>
          <w:cnfStyle w:val="000000100000" w:firstRow="0" w:lastRow="0" w:firstColumn="0" w:lastColumn="0" w:oddVBand="0" w:evenVBand="0" w:oddHBand="1" w:evenHBand="0" w:firstRowFirstColumn="0" w:firstRowLastColumn="0" w:lastRowFirstColumn="0" w:lastRowLastColumn="0"/>
          <w:trHeight w:val="239"/>
          <w:jc w:val="right"/>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shd w:val="clear" w:color="auto" w:fill="17365D" w:themeFill="text2" w:themeFillShade="BF"/>
          </w:tcPr>
          <w:p w14:paraId="499D2E47" w14:textId="77777777" w:rsidR="00381BAC" w:rsidRPr="002A3B9B" w:rsidRDefault="00381BAC" w:rsidP="00C52016">
            <w:pPr>
              <w:pStyle w:val="NoSpacing"/>
              <w:rPr>
                <w:rFonts w:ascii="Arial" w:hAnsi="Arial" w:cs="Arial"/>
                <w:color w:val="FFFFFF" w:themeColor="background1"/>
                <w:sz w:val="18"/>
                <w:szCs w:val="18"/>
              </w:rPr>
            </w:pPr>
            <w:r>
              <w:rPr>
                <w:rFonts w:ascii="Arial" w:hAnsi="Arial" w:cs="Arial"/>
                <w:color w:val="FFFFFF" w:themeColor="background1"/>
                <w:sz w:val="18"/>
                <w:szCs w:val="18"/>
              </w:rPr>
              <w:t>dollar growth</w:t>
            </w:r>
          </w:p>
        </w:tc>
        <w:tc>
          <w:tcPr>
            <w:tcW w:w="900" w:type="dxa"/>
            <w:tcBorders>
              <w:top w:val="nil"/>
              <w:bottom w:val="nil"/>
            </w:tcBorders>
            <w:shd w:val="clear" w:color="auto" w:fill="17365D" w:themeFill="text2" w:themeFillShade="BF"/>
          </w:tcPr>
          <w:p w14:paraId="2E053D39" w14:textId="77777777" w:rsidR="00381BAC" w:rsidRPr="002A3B9B" w:rsidRDefault="00381BAC" w:rsidP="00C5201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gain</w:t>
            </w:r>
          </w:p>
        </w:tc>
        <w:tc>
          <w:tcPr>
            <w:tcW w:w="1165" w:type="dxa"/>
            <w:gridSpan w:val="2"/>
            <w:tcBorders>
              <w:top w:val="nil"/>
              <w:bottom w:val="nil"/>
            </w:tcBorders>
            <w:shd w:val="clear" w:color="auto" w:fill="17365D" w:themeFill="text2" w:themeFillShade="BF"/>
          </w:tcPr>
          <w:p w14:paraId="1A0A8EF9" w14:textId="77777777" w:rsidR="00381BAC" w:rsidRPr="002A3B9B" w:rsidRDefault="00381BAC" w:rsidP="00C5201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w:t>
            </w:r>
            <w:r>
              <w:rPr>
                <w:rFonts w:ascii="Arial" w:hAnsi="Arial" w:cs="Arial"/>
                <w:b/>
                <w:bCs/>
                <w:color w:val="FFFFFF" w:themeColor="background1"/>
                <w:sz w:val="18"/>
                <w:szCs w:val="18"/>
              </w:rPr>
              <w:t xml:space="preserve"> sales</w:t>
            </w:r>
          </w:p>
        </w:tc>
        <w:tc>
          <w:tcPr>
            <w:tcW w:w="1265" w:type="dxa"/>
            <w:tcBorders>
              <w:top w:val="nil"/>
              <w:bottom w:val="nil"/>
            </w:tcBorders>
            <w:shd w:val="clear" w:color="auto" w:fill="17365D" w:themeFill="text2" w:themeFillShade="BF"/>
          </w:tcPr>
          <w:p w14:paraId="221BA314" w14:textId="77777777" w:rsidR="00381BAC" w:rsidRPr="002A3B9B" w:rsidRDefault="00381BAC" w:rsidP="00C52016">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Lbs vs. YA</w:t>
            </w:r>
          </w:p>
        </w:tc>
      </w:tr>
      <w:tr w:rsidR="00381BAC" w:rsidRPr="002A3B9B" w14:paraId="02A5D36F" w14:textId="77777777" w:rsidTr="00C52016">
        <w:trPr>
          <w:trHeight w:val="303"/>
          <w:jc w:val="right"/>
        </w:trPr>
        <w:tc>
          <w:tcPr>
            <w:cnfStyle w:val="001000000000" w:firstRow="0" w:lastRow="0" w:firstColumn="1" w:lastColumn="0" w:oddVBand="0" w:evenVBand="0" w:oddHBand="0" w:evenHBand="0" w:firstRowFirstColumn="0" w:firstRowLastColumn="0" w:lastRowFirstColumn="0" w:lastRowLastColumn="0"/>
            <w:tcW w:w="1710" w:type="dxa"/>
            <w:tcBorders>
              <w:top w:val="nil"/>
            </w:tcBorders>
            <w:vAlign w:val="center"/>
          </w:tcPr>
          <w:p w14:paraId="10055331" w14:textId="0A69A119" w:rsidR="00381BAC" w:rsidRPr="00AD0F45" w:rsidRDefault="003B3828" w:rsidP="003B3828">
            <w:pPr>
              <w:pStyle w:val="NoSpacing"/>
              <w:rPr>
                <w:rFonts w:ascii="Arial" w:hAnsi="Arial" w:cs="Arial"/>
                <w:b w:val="0"/>
                <w:bCs w:val="0"/>
                <w:sz w:val="18"/>
                <w:szCs w:val="18"/>
              </w:rPr>
            </w:pPr>
            <w:r>
              <w:rPr>
                <w:rFonts w:ascii="Arial" w:hAnsi="Arial" w:cs="Arial"/>
                <w:b w:val="0"/>
                <w:bCs w:val="0"/>
                <w:sz w:val="18"/>
                <w:szCs w:val="18"/>
              </w:rPr>
              <w:t>Lettuce</w:t>
            </w:r>
          </w:p>
        </w:tc>
        <w:tc>
          <w:tcPr>
            <w:tcW w:w="990" w:type="dxa"/>
            <w:gridSpan w:val="2"/>
            <w:tcBorders>
              <w:top w:val="nil"/>
            </w:tcBorders>
            <w:vAlign w:val="center"/>
          </w:tcPr>
          <w:p w14:paraId="37552E02" w14:textId="7681B56B" w:rsidR="00381BAC" w:rsidRPr="00AD0F45" w:rsidRDefault="003B3828" w:rsidP="00C5201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00381BAC" w:rsidRPr="00AD0F45">
              <w:rPr>
                <w:rFonts w:ascii="Arial" w:hAnsi="Arial" w:cs="Arial"/>
                <w:sz w:val="18"/>
                <w:szCs w:val="18"/>
              </w:rPr>
              <w:t>$</w:t>
            </w:r>
            <w:r>
              <w:rPr>
                <w:rFonts w:ascii="Arial" w:hAnsi="Arial" w:cs="Arial"/>
                <w:sz w:val="18"/>
                <w:szCs w:val="18"/>
              </w:rPr>
              <w:t>33.6M</w:t>
            </w:r>
          </w:p>
        </w:tc>
        <w:tc>
          <w:tcPr>
            <w:tcW w:w="1075" w:type="dxa"/>
            <w:tcBorders>
              <w:top w:val="nil"/>
            </w:tcBorders>
            <w:vAlign w:val="center"/>
          </w:tcPr>
          <w:p w14:paraId="59D2C6D6" w14:textId="6861A6E6" w:rsidR="00381BAC" w:rsidRPr="00AD0F45" w:rsidRDefault="00381BAC" w:rsidP="00C5201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D0F45">
              <w:rPr>
                <w:rFonts w:ascii="Arial" w:hAnsi="Arial" w:cs="Arial"/>
                <w:sz w:val="18"/>
                <w:szCs w:val="18"/>
              </w:rPr>
              <w:t>$</w:t>
            </w:r>
            <w:r w:rsidR="003B3828">
              <w:rPr>
                <w:rFonts w:ascii="Arial" w:hAnsi="Arial" w:cs="Arial"/>
                <w:sz w:val="18"/>
                <w:szCs w:val="18"/>
              </w:rPr>
              <w:t>248</w:t>
            </w:r>
            <w:r w:rsidRPr="00AD0F45">
              <w:rPr>
                <w:rFonts w:ascii="Arial" w:hAnsi="Arial" w:cs="Arial"/>
                <w:sz w:val="18"/>
                <w:szCs w:val="18"/>
              </w:rPr>
              <w:t>M</w:t>
            </w:r>
          </w:p>
        </w:tc>
        <w:tc>
          <w:tcPr>
            <w:tcW w:w="1265" w:type="dxa"/>
            <w:tcBorders>
              <w:top w:val="nil"/>
              <w:bottom w:val="nil"/>
              <w:right w:val="nil"/>
            </w:tcBorders>
            <w:vAlign w:val="center"/>
          </w:tcPr>
          <w:p w14:paraId="0622DDDB" w14:textId="4651B658" w:rsidR="00381BAC" w:rsidRPr="00AD0F45" w:rsidRDefault="003B3828" w:rsidP="00C5201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w:t>
            </w:r>
          </w:p>
        </w:tc>
      </w:tr>
      <w:tr w:rsidR="003B3828" w:rsidRPr="000361C6" w14:paraId="027C1D0A" w14:textId="77777777" w:rsidTr="00260B8B">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2EACF7A2" w14:textId="76D60020" w:rsidR="003B3828" w:rsidRPr="002A3B9B" w:rsidRDefault="003B3828" w:rsidP="003B3828">
            <w:pPr>
              <w:pStyle w:val="NoSpacing"/>
              <w:rPr>
                <w:rFonts w:ascii="Arial" w:hAnsi="Arial" w:cs="Arial"/>
                <w:b w:val="0"/>
                <w:bCs w:val="0"/>
                <w:sz w:val="18"/>
                <w:szCs w:val="18"/>
              </w:rPr>
            </w:pPr>
            <w:r>
              <w:rPr>
                <w:rFonts w:ascii="Arial" w:hAnsi="Arial" w:cs="Arial"/>
                <w:b w:val="0"/>
                <w:bCs w:val="0"/>
                <w:sz w:val="18"/>
                <w:szCs w:val="18"/>
              </w:rPr>
              <w:t>Potatoes</w:t>
            </w:r>
          </w:p>
        </w:tc>
        <w:tc>
          <w:tcPr>
            <w:tcW w:w="990" w:type="dxa"/>
            <w:gridSpan w:val="2"/>
            <w:vAlign w:val="center"/>
          </w:tcPr>
          <w:p w14:paraId="3CA4BF12" w14:textId="6919BF22" w:rsidR="003B3828" w:rsidRPr="000361C6" w:rsidRDefault="003B3828" w:rsidP="003B382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AD0F45">
              <w:rPr>
                <w:rFonts w:ascii="Arial" w:hAnsi="Arial" w:cs="Arial"/>
                <w:sz w:val="18"/>
                <w:szCs w:val="18"/>
              </w:rPr>
              <w:t>$</w:t>
            </w:r>
            <w:r>
              <w:rPr>
                <w:rFonts w:ascii="Arial" w:hAnsi="Arial" w:cs="Arial"/>
                <w:sz w:val="18"/>
                <w:szCs w:val="18"/>
              </w:rPr>
              <w:t>25.4M</w:t>
            </w:r>
          </w:p>
        </w:tc>
        <w:tc>
          <w:tcPr>
            <w:tcW w:w="1075" w:type="dxa"/>
            <w:vAlign w:val="center"/>
          </w:tcPr>
          <w:p w14:paraId="1742EF62" w14:textId="5C34A961" w:rsidR="003B3828" w:rsidRPr="000361C6" w:rsidRDefault="003B3828" w:rsidP="003B382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D0F45">
              <w:rPr>
                <w:rFonts w:ascii="Arial" w:hAnsi="Arial" w:cs="Arial"/>
                <w:sz w:val="18"/>
                <w:szCs w:val="18"/>
              </w:rPr>
              <w:t>$</w:t>
            </w:r>
            <w:r>
              <w:rPr>
                <w:rFonts w:ascii="Arial" w:hAnsi="Arial" w:cs="Arial"/>
                <w:sz w:val="18"/>
                <w:szCs w:val="18"/>
              </w:rPr>
              <w:t>306</w:t>
            </w:r>
            <w:r w:rsidRPr="00AD0F45">
              <w:rPr>
                <w:rFonts w:ascii="Arial" w:hAnsi="Arial" w:cs="Arial"/>
                <w:sz w:val="18"/>
                <w:szCs w:val="18"/>
              </w:rPr>
              <w:t>M</w:t>
            </w:r>
          </w:p>
        </w:tc>
        <w:tc>
          <w:tcPr>
            <w:tcW w:w="1265" w:type="dxa"/>
            <w:tcBorders>
              <w:top w:val="nil"/>
              <w:bottom w:val="nil"/>
            </w:tcBorders>
          </w:tcPr>
          <w:p w14:paraId="7DE62DE8" w14:textId="7CD48ED4" w:rsidR="003B3828" w:rsidRPr="000361C6" w:rsidRDefault="003B3828" w:rsidP="003B382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739D4">
              <w:rPr>
                <w:rFonts w:ascii="Arial" w:hAnsi="Arial" w:cs="Arial"/>
                <w:sz w:val="18"/>
                <w:szCs w:val="18"/>
              </w:rPr>
              <w:t>-</w:t>
            </w:r>
            <w:r>
              <w:rPr>
                <w:rFonts w:ascii="Arial" w:hAnsi="Arial" w:cs="Arial"/>
                <w:sz w:val="18"/>
                <w:szCs w:val="18"/>
              </w:rPr>
              <w:t>8.5</w:t>
            </w:r>
            <w:r w:rsidRPr="003739D4">
              <w:rPr>
                <w:rFonts w:ascii="Arial" w:hAnsi="Arial" w:cs="Arial"/>
                <w:sz w:val="18"/>
                <w:szCs w:val="18"/>
              </w:rPr>
              <w:t>%</w:t>
            </w:r>
          </w:p>
        </w:tc>
      </w:tr>
      <w:tr w:rsidR="003B3828" w:rsidRPr="000361C6" w14:paraId="5724FD0E" w14:textId="77777777" w:rsidTr="00260B8B">
        <w:trPr>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6E72B091" w14:textId="754F5704" w:rsidR="003B3828" w:rsidRPr="002A3B9B" w:rsidRDefault="003B3828" w:rsidP="003B3828">
            <w:pPr>
              <w:pStyle w:val="NoSpacing"/>
              <w:rPr>
                <w:rFonts w:ascii="Arial" w:hAnsi="Arial" w:cs="Arial"/>
                <w:b w:val="0"/>
                <w:bCs w:val="0"/>
                <w:sz w:val="18"/>
                <w:szCs w:val="18"/>
              </w:rPr>
            </w:pPr>
            <w:r>
              <w:rPr>
                <w:rFonts w:ascii="Arial" w:hAnsi="Arial" w:cs="Arial"/>
                <w:b w:val="0"/>
                <w:bCs w:val="0"/>
                <w:sz w:val="18"/>
                <w:szCs w:val="18"/>
              </w:rPr>
              <w:t>Tomatoes</w:t>
            </w:r>
          </w:p>
        </w:tc>
        <w:tc>
          <w:tcPr>
            <w:tcW w:w="990" w:type="dxa"/>
            <w:gridSpan w:val="2"/>
            <w:vAlign w:val="center"/>
          </w:tcPr>
          <w:p w14:paraId="40ECA3C3" w14:textId="1BC65F89" w:rsidR="003B3828" w:rsidRPr="000361C6" w:rsidRDefault="003B3828" w:rsidP="003B38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AD0F45">
              <w:rPr>
                <w:rFonts w:ascii="Arial" w:hAnsi="Arial" w:cs="Arial"/>
                <w:sz w:val="18"/>
                <w:szCs w:val="18"/>
              </w:rPr>
              <w:t>$</w:t>
            </w:r>
            <w:r>
              <w:rPr>
                <w:rFonts w:ascii="Arial" w:hAnsi="Arial" w:cs="Arial"/>
                <w:sz w:val="18"/>
                <w:szCs w:val="18"/>
              </w:rPr>
              <w:t>21.2M</w:t>
            </w:r>
          </w:p>
        </w:tc>
        <w:tc>
          <w:tcPr>
            <w:tcW w:w="1075" w:type="dxa"/>
            <w:vAlign w:val="center"/>
          </w:tcPr>
          <w:p w14:paraId="51534EC6" w14:textId="1CBC4591" w:rsidR="003B3828" w:rsidRPr="000361C6" w:rsidRDefault="003B3828" w:rsidP="003B38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D0F45">
              <w:rPr>
                <w:rFonts w:ascii="Arial" w:hAnsi="Arial" w:cs="Arial"/>
                <w:sz w:val="18"/>
                <w:szCs w:val="18"/>
              </w:rPr>
              <w:t>$</w:t>
            </w:r>
            <w:r>
              <w:rPr>
                <w:rFonts w:ascii="Arial" w:hAnsi="Arial" w:cs="Arial"/>
                <w:sz w:val="18"/>
                <w:szCs w:val="18"/>
              </w:rPr>
              <w:t>325</w:t>
            </w:r>
            <w:r w:rsidRPr="00AD0F45">
              <w:rPr>
                <w:rFonts w:ascii="Arial" w:hAnsi="Arial" w:cs="Arial"/>
                <w:sz w:val="18"/>
                <w:szCs w:val="18"/>
              </w:rPr>
              <w:t>M</w:t>
            </w:r>
          </w:p>
        </w:tc>
        <w:tc>
          <w:tcPr>
            <w:tcW w:w="1265" w:type="dxa"/>
            <w:tcBorders>
              <w:top w:val="nil"/>
              <w:bottom w:val="nil"/>
              <w:right w:val="nil"/>
            </w:tcBorders>
          </w:tcPr>
          <w:p w14:paraId="0401E118" w14:textId="2EEC99FB" w:rsidR="003B3828" w:rsidRPr="000361C6" w:rsidRDefault="003B3828" w:rsidP="003B38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39D4">
              <w:rPr>
                <w:rFonts w:ascii="Arial" w:hAnsi="Arial" w:cs="Arial"/>
                <w:sz w:val="18"/>
                <w:szCs w:val="18"/>
              </w:rPr>
              <w:t>-</w:t>
            </w:r>
            <w:r>
              <w:rPr>
                <w:rFonts w:ascii="Arial" w:hAnsi="Arial" w:cs="Arial"/>
                <w:sz w:val="18"/>
                <w:szCs w:val="18"/>
              </w:rPr>
              <w:t>0.9</w:t>
            </w:r>
            <w:r w:rsidRPr="003739D4">
              <w:rPr>
                <w:rFonts w:ascii="Arial" w:hAnsi="Arial" w:cs="Arial"/>
                <w:sz w:val="18"/>
                <w:szCs w:val="18"/>
              </w:rPr>
              <w:t>%</w:t>
            </w:r>
          </w:p>
        </w:tc>
      </w:tr>
      <w:tr w:rsidR="003B3828" w:rsidRPr="000361C6" w14:paraId="5EABD973" w14:textId="77777777" w:rsidTr="00260B8B">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410CE9C9" w14:textId="2C407265" w:rsidR="003B3828" w:rsidRPr="002A3B9B" w:rsidRDefault="003B3828" w:rsidP="003B3828">
            <w:pPr>
              <w:pStyle w:val="NoSpacing"/>
              <w:rPr>
                <w:rFonts w:ascii="Arial" w:hAnsi="Arial" w:cs="Arial"/>
                <w:b w:val="0"/>
                <w:bCs w:val="0"/>
                <w:sz w:val="18"/>
                <w:szCs w:val="18"/>
              </w:rPr>
            </w:pPr>
            <w:r>
              <w:rPr>
                <w:rFonts w:ascii="Arial" w:hAnsi="Arial" w:cs="Arial"/>
                <w:b w:val="0"/>
                <w:bCs w:val="0"/>
                <w:sz w:val="18"/>
                <w:szCs w:val="18"/>
              </w:rPr>
              <w:t>Cherries</w:t>
            </w:r>
          </w:p>
        </w:tc>
        <w:tc>
          <w:tcPr>
            <w:tcW w:w="990" w:type="dxa"/>
            <w:gridSpan w:val="2"/>
            <w:vAlign w:val="center"/>
          </w:tcPr>
          <w:p w14:paraId="2771ACD9" w14:textId="244BB8A1" w:rsidR="003B3828" w:rsidRPr="000361C6" w:rsidRDefault="003B3828" w:rsidP="003B382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AD0F45">
              <w:rPr>
                <w:rFonts w:ascii="Arial" w:hAnsi="Arial" w:cs="Arial"/>
                <w:sz w:val="18"/>
                <w:szCs w:val="18"/>
              </w:rPr>
              <w:t>$</w:t>
            </w:r>
            <w:r>
              <w:rPr>
                <w:rFonts w:ascii="Arial" w:hAnsi="Arial" w:cs="Arial"/>
                <w:sz w:val="18"/>
                <w:szCs w:val="18"/>
              </w:rPr>
              <w:t>15.7M</w:t>
            </w:r>
          </w:p>
        </w:tc>
        <w:tc>
          <w:tcPr>
            <w:tcW w:w="1075" w:type="dxa"/>
            <w:vAlign w:val="center"/>
          </w:tcPr>
          <w:p w14:paraId="4F00B8BA" w14:textId="1C1373B2" w:rsidR="003B3828" w:rsidRPr="000361C6" w:rsidRDefault="003B3828" w:rsidP="003B382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D0F45">
              <w:rPr>
                <w:rFonts w:ascii="Arial" w:hAnsi="Arial" w:cs="Arial"/>
                <w:sz w:val="18"/>
                <w:szCs w:val="18"/>
              </w:rPr>
              <w:t>$</w:t>
            </w:r>
            <w:r>
              <w:rPr>
                <w:rFonts w:ascii="Arial" w:hAnsi="Arial" w:cs="Arial"/>
                <w:sz w:val="18"/>
                <w:szCs w:val="18"/>
              </w:rPr>
              <w:t>45</w:t>
            </w:r>
            <w:r w:rsidRPr="00AD0F45">
              <w:rPr>
                <w:rFonts w:ascii="Arial" w:hAnsi="Arial" w:cs="Arial"/>
                <w:sz w:val="18"/>
                <w:szCs w:val="18"/>
              </w:rPr>
              <w:t>M</w:t>
            </w:r>
          </w:p>
        </w:tc>
        <w:tc>
          <w:tcPr>
            <w:tcW w:w="1265" w:type="dxa"/>
            <w:tcBorders>
              <w:top w:val="nil"/>
              <w:bottom w:val="nil"/>
            </w:tcBorders>
          </w:tcPr>
          <w:p w14:paraId="69BBA4BD" w14:textId="4AE4D48A" w:rsidR="003B3828" w:rsidRPr="000361C6" w:rsidRDefault="003B3828" w:rsidP="003B382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+61.4</w:t>
            </w:r>
            <w:r w:rsidRPr="003739D4">
              <w:rPr>
                <w:rFonts w:ascii="Arial" w:hAnsi="Arial" w:cs="Arial"/>
                <w:sz w:val="18"/>
                <w:szCs w:val="18"/>
              </w:rPr>
              <w:t>%</w:t>
            </w:r>
          </w:p>
        </w:tc>
      </w:tr>
      <w:tr w:rsidR="003B3828" w:rsidRPr="000361C6" w14:paraId="2B324FA3" w14:textId="77777777" w:rsidTr="00260B8B">
        <w:trPr>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01C1F51C" w14:textId="0CA84A3D" w:rsidR="003B3828" w:rsidRPr="002A3B9B" w:rsidRDefault="003B3828" w:rsidP="003B3828">
            <w:pPr>
              <w:pStyle w:val="NoSpacing"/>
              <w:rPr>
                <w:rFonts w:ascii="Arial" w:hAnsi="Arial" w:cs="Arial"/>
                <w:b w:val="0"/>
                <w:bCs w:val="0"/>
                <w:sz w:val="18"/>
                <w:szCs w:val="18"/>
              </w:rPr>
            </w:pPr>
            <w:r>
              <w:rPr>
                <w:rFonts w:ascii="Arial" w:hAnsi="Arial" w:cs="Arial"/>
                <w:b w:val="0"/>
                <w:bCs w:val="0"/>
                <w:sz w:val="18"/>
                <w:szCs w:val="18"/>
              </w:rPr>
              <w:t>Grapes</w:t>
            </w:r>
          </w:p>
        </w:tc>
        <w:tc>
          <w:tcPr>
            <w:tcW w:w="990" w:type="dxa"/>
            <w:gridSpan w:val="2"/>
            <w:vAlign w:val="center"/>
          </w:tcPr>
          <w:p w14:paraId="08E4EEF8" w14:textId="07F6B243" w:rsidR="003B3828" w:rsidRPr="000361C6" w:rsidRDefault="003B3828" w:rsidP="003B38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AD0F45">
              <w:rPr>
                <w:rFonts w:ascii="Arial" w:hAnsi="Arial" w:cs="Arial"/>
                <w:sz w:val="18"/>
                <w:szCs w:val="18"/>
              </w:rPr>
              <w:t>$</w:t>
            </w:r>
            <w:r>
              <w:rPr>
                <w:rFonts w:ascii="Arial" w:hAnsi="Arial" w:cs="Arial"/>
                <w:sz w:val="18"/>
                <w:szCs w:val="18"/>
              </w:rPr>
              <w:t>13.9M</w:t>
            </w:r>
          </w:p>
        </w:tc>
        <w:tc>
          <w:tcPr>
            <w:tcW w:w="1075" w:type="dxa"/>
            <w:vAlign w:val="center"/>
          </w:tcPr>
          <w:p w14:paraId="51B0519F" w14:textId="7413A1DE" w:rsidR="003B3828" w:rsidRPr="000361C6" w:rsidRDefault="003B3828" w:rsidP="003B38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D0F45">
              <w:rPr>
                <w:rFonts w:ascii="Arial" w:hAnsi="Arial" w:cs="Arial"/>
                <w:sz w:val="18"/>
                <w:szCs w:val="18"/>
              </w:rPr>
              <w:t>$</w:t>
            </w:r>
            <w:r>
              <w:rPr>
                <w:rFonts w:ascii="Arial" w:hAnsi="Arial" w:cs="Arial"/>
                <w:sz w:val="18"/>
                <w:szCs w:val="18"/>
              </w:rPr>
              <w:t>273</w:t>
            </w:r>
            <w:r w:rsidRPr="00AD0F45">
              <w:rPr>
                <w:rFonts w:ascii="Arial" w:hAnsi="Arial" w:cs="Arial"/>
                <w:sz w:val="18"/>
                <w:szCs w:val="18"/>
              </w:rPr>
              <w:t>M</w:t>
            </w:r>
          </w:p>
        </w:tc>
        <w:tc>
          <w:tcPr>
            <w:tcW w:w="1265" w:type="dxa"/>
            <w:tcBorders>
              <w:top w:val="nil"/>
              <w:bottom w:val="nil"/>
              <w:right w:val="nil"/>
            </w:tcBorders>
          </w:tcPr>
          <w:p w14:paraId="74383410" w14:textId="0392738A" w:rsidR="003B3828" w:rsidRPr="000361C6" w:rsidRDefault="003B3828" w:rsidP="003B38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w:t>
            </w:r>
            <w:r w:rsidRPr="003739D4">
              <w:rPr>
                <w:rFonts w:ascii="Arial" w:hAnsi="Arial" w:cs="Arial"/>
                <w:sz w:val="18"/>
                <w:szCs w:val="18"/>
              </w:rPr>
              <w:t>%</w:t>
            </w:r>
          </w:p>
        </w:tc>
      </w:tr>
      <w:tr w:rsidR="003B3828" w:rsidRPr="000361C6" w14:paraId="5F37935F" w14:textId="77777777" w:rsidTr="00260B8B">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4425E393" w14:textId="1CA8C9D2" w:rsidR="003B3828" w:rsidRPr="002A3B9B" w:rsidRDefault="003B3828" w:rsidP="003B3828">
            <w:pPr>
              <w:pStyle w:val="NoSpacing"/>
              <w:rPr>
                <w:rFonts w:ascii="Arial" w:hAnsi="Arial" w:cs="Arial"/>
                <w:b w:val="0"/>
                <w:bCs w:val="0"/>
                <w:sz w:val="18"/>
                <w:szCs w:val="18"/>
              </w:rPr>
            </w:pPr>
            <w:r>
              <w:rPr>
                <w:rFonts w:ascii="Arial" w:hAnsi="Arial" w:cs="Arial"/>
                <w:b w:val="0"/>
                <w:bCs w:val="0"/>
                <w:sz w:val="18"/>
                <w:szCs w:val="18"/>
              </w:rPr>
              <w:t>Salad kits</w:t>
            </w:r>
          </w:p>
        </w:tc>
        <w:tc>
          <w:tcPr>
            <w:tcW w:w="990" w:type="dxa"/>
            <w:gridSpan w:val="2"/>
            <w:vAlign w:val="center"/>
          </w:tcPr>
          <w:p w14:paraId="7C98638D" w14:textId="1E21698B" w:rsidR="003B3828" w:rsidRPr="000361C6" w:rsidRDefault="003B3828" w:rsidP="003B382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AD0F45">
              <w:rPr>
                <w:rFonts w:ascii="Arial" w:hAnsi="Arial" w:cs="Arial"/>
                <w:sz w:val="18"/>
                <w:szCs w:val="18"/>
              </w:rPr>
              <w:t>$</w:t>
            </w:r>
            <w:r>
              <w:rPr>
                <w:rFonts w:ascii="Arial" w:hAnsi="Arial" w:cs="Arial"/>
                <w:sz w:val="18"/>
                <w:szCs w:val="18"/>
              </w:rPr>
              <w:t>13.7M</w:t>
            </w:r>
          </w:p>
        </w:tc>
        <w:tc>
          <w:tcPr>
            <w:tcW w:w="1075" w:type="dxa"/>
            <w:vAlign w:val="center"/>
          </w:tcPr>
          <w:p w14:paraId="7D3020AA" w14:textId="2E0DDA54" w:rsidR="003B3828" w:rsidRPr="000361C6" w:rsidRDefault="003B3828" w:rsidP="003B382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D0F45">
              <w:rPr>
                <w:rFonts w:ascii="Arial" w:hAnsi="Arial" w:cs="Arial"/>
                <w:sz w:val="18"/>
                <w:szCs w:val="18"/>
              </w:rPr>
              <w:t>$</w:t>
            </w:r>
            <w:r>
              <w:rPr>
                <w:rFonts w:ascii="Arial" w:hAnsi="Arial" w:cs="Arial"/>
                <w:sz w:val="18"/>
                <w:szCs w:val="18"/>
              </w:rPr>
              <w:t>259</w:t>
            </w:r>
            <w:r w:rsidRPr="00AD0F45">
              <w:rPr>
                <w:rFonts w:ascii="Arial" w:hAnsi="Arial" w:cs="Arial"/>
                <w:sz w:val="18"/>
                <w:szCs w:val="18"/>
              </w:rPr>
              <w:t>M</w:t>
            </w:r>
          </w:p>
        </w:tc>
        <w:tc>
          <w:tcPr>
            <w:tcW w:w="1265" w:type="dxa"/>
            <w:tcBorders>
              <w:top w:val="nil"/>
              <w:bottom w:val="nil"/>
            </w:tcBorders>
          </w:tcPr>
          <w:p w14:paraId="3A62111F" w14:textId="1D343E3D" w:rsidR="003B3828" w:rsidRPr="000361C6" w:rsidRDefault="003B3828" w:rsidP="003B382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739D4">
              <w:rPr>
                <w:rFonts w:ascii="Arial" w:hAnsi="Arial" w:cs="Arial"/>
                <w:sz w:val="18"/>
                <w:szCs w:val="18"/>
              </w:rPr>
              <w:t>-</w:t>
            </w:r>
            <w:r>
              <w:rPr>
                <w:rFonts w:ascii="Arial" w:hAnsi="Arial" w:cs="Arial"/>
                <w:sz w:val="18"/>
                <w:szCs w:val="18"/>
              </w:rPr>
              <w:t>0.1</w:t>
            </w:r>
            <w:r w:rsidRPr="003739D4">
              <w:rPr>
                <w:rFonts w:ascii="Arial" w:hAnsi="Arial" w:cs="Arial"/>
                <w:sz w:val="18"/>
                <w:szCs w:val="18"/>
              </w:rPr>
              <w:t>%</w:t>
            </w:r>
          </w:p>
        </w:tc>
      </w:tr>
      <w:tr w:rsidR="003B3828" w:rsidRPr="000361C6" w14:paraId="146C6BB7" w14:textId="77777777" w:rsidTr="00260B8B">
        <w:trPr>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721D9DCB" w14:textId="08C39FD8" w:rsidR="003B3828" w:rsidRPr="002A3B9B" w:rsidRDefault="003B3828" w:rsidP="003B3828">
            <w:pPr>
              <w:pStyle w:val="NoSpacing"/>
              <w:rPr>
                <w:rFonts w:ascii="Arial" w:hAnsi="Arial" w:cs="Arial"/>
                <w:b w:val="0"/>
                <w:bCs w:val="0"/>
                <w:sz w:val="18"/>
                <w:szCs w:val="18"/>
              </w:rPr>
            </w:pPr>
            <w:r>
              <w:rPr>
                <w:rFonts w:ascii="Arial" w:hAnsi="Arial" w:cs="Arial"/>
                <w:b w:val="0"/>
                <w:bCs w:val="0"/>
                <w:sz w:val="18"/>
                <w:szCs w:val="18"/>
              </w:rPr>
              <w:t>Cucumbers</w:t>
            </w:r>
          </w:p>
        </w:tc>
        <w:tc>
          <w:tcPr>
            <w:tcW w:w="990" w:type="dxa"/>
            <w:gridSpan w:val="2"/>
            <w:vAlign w:val="center"/>
          </w:tcPr>
          <w:p w14:paraId="753B5F5E" w14:textId="02DAABA1" w:rsidR="003B3828" w:rsidRPr="000361C6" w:rsidRDefault="003B3828" w:rsidP="003B38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AD0F45">
              <w:rPr>
                <w:rFonts w:ascii="Arial" w:hAnsi="Arial" w:cs="Arial"/>
                <w:sz w:val="18"/>
                <w:szCs w:val="18"/>
              </w:rPr>
              <w:t>$</w:t>
            </w:r>
            <w:r>
              <w:rPr>
                <w:rFonts w:ascii="Arial" w:hAnsi="Arial" w:cs="Arial"/>
                <w:sz w:val="18"/>
                <w:szCs w:val="18"/>
              </w:rPr>
              <w:t>13.7M</w:t>
            </w:r>
          </w:p>
        </w:tc>
        <w:tc>
          <w:tcPr>
            <w:tcW w:w="1075" w:type="dxa"/>
            <w:vAlign w:val="center"/>
          </w:tcPr>
          <w:p w14:paraId="01C68546" w14:textId="527B9E0B" w:rsidR="003B3828" w:rsidRPr="000361C6" w:rsidRDefault="003B3828" w:rsidP="003B38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D0F45">
              <w:rPr>
                <w:rFonts w:ascii="Arial" w:hAnsi="Arial" w:cs="Arial"/>
                <w:sz w:val="18"/>
                <w:szCs w:val="18"/>
              </w:rPr>
              <w:t>$</w:t>
            </w:r>
            <w:r>
              <w:rPr>
                <w:rFonts w:ascii="Arial" w:hAnsi="Arial" w:cs="Arial"/>
                <w:sz w:val="18"/>
                <w:szCs w:val="18"/>
              </w:rPr>
              <w:t>116</w:t>
            </w:r>
            <w:r w:rsidRPr="00AD0F45">
              <w:rPr>
                <w:rFonts w:ascii="Arial" w:hAnsi="Arial" w:cs="Arial"/>
                <w:sz w:val="18"/>
                <w:szCs w:val="18"/>
              </w:rPr>
              <w:t>M</w:t>
            </w:r>
          </w:p>
        </w:tc>
        <w:tc>
          <w:tcPr>
            <w:tcW w:w="1265" w:type="dxa"/>
            <w:tcBorders>
              <w:top w:val="nil"/>
              <w:bottom w:val="nil"/>
              <w:right w:val="nil"/>
            </w:tcBorders>
          </w:tcPr>
          <w:p w14:paraId="37F3861A" w14:textId="1390FED0" w:rsidR="003B3828" w:rsidRPr="000361C6" w:rsidRDefault="003B3828" w:rsidP="003B38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+6.0</w:t>
            </w:r>
            <w:r w:rsidRPr="003739D4">
              <w:rPr>
                <w:rFonts w:ascii="Arial" w:hAnsi="Arial" w:cs="Arial"/>
                <w:sz w:val="18"/>
                <w:szCs w:val="18"/>
              </w:rPr>
              <w:t>%</w:t>
            </w:r>
          </w:p>
        </w:tc>
      </w:tr>
      <w:tr w:rsidR="003B3828" w:rsidRPr="000361C6" w14:paraId="391B86D5" w14:textId="77777777" w:rsidTr="00260B8B">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1E6D14EA" w14:textId="4AFEB9A2" w:rsidR="003B3828" w:rsidRPr="002A3B9B" w:rsidRDefault="003B3828" w:rsidP="003B3828">
            <w:pPr>
              <w:pStyle w:val="NoSpacing"/>
              <w:rPr>
                <w:rFonts w:ascii="Arial" w:hAnsi="Arial" w:cs="Arial"/>
                <w:b w:val="0"/>
                <w:bCs w:val="0"/>
                <w:sz w:val="18"/>
                <w:szCs w:val="18"/>
              </w:rPr>
            </w:pPr>
            <w:r>
              <w:rPr>
                <w:rFonts w:ascii="Arial" w:hAnsi="Arial" w:cs="Arial"/>
                <w:b w:val="0"/>
                <w:bCs w:val="0"/>
                <w:sz w:val="18"/>
                <w:szCs w:val="18"/>
              </w:rPr>
              <w:t>Onions</w:t>
            </w:r>
          </w:p>
        </w:tc>
        <w:tc>
          <w:tcPr>
            <w:tcW w:w="990" w:type="dxa"/>
            <w:gridSpan w:val="2"/>
            <w:vAlign w:val="center"/>
          </w:tcPr>
          <w:p w14:paraId="59C808C8" w14:textId="19F6E076" w:rsidR="003B3828" w:rsidRPr="000361C6" w:rsidRDefault="003B3828" w:rsidP="003B382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AD0F45">
              <w:rPr>
                <w:rFonts w:ascii="Arial" w:hAnsi="Arial" w:cs="Arial"/>
                <w:sz w:val="18"/>
                <w:szCs w:val="18"/>
              </w:rPr>
              <w:t>$</w:t>
            </w:r>
            <w:r>
              <w:rPr>
                <w:rFonts w:ascii="Arial" w:hAnsi="Arial" w:cs="Arial"/>
                <w:sz w:val="18"/>
                <w:szCs w:val="18"/>
              </w:rPr>
              <w:t>11.4M</w:t>
            </w:r>
          </w:p>
        </w:tc>
        <w:tc>
          <w:tcPr>
            <w:tcW w:w="1075" w:type="dxa"/>
            <w:vAlign w:val="center"/>
          </w:tcPr>
          <w:p w14:paraId="6A05CE33" w14:textId="19BBEE86" w:rsidR="003B3828" w:rsidRPr="000361C6" w:rsidRDefault="003B3828" w:rsidP="003B382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D0F45">
              <w:rPr>
                <w:rFonts w:ascii="Arial" w:hAnsi="Arial" w:cs="Arial"/>
                <w:sz w:val="18"/>
                <w:szCs w:val="18"/>
              </w:rPr>
              <w:t>$</w:t>
            </w:r>
            <w:r>
              <w:rPr>
                <w:rFonts w:ascii="Arial" w:hAnsi="Arial" w:cs="Arial"/>
                <w:sz w:val="18"/>
                <w:szCs w:val="18"/>
              </w:rPr>
              <w:t>222</w:t>
            </w:r>
            <w:r w:rsidRPr="00AD0F45">
              <w:rPr>
                <w:rFonts w:ascii="Arial" w:hAnsi="Arial" w:cs="Arial"/>
                <w:sz w:val="18"/>
                <w:szCs w:val="18"/>
              </w:rPr>
              <w:t>M</w:t>
            </w:r>
          </w:p>
        </w:tc>
        <w:tc>
          <w:tcPr>
            <w:tcW w:w="1265" w:type="dxa"/>
            <w:tcBorders>
              <w:top w:val="nil"/>
              <w:bottom w:val="nil"/>
            </w:tcBorders>
          </w:tcPr>
          <w:p w14:paraId="7BC469CB" w14:textId="09842A0A" w:rsidR="003B3828" w:rsidRPr="000361C6" w:rsidRDefault="003B3828" w:rsidP="003B382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739D4">
              <w:rPr>
                <w:rFonts w:ascii="Arial" w:hAnsi="Arial" w:cs="Arial"/>
                <w:sz w:val="18"/>
                <w:szCs w:val="18"/>
              </w:rPr>
              <w:t>-</w:t>
            </w:r>
            <w:r>
              <w:rPr>
                <w:rFonts w:ascii="Arial" w:hAnsi="Arial" w:cs="Arial"/>
                <w:sz w:val="18"/>
                <w:szCs w:val="18"/>
              </w:rPr>
              <w:t>0.2</w:t>
            </w:r>
            <w:r w:rsidRPr="003739D4">
              <w:rPr>
                <w:rFonts w:ascii="Arial" w:hAnsi="Arial" w:cs="Arial"/>
                <w:sz w:val="18"/>
                <w:szCs w:val="18"/>
              </w:rPr>
              <w:t>%</w:t>
            </w:r>
          </w:p>
        </w:tc>
      </w:tr>
      <w:tr w:rsidR="003B3828" w:rsidRPr="000361C6" w14:paraId="611D2561" w14:textId="77777777" w:rsidTr="00260B8B">
        <w:trPr>
          <w:trHeight w:val="257"/>
          <w:jc w:val="right"/>
        </w:trPr>
        <w:tc>
          <w:tcPr>
            <w:cnfStyle w:val="001000000000" w:firstRow="0" w:lastRow="0" w:firstColumn="1" w:lastColumn="0" w:oddVBand="0" w:evenVBand="0" w:oddHBand="0" w:evenHBand="0" w:firstRowFirstColumn="0" w:firstRowLastColumn="0" w:lastRowFirstColumn="0" w:lastRowLastColumn="0"/>
            <w:tcW w:w="1710" w:type="dxa"/>
            <w:tcBorders>
              <w:bottom w:val="nil"/>
            </w:tcBorders>
            <w:vAlign w:val="center"/>
          </w:tcPr>
          <w:p w14:paraId="70107D68" w14:textId="635FB83C" w:rsidR="003B3828" w:rsidRPr="002A3B9B" w:rsidRDefault="003B3828" w:rsidP="003B3828">
            <w:pPr>
              <w:pStyle w:val="NoSpacing"/>
              <w:rPr>
                <w:rFonts w:ascii="Arial" w:hAnsi="Arial" w:cs="Arial"/>
                <w:b w:val="0"/>
                <w:bCs w:val="0"/>
                <w:sz w:val="18"/>
                <w:szCs w:val="18"/>
              </w:rPr>
            </w:pPr>
            <w:r>
              <w:rPr>
                <w:rFonts w:ascii="Arial" w:hAnsi="Arial" w:cs="Arial"/>
                <w:b w:val="0"/>
                <w:bCs w:val="0"/>
                <w:sz w:val="18"/>
                <w:szCs w:val="18"/>
              </w:rPr>
              <w:t>Broccoli</w:t>
            </w:r>
          </w:p>
        </w:tc>
        <w:tc>
          <w:tcPr>
            <w:tcW w:w="990" w:type="dxa"/>
            <w:gridSpan w:val="2"/>
            <w:tcBorders>
              <w:bottom w:val="nil"/>
            </w:tcBorders>
            <w:vAlign w:val="center"/>
          </w:tcPr>
          <w:p w14:paraId="43A7EB6D" w14:textId="2F0DBF59" w:rsidR="003B3828" w:rsidRPr="000361C6" w:rsidRDefault="003B3828" w:rsidP="003B38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AD0F45">
              <w:rPr>
                <w:rFonts w:ascii="Arial" w:hAnsi="Arial" w:cs="Arial"/>
                <w:sz w:val="18"/>
                <w:szCs w:val="18"/>
              </w:rPr>
              <w:t>$</w:t>
            </w:r>
            <w:r>
              <w:rPr>
                <w:rFonts w:ascii="Arial" w:hAnsi="Arial" w:cs="Arial"/>
                <w:sz w:val="18"/>
                <w:szCs w:val="18"/>
              </w:rPr>
              <w:t>7.0M</w:t>
            </w:r>
          </w:p>
        </w:tc>
        <w:tc>
          <w:tcPr>
            <w:tcW w:w="1075" w:type="dxa"/>
            <w:tcBorders>
              <w:bottom w:val="nil"/>
            </w:tcBorders>
            <w:vAlign w:val="center"/>
          </w:tcPr>
          <w:p w14:paraId="1BFF9D20" w14:textId="65234FAE" w:rsidR="003B3828" w:rsidRPr="000361C6" w:rsidRDefault="003B3828" w:rsidP="003B38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D0F45">
              <w:rPr>
                <w:rFonts w:ascii="Arial" w:hAnsi="Arial" w:cs="Arial"/>
                <w:sz w:val="18"/>
                <w:szCs w:val="18"/>
              </w:rPr>
              <w:t>$</w:t>
            </w:r>
            <w:r>
              <w:rPr>
                <w:rFonts w:ascii="Arial" w:hAnsi="Arial" w:cs="Arial"/>
                <w:sz w:val="18"/>
                <w:szCs w:val="18"/>
              </w:rPr>
              <w:t>114</w:t>
            </w:r>
            <w:r w:rsidRPr="00AD0F45">
              <w:rPr>
                <w:rFonts w:ascii="Arial" w:hAnsi="Arial" w:cs="Arial"/>
                <w:sz w:val="18"/>
                <w:szCs w:val="18"/>
              </w:rPr>
              <w:t>M</w:t>
            </w:r>
          </w:p>
        </w:tc>
        <w:tc>
          <w:tcPr>
            <w:tcW w:w="1265" w:type="dxa"/>
            <w:tcBorders>
              <w:top w:val="nil"/>
              <w:bottom w:val="nil"/>
              <w:right w:val="nil"/>
            </w:tcBorders>
          </w:tcPr>
          <w:p w14:paraId="383B9703" w14:textId="30393E5E" w:rsidR="003B3828" w:rsidRPr="000361C6" w:rsidRDefault="003B3828" w:rsidP="003B382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39D4">
              <w:rPr>
                <w:rFonts w:ascii="Arial" w:hAnsi="Arial" w:cs="Arial"/>
                <w:sz w:val="18"/>
                <w:szCs w:val="18"/>
              </w:rPr>
              <w:t>-</w:t>
            </w:r>
            <w:r>
              <w:rPr>
                <w:rFonts w:ascii="Arial" w:hAnsi="Arial" w:cs="Arial"/>
                <w:sz w:val="18"/>
                <w:szCs w:val="18"/>
              </w:rPr>
              <w:t>10.5</w:t>
            </w:r>
            <w:r w:rsidRPr="003739D4">
              <w:rPr>
                <w:rFonts w:ascii="Arial" w:hAnsi="Arial" w:cs="Arial"/>
                <w:sz w:val="18"/>
                <w:szCs w:val="18"/>
              </w:rPr>
              <w:t>%</w:t>
            </w:r>
          </w:p>
        </w:tc>
      </w:tr>
      <w:tr w:rsidR="003B3828" w:rsidRPr="000361C6" w14:paraId="22DBD186" w14:textId="77777777" w:rsidTr="00260B8B">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tcBorders>
              <w:top w:val="nil"/>
              <w:bottom w:val="nil"/>
            </w:tcBorders>
            <w:vAlign w:val="center"/>
          </w:tcPr>
          <w:p w14:paraId="362FEB88" w14:textId="06EE707F" w:rsidR="003B3828" w:rsidRPr="002A3B9B" w:rsidRDefault="003B3828" w:rsidP="003B3828">
            <w:pPr>
              <w:pStyle w:val="NoSpacing"/>
              <w:rPr>
                <w:rFonts w:ascii="Arial" w:hAnsi="Arial" w:cs="Arial"/>
                <w:b w:val="0"/>
                <w:bCs w:val="0"/>
                <w:sz w:val="18"/>
                <w:szCs w:val="18"/>
              </w:rPr>
            </w:pPr>
            <w:r>
              <w:rPr>
                <w:rFonts w:ascii="Arial" w:hAnsi="Arial" w:cs="Arial"/>
                <w:b w:val="0"/>
                <w:bCs w:val="0"/>
                <w:sz w:val="18"/>
                <w:szCs w:val="18"/>
              </w:rPr>
              <w:t>Pomegranates</w:t>
            </w:r>
          </w:p>
        </w:tc>
        <w:tc>
          <w:tcPr>
            <w:tcW w:w="990" w:type="dxa"/>
            <w:gridSpan w:val="2"/>
            <w:tcBorders>
              <w:top w:val="nil"/>
              <w:bottom w:val="nil"/>
            </w:tcBorders>
            <w:vAlign w:val="center"/>
          </w:tcPr>
          <w:p w14:paraId="676B8C75" w14:textId="3D7297D1" w:rsidR="003B3828" w:rsidRPr="000361C6" w:rsidRDefault="003B3828" w:rsidP="003B382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AD0F45">
              <w:rPr>
                <w:rFonts w:ascii="Arial" w:hAnsi="Arial" w:cs="Arial"/>
                <w:sz w:val="18"/>
                <w:szCs w:val="18"/>
              </w:rPr>
              <w:t>$</w:t>
            </w:r>
            <w:r>
              <w:rPr>
                <w:rFonts w:ascii="Arial" w:hAnsi="Arial" w:cs="Arial"/>
                <w:sz w:val="18"/>
                <w:szCs w:val="18"/>
              </w:rPr>
              <w:t>6.1M</w:t>
            </w:r>
          </w:p>
        </w:tc>
        <w:tc>
          <w:tcPr>
            <w:tcW w:w="1075" w:type="dxa"/>
            <w:tcBorders>
              <w:top w:val="nil"/>
              <w:bottom w:val="nil"/>
            </w:tcBorders>
            <w:vAlign w:val="center"/>
          </w:tcPr>
          <w:p w14:paraId="23F84C5B" w14:textId="2F5ACB9F" w:rsidR="003B3828" w:rsidRPr="000361C6" w:rsidRDefault="003B3828" w:rsidP="003B382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D0F45">
              <w:rPr>
                <w:rFonts w:ascii="Arial" w:hAnsi="Arial" w:cs="Arial"/>
                <w:sz w:val="18"/>
                <w:szCs w:val="18"/>
              </w:rPr>
              <w:t>$</w:t>
            </w:r>
            <w:r>
              <w:rPr>
                <w:rFonts w:ascii="Arial" w:hAnsi="Arial" w:cs="Arial"/>
                <w:sz w:val="18"/>
                <w:szCs w:val="18"/>
              </w:rPr>
              <w:t>20</w:t>
            </w:r>
            <w:r w:rsidRPr="00AD0F45">
              <w:rPr>
                <w:rFonts w:ascii="Arial" w:hAnsi="Arial" w:cs="Arial"/>
                <w:sz w:val="18"/>
                <w:szCs w:val="18"/>
              </w:rPr>
              <w:t>M</w:t>
            </w:r>
          </w:p>
        </w:tc>
        <w:tc>
          <w:tcPr>
            <w:tcW w:w="1265" w:type="dxa"/>
            <w:tcBorders>
              <w:top w:val="nil"/>
              <w:bottom w:val="nil"/>
            </w:tcBorders>
          </w:tcPr>
          <w:p w14:paraId="07960F76" w14:textId="3A38EE74" w:rsidR="003B3828" w:rsidRPr="000361C6" w:rsidRDefault="003B3828" w:rsidP="003B382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+77.1</w:t>
            </w:r>
            <w:r w:rsidRPr="003739D4">
              <w:rPr>
                <w:rFonts w:ascii="Arial" w:hAnsi="Arial" w:cs="Arial"/>
                <w:sz w:val="18"/>
                <w:szCs w:val="18"/>
              </w:rPr>
              <w:t>%</w:t>
            </w:r>
          </w:p>
        </w:tc>
      </w:tr>
    </w:tbl>
    <w:p w14:paraId="0A1A811E" w14:textId="563077FE" w:rsidR="00AD0F45" w:rsidRDefault="00CC484B" w:rsidP="009E5261">
      <w:pPr>
        <w:pStyle w:val="NoSpacing"/>
        <w:rPr>
          <w:rFonts w:ascii="Arial" w:hAnsi="Arial" w:cs="Arial"/>
          <w:sz w:val="20"/>
          <w:szCs w:val="20"/>
        </w:rPr>
      </w:pPr>
      <w:r>
        <w:rPr>
          <w:rFonts w:ascii="Arial" w:hAnsi="Arial" w:cs="Arial"/>
          <w:sz w:val="20"/>
          <w:szCs w:val="20"/>
        </w:rPr>
        <w:t>In</w:t>
      </w:r>
      <w:r w:rsidR="00381BAC">
        <w:rPr>
          <w:rFonts w:ascii="Arial" w:hAnsi="Arial" w:cs="Arial"/>
          <w:sz w:val="20"/>
          <w:szCs w:val="20"/>
        </w:rPr>
        <w:t xml:space="preserve"> January 2023</w:t>
      </w:r>
      <w:r w:rsidR="005D47A3">
        <w:rPr>
          <w:rFonts w:ascii="Arial" w:hAnsi="Arial" w:cs="Arial"/>
          <w:sz w:val="20"/>
          <w:szCs w:val="20"/>
        </w:rPr>
        <w:t>, fresh</w:t>
      </w:r>
      <w:r w:rsidR="00DA7A2D">
        <w:rPr>
          <w:rFonts w:ascii="Arial" w:hAnsi="Arial" w:cs="Arial"/>
          <w:sz w:val="20"/>
          <w:szCs w:val="20"/>
        </w:rPr>
        <w:t xml:space="preserve"> </w:t>
      </w:r>
      <w:r w:rsidR="00381BAC">
        <w:rPr>
          <w:rFonts w:ascii="Arial" w:hAnsi="Arial" w:cs="Arial"/>
          <w:sz w:val="20"/>
          <w:szCs w:val="20"/>
        </w:rPr>
        <w:t xml:space="preserve">vegetables </w:t>
      </w:r>
      <w:r w:rsidR="00DA7A2D">
        <w:rPr>
          <w:rFonts w:ascii="Arial" w:hAnsi="Arial" w:cs="Arial"/>
          <w:sz w:val="20"/>
          <w:szCs w:val="20"/>
        </w:rPr>
        <w:t xml:space="preserve">added </w:t>
      </w:r>
      <w:r w:rsidR="005D47A3">
        <w:rPr>
          <w:rFonts w:ascii="Arial" w:hAnsi="Arial" w:cs="Arial"/>
          <w:sz w:val="20"/>
          <w:szCs w:val="20"/>
        </w:rPr>
        <w:t>$</w:t>
      </w:r>
      <w:r w:rsidR="00381BAC">
        <w:rPr>
          <w:rFonts w:ascii="Arial" w:hAnsi="Arial" w:cs="Arial"/>
          <w:sz w:val="20"/>
          <w:szCs w:val="20"/>
        </w:rPr>
        <w:t>106 m</w:t>
      </w:r>
      <w:r w:rsidR="000361C6">
        <w:rPr>
          <w:rFonts w:ascii="Arial" w:hAnsi="Arial" w:cs="Arial"/>
          <w:sz w:val="20"/>
          <w:szCs w:val="20"/>
        </w:rPr>
        <w:t>illion</w:t>
      </w:r>
      <w:r w:rsidR="005D47A3">
        <w:rPr>
          <w:rFonts w:ascii="Arial" w:hAnsi="Arial" w:cs="Arial"/>
          <w:sz w:val="20"/>
          <w:szCs w:val="20"/>
        </w:rPr>
        <w:t xml:space="preserve"> in</w:t>
      </w:r>
      <w:r w:rsidR="00B60B2A">
        <w:rPr>
          <w:rFonts w:ascii="Arial" w:hAnsi="Arial" w:cs="Arial"/>
          <w:sz w:val="20"/>
          <w:szCs w:val="20"/>
        </w:rPr>
        <w:t xml:space="preserve"> additional dollars versus</w:t>
      </w:r>
      <w:r w:rsidR="00381BAC">
        <w:rPr>
          <w:rFonts w:ascii="Arial" w:hAnsi="Arial" w:cs="Arial"/>
          <w:sz w:val="20"/>
          <w:szCs w:val="20"/>
        </w:rPr>
        <w:t xml:space="preserve"> January</w:t>
      </w:r>
      <w:r w:rsidR="00B60B2A">
        <w:rPr>
          <w:rFonts w:ascii="Arial" w:hAnsi="Arial" w:cs="Arial"/>
          <w:sz w:val="20"/>
          <w:szCs w:val="20"/>
        </w:rPr>
        <w:t xml:space="preserve"> 202</w:t>
      </w:r>
      <w:r w:rsidR="00381BAC">
        <w:rPr>
          <w:rFonts w:ascii="Arial" w:hAnsi="Arial" w:cs="Arial"/>
          <w:sz w:val="20"/>
          <w:szCs w:val="20"/>
        </w:rPr>
        <w:t>2</w:t>
      </w:r>
      <w:r w:rsidR="00F26464">
        <w:rPr>
          <w:rFonts w:ascii="Arial" w:hAnsi="Arial" w:cs="Arial"/>
          <w:sz w:val="20"/>
          <w:szCs w:val="20"/>
        </w:rPr>
        <w:t xml:space="preserve"> </w:t>
      </w:r>
      <w:r w:rsidR="00381BAC">
        <w:rPr>
          <w:rFonts w:ascii="Arial" w:hAnsi="Arial" w:cs="Arial"/>
          <w:sz w:val="20"/>
          <w:szCs w:val="20"/>
        </w:rPr>
        <w:t xml:space="preserve">whereas total fruit lost some ground. While a few fruits made it into the top 10 items that gained the most in dollars, the top </w:t>
      </w:r>
      <w:r w:rsidR="00AD0F45">
        <w:rPr>
          <w:rFonts w:ascii="Arial" w:hAnsi="Arial" w:cs="Arial"/>
          <w:sz w:val="20"/>
          <w:szCs w:val="20"/>
        </w:rPr>
        <w:t xml:space="preserve">five </w:t>
      </w:r>
      <w:r w:rsidR="00381BAC">
        <w:rPr>
          <w:rFonts w:ascii="Arial" w:hAnsi="Arial" w:cs="Arial"/>
          <w:sz w:val="20"/>
          <w:szCs w:val="20"/>
        </w:rPr>
        <w:t>placements go to vegetables. “</w:t>
      </w:r>
      <w:r w:rsidR="00AD0F45">
        <w:rPr>
          <w:rFonts w:ascii="Arial" w:hAnsi="Arial" w:cs="Arial"/>
          <w:sz w:val="20"/>
          <w:szCs w:val="20"/>
        </w:rPr>
        <w:t>While inflation obviously plays a large role as well, t</w:t>
      </w:r>
      <w:r w:rsidR="00381BAC">
        <w:rPr>
          <w:rFonts w:ascii="Arial" w:hAnsi="Arial" w:cs="Arial"/>
          <w:sz w:val="20"/>
          <w:szCs w:val="20"/>
        </w:rPr>
        <w:t>he top 10</w:t>
      </w:r>
      <w:r w:rsidR="00AD0F45">
        <w:rPr>
          <w:rFonts w:ascii="Arial" w:hAnsi="Arial" w:cs="Arial"/>
          <w:sz w:val="20"/>
          <w:szCs w:val="20"/>
        </w:rPr>
        <w:t xml:space="preserve"> in dollar growth is also a reflection of consumers retreating into staple purchases,” said Watson. “Potatoes, lettuce, onions, bananas, apples, etc. those are the items with the greatest household penetration any year</w:t>
      </w:r>
      <w:r w:rsidR="003B3828">
        <w:rPr>
          <w:rFonts w:ascii="Arial" w:hAnsi="Arial" w:cs="Arial"/>
          <w:sz w:val="20"/>
          <w:szCs w:val="20"/>
        </w:rPr>
        <w:t>.”</w:t>
      </w:r>
      <w:r w:rsidR="00AD0F45">
        <w:rPr>
          <w:rFonts w:ascii="Arial" w:hAnsi="Arial" w:cs="Arial"/>
          <w:sz w:val="20"/>
          <w:szCs w:val="20"/>
        </w:rPr>
        <w:t xml:space="preserve">  </w:t>
      </w:r>
    </w:p>
    <w:p w14:paraId="3EC3F12D" w14:textId="77777777" w:rsidR="00AD0F45" w:rsidRDefault="00AD0F45" w:rsidP="009E5261">
      <w:pPr>
        <w:pStyle w:val="NoSpacing"/>
        <w:rPr>
          <w:rFonts w:ascii="Arial" w:hAnsi="Arial" w:cs="Arial"/>
          <w:sz w:val="20"/>
          <w:szCs w:val="20"/>
        </w:rPr>
      </w:pPr>
    </w:p>
    <w:p w14:paraId="25FFE32A" w14:textId="41279623" w:rsidR="009E5261" w:rsidRDefault="00DD28A9" w:rsidP="009E5261">
      <w:pPr>
        <w:pStyle w:val="NoSpacing"/>
        <w:rPr>
          <w:rFonts w:ascii="Arial" w:hAnsi="Arial" w:cs="Arial"/>
          <w:sz w:val="20"/>
          <w:szCs w:val="20"/>
        </w:rPr>
      </w:pPr>
      <w:r>
        <w:rPr>
          <w:rFonts w:ascii="Arial" w:hAnsi="Arial" w:cs="Arial"/>
          <w:sz w:val="20"/>
          <w:szCs w:val="20"/>
        </w:rPr>
        <w:t>Gains were achieved in many different ways</w:t>
      </w:r>
      <w:r w:rsidR="000361C6">
        <w:rPr>
          <w:rFonts w:ascii="Arial" w:hAnsi="Arial" w:cs="Arial"/>
          <w:sz w:val="20"/>
          <w:szCs w:val="20"/>
        </w:rPr>
        <w:t>, but inflation played a big role for</w:t>
      </w:r>
      <w:r w:rsidR="003B3828">
        <w:rPr>
          <w:rFonts w:ascii="Arial" w:hAnsi="Arial" w:cs="Arial"/>
          <w:sz w:val="20"/>
          <w:szCs w:val="20"/>
        </w:rPr>
        <w:t xml:space="preserve"> all</w:t>
      </w:r>
      <w:r>
        <w:rPr>
          <w:rFonts w:ascii="Arial" w:hAnsi="Arial" w:cs="Arial"/>
          <w:sz w:val="20"/>
          <w:szCs w:val="20"/>
        </w:rPr>
        <w:t xml:space="preserve">. </w:t>
      </w:r>
      <w:r w:rsidR="004217CA">
        <w:rPr>
          <w:rFonts w:ascii="Arial" w:hAnsi="Arial" w:cs="Arial"/>
          <w:sz w:val="20"/>
          <w:szCs w:val="20"/>
        </w:rPr>
        <w:t xml:space="preserve">Others gained on strong demand with </w:t>
      </w:r>
      <w:r w:rsidR="001A6058">
        <w:rPr>
          <w:rFonts w:ascii="Arial" w:hAnsi="Arial" w:cs="Arial"/>
          <w:sz w:val="20"/>
          <w:szCs w:val="20"/>
        </w:rPr>
        <w:t>volume gains contributi</w:t>
      </w:r>
      <w:r w:rsidR="003B3828">
        <w:rPr>
          <w:rFonts w:ascii="Arial" w:hAnsi="Arial" w:cs="Arial"/>
          <w:sz w:val="20"/>
          <w:szCs w:val="20"/>
        </w:rPr>
        <w:t>ng</w:t>
      </w:r>
      <w:r w:rsidR="001A6058">
        <w:rPr>
          <w:rFonts w:ascii="Arial" w:hAnsi="Arial" w:cs="Arial"/>
          <w:sz w:val="20"/>
          <w:szCs w:val="20"/>
        </w:rPr>
        <w:t xml:space="preserve"> to the inflationary boost, including</w:t>
      </w:r>
      <w:r w:rsidR="003B3828">
        <w:rPr>
          <w:rFonts w:ascii="Arial" w:hAnsi="Arial" w:cs="Arial"/>
          <w:sz w:val="20"/>
          <w:szCs w:val="20"/>
        </w:rPr>
        <w:t xml:space="preserve"> lettuce, cherries, grapes, cucumbers and pomegranates</w:t>
      </w:r>
      <w:r w:rsidR="004217CA">
        <w:rPr>
          <w:rFonts w:ascii="Arial" w:hAnsi="Arial" w:cs="Arial"/>
          <w:sz w:val="20"/>
          <w:szCs w:val="20"/>
        </w:rPr>
        <w:t xml:space="preserve">. </w:t>
      </w:r>
      <w:r w:rsidR="00B60B2A">
        <w:rPr>
          <w:rFonts w:ascii="Arial" w:hAnsi="Arial" w:cs="Arial"/>
          <w:sz w:val="20"/>
          <w:szCs w:val="20"/>
        </w:rPr>
        <w:t xml:space="preserve"> </w:t>
      </w:r>
      <w:r w:rsidR="005D47A3">
        <w:rPr>
          <w:rFonts w:ascii="Arial" w:hAnsi="Arial" w:cs="Arial"/>
          <w:sz w:val="20"/>
          <w:szCs w:val="20"/>
        </w:rPr>
        <w:t xml:space="preserve"> </w:t>
      </w:r>
    </w:p>
    <w:p w14:paraId="64BA956D" w14:textId="77777777" w:rsidR="00470A5F" w:rsidRDefault="00470A5F" w:rsidP="009E5261">
      <w:pPr>
        <w:pStyle w:val="NoSpacing"/>
        <w:rPr>
          <w:rFonts w:ascii="Arial" w:hAnsi="Arial" w:cs="Arial"/>
          <w:sz w:val="10"/>
          <w:szCs w:val="10"/>
        </w:rPr>
      </w:pPr>
    </w:p>
    <w:p w14:paraId="1823C3C0" w14:textId="77777777" w:rsidR="00D97697" w:rsidRDefault="009E5261" w:rsidP="001024F6">
      <w:pPr>
        <w:pStyle w:val="NoSpacing"/>
        <w:rPr>
          <w:rFonts w:ascii="Arial" w:hAnsi="Arial" w:cs="Arial"/>
          <w:b/>
          <w:color w:val="595959" w:themeColor="text1" w:themeTint="A6"/>
          <w:sz w:val="24"/>
          <w:szCs w:val="24"/>
        </w:rPr>
      </w:pPr>
      <w:r w:rsidRPr="00B35CE9">
        <w:rPr>
          <w:rFonts w:ascii="Arial" w:hAnsi="Arial" w:cs="Arial"/>
          <w:sz w:val="16"/>
          <w:szCs w:val="16"/>
        </w:rPr>
        <w:t>Source</w:t>
      </w:r>
      <w:r>
        <w:rPr>
          <w:rFonts w:ascii="Arial" w:hAnsi="Arial" w:cs="Arial"/>
          <w:sz w:val="16"/>
          <w:szCs w:val="16"/>
        </w:rPr>
        <w:t>: IRI Integrated Fresh, Total U.S., MULO</w:t>
      </w:r>
    </w:p>
    <w:p w14:paraId="56F0416D" w14:textId="6D91EE8B" w:rsidR="00135BE7" w:rsidRDefault="00381BAC" w:rsidP="00381BAC">
      <w:pPr>
        <w:pStyle w:val="NoSpacing"/>
        <w:tabs>
          <w:tab w:val="left" w:pos="1256"/>
        </w:tabs>
        <w:rPr>
          <w:rFonts w:ascii="Arial" w:hAnsi="Arial" w:cs="Arial"/>
          <w:b/>
          <w:color w:val="595959" w:themeColor="text1" w:themeTint="A6"/>
          <w:sz w:val="24"/>
          <w:szCs w:val="24"/>
        </w:rPr>
      </w:pPr>
      <w:r>
        <w:rPr>
          <w:rFonts w:ascii="Arial" w:hAnsi="Arial" w:cs="Arial"/>
          <w:b/>
          <w:color w:val="595959" w:themeColor="text1" w:themeTint="A6"/>
          <w:sz w:val="24"/>
          <w:szCs w:val="24"/>
        </w:rPr>
        <w:tab/>
      </w:r>
    </w:p>
    <w:p w14:paraId="12792BFB" w14:textId="77777777" w:rsidR="00381BAC" w:rsidRDefault="00381BAC" w:rsidP="00381BAC">
      <w:pPr>
        <w:pStyle w:val="NoSpacing"/>
        <w:tabs>
          <w:tab w:val="left" w:pos="1256"/>
        </w:tabs>
        <w:rPr>
          <w:rFonts w:ascii="Arial" w:hAnsi="Arial" w:cs="Arial"/>
          <w:b/>
          <w:color w:val="595959" w:themeColor="text1" w:themeTint="A6"/>
          <w:sz w:val="24"/>
          <w:szCs w:val="24"/>
        </w:rPr>
      </w:pPr>
    </w:p>
    <w:p w14:paraId="7B04BD45" w14:textId="3CE5CCD8" w:rsidR="001024F6" w:rsidRPr="009172A3" w:rsidRDefault="004D26B3" w:rsidP="001024F6">
      <w:pPr>
        <w:pStyle w:val="NoSpacing"/>
        <w:rPr>
          <w:rFonts w:ascii="Arial" w:hAnsi="Arial" w:cs="Arial"/>
          <w:b/>
          <w:color w:val="595959" w:themeColor="text1" w:themeTint="A6"/>
          <w:sz w:val="24"/>
          <w:szCs w:val="24"/>
        </w:rPr>
      </w:pPr>
      <w:bookmarkStart w:id="3" w:name="_Hlk113867556"/>
      <w:r>
        <w:rPr>
          <w:rFonts w:ascii="Arial" w:hAnsi="Arial" w:cs="Arial"/>
          <w:b/>
          <w:color w:val="595959" w:themeColor="text1" w:themeTint="A6"/>
          <w:sz w:val="24"/>
          <w:szCs w:val="24"/>
        </w:rPr>
        <w:t xml:space="preserve">Perishables </w:t>
      </w:r>
      <w:r w:rsidR="001024F6">
        <w:rPr>
          <w:rFonts w:ascii="Arial" w:hAnsi="Arial" w:cs="Arial"/>
          <w:b/>
          <w:color w:val="595959" w:themeColor="text1" w:themeTint="A6"/>
          <w:sz w:val="24"/>
          <w:szCs w:val="24"/>
        </w:rPr>
        <w:t>P</w:t>
      </w:r>
      <w:r w:rsidR="001024F6" w:rsidRPr="009172A3">
        <w:rPr>
          <w:rFonts w:ascii="Arial" w:hAnsi="Arial" w:cs="Arial"/>
          <w:b/>
          <w:color w:val="595959" w:themeColor="text1" w:themeTint="A6"/>
          <w:sz w:val="24"/>
          <w:szCs w:val="24"/>
        </w:rPr>
        <w:t>erformance</w:t>
      </w:r>
    </w:p>
    <w:tbl>
      <w:tblPr>
        <w:tblStyle w:val="LightShading-Accent5"/>
        <w:tblpPr w:leftFromText="180" w:rightFromText="180" w:vertAnchor="text" w:tblpXSpec="right" w:tblpY="1"/>
        <w:tblOverlap w:val="never"/>
        <w:tblW w:w="5130" w:type="dxa"/>
        <w:jc w:val="right"/>
        <w:tblBorders>
          <w:top w:val="none" w:sz="0" w:space="0" w:color="auto"/>
          <w:bottom w:val="none" w:sz="0" w:space="0" w:color="auto"/>
        </w:tblBorders>
        <w:tblLayout w:type="fixed"/>
        <w:tblLook w:val="04A0" w:firstRow="1" w:lastRow="0" w:firstColumn="1" w:lastColumn="0" w:noHBand="0" w:noVBand="1"/>
      </w:tblPr>
      <w:tblGrid>
        <w:gridCol w:w="1710"/>
        <w:gridCol w:w="900"/>
        <w:gridCol w:w="90"/>
        <w:gridCol w:w="754"/>
        <w:gridCol w:w="321"/>
        <w:gridCol w:w="1355"/>
      </w:tblGrid>
      <w:tr w:rsidR="00381BAC" w:rsidRPr="00F515F4" w14:paraId="79FACDE0" w14:textId="77777777" w:rsidTr="00381BAC">
        <w:trPr>
          <w:cnfStyle w:val="100000000000" w:firstRow="1" w:lastRow="0" w:firstColumn="0" w:lastColumn="0" w:oddVBand="0" w:evenVBand="0" w:oddHBand="0" w:evenHBand="0" w:firstRowFirstColumn="0" w:firstRowLastColumn="0" w:lastRowFirstColumn="0" w:lastRowLastColumn="0"/>
          <w:trHeight w:val="258"/>
          <w:jc w:val="right"/>
        </w:trPr>
        <w:tc>
          <w:tcPr>
            <w:cnfStyle w:val="001000000000" w:firstRow="0" w:lastRow="0" w:firstColumn="1" w:lastColumn="0" w:oddVBand="0"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3CDD00B2" w14:textId="77777777" w:rsidR="00381BAC" w:rsidRPr="00AB1306" w:rsidRDefault="00381BAC" w:rsidP="00381BAC">
            <w:pPr>
              <w:pStyle w:val="NoSpacing"/>
              <w:rPr>
                <w:rFonts w:ascii="Arial" w:hAnsi="Arial" w:cs="Arial"/>
                <w:color w:val="FFFFFF" w:themeColor="background1"/>
                <w:sz w:val="18"/>
                <w:szCs w:val="18"/>
              </w:rPr>
            </w:pPr>
            <w:r>
              <w:rPr>
                <w:rFonts w:ascii="Arial" w:hAnsi="Arial" w:cs="Arial"/>
                <w:color w:val="FFFFFF" w:themeColor="background1"/>
                <w:sz w:val="18"/>
                <w:szCs w:val="18"/>
              </w:rPr>
              <w:t>Perimeter</w:t>
            </w:r>
          </w:p>
        </w:tc>
        <w:tc>
          <w:tcPr>
            <w:tcW w:w="1744" w:type="dxa"/>
            <w:gridSpan w:val="3"/>
            <w:tcBorders>
              <w:top w:val="none" w:sz="0" w:space="0" w:color="auto"/>
              <w:left w:val="none" w:sz="0" w:space="0" w:color="auto"/>
              <w:bottom w:val="none" w:sz="0" w:space="0" w:color="auto"/>
              <w:right w:val="none" w:sz="0" w:space="0" w:color="auto"/>
            </w:tcBorders>
            <w:shd w:val="clear" w:color="auto" w:fill="17365D" w:themeFill="text2" w:themeFillShade="BF"/>
          </w:tcPr>
          <w:p w14:paraId="057088C1" w14:textId="77777777" w:rsidR="00381BAC" w:rsidRPr="00AB1306" w:rsidRDefault="00381BAC" w:rsidP="00381BA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January 2023</w:t>
            </w:r>
          </w:p>
        </w:tc>
        <w:tc>
          <w:tcPr>
            <w:tcW w:w="1676"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493B10A8" w14:textId="77777777" w:rsidR="00381BAC" w:rsidRPr="00F515F4" w:rsidRDefault="00381BAC" w:rsidP="00381BAC">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r>
      <w:tr w:rsidR="00381BAC" w:rsidRPr="002A3B9B" w14:paraId="419BE916" w14:textId="77777777" w:rsidTr="00381BAC">
        <w:trPr>
          <w:cnfStyle w:val="000000100000" w:firstRow="0" w:lastRow="0" w:firstColumn="0" w:lastColumn="0" w:oddVBand="0" w:evenVBand="0" w:oddHBand="1" w:evenHBand="0" w:firstRowFirstColumn="0" w:firstRowLastColumn="0" w:lastRowFirstColumn="0" w:lastRowLastColumn="0"/>
          <w:trHeight w:val="239"/>
          <w:jc w:val="right"/>
        </w:trPr>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right w:val="none" w:sz="0" w:space="0" w:color="auto"/>
            </w:tcBorders>
            <w:shd w:val="clear" w:color="auto" w:fill="17365D" w:themeFill="text2" w:themeFillShade="BF"/>
          </w:tcPr>
          <w:p w14:paraId="25B90A34" w14:textId="77777777" w:rsidR="00381BAC" w:rsidRPr="002A3B9B" w:rsidRDefault="00381BAC" w:rsidP="00381BAC">
            <w:pPr>
              <w:pStyle w:val="NoSpacing"/>
              <w:rPr>
                <w:rFonts w:ascii="Arial" w:hAnsi="Arial" w:cs="Arial"/>
                <w:color w:val="FFFFFF" w:themeColor="background1"/>
                <w:sz w:val="18"/>
                <w:szCs w:val="18"/>
              </w:rPr>
            </w:pPr>
            <w:r>
              <w:rPr>
                <w:rFonts w:ascii="Arial" w:hAnsi="Arial" w:cs="Arial"/>
                <w:color w:val="FFFFFF" w:themeColor="background1"/>
                <w:sz w:val="18"/>
                <w:szCs w:val="18"/>
              </w:rPr>
              <w:t>departments</w:t>
            </w:r>
          </w:p>
        </w:tc>
        <w:tc>
          <w:tcPr>
            <w:tcW w:w="900" w:type="dxa"/>
            <w:tcBorders>
              <w:left w:val="none" w:sz="0" w:space="0" w:color="auto"/>
              <w:right w:val="none" w:sz="0" w:space="0" w:color="auto"/>
            </w:tcBorders>
            <w:shd w:val="clear" w:color="auto" w:fill="17365D" w:themeFill="text2" w:themeFillShade="BF"/>
          </w:tcPr>
          <w:p w14:paraId="46C9423C"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sales</w:t>
            </w:r>
          </w:p>
        </w:tc>
        <w:tc>
          <w:tcPr>
            <w:tcW w:w="1165" w:type="dxa"/>
            <w:gridSpan w:val="3"/>
            <w:tcBorders>
              <w:left w:val="none" w:sz="0" w:space="0" w:color="auto"/>
              <w:right w:val="none" w:sz="0" w:space="0" w:color="auto"/>
            </w:tcBorders>
            <w:shd w:val="clear" w:color="auto" w:fill="17365D" w:themeFill="text2" w:themeFillShade="BF"/>
          </w:tcPr>
          <w:p w14:paraId="31FECD5E" w14:textId="77777777" w:rsidR="00381BAC" w:rsidRPr="002A3B9B"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2A3B9B">
              <w:rPr>
                <w:rFonts w:ascii="Arial" w:hAnsi="Arial" w:cs="Arial"/>
                <w:b/>
                <w:bCs/>
                <w:color w:val="FFFFFF" w:themeColor="background1"/>
                <w:sz w:val="18"/>
                <w:szCs w:val="18"/>
              </w:rPr>
              <w:t>$</w:t>
            </w:r>
            <w:r>
              <w:rPr>
                <w:rFonts w:ascii="Arial" w:hAnsi="Arial" w:cs="Arial"/>
                <w:b/>
                <w:bCs/>
                <w:color w:val="FFFFFF" w:themeColor="background1"/>
                <w:sz w:val="18"/>
                <w:szCs w:val="18"/>
              </w:rPr>
              <w:t xml:space="preserve"> vs. YA</w:t>
            </w:r>
          </w:p>
        </w:tc>
        <w:tc>
          <w:tcPr>
            <w:tcW w:w="1355" w:type="dxa"/>
            <w:tcBorders>
              <w:left w:val="none" w:sz="0" w:space="0" w:color="auto"/>
              <w:right w:val="none" w:sz="0" w:space="0" w:color="auto"/>
            </w:tcBorders>
            <w:shd w:val="clear" w:color="auto" w:fill="17365D" w:themeFill="text2" w:themeFillShade="BF"/>
          </w:tcPr>
          <w:p w14:paraId="17195343" w14:textId="77777777" w:rsidR="00381BAC" w:rsidRPr="002A3B9B" w:rsidRDefault="00381BAC" w:rsidP="00381BAC">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Pr>
                <w:rFonts w:ascii="Arial" w:hAnsi="Arial" w:cs="Arial"/>
                <w:b/>
                <w:bCs/>
                <w:color w:val="FFFFFF" w:themeColor="background1"/>
                <w:sz w:val="18"/>
                <w:szCs w:val="18"/>
              </w:rPr>
              <w:t xml:space="preserve">Units </w:t>
            </w:r>
            <w:r w:rsidRPr="002A3B9B">
              <w:rPr>
                <w:rFonts w:ascii="Arial" w:hAnsi="Arial" w:cs="Arial"/>
                <w:b/>
                <w:bCs/>
                <w:color w:val="FFFFFF" w:themeColor="background1"/>
                <w:sz w:val="18"/>
                <w:szCs w:val="18"/>
              </w:rPr>
              <w:t>vs. YA</w:t>
            </w:r>
          </w:p>
        </w:tc>
      </w:tr>
      <w:tr w:rsidR="00381BAC" w:rsidRPr="00952209" w14:paraId="4C8B2C29" w14:textId="77777777" w:rsidTr="00381BAC">
        <w:trPr>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1549D03B" w14:textId="77777777" w:rsidR="00381BAC" w:rsidRPr="00952209" w:rsidRDefault="00381BAC" w:rsidP="00381BAC">
            <w:pPr>
              <w:pStyle w:val="NoSpacing"/>
              <w:jc w:val="right"/>
              <w:rPr>
                <w:rFonts w:ascii="Arial" w:hAnsi="Arial" w:cs="Arial"/>
                <w:b w:val="0"/>
                <w:bCs w:val="0"/>
                <w:sz w:val="18"/>
                <w:szCs w:val="18"/>
              </w:rPr>
            </w:pPr>
            <w:r w:rsidRPr="00952209">
              <w:rPr>
                <w:rFonts w:ascii="Arial" w:eastAsia="Times New Roman" w:hAnsi="Arial" w:cs="Arial"/>
                <w:b w:val="0"/>
                <w:bCs w:val="0"/>
                <w:sz w:val="18"/>
                <w:szCs w:val="18"/>
              </w:rPr>
              <w:t>Meat</w:t>
            </w:r>
          </w:p>
        </w:tc>
        <w:tc>
          <w:tcPr>
            <w:tcW w:w="990" w:type="dxa"/>
            <w:gridSpan w:val="2"/>
            <w:vAlign w:val="center"/>
          </w:tcPr>
          <w:p w14:paraId="4BC615BD" w14:textId="7200189A" w:rsidR="00381BAC" w:rsidRPr="00952209"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sidR="0017777F">
              <w:rPr>
                <w:rFonts w:ascii="Arial" w:hAnsi="Arial" w:cs="Arial"/>
                <w:sz w:val="18"/>
                <w:szCs w:val="18"/>
              </w:rPr>
              <w:t>6.5</w:t>
            </w:r>
            <w:r w:rsidRPr="00952209">
              <w:rPr>
                <w:rFonts w:ascii="Arial" w:hAnsi="Arial" w:cs="Arial"/>
                <w:sz w:val="18"/>
                <w:szCs w:val="18"/>
              </w:rPr>
              <w:t>B</w:t>
            </w:r>
          </w:p>
        </w:tc>
        <w:tc>
          <w:tcPr>
            <w:tcW w:w="1075" w:type="dxa"/>
            <w:gridSpan w:val="2"/>
            <w:vAlign w:val="center"/>
          </w:tcPr>
          <w:p w14:paraId="093CD73E" w14:textId="4192E93F" w:rsidR="00381BAC" w:rsidRPr="00952209" w:rsidRDefault="0017777F"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00381BAC" w:rsidRPr="00952209">
              <w:rPr>
                <w:rFonts w:ascii="Arial" w:hAnsi="Arial" w:cs="Arial"/>
                <w:sz w:val="18"/>
                <w:szCs w:val="18"/>
              </w:rPr>
              <w:t>%</w:t>
            </w:r>
          </w:p>
        </w:tc>
        <w:tc>
          <w:tcPr>
            <w:tcW w:w="1355" w:type="dxa"/>
            <w:vAlign w:val="center"/>
          </w:tcPr>
          <w:p w14:paraId="7E1A285B" w14:textId="530E1ABE" w:rsidR="00381BAC" w:rsidRPr="00952209" w:rsidRDefault="0017777F"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-4.8</w:t>
            </w:r>
            <w:r w:rsidR="00381BAC" w:rsidRPr="00952209">
              <w:rPr>
                <w:rFonts w:ascii="Arial" w:hAnsi="Arial" w:cs="Arial"/>
                <w:sz w:val="18"/>
                <w:szCs w:val="18"/>
              </w:rPr>
              <w:t>%</w:t>
            </w:r>
          </w:p>
        </w:tc>
      </w:tr>
      <w:tr w:rsidR="00381BAC" w:rsidRPr="00952209" w14:paraId="43F11039" w14:textId="77777777" w:rsidTr="00381BAC">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right w:val="none" w:sz="0" w:space="0" w:color="auto"/>
            </w:tcBorders>
            <w:vAlign w:val="center"/>
          </w:tcPr>
          <w:p w14:paraId="1229F98A" w14:textId="77777777" w:rsidR="00381BAC" w:rsidRPr="00952209" w:rsidRDefault="00381BAC" w:rsidP="00381BAC">
            <w:pPr>
              <w:pStyle w:val="NoSpacing"/>
              <w:jc w:val="right"/>
              <w:rPr>
                <w:rFonts w:ascii="Arial" w:hAnsi="Arial" w:cs="Arial"/>
                <w:b w:val="0"/>
                <w:bCs w:val="0"/>
                <w:sz w:val="18"/>
                <w:szCs w:val="18"/>
              </w:rPr>
            </w:pPr>
            <w:r w:rsidRPr="00952209">
              <w:rPr>
                <w:rFonts w:ascii="Arial" w:eastAsia="Times New Roman" w:hAnsi="Arial" w:cs="Arial"/>
                <w:b w:val="0"/>
                <w:bCs w:val="0"/>
                <w:sz w:val="18"/>
                <w:szCs w:val="18"/>
              </w:rPr>
              <w:t>Refrigerated (mostly dairy)</w:t>
            </w:r>
          </w:p>
        </w:tc>
        <w:tc>
          <w:tcPr>
            <w:tcW w:w="990" w:type="dxa"/>
            <w:gridSpan w:val="2"/>
            <w:tcBorders>
              <w:left w:val="none" w:sz="0" w:space="0" w:color="auto"/>
              <w:right w:val="none" w:sz="0" w:space="0" w:color="auto"/>
            </w:tcBorders>
            <w:vAlign w:val="center"/>
          </w:tcPr>
          <w:p w14:paraId="6F56D209" w14:textId="02798F8D" w:rsidR="00381BAC" w:rsidRPr="00952209"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sidR="0017777F">
              <w:rPr>
                <w:rFonts w:ascii="Arial" w:hAnsi="Arial" w:cs="Arial"/>
                <w:sz w:val="18"/>
                <w:szCs w:val="18"/>
              </w:rPr>
              <w:t>7.0</w:t>
            </w:r>
            <w:r w:rsidRPr="00952209">
              <w:rPr>
                <w:rFonts w:ascii="Arial" w:hAnsi="Arial" w:cs="Arial"/>
                <w:sz w:val="18"/>
                <w:szCs w:val="18"/>
              </w:rPr>
              <w:t>B</w:t>
            </w:r>
          </w:p>
        </w:tc>
        <w:tc>
          <w:tcPr>
            <w:tcW w:w="1075" w:type="dxa"/>
            <w:gridSpan w:val="2"/>
            <w:tcBorders>
              <w:left w:val="none" w:sz="0" w:space="0" w:color="auto"/>
              <w:right w:val="none" w:sz="0" w:space="0" w:color="auto"/>
            </w:tcBorders>
            <w:vAlign w:val="center"/>
          </w:tcPr>
          <w:p w14:paraId="70C4983B" w14:textId="778C683D" w:rsidR="00381BAC" w:rsidRPr="00952209"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sidR="0017777F">
              <w:rPr>
                <w:rFonts w:ascii="Arial" w:hAnsi="Arial" w:cs="Arial"/>
                <w:sz w:val="18"/>
                <w:szCs w:val="18"/>
              </w:rPr>
              <w:t>15.9</w:t>
            </w:r>
            <w:r w:rsidRPr="00952209">
              <w:rPr>
                <w:rFonts w:ascii="Arial" w:hAnsi="Arial" w:cs="Arial"/>
                <w:sz w:val="18"/>
                <w:szCs w:val="18"/>
              </w:rPr>
              <w:t>%</w:t>
            </w:r>
          </w:p>
        </w:tc>
        <w:tc>
          <w:tcPr>
            <w:tcW w:w="1355" w:type="dxa"/>
            <w:tcBorders>
              <w:left w:val="none" w:sz="0" w:space="0" w:color="auto"/>
              <w:right w:val="none" w:sz="0" w:space="0" w:color="auto"/>
            </w:tcBorders>
            <w:vAlign w:val="center"/>
          </w:tcPr>
          <w:p w14:paraId="4110FE1A" w14:textId="27861AC0" w:rsidR="00381BAC" w:rsidRPr="00952209" w:rsidRDefault="0017777F"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-6.8</w:t>
            </w:r>
            <w:r w:rsidR="00381BAC" w:rsidRPr="00952209">
              <w:rPr>
                <w:rFonts w:ascii="Arial" w:hAnsi="Arial" w:cs="Arial"/>
                <w:sz w:val="18"/>
                <w:szCs w:val="18"/>
              </w:rPr>
              <w:t>%</w:t>
            </w:r>
          </w:p>
        </w:tc>
      </w:tr>
      <w:tr w:rsidR="00381BAC" w:rsidRPr="00952209" w14:paraId="2E4F9DEE" w14:textId="77777777" w:rsidTr="00381BAC">
        <w:trPr>
          <w:trHeight w:val="257"/>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12084050" w14:textId="77777777" w:rsidR="00381BAC" w:rsidRPr="00952209" w:rsidRDefault="00381BAC" w:rsidP="00381BAC">
            <w:pPr>
              <w:pStyle w:val="NoSpacing"/>
              <w:jc w:val="right"/>
              <w:rPr>
                <w:rFonts w:ascii="Arial" w:hAnsi="Arial" w:cs="Arial"/>
                <w:b w:val="0"/>
                <w:bCs w:val="0"/>
                <w:sz w:val="18"/>
                <w:szCs w:val="18"/>
              </w:rPr>
            </w:pPr>
            <w:r w:rsidRPr="00952209">
              <w:rPr>
                <w:rFonts w:ascii="Arial" w:eastAsia="Times New Roman" w:hAnsi="Arial" w:cs="Arial"/>
                <w:b w:val="0"/>
                <w:bCs w:val="0"/>
                <w:sz w:val="18"/>
                <w:szCs w:val="18"/>
              </w:rPr>
              <w:t>Produce</w:t>
            </w:r>
          </w:p>
        </w:tc>
        <w:tc>
          <w:tcPr>
            <w:tcW w:w="990" w:type="dxa"/>
            <w:gridSpan w:val="2"/>
            <w:vAlign w:val="center"/>
          </w:tcPr>
          <w:p w14:paraId="6197FC3A" w14:textId="3C0F3B94" w:rsidR="00381BAC" w:rsidRPr="00952209"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sidR="0017777F">
              <w:rPr>
                <w:rFonts w:ascii="Arial" w:hAnsi="Arial" w:cs="Arial"/>
                <w:sz w:val="18"/>
                <w:szCs w:val="18"/>
              </w:rPr>
              <w:t>5.7</w:t>
            </w:r>
            <w:r w:rsidRPr="00952209">
              <w:rPr>
                <w:rFonts w:ascii="Arial" w:hAnsi="Arial" w:cs="Arial"/>
                <w:sz w:val="18"/>
                <w:szCs w:val="18"/>
              </w:rPr>
              <w:t>B</w:t>
            </w:r>
          </w:p>
        </w:tc>
        <w:tc>
          <w:tcPr>
            <w:tcW w:w="1075" w:type="dxa"/>
            <w:gridSpan w:val="2"/>
            <w:vAlign w:val="center"/>
          </w:tcPr>
          <w:p w14:paraId="1EB41BA2" w14:textId="11814B4F" w:rsidR="00381BAC" w:rsidRPr="00952209"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sidR="0017777F">
              <w:rPr>
                <w:rFonts w:ascii="Arial" w:hAnsi="Arial" w:cs="Arial"/>
                <w:sz w:val="18"/>
                <w:szCs w:val="18"/>
              </w:rPr>
              <w:t>1.3</w:t>
            </w:r>
            <w:r w:rsidRPr="00952209">
              <w:rPr>
                <w:rFonts w:ascii="Arial" w:hAnsi="Arial" w:cs="Arial"/>
                <w:sz w:val="18"/>
                <w:szCs w:val="18"/>
              </w:rPr>
              <w:t>%</w:t>
            </w:r>
          </w:p>
        </w:tc>
        <w:tc>
          <w:tcPr>
            <w:tcW w:w="1355" w:type="dxa"/>
            <w:vAlign w:val="center"/>
          </w:tcPr>
          <w:p w14:paraId="7E94D22A" w14:textId="0D919EF8" w:rsidR="00381BAC" w:rsidRPr="00952209" w:rsidRDefault="0017777F"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-3.2</w:t>
            </w:r>
            <w:r w:rsidR="00381BAC" w:rsidRPr="00952209">
              <w:rPr>
                <w:rFonts w:ascii="Arial" w:hAnsi="Arial" w:cs="Arial"/>
                <w:sz w:val="18"/>
                <w:szCs w:val="18"/>
              </w:rPr>
              <w:t>%</w:t>
            </w:r>
          </w:p>
        </w:tc>
      </w:tr>
      <w:tr w:rsidR="00381BAC" w:rsidRPr="00952209" w14:paraId="3026638C" w14:textId="77777777" w:rsidTr="00381BAC">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right w:val="none" w:sz="0" w:space="0" w:color="auto"/>
            </w:tcBorders>
            <w:vAlign w:val="center"/>
          </w:tcPr>
          <w:p w14:paraId="3F6A72ED" w14:textId="77777777" w:rsidR="00381BAC" w:rsidRPr="00952209" w:rsidRDefault="00381BAC" w:rsidP="00381BAC">
            <w:pPr>
              <w:pStyle w:val="NoSpacing"/>
              <w:jc w:val="right"/>
              <w:rPr>
                <w:rFonts w:ascii="Arial" w:hAnsi="Arial" w:cs="Arial"/>
                <w:b w:val="0"/>
                <w:bCs w:val="0"/>
                <w:sz w:val="18"/>
                <w:szCs w:val="18"/>
              </w:rPr>
            </w:pPr>
            <w:r w:rsidRPr="00952209">
              <w:rPr>
                <w:rFonts w:ascii="Arial" w:eastAsia="Times New Roman" w:hAnsi="Arial" w:cs="Arial"/>
                <w:b w:val="0"/>
                <w:bCs w:val="0"/>
                <w:sz w:val="18"/>
                <w:szCs w:val="18"/>
              </w:rPr>
              <w:t>Deli</w:t>
            </w:r>
          </w:p>
        </w:tc>
        <w:tc>
          <w:tcPr>
            <w:tcW w:w="990" w:type="dxa"/>
            <w:gridSpan w:val="2"/>
            <w:tcBorders>
              <w:left w:val="none" w:sz="0" w:space="0" w:color="auto"/>
              <w:right w:val="none" w:sz="0" w:space="0" w:color="auto"/>
            </w:tcBorders>
            <w:vAlign w:val="center"/>
          </w:tcPr>
          <w:p w14:paraId="71C7C22A" w14:textId="504C1FDD" w:rsidR="00381BAC" w:rsidRPr="00952209"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sidR="0017777F">
              <w:rPr>
                <w:rFonts w:ascii="Arial" w:hAnsi="Arial" w:cs="Arial"/>
                <w:sz w:val="18"/>
                <w:szCs w:val="18"/>
              </w:rPr>
              <w:t>3.4</w:t>
            </w:r>
            <w:r w:rsidRPr="00952209">
              <w:rPr>
                <w:rFonts w:ascii="Arial" w:hAnsi="Arial" w:cs="Arial"/>
                <w:sz w:val="18"/>
                <w:szCs w:val="18"/>
              </w:rPr>
              <w:t>B</w:t>
            </w:r>
          </w:p>
        </w:tc>
        <w:tc>
          <w:tcPr>
            <w:tcW w:w="1075" w:type="dxa"/>
            <w:gridSpan w:val="2"/>
            <w:tcBorders>
              <w:left w:val="none" w:sz="0" w:space="0" w:color="auto"/>
              <w:right w:val="none" w:sz="0" w:space="0" w:color="auto"/>
            </w:tcBorders>
            <w:vAlign w:val="center"/>
          </w:tcPr>
          <w:p w14:paraId="1770BDD2" w14:textId="327EECC1" w:rsidR="00381BAC" w:rsidRPr="00952209"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sidR="0017777F">
              <w:rPr>
                <w:rFonts w:ascii="Arial" w:hAnsi="Arial" w:cs="Arial"/>
                <w:sz w:val="18"/>
                <w:szCs w:val="18"/>
              </w:rPr>
              <w:t>5.8</w:t>
            </w:r>
            <w:r w:rsidRPr="00952209">
              <w:rPr>
                <w:rFonts w:ascii="Arial" w:hAnsi="Arial" w:cs="Arial"/>
                <w:sz w:val="18"/>
                <w:szCs w:val="18"/>
              </w:rPr>
              <w:t>%</w:t>
            </w:r>
          </w:p>
        </w:tc>
        <w:tc>
          <w:tcPr>
            <w:tcW w:w="1355" w:type="dxa"/>
            <w:tcBorders>
              <w:left w:val="none" w:sz="0" w:space="0" w:color="auto"/>
              <w:right w:val="none" w:sz="0" w:space="0" w:color="auto"/>
            </w:tcBorders>
            <w:vAlign w:val="center"/>
          </w:tcPr>
          <w:p w14:paraId="5B2EDECE" w14:textId="4C2A8E6B" w:rsidR="00381BAC" w:rsidRPr="00952209" w:rsidRDefault="0017777F"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-3.8</w:t>
            </w:r>
            <w:r w:rsidR="00381BAC" w:rsidRPr="00952209">
              <w:rPr>
                <w:rFonts w:ascii="Arial" w:hAnsi="Arial" w:cs="Arial"/>
                <w:sz w:val="18"/>
                <w:szCs w:val="18"/>
              </w:rPr>
              <w:t>%</w:t>
            </w:r>
          </w:p>
        </w:tc>
      </w:tr>
      <w:tr w:rsidR="00381BAC" w:rsidRPr="00952209" w14:paraId="46F883F4" w14:textId="77777777" w:rsidTr="00381BAC">
        <w:trPr>
          <w:trHeight w:val="303"/>
          <w:jc w:val="right"/>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4BC5BC1D" w14:textId="77777777" w:rsidR="00381BAC" w:rsidRPr="00952209" w:rsidRDefault="00381BAC" w:rsidP="00381BAC">
            <w:pPr>
              <w:pStyle w:val="NoSpacing"/>
              <w:jc w:val="right"/>
              <w:rPr>
                <w:rFonts w:ascii="Arial" w:hAnsi="Arial" w:cs="Arial"/>
                <w:b w:val="0"/>
                <w:bCs w:val="0"/>
                <w:sz w:val="18"/>
                <w:szCs w:val="18"/>
              </w:rPr>
            </w:pPr>
            <w:r w:rsidRPr="00952209">
              <w:rPr>
                <w:rFonts w:ascii="Arial" w:eastAsia="Times New Roman" w:hAnsi="Arial" w:cs="Arial"/>
                <w:b w:val="0"/>
                <w:bCs w:val="0"/>
                <w:sz w:val="18"/>
                <w:szCs w:val="18"/>
              </w:rPr>
              <w:t>Bakery</w:t>
            </w:r>
          </w:p>
        </w:tc>
        <w:tc>
          <w:tcPr>
            <w:tcW w:w="990" w:type="dxa"/>
            <w:gridSpan w:val="2"/>
            <w:vAlign w:val="center"/>
          </w:tcPr>
          <w:p w14:paraId="7BCE7E98" w14:textId="0F4B53F3" w:rsidR="00381BAC" w:rsidRPr="00952209"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sidR="0017777F">
              <w:rPr>
                <w:rFonts w:ascii="Arial" w:hAnsi="Arial" w:cs="Arial"/>
                <w:sz w:val="18"/>
                <w:szCs w:val="18"/>
              </w:rPr>
              <w:t>3.1</w:t>
            </w:r>
            <w:r w:rsidRPr="00952209">
              <w:rPr>
                <w:rFonts w:ascii="Arial" w:hAnsi="Arial" w:cs="Arial"/>
                <w:sz w:val="18"/>
                <w:szCs w:val="18"/>
              </w:rPr>
              <w:t>B</w:t>
            </w:r>
          </w:p>
        </w:tc>
        <w:tc>
          <w:tcPr>
            <w:tcW w:w="1075" w:type="dxa"/>
            <w:gridSpan w:val="2"/>
            <w:vAlign w:val="center"/>
          </w:tcPr>
          <w:p w14:paraId="3BDB9A29" w14:textId="0E14468B" w:rsidR="00381BAC" w:rsidRPr="00952209" w:rsidRDefault="00381BAC"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sidR="0017777F">
              <w:rPr>
                <w:rFonts w:ascii="Arial" w:hAnsi="Arial" w:cs="Arial"/>
                <w:sz w:val="18"/>
                <w:szCs w:val="18"/>
              </w:rPr>
              <w:t>9.1</w:t>
            </w:r>
            <w:r w:rsidRPr="00952209">
              <w:rPr>
                <w:rFonts w:ascii="Arial" w:hAnsi="Arial" w:cs="Arial"/>
                <w:sz w:val="18"/>
                <w:szCs w:val="18"/>
              </w:rPr>
              <w:t>%</w:t>
            </w:r>
          </w:p>
        </w:tc>
        <w:tc>
          <w:tcPr>
            <w:tcW w:w="1355" w:type="dxa"/>
            <w:vAlign w:val="center"/>
          </w:tcPr>
          <w:p w14:paraId="72B5E3FE" w14:textId="6E613DC7" w:rsidR="00381BAC" w:rsidRPr="00952209" w:rsidRDefault="0017777F" w:rsidP="00381BA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-5.7</w:t>
            </w:r>
            <w:r w:rsidR="00381BAC" w:rsidRPr="00952209">
              <w:rPr>
                <w:rFonts w:ascii="Arial" w:hAnsi="Arial" w:cs="Arial"/>
                <w:sz w:val="18"/>
                <w:szCs w:val="18"/>
              </w:rPr>
              <w:t>%</w:t>
            </w:r>
          </w:p>
        </w:tc>
      </w:tr>
      <w:tr w:rsidR="00381BAC" w:rsidRPr="00952209" w14:paraId="5914B059" w14:textId="77777777" w:rsidTr="00381BAC">
        <w:trPr>
          <w:cnfStyle w:val="000000100000" w:firstRow="0" w:lastRow="0" w:firstColumn="0" w:lastColumn="0" w:oddVBand="0" w:evenVBand="0" w:oddHBand="1" w:evenHBand="0" w:firstRowFirstColumn="0" w:firstRowLastColumn="0" w:lastRowFirstColumn="0" w:lastRowLastColumn="0"/>
          <w:trHeight w:val="257"/>
          <w:jc w:val="right"/>
        </w:trPr>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right w:val="none" w:sz="0" w:space="0" w:color="auto"/>
            </w:tcBorders>
            <w:vAlign w:val="center"/>
          </w:tcPr>
          <w:p w14:paraId="46EB0B12" w14:textId="77777777" w:rsidR="00381BAC" w:rsidRPr="00952209" w:rsidRDefault="00381BAC" w:rsidP="00381BAC">
            <w:pPr>
              <w:pStyle w:val="NoSpacing"/>
              <w:jc w:val="right"/>
              <w:rPr>
                <w:rFonts w:ascii="Arial" w:hAnsi="Arial" w:cs="Arial"/>
                <w:b w:val="0"/>
                <w:bCs w:val="0"/>
                <w:sz w:val="18"/>
                <w:szCs w:val="18"/>
              </w:rPr>
            </w:pPr>
            <w:r w:rsidRPr="00952209">
              <w:rPr>
                <w:rFonts w:ascii="Arial" w:eastAsia="Times New Roman" w:hAnsi="Arial" w:cs="Arial"/>
                <w:b w:val="0"/>
                <w:bCs w:val="0"/>
                <w:sz w:val="18"/>
                <w:szCs w:val="18"/>
              </w:rPr>
              <w:t>Seafood</w:t>
            </w:r>
          </w:p>
        </w:tc>
        <w:tc>
          <w:tcPr>
            <w:tcW w:w="990" w:type="dxa"/>
            <w:gridSpan w:val="2"/>
            <w:tcBorders>
              <w:left w:val="none" w:sz="0" w:space="0" w:color="auto"/>
              <w:right w:val="none" w:sz="0" w:space="0" w:color="auto"/>
            </w:tcBorders>
            <w:vAlign w:val="center"/>
          </w:tcPr>
          <w:p w14:paraId="42148CCD" w14:textId="03E4F9A5" w:rsidR="00381BAC" w:rsidRPr="00952209" w:rsidRDefault="00381BAC"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2209">
              <w:rPr>
                <w:rFonts w:ascii="Arial" w:hAnsi="Arial" w:cs="Arial"/>
                <w:sz w:val="18"/>
                <w:szCs w:val="18"/>
              </w:rPr>
              <w:t>$</w:t>
            </w:r>
            <w:r w:rsidR="0017777F">
              <w:rPr>
                <w:rFonts w:ascii="Arial" w:hAnsi="Arial" w:cs="Arial"/>
                <w:sz w:val="18"/>
                <w:szCs w:val="18"/>
              </w:rPr>
              <w:t>484M</w:t>
            </w:r>
          </w:p>
        </w:tc>
        <w:tc>
          <w:tcPr>
            <w:tcW w:w="1075" w:type="dxa"/>
            <w:gridSpan w:val="2"/>
            <w:tcBorders>
              <w:left w:val="none" w:sz="0" w:space="0" w:color="auto"/>
              <w:right w:val="none" w:sz="0" w:space="0" w:color="auto"/>
            </w:tcBorders>
            <w:vAlign w:val="center"/>
          </w:tcPr>
          <w:p w14:paraId="296A7774" w14:textId="5033542F" w:rsidR="00381BAC" w:rsidRPr="00952209" w:rsidRDefault="0017777F"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w:t>
            </w:r>
            <w:r w:rsidR="00381BAC" w:rsidRPr="00952209">
              <w:rPr>
                <w:rFonts w:ascii="Arial" w:hAnsi="Arial" w:cs="Arial"/>
                <w:sz w:val="18"/>
                <w:szCs w:val="18"/>
              </w:rPr>
              <w:t>%</w:t>
            </w:r>
          </w:p>
        </w:tc>
        <w:tc>
          <w:tcPr>
            <w:tcW w:w="1355" w:type="dxa"/>
            <w:tcBorders>
              <w:left w:val="none" w:sz="0" w:space="0" w:color="auto"/>
              <w:right w:val="none" w:sz="0" w:space="0" w:color="auto"/>
            </w:tcBorders>
            <w:vAlign w:val="center"/>
          </w:tcPr>
          <w:p w14:paraId="747574F4" w14:textId="051B1044" w:rsidR="00381BAC" w:rsidRPr="00952209" w:rsidRDefault="0017777F" w:rsidP="00381BA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-4.9</w:t>
            </w:r>
            <w:r w:rsidR="00381BAC" w:rsidRPr="00952209">
              <w:rPr>
                <w:rFonts w:ascii="Arial" w:hAnsi="Arial" w:cs="Arial"/>
                <w:sz w:val="18"/>
                <w:szCs w:val="18"/>
              </w:rPr>
              <w:t>%</w:t>
            </w:r>
          </w:p>
        </w:tc>
      </w:tr>
    </w:tbl>
    <w:p w14:paraId="4C083BE9" w14:textId="37C8A440" w:rsidR="00843888" w:rsidRDefault="00217491" w:rsidP="001024F6">
      <w:pPr>
        <w:pStyle w:val="NoSpacing"/>
        <w:rPr>
          <w:rFonts w:ascii="Arial" w:hAnsi="Arial" w:cs="Arial"/>
          <w:sz w:val="20"/>
          <w:szCs w:val="20"/>
        </w:rPr>
      </w:pPr>
      <w:r>
        <w:rPr>
          <w:rFonts w:ascii="Arial" w:hAnsi="Arial" w:cs="Arial"/>
          <w:sz w:val="20"/>
          <w:szCs w:val="20"/>
        </w:rPr>
        <w:t xml:space="preserve">With heavy inflation in eggs and other dairy items, the total refrigerated department generated a </w:t>
      </w:r>
      <w:r w:rsidR="00296B4A">
        <w:rPr>
          <w:rFonts w:ascii="Arial" w:hAnsi="Arial" w:cs="Arial"/>
          <w:sz w:val="20"/>
          <w:szCs w:val="20"/>
        </w:rPr>
        <w:t>+</w:t>
      </w:r>
      <w:r w:rsidR="0017777F">
        <w:rPr>
          <w:rFonts w:ascii="Arial" w:hAnsi="Arial" w:cs="Arial"/>
          <w:sz w:val="20"/>
          <w:szCs w:val="20"/>
        </w:rPr>
        <w:t>15.9</w:t>
      </w:r>
      <w:r>
        <w:rPr>
          <w:rFonts w:ascii="Arial" w:hAnsi="Arial" w:cs="Arial"/>
          <w:sz w:val="20"/>
          <w:szCs w:val="20"/>
        </w:rPr>
        <w:t>%</w:t>
      </w:r>
      <w:r w:rsidR="00F26464">
        <w:rPr>
          <w:rFonts w:ascii="Arial" w:hAnsi="Arial" w:cs="Arial"/>
          <w:sz w:val="20"/>
          <w:szCs w:val="20"/>
        </w:rPr>
        <w:t xml:space="preserve"> increase in sales to reach $</w:t>
      </w:r>
      <w:r w:rsidR="0017777F">
        <w:rPr>
          <w:rFonts w:ascii="Arial" w:hAnsi="Arial" w:cs="Arial"/>
          <w:sz w:val="20"/>
          <w:szCs w:val="20"/>
        </w:rPr>
        <w:t>7.0</w:t>
      </w:r>
      <w:r>
        <w:rPr>
          <w:rFonts w:ascii="Arial" w:hAnsi="Arial" w:cs="Arial"/>
          <w:sz w:val="20"/>
          <w:szCs w:val="20"/>
        </w:rPr>
        <w:t xml:space="preserve"> billion in</w:t>
      </w:r>
      <w:r w:rsidR="0017777F">
        <w:rPr>
          <w:rFonts w:ascii="Arial" w:hAnsi="Arial" w:cs="Arial"/>
          <w:sz w:val="20"/>
          <w:szCs w:val="20"/>
        </w:rPr>
        <w:t xml:space="preserve"> January</w:t>
      </w:r>
      <w:r>
        <w:rPr>
          <w:rFonts w:ascii="Arial" w:hAnsi="Arial" w:cs="Arial"/>
          <w:sz w:val="20"/>
          <w:szCs w:val="20"/>
        </w:rPr>
        <w:t xml:space="preserve">. However, unit sales were down </w:t>
      </w:r>
      <w:r w:rsidR="0017777F">
        <w:rPr>
          <w:rFonts w:ascii="Arial" w:hAnsi="Arial" w:cs="Arial"/>
          <w:sz w:val="20"/>
          <w:szCs w:val="20"/>
        </w:rPr>
        <w:t xml:space="preserve">more than </w:t>
      </w:r>
      <w:r>
        <w:rPr>
          <w:rFonts w:ascii="Arial" w:hAnsi="Arial" w:cs="Arial"/>
          <w:sz w:val="20"/>
          <w:szCs w:val="20"/>
        </w:rPr>
        <w:t xml:space="preserve">other departments. Fresh produce </w:t>
      </w:r>
      <w:r w:rsidR="00C65F42">
        <w:rPr>
          <w:rFonts w:ascii="Arial" w:hAnsi="Arial" w:cs="Arial"/>
          <w:sz w:val="20"/>
          <w:szCs w:val="20"/>
        </w:rPr>
        <w:t xml:space="preserve">had the </w:t>
      </w:r>
      <w:r>
        <w:rPr>
          <w:rFonts w:ascii="Arial" w:hAnsi="Arial" w:cs="Arial"/>
          <w:sz w:val="20"/>
          <w:szCs w:val="20"/>
        </w:rPr>
        <w:t>strongest unit performance</w:t>
      </w:r>
      <w:r w:rsidR="0017777F">
        <w:rPr>
          <w:rFonts w:ascii="Arial" w:hAnsi="Arial" w:cs="Arial"/>
          <w:sz w:val="20"/>
          <w:szCs w:val="20"/>
        </w:rPr>
        <w:t>, even if it was down as well</w:t>
      </w:r>
      <w:r>
        <w:rPr>
          <w:rFonts w:ascii="Arial" w:hAnsi="Arial" w:cs="Arial"/>
          <w:sz w:val="20"/>
          <w:szCs w:val="20"/>
        </w:rPr>
        <w:t>. Seafood, by far the smallest seller, continued to trend in negative territory despite price deflation.</w:t>
      </w:r>
      <w:r w:rsidR="0086350E">
        <w:rPr>
          <w:rFonts w:ascii="Arial" w:hAnsi="Arial" w:cs="Arial"/>
          <w:sz w:val="20"/>
          <w:szCs w:val="20"/>
        </w:rPr>
        <w:t xml:space="preserve"> </w:t>
      </w:r>
    </w:p>
    <w:p w14:paraId="0E4A1B27" w14:textId="4C006249" w:rsidR="001A6058" w:rsidRDefault="001A6058" w:rsidP="001024F6">
      <w:pPr>
        <w:pStyle w:val="NoSpacing"/>
        <w:rPr>
          <w:rFonts w:ascii="Arial" w:hAnsi="Arial" w:cs="Arial"/>
          <w:sz w:val="20"/>
          <w:szCs w:val="20"/>
        </w:rPr>
      </w:pPr>
    </w:p>
    <w:p w14:paraId="23AF6DF5" w14:textId="7ADDE019" w:rsidR="001024F6" w:rsidRDefault="001024F6" w:rsidP="001024F6">
      <w:pPr>
        <w:pStyle w:val="NoSpacing"/>
        <w:rPr>
          <w:rFonts w:ascii="Arial" w:hAnsi="Arial" w:cs="Arial"/>
          <w:sz w:val="16"/>
          <w:szCs w:val="16"/>
        </w:rPr>
      </w:pPr>
      <w:r w:rsidRPr="00764049">
        <w:rPr>
          <w:rFonts w:ascii="Arial" w:hAnsi="Arial" w:cs="Arial"/>
          <w:sz w:val="16"/>
          <w:szCs w:val="16"/>
        </w:rPr>
        <w:t>Source: IRI</w:t>
      </w:r>
      <w:r>
        <w:rPr>
          <w:rFonts w:ascii="Arial" w:hAnsi="Arial" w:cs="Arial"/>
          <w:sz w:val="16"/>
          <w:szCs w:val="16"/>
        </w:rPr>
        <w:t xml:space="preserve"> Integrated Fresh,</w:t>
      </w:r>
      <w:r w:rsidRPr="00764049">
        <w:rPr>
          <w:rFonts w:ascii="Arial" w:hAnsi="Arial" w:cs="Arial"/>
          <w:sz w:val="16"/>
          <w:szCs w:val="16"/>
        </w:rPr>
        <w:t xml:space="preserve"> Total U.S., MULO, </w:t>
      </w:r>
      <w:r>
        <w:rPr>
          <w:rFonts w:ascii="Arial" w:hAnsi="Arial" w:cs="Arial"/>
          <w:sz w:val="16"/>
          <w:szCs w:val="16"/>
        </w:rPr>
        <w:t>fixed and random weight items combined into department views</w:t>
      </w:r>
    </w:p>
    <w:bookmarkEnd w:id="3"/>
    <w:p w14:paraId="2CEB1F70" w14:textId="77777777" w:rsidR="00102502" w:rsidRPr="00764049" w:rsidRDefault="00102502" w:rsidP="001024F6">
      <w:pPr>
        <w:pStyle w:val="NoSpacing"/>
        <w:rPr>
          <w:rFonts w:ascii="Arial" w:hAnsi="Arial" w:cs="Arial"/>
          <w:sz w:val="16"/>
          <w:szCs w:val="16"/>
        </w:rPr>
      </w:pPr>
    </w:p>
    <w:p w14:paraId="1C1A044E" w14:textId="77777777" w:rsidR="00357E26" w:rsidRPr="00D66F5A" w:rsidRDefault="00357E26" w:rsidP="00563A06">
      <w:pPr>
        <w:pStyle w:val="NoSpacing"/>
        <w:rPr>
          <w:rFonts w:ascii="Arial" w:hAnsi="Arial" w:cs="Arial"/>
          <w:b/>
          <w:color w:val="595959" w:themeColor="text1" w:themeTint="A6"/>
          <w:sz w:val="28"/>
          <w:szCs w:val="28"/>
        </w:rPr>
      </w:pPr>
      <w:bookmarkStart w:id="4" w:name="_Hlk76989410"/>
    </w:p>
    <w:p w14:paraId="2D6DC3FE" w14:textId="77777777" w:rsidR="009D3AE5" w:rsidRPr="00706DE2" w:rsidRDefault="009D3AE5" w:rsidP="009D3AE5">
      <w:pPr>
        <w:pStyle w:val="NoSpacing"/>
        <w:rPr>
          <w:rFonts w:ascii="Arial" w:hAnsi="Arial" w:cs="Arial"/>
          <w:b/>
          <w:color w:val="595959" w:themeColor="text1" w:themeTint="A6"/>
          <w:sz w:val="24"/>
          <w:szCs w:val="24"/>
        </w:rPr>
      </w:pPr>
      <w:bookmarkStart w:id="5" w:name="_Hlk113873945"/>
      <w:bookmarkStart w:id="6" w:name="_Hlk79236872"/>
      <w:bookmarkEnd w:id="4"/>
      <w:r w:rsidRPr="00706DE2">
        <w:rPr>
          <w:rFonts w:ascii="Arial" w:hAnsi="Arial" w:cs="Arial"/>
          <w:b/>
          <w:color w:val="595959" w:themeColor="text1" w:themeTint="A6"/>
          <w:sz w:val="24"/>
          <w:szCs w:val="24"/>
        </w:rPr>
        <w:t xml:space="preserve">What’s </w:t>
      </w:r>
      <w:r>
        <w:rPr>
          <w:rFonts w:ascii="Arial" w:hAnsi="Arial" w:cs="Arial"/>
          <w:b/>
          <w:color w:val="595959" w:themeColor="text1" w:themeTint="A6"/>
          <w:sz w:val="24"/>
          <w:szCs w:val="24"/>
        </w:rPr>
        <w:t>N</w:t>
      </w:r>
      <w:r w:rsidRPr="00706DE2">
        <w:rPr>
          <w:rFonts w:ascii="Arial" w:hAnsi="Arial" w:cs="Arial"/>
          <w:b/>
          <w:color w:val="595959" w:themeColor="text1" w:themeTint="A6"/>
          <w:sz w:val="24"/>
          <w:szCs w:val="24"/>
        </w:rPr>
        <w:t xml:space="preserve">ext? </w:t>
      </w:r>
    </w:p>
    <w:p w14:paraId="595B05D7" w14:textId="16EF783B" w:rsidR="0017777F" w:rsidRDefault="0017777F" w:rsidP="0017777F">
      <w:pPr>
        <w:pStyle w:val="NoSpacing"/>
        <w:rPr>
          <w:rFonts w:ascii="Arial" w:hAnsi="Arial" w:cs="Arial"/>
          <w:color w:val="000000" w:themeColor="text1"/>
          <w:sz w:val="20"/>
          <w:szCs w:val="20"/>
        </w:rPr>
      </w:pPr>
      <w:bookmarkStart w:id="7" w:name="_Hlk121583547"/>
      <w:bookmarkStart w:id="8" w:name="_Hlk116291245"/>
      <w:bookmarkStart w:id="9" w:name="_Hlk119003634"/>
      <w:bookmarkEnd w:id="5"/>
      <w:r>
        <w:rPr>
          <w:rFonts w:ascii="Arial" w:hAnsi="Arial" w:cs="Arial"/>
          <w:color w:val="000000" w:themeColor="text1"/>
          <w:sz w:val="20"/>
          <w:szCs w:val="20"/>
        </w:rPr>
        <w:t xml:space="preserve">The first quarter of 2023 looks to be little different from 2022. Consumers remain worried about inflation and money-saving measures continue to pressure units and volume. While fresh produce is one of the better performing departments, volume has been trending behind year-ago levels since March 2021. Ingredient inputs, weather and transportation conditions remain areas of concern as prices are lapping the double-digit increases of 2022. </w:t>
      </w:r>
    </w:p>
    <w:bookmarkEnd w:id="7"/>
    <w:bookmarkEnd w:id="8"/>
    <w:p w14:paraId="4D6A5C32" w14:textId="77777777" w:rsidR="004217CA" w:rsidRDefault="004217CA" w:rsidP="004217CA">
      <w:pPr>
        <w:pStyle w:val="NoSpacing"/>
        <w:rPr>
          <w:rFonts w:ascii="Arial" w:hAnsi="Arial" w:cs="Arial"/>
          <w:color w:val="000000" w:themeColor="text1"/>
          <w:sz w:val="20"/>
          <w:szCs w:val="20"/>
        </w:rPr>
      </w:pPr>
    </w:p>
    <w:p w14:paraId="045FCF9F" w14:textId="5F8416E9" w:rsidR="004217CA" w:rsidRDefault="004217CA" w:rsidP="004217CA">
      <w:pPr>
        <w:spacing w:after="0" w:line="240" w:lineRule="auto"/>
        <w:rPr>
          <w:rFonts w:ascii="Arial" w:hAnsi="Arial" w:cs="Arial"/>
          <w:sz w:val="20"/>
          <w:szCs w:val="20"/>
        </w:rPr>
      </w:pPr>
      <w:r w:rsidRPr="00BB3A5E">
        <w:rPr>
          <w:rFonts w:ascii="Arial" w:hAnsi="Arial" w:cs="Arial"/>
          <w:sz w:val="20"/>
          <w:szCs w:val="20"/>
        </w:rPr>
        <w:lastRenderedPageBreak/>
        <w:t>The next report, covering</w:t>
      </w:r>
      <w:r w:rsidR="0017777F">
        <w:rPr>
          <w:rFonts w:ascii="Arial" w:hAnsi="Arial" w:cs="Arial"/>
          <w:sz w:val="20"/>
          <w:szCs w:val="20"/>
        </w:rPr>
        <w:t xml:space="preserve"> February, including Valentine’s Day and Super Bowl</w:t>
      </w:r>
      <w:r w:rsidRPr="00BB3A5E">
        <w:rPr>
          <w:rFonts w:ascii="Arial" w:hAnsi="Arial" w:cs="Arial"/>
          <w:sz w:val="20"/>
          <w:szCs w:val="20"/>
        </w:rPr>
        <w:t>, will be released in mid-</w:t>
      </w:r>
      <w:r w:rsidR="0017777F">
        <w:rPr>
          <w:rFonts w:ascii="Arial" w:hAnsi="Arial" w:cs="Arial"/>
          <w:sz w:val="20"/>
          <w:szCs w:val="20"/>
        </w:rPr>
        <w:t>March</w:t>
      </w:r>
      <w:r w:rsidRPr="00BB3A5E">
        <w:rPr>
          <w:rFonts w:ascii="Arial" w:hAnsi="Arial" w:cs="Arial"/>
          <w:sz w:val="20"/>
          <w:szCs w:val="20"/>
        </w:rPr>
        <w:t>. In addition to the data provided here, the IFPA also now offers InSite – an online interactive data set covering both produce and floral performance as well as a look at the 202</w:t>
      </w:r>
      <w:r w:rsidR="0017777F">
        <w:rPr>
          <w:rFonts w:ascii="Arial" w:hAnsi="Arial" w:cs="Arial"/>
          <w:sz w:val="20"/>
          <w:szCs w:val="20"/>
        </w:rPr>
        <w:t>3</w:t>
      </w:r>
      <w:r w:rsidRPr="00BB3A5E">
        <w:rPr>
          <w:rFonts w:ascii="Arial" w:hAnsi="Arial" w:cs="Arial"/>
          <w:sz w:val="20"/>
          <w:szCs w:val="20"/>
        </w:rPr>
        <w:t xml:space="preserve"> consumer sentiment surveys. Start your free trial today! See </w:t>
      </w:r>
      <w:hyperlink r:id="rId15" w:history="1">
        <w:r w:rsidRPr="00BB3A5E">
          <w:rPr>
            <w:rStyle w:val="Hyperlink"/>
            <w:rFonts w:ascii="Arial" w:hAnsi="Arial" w:cs="Arial"/>
            <w:sz w:val="20"/>
            <w:szCs w:val="20"/>
          </w:rPr>
          <w:t>www.freshproduce.com/insite</w:t>
        </w:r>
      </w:hyperlink>
      <w:r w:rsidRPr="00BB3A5E">
        <w:rPr>
          <w:rFonts w:ascii="Arial" w:hAnsi="Arial" w:cs="Arial"/>
          <w:sz w:val="20"/>
          <w:szCs w:val="20"/>
        </w:rPr>
        <w:t xml:space="preserve"> for more detail. We also encourage you to contact Joe Watson, IFPA’s VP, Retail, Foodservice and Wholesale, at </w:t>
      </w:r>
      <w:hyperlink r:id="rId16" w:history="1">
        <w:r w:rsidRPr="00BB3A5E">
          <w:rPr>
            <w:rStyle w:val="Hyperlink"/>
            <w:rFonts w:ascii="Arial" w:hAnsi="Arial" w:cs="Arial"/>
            <w:sz w:val="20"/>
            <w:szCs w:val="20"/>
          </w:rPr>
          <w:t>jwatson@freshproduce.com</w:t>
        </w:r>
      </w:hyperlink>
      <w:r w:rsidRPr="00BB3A5E">
        <w:rPr>
          <w:rFonts w:ascii="Arial" w:hAnsi="Arial" w:cs="Arial"/>
          <w:sz w:val="20"/>
          <w:szCs w:val="20"/>
        </w:rPr>
        <w:t xml:space="preserve"> with any questions or concerns. Please recognize the continued dedication of the entire grocery and produce supply chains, from farm to retailer. #produce #joyoffresh #SupermarketSuperHeroes.</w:t>
      </w:r>
    </w:p>
    <w:p w14:paraId="6F98A8FE" w14:textId="50AF48AD" w:rsidR="004217CA" w:rsidRDefault="004217CA" w:rsidP="005D53FF">
      <w:pPr>
        <w:pStyle w:val="NoSpacing"/>
        <w:rPr>
          <w:rFonts w:ascii="Arial" w:hAnsi="Arial" w:cs="Arial"/>
          <w:color w:val="000000" w:themeColor="text1"/>
          <w:sz w:val="20"/>
          <w:szCs w:val="20"/>
        </w:rPr>
      </w:pPr>
    </w:p>
    <w:p w14:paraId="6F83F341" w14:textId="5A7C6147" w:rsidR="004217CA" w:rsidRDefault="004217CA" w:rsidP="005D53FF">
      <w:pPr>
        <w:pStyle w:val="NoSpacing"/>
        <w:rPr>
          <w:rFonts w:ascii="Arial" w:hAnsi="Arial" w:cs="Arial"/>
          <w:color w:val="000000" w:themeColor="text1"/>
          <w:sz w:val="20"/>
          <w:szCs w:val="20"/>
        </w:rPr>
      </w:pPr>
    </w:p>
    <w:p w14:paraId="020238C3" w14:textId="77777777" w:rsidR="0017777F" w:rsidRDefault="0017777F" w:rsidP="0017777F">
      <w:pPr>
        <w:pStyle w:val="NoSpacing"/>
        <w:rPr>
          <w:rFonts w:ascii="Arial" w:hAnsi="Arial" w:cs="Arial"/>
          <w:b/>
          <w:sz w:val="20"/>
          <w:szCs w:val="20"/>
        </w:rPr>
      </w:pPr>
      <w:bookmarkStart w:id="10" w:name="_Hlk118920915"/>
      <w:bookmarkStart w:id="11" w:name="_Hlk124108659"/>
      <w:bookmarkEnd w:id="6"/>
      <w:bookmarkEnd w:id="9"/>
      <w:r>
        <w:rPr>
          <w:rFonts w:ascii="Arial" w:hAnsi="Arial" w:cs="Arial"/>
          <w:b/>
          <w:sz w:val="20"/>
          <w:szCs w:val="20"/>
        </w:rPr>
        <w:t xml:space="preserve">Date ranges: </w:t>
      </w:r>
    </w:p>
    <w:p w14:paraId="2A48460A" w14:textId="77777777" w:rsidR="0017777F" w:rsidRDefault="0017777F" w:rsidP="0017777F">
      <w:pPr>
        <w:pStyle w:val="NoSpacing"/>
        <w:rPr>
          <w:rFonts w:ascii="Arial" w:hAnsi="Arial" w:cs="Arial"/>
          <w:sz w:val="20"/>
          <w:szCs w:val="20"/>
        </w:rPr>
      </w:pPr>
      <w:r>
        <w:rPr>
          <w:rFonts w:ascii="Arial" w:hAnsi="Arial" w:cs="Arial"/>
          <w:sz w:val="20"/>
          <w:szCs w:val="20"/>
        </w:rPr>
        <w:t>2019: 52 weeks ending 12/28/2019</w:t>
      </w:r>
    </w:p>
    <w:p w14:paraId="31B3C620" w14:textId="77777777" w:rsidR="0017777F" w:rsidRDefault="0017777F" w:rsidP="0017777F">
      <w:pPr>
        <w:pStyle w:val="NoSpacing"/>
        <w:rPr>
          <w:rFonts w:ascii="Arial" w:hAnsi="Arial" w:cs="Arial"/>
          <w:sz w:val="20"/>
          <w:szCs w:val="20"/>
        </w:rPr>
      </w:pPr>
      <w:r>
        <w:rPr>
          <w:rFonts w:ascii="Arial" w:hAnsi="Arial" w:cs="Arial"/>
          <w:sz w:val="20"/>
          <w:szCs w:val="20"/>
        </w:rPr>
        <w:t>2020: 52 weeks ending 12/27/2020</w:t>
      </w:r>
    </w:p>
    <w:p w14:paraId="58C497F5" w14:textId="77777777" w:rsidR="0017777F" w:rsidRDefault="0017777F" w:rsidP="0017777F">
      <w:pPr>
        <w:pStyle w:val="NoSpacing"/>
        <w:rPr>
          <w:rFonts w:ascii="Arial" w:hAnsi="Arial" w:cs="Arial"/>
          <w:sz w:val="20"/>
          <w:szCs w:val="20"/>
        </w:rPr>
      </w:pPr>
      <w:r>
        <w:rPr>
          <w:rFonts w:ascii="Arial" w:hAnsi="Arial" w:cs="Arial"/>
          <w:sz w:val="20"/>
          <w:szCs w:val="20"/>
        </w:rPr>
        <w:t>2021: 52 weeks ending 12/26/2021</w:t>
      </w:r>
    </w:p>
    <w:p w14:paraId="09068625" w14:textId="77777777" w:rsidR="0017777F" w:rsidRDefault="0017777F" w:rsidP="0017777F">
      <w:pPr>
        <w:pStyle w:val="NoSpacing"/>
        <w:rPr>
          <w:rFonts w:ascii="Arial" w:hAnsi="Arial" w:cs="Arial"/>
          <w:sz w:val="20"/>
          <w:szCs w:val="20"/>
        </w:rPr>
      </w:pPr>
      <w:r>
        <w:rPr>
          <w:rFonts w:ascii="Arial" w:hAnsi="Arial" w:cs="Arial"/>
          <w:sz w:val="20"/>
          <w:szCs w:val="20"/>
        </w:rPr>
        <w:t>2022: 52 weeks ending 1/1/2023</w:t>
      </w:r>
    </w:p>
    <w:p w14:paraId="5A5501BF" w14:textId="77777777" w:rsidR="0017777F" w:rsidRDefault="0017777F" w:rsidP="0017777F">
      <w:pPr>
        <w:pStyle w:val="NoSpacing"/>
        <w:rPr>
          <w:rFonts w:ascii="Arial" w:hAnsi="Arial" w:cs="Arial"/>
          <w:sz w:val="20"/>
          <w:szCs w:val="20"/>
        </w:rPr>
      </w:pPr>
      <w:r>
        <w:rPr>
          <w:rFonts w:ascii="Arial" w:hAnsi="Arial" w:cs="Arial"/>
          <w:sz w:val="20"/>
          <w:szCs w:val="20"/>
        </w:rPr>
        <w:t>Q4 2022: 13 weeks ending 1/1/2023</w:t>
      </w:r>
    </w:p>
    <w:bookmarkEnd w:id="10"/>
    <w:p w14:paraId="0A30E118" w14:textId="77777777" w:rsidR="0017777F" w:rsidRDefault="0017777F" w:rsidP="0017777F">
      <w:pPr>
        <w:pStyle w:val="NoSpacing"/>
        <w:rPr>
          <w:rFonts w:ascii="Arial" w:hAnsi="Arial" w:cs="Arial"/>
          <w:sz w:val="20"/>
          <w:szCs w:val="20"/>
        </w:rPr>
      </w:pPr>
      <w:r>
        <w:rPr>
          <w:rFonts w:ascii="Arial" w:hAnsi="Arial" w:cs="Arial"/>
          <w:sz w:val="20"/>
          <w:szCs w:val="20"/>
        </w:rPr>
        <w:t xml:space="preserve">January 2023: 4 weeks ending 1/29/2023 </w:t>
      </w:r>
    </w:p>
    <w:p w14:paraId="2D4D4619" w14:textId="1DBA7B60" w:rsidR="004E6C4C" w:rsidRPr="00D42D94" w:rsidRDefault="004E6C4C" w:rsidP="004E6C4C">
      <w:pPr>
        <w:pStyle w:val="NoSpacing"/>
        <w:rPr>
          <w:rFonts w:ascii="Arial" w:hAnsi="Arial" w:cs="Arial"/>
          <w:sz w:val="20"/>
          <w:szCs w:val="20"/>
        </w:rPr>
      </w:pPr>
      <w:r>
        <w:rPr>
          <w:rFonts w:ascii="Arial" w:hAnsi="Arial" w:cs="Arial"/>
          <w:sz w:val="20"/>
          <w:szCs w:val="20"/>
        </w:rPr>
        <w:br/>
      </w:r>
    </w:p>
    <w:bookmarkEnd w:id="11"/>
    <w:p w14:paraId="5AD3CB6B" w14:textId="77777777" w:rsidR="005D53FF" w:rsidRPr="008A6A7C" w:rsidRDefault="005D53FF" w:rsidP="0003032A">
      <w:pPr>
        <w:pStyle w:val="NoSpacing"/>
        <w:rPr>
          <w:rFonts w:ascii="Arial" w:hAnsi="Arial" w:cs="Arial"/>
          <w:sz w:val="20"/>
          <w:szCs w:val="20"/>
        </w:rPr>
      </w:pPr>
    </w:p>
    <w:sectPr w:rsidR="005D53FF" w:rsidRPr="008A6A7C" w:rsidSect="009172A3">
      <w:headerReference w:type="default" r:id="rId17"/>
      <w:footerReference w:type="default" r:id="rId18"/>
      <w:pgSz w:w="12240" w:h="15840"/>
      <w:pgMar w:top="1276" w:right="758"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4D9A" w14:textId="77777777" w:rsidR="00087782" w:rsidRDefault="00087782" w:rsidP="007E1D2E">
      <w:pPr>
        <w:spacing w:after="0" w:line="240" w:lineRule="auto"/>
      </w:pPr>
      <w:r>
        <w:separator/>
      </w:r>
    </w:p>
  </w:endnote>
  <w:endnote w:type="continuationSeparator" w:id="0">
    <w:p w14:paraId="612929A0" w14:textId="77777777" w:rsidR="00087782" w:rsidRDefault="00087782" w:rsidP="007E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6B01" w14:textId="23468BA2" w:rsidR="00F26464" w:rsidRPr="001C4C48" w:rsidRDefault="00F26464" w:rsidP="009172A3">
    <w:pPr>
      <w:spacing w:before="68" w:after="71" w:line="210" w:lineRule="atLeast"/>
      <w:rPr>
        <w:rFonts w:ascii="Verdana" w:hAnsi="Verdana" w:cs="Times New Roman"/>
        <w:color w:val="000000" w:themeColor="text1"/>
        <w:sz w:val="14"/>
        <w:szCs w:val="14"/>
      </w:rPr>
    </w:pPr>
    <w:r>
      <w:rPr>
        <w:rFonts w:ascii="Verdana" w:hAnsi="Verdana" w:cs="Times New Roman"/>
        <w:b/>
        <w:bCs/>
        <w:noProof/>
        <w:color w:val="000000" w:themeColor="text1"/>
        <w:sz w:val="14"/>
        <w:szCs w:val="14"/>
        <w:lang w:val="nl-NL" w:eastAsia="nl-NL"/>
      </w:rPr>
      <mc:AlternateContent>
        <mc:Choice Requires="wps">
          <w:drawing>
            <wp:anchor distT="0" distB="0" distL="114300" distR="114300" simplePos="0" relativeHeight="251658240" behindDoc="0" locked="0" layoutInCell="1" allowOverlap="1" wp14:anchorId="091F28F7" wp14:editId="114F1E35">
              <wp:simplePos x="0" y="0"/>
              <wp:positionH relativeFrom="page">
                <wp:posOffset>457200</wp:posOffset>
              </wp:positionH>
              <wp:positionV relativeFrom="paragraph">
                <wp:posOffset>148590</wp:posOffset>
              </wp:positionV>
              <wp:extent cx="6858000" cy="20320"/>
              <wp:effectExtent l="0" t="0" r="0" b="177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2032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34EA9"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pt,11.7pt" to="8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" strokecolor="#4f81bd [3204]">
              <o:lock v:ext="edit" shapetype="f"/>
              <w10:wrap anchorx="page"/>
            </v:line>
          </w:pict>
        </mc:Fallback>
      </mc:AlternateContent>
    </w:r>
  </w:p>
  <w:p w14:paraId="280BF8AE" w14:textId="110F4C1E" w:rsidR="00F26464" w:rsidRPr="00030F05" w:rsidRDefault="00F26464" w:rsidP="009172A3">
    <w:pPr>
      <w:pStyle w:val="NoSpacing"/>
      <w:rPr>
        <w:sz w:val="16"/>
      </w:rPr>
    </w:pPr>
    <w:r>
      <w:rPr>
        <w:noProof/>
        <w:sz w:val="16"/>
        <w:lang w:val="nl-NL" w:eastAsia="nl-NL"/>
      </w:rPr>
      <mc:AlternateContent>
        <mc:Choice Requires="wps">
          <w:drawing>
            <wp:anchor distT="0" distB="0" distL="114300" distR="114300" simplePos="0" relativeHeight="251659264" behindDoc="0" locked="0" layoutInCell="1" allowOverlap="1" wp14:anchorId="0B734F52" wp14:editId="71F2F78A">
              <wp:simplePos x="0" y="0"/>
              <wp:positionH relativeFrom="page">
                <wp:posOffset>5035550</wp:posOffset>
              </wp:positionH>
              <wp:positionV relativeFrom="page">
                <wp:posOffset>9556750</wp:posOffset>
              </wp:positionV>
              <wp:extent cx="2359025" cy="3473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025" cy="347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E1C4D" w14:textId="77777777" w:rsidR="00F26464" w:rsidRPr="002E71F7" w:rsidRDefault="00F26464"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4F52" id="_x0000_t202" coordsize="21600,21600" o:spt="202" path="m,l,21600r21600,l21600,xe">
              <v:stroke joinstyle="miter"/>
              <v:path gradientshapeok="t" o:connecttype="rect"/>
            </v:shapetype>
            <v:shape id="Text Box 3" o:spid="_x0000_s1027" type="#_x0000_t202" style="position:absolute;margin-left:396.5pt;margin-top:752.5pt;width:185.75pt;height:2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" filled="f" stroked="f">
              <v:textbox>
                <w:txbxContent>
                  <w:p w14:paraId="620E1C4D" w14:textId="77777777" w:rsidR="00F26464" w:rsidRPr="002E71F7" w:rsidRDefault="00F26464"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v:textbox>
              <w10:wrap anchorx="page" anchory="page"/>
            </v:shape>
          </w:pict>
        </mc:Fallback>
      </mc:AlternateContent>
    </w:r>
    <w:r w:rsidRPr="00030F05">
      <w:rPr>
        <w:sz w:val="16"/>
      </w:rPr>
      <w:t>Need more information?</w:t>
    </w:r>
    <w:r w:rsidRPr="00030F05">
      <w:rPr>
        <w:sz w:val="16"/>
      </w:rPr>
      <w:br/>
    </w:r>
    <w:r>
      <w:rPr>
        <w:sz w:val="16"/>
      </w:rPr>
      <w:t>freshfoods@iriworldwide.com</w:t>
    </w:r>
    <w:r>
      <w:rPr>
        <w:sz w:val="16"/>
      </w:rPr>
      <w:tab/>
    </w:r>
    <w:r>
      <w:rPr>
        <w:sz w:val="16"/>
      </w:rPr>
      <w:tab/>
    </w:r>
    <w:r>
      <w:rPr>
        <w:sz w:val="16"/>
      </w:rPr>
      <w:tab/>
      <w:t>210 Analytics</w:t>
    </w:r>
  </w:p>
  <w:p w14:paraId="6E4FF3AA" w14:textId="61144657" w:rsidR="00F26464" w:rsidRPr="00030F05" w:rsidRDefault="00F26464" w:rsidP="009172A3">
    <w:pPr>
      <w:pStyle w:val="NoSpacing"/>
      <w:rPr>
        <w:sz w:val="16"/>
      </w:rPr>
    </w:pPr>
    <w:r>
      <w:rPr>
        <w:sz w:val="16"/>
      </w:rPr>
      <w:t>FreshProduce@iriworldwide.com</w:t>
    </w:r>
    <w:r>
      <w:rPr>
        <w:sz w:val="16"/>
      </w:rPr>
      <w:tab/>
    </w:r>
    <w:r>
      <w:rPr>
        <w:sz w:val="16"/>
      </w:rPr>
      <w:tab/>
      <w:t>aroerink@210analytics.com</w:t>
    </w:r>
  </w:p>
  <w:p w14:paraId="0C43B367" w14:textId="77777777" w:rsidR="00F26464" w:rsidRDefault="00F26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6D68" w14:textId="77777777" w:rsidR="00087782" w:rsidRDefault="00087782" w:rsidP="007E1D2E">
      <w:pPr>
        <w:spacing w:after="0" w:line="240" w:lineRule="auto"/>
      </w:pPr>
      <w:r>
        <w:separator/>
      </w:r>
    </w:p>
  </w:footnote>
  <w:footnote w:type="continuationSeparator" w:id="0">
    <w:p w14:paraId="3850C12A" w14:textId="77777777" w:rsidR="00087782" w:rsidRDefault="00087782" w:rsidP="007E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63C2" w14:textId="77777777" w:rsidR="00F26464" w:rsidRDefault="00F26464">
    <w:pPr>
      <w:pStyle w:val="Header"/>
    </w:pPr>
    <w:r w:rsidRPr="00030F05">
      <w:rPr>
        <w:noProof/>
        <w:lang w:val="nl-NL" w:eastAsia="nl-NL"/>
      </w:rPr>
      <w:drawing>
        <wp:anchor distT="0" distB="0" distL="114300" distR="114300" simplePos="0" relativeHeight="251657216" behindDoc="1" locked="1" layoutInCell="1" allowOverlap="1" wp14:anchorId="1C9A4F7D" wp14:editId="66E82C26">
          <wp:simplePos x="0" y="0"/>
          <wp:positionH relativeFrom="page">
            <wp:posOffset>1521847</wp:posOffset>
          </wp:positionH>
          <wp:positionV relativeFrom="page">
            <wp:posOffset>0</wp:posOffset>
          </wp:positionV>
          <wp:extent cx="6270431" cy="787179"/>
          <wp:effectExtent l="19050" t="0" r="0" b="0"/>
          <wp:wrapNone/>
          <wp:docPr id="1" name="Picture 1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rcRect b="28448"/>
                  <a:stretch>
                    <a:fillRect/>
                  </a:stretch>
                </pic:blipFill>
                <pic:spPr>
                  <a:xfrm>
                    <a:off x="0" y="0"/>
                    <a:ext cx="6267450" cy="790575"/>
                  </a:xfrm>
                  <a:prstGeom prst="rect">
                    <a:avLst/>
                  </a:prstGeom>
                </pic:spPr>
              </pic:pic>
            </a:graphicData>
          </a:graphic>
        </wp:anchor>
      </w:drawing>
    </w:r>
    <w:r w:rsidRPr="00030F05">
      <w:rPr>
        <w:noProof/>
        <w:lang w:val="nl-NL" w:eastAsia="nl-NL"/>
      </w:rPr>
      <w:drawing>
        <wp:anchor distT="0" distB="0" distL="114300" distR="114300" simplePos="0" relativeHeight="251656192" behindDoc="0" locked="1" layoutInCell="1" allowOverlap="1" wp14:anchorId="73F2A16B" wp14:editId="3E276A20">
          <wp:simplePos x="0" y="0"/>
          <wp:positionH relativeFrom="page">
            <wp:posOffset>-55659</wp:posOffset>
          </wp:positionH>
          <wp:positionV relativeFrom="page">
            <wp:posOffset>0</wp:posOffset>
          </wp:positionV>
          <wp:extent cx="7903596" cy="289450"/>
          <wp:effectExtent l="0" t="0" r="0" b="1270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jpg"/>
                  <pic:cNvPicPr/>
                </pic:nvPicPr>
                <pic:blipFill rotWithShape="1">
                  <a:blip r:embed="rId2">
                    <a:extLst>
                      <a:ext uri="{28A0092B-C50C-407E-A947-70E740481C1C}">
                        <a14:useLocalDpi xmlns:a14="http://schemas.microsoft.com/office/drawing/2010/main"/>
                      </a:ext>
                    </a:extLst>
                  </a:blip>
                  <a:srcRect/>
                  <a:stretch/>
                </pic:blipFill>
                <pic:spPr bwMode="auto">
                  <a:xfrm>
                    <a:off x="0" y="0"/>
                    <a:ext cx="7909560" cy="2921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EE0"/>
    <w:multiLevelType w:val="hybridMultilevel"/>
    <w:tmpl w:val="A684B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75C90"/>
    <w:multiLevelType w:val="hybridMultilevel"/>
    <w:tmpl w:val="752ED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040D6"/>
    <w:multiLevelType w:val="hybridMultilevel"/>
    <w:tmpl w:val="11A09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C302F0"/>
    <w:multiLevelType w:val="hybridMultilevel"/>
    <w:tmpl w:val="E13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B60CD"/>
    <w:multiLevelType w:val="hybridMultilevel"/>
    <w:tmpl w:val="ABEA9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FA0879"/>
    <w:multiLevelType w:val="hybridMultilevel"/>
    <w:tmpl w:val="69A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50D42"/>
    <w:multiLevelType w:val="hybridMultilevel"/>
    <w:tmpl w:val="8F8C6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4D3521"/>
    <w:multiLevelType w:val="hybridMultilevel"/>
    <w:tmpl w:val="467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E75F2"/>
    <w:multiLevelType w:val="hybridMultilevel"/>
    <w:tmpl w:val="3E080B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782225"/>
    <w:multiLevelType w:val="hybridMultilevel"/>
    <w:tmpl w:val="52A604A8"/>
    <w:lvl w:ilvl="0" w:tplc="AAAC1FB8">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C5748"/>
    <w:multiLevelType w:val="hybridMultilevel"/>
    <w:tmpl w:val="6DF848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FC3B04"/>
    <w:multiLevelType w:val="hybridMultilevel"/>
    <w:tmpl w:val="7F3C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E81402"/>
    <w:multiLevelType w:val="hybridMultilevel"/>
    <w:tmpl w:val="870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A15C7"/>
    <w:multiLevelType w:val="hybridMultilevel"/>
    <w:tmpl w:val="38A4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97A99"/>
    <w:multiLevelType w:val="hybridMultilevel"/>
    <w:tmpl w:val="1E2CD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924DE6"/>
    <w:multiLevelType w:val="hybridMultilevel"/>
    <w:tmpl w:val="649E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260834"/>
    <w:multiLevelType w:val="hybridMultilevel"/>
    <w:tmpl w:val="E3142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5042CF"/>
    <w:multiLevelType w:val="hybridMultilevel"/>
    <w:tmpl w:val="A328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A776B4"/>
    <w:multiLevelType w:val="hybridMultilevel"/>
    <w:tmpl w:val="36E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F24BB"/>
    <w:multiLevelType w:val="hybridMultilevel"/>
    <w:tmpl w:val="A492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A064A1"/>
    <w:multiLevelType w:val="hybridMultilevel"/>
    <w:tmpl w:val="86840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5869AC"/>
    <w:multiLevelType w:val="hybridMultilevel"/>
    <w:tmpl w:val="87902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9867E9"/>
    <w:multiLevelType w:val="hybridMultilevel"/>
    <w:tmpl w:val="4846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C67E98"/>
    <w:multiLevelType w:val="hybridMultilevel"/>
    <w:tmpl w:val="A46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85B61"/>
    <w:multiLevelType w:val="hybridMultilevel"/>
    <w:tmpl w:val="E54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B31247"/>
    <w:multiLevelType w:val="hybridMultilevel"/>
    <w:tmpl w:val="A3E0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39032F"/>
    <w:multiLevelType w:val="hybridMultilevel"/>
    <w:tmpl w:val="8668B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7A61B6"/>
    <w:multiLevelType w:val="hybridMultilevel"/>
    <w:tmpl w:val="8508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E87EF7"/>
    <w:multiLevelType w:val="hybridMultilevel"/>
    <w:tmpl w:val="3FB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5D18DB"/>
    <w:multiLevelType w:val="hybridMultilevel"/>
    <w:tmpl w:val="C2640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034E9D"/>
    <w:multiLevelType w:val="hybridMultilevel"/>
    <w:tmpl w:val="B81ED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464BB5"/>
    <w:multiLevelType w:val="hybridMultilevel"/>
    <w:tmpl w:val="53684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691A86"/>
    <w:multiLevelType w:val="hybridMultilevel"/>
    <w:tmpl w:val="D81C5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CED5576"/>
    <w:multiLevelType w:val="hybridMultilevel"/>
    <w:tmpl w:val="64E2B4B6"/>
    <w:lvl w:ilvl="0" w:tplc="D1F2BFB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D75C21"/>
    <w:multiLevelType w:val="hybridMultilevel"/>
    <w:tmpl w:val="39305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8310642">
    <w:abstractNumId w:val="31"/>
  </w:num>
  <w:num w:numId="2" w16cid:durableId="627203200">
    <w:abstractNumId w:val="7"/>
  </w:num>
  <w:num w:numId="3" w16cid:durableId="804158373">
    <w:abstractNumId w:val="29"/>
  </w:num>
  <w:num w:numId="4" w16cid:durableId="1519663106">
    <w:abstractNumId w:val="30"/>
  </w:num>
  <w:num w:numId="5" w16cid:durableId="1918782832">
    <w:abstractNumId w:val="33"/>
  </w:num>
  <w:num w:numId="6" w16cid:durableId="424763717">
    <w:abstractNumId w:val="3"/>
  </w:num>
  <w:num w:numId="7" w16cid:durableId="1621952828">
    <w:abstractNumId w:val="13"/>
  </w:num>
  <w:num w:numId="8" w16cid:durableId="1251625164">
    <w:abstractNumId w:val="15"/>
  </w:num>
  <w:num w:numId="9" w16cid:durableId="415711551">
    <w:abstractNumId w:val="28"/>
  </w:num>
  <w:num w:numId="10" w16cid:durableId="2036957145">
    <w:abstractNumId w:val="25"/>
  </w:num>
  <w:num w:numId="11" w16cid:durableId="486097758">
    <w:abstractNumId w:val="17"/>
  </w:num>
  <w:num w:numId="12" w16cid:durableId="385569116">
    <w:abstractNumId w:val="5"/>
  </w:num>
  <w:num w:numId="13" w16cid:durableId="1150563310">
    <w:abstractNumId w:val="2"/>
  </w:num>
  <w:num w:numId="14" w16cid:durableId="485635162">
    <w:abstractNumId w:val="1"/>
  </w:num>
  <w:num w:numId="15" w16cid:durableId="1699702360">
    <w:abstractNumId w:val="19"/>
  </w:num>
  <w:num w:numId="16" w16cid:durableId="441650712">
    <w:abstractNumId w:val="27"/>
  </w:num>
  <w:num w:numId="17" w16cid:durableId="69237391">
    <w:abstractNumId w:val="9"/>
  </w:num>
  <w:num w:numId="18" w16cid:durableId="1529948784">
    <w:abstractNumId w:val="34"/>
  </w:num>
  <w:num w:numId="19" w16cid:durableId="65804613">
    <w:abstractNumId w:val="6"/>
  </w:num>
  <w:num w:numId="20" w16cid:durableId="605040248">
    <w:abstractNumId w:val="21"/>
  </w:num>
  <w:num w:numId="21" w16cid:durableId="320695616">
    <w:abstractNumId w:val="4"/>
  </w:num>
  <w:num w:numId="22" w16cid:durableId="159854610">
    <w:abstractNumId w:val="14"/>
  </w:num>
  <w:num w:numId="23" w16cid:durableId="627663938">
    <w:abstractNumId w:val="22"/>
  </w:num>
  <w:num w:numId="24" w16cid:durableId="842283639">
    <w:abstractNumId w:val="26"/>
  </w:num>
  <w:num w:numId="25" w16cid:durableId="1486967799">
    <w:abstractNumId w:val="12"/>
  </w:num>
  <w:num w:numId="26" w16cid:durableId="118568090">
    <w:abstractNumId w:val="11"/>
  </w:num>
  <w:num w:numId="27" w16cid:durableId="1682321138">
    <w:abstractNumId w:val="23"/>
  </w:num>
  <w:num w:numId="28" w16cid:durableId="880093224">
    <w:abstractNumId w:val="26"/>
  </w:num>
  <w:num w:numId="29" w16cid:durableId="1256937693">
    <w:abstractNumId w:val="18"/>
  </w:num>
  <w:num w:numId="30" w16cid:durableId="384380728">
    <w:abstractNumId w:val="20"/>
  </w:num>
  <w:num w:numId="31" w16cid:durableId="494227736">
    <w:abstractNumId w:val="0"/>
  </w:num>
  <w:num w:numId="32" w16cid:durableId="1055200537">
    <w:abstractNumId w:val="32"/>
  </w:num>
  <w:num w:numId="33" w16cid:durableId="1595094061">
    <w:abstractNumId w:val="24"/>
  </w:num>
  <w:num w:numId="34" w16cid:durableId="164440556">
    <w:abstractNumId w:val="16"/>
  </w:num>
  <w:num w:numId="35" w16cid:durableId="1871331689">
    <w:abstractNumId w:val="10"/>
  </w:num>
  <w:num w:numId="36" w16cid:durableId="746727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2D"/>
    <w:rsid w:val="00000581"/>
    <w:rsid w:val="0000075A"/>
    <w:rsid w:val="0000248F"/>
    <w:rsid w:val="00003384"/>
    <w:rsid w:val="00007A72"/>
    <w:rsid w:val="00010D51"/>
    <w:rsid w:val="0001120A"/>
    <w:rsid w:val="000117EF"/>
    <w:rsid w:val="00012355"/>
    <w:rsid w:val="00013787"/>
    <w:rsid w:val="000166DA"/>
    <w:rsid w:val="00017BCE"/>
    <w:rsid w:val="00017F7D"/>
    <w:rsid w:val="00020882"/>
    <w:rsid w:val="00022AE5"/>
    <w:rsid w:val="00022DA3"/>
    <w:rsid w:val="00023C8F"/>
    <w:rsid w:val="00024B5F"/>
    <w:rsid w:val="00025202"/>
    <w:rsid w:val="000263ED"/>
    <w:rsid w:val="00027658"/>
    <w:rsid w:val="0003032A"/>
    <w:rsid w:val="0003459A"/>
    <w:rsid w:val="00034C1B"/>
    <w:rsid w:val="00036105"/>
    <w:rsid w:val="000361C6"/>
    <w:rsid w:val="000369B9"/>
    <w:rsid w:val="00036B2C"/>
    <w:rsid w:val="000375AF"/>
    <w:rsid w:val="000377D1"/>
    <w:rsid w:val="00042FD2"/>
    <w:rsid w:val="000439A5"/>
    <w:rsid w:val="00043B43"/>
    <w:rsid w:val="00045995"/>
    <w:rsid w:val="00050514"/>
    <w:rsid w:val="0005157F"/>
    <w:rsid w:val="00051887"/>
    <w:rsid w:val="000526EA"/>
    <w:rsid w:val="00052CF6"/>
    <w:rsid w:val="000538C0"/>
    <w:rsid w:val="00053F8C"/>
    <w:rsid w:val="000544E1"/>
    <w:rsid w:val="000545C1"/>
    <w:rsid w:val="0005496E"/>
    <w:rsid w:val="000554A9"/>
    <w:rsid w:val="00055F57"/>
    <w:rsid w:val="00057ED6"/>
    <w:rsid w:val="000607BB"/>
    <w:rsid w:val="00060A46"/>
    <w:rsid w:val="00061697"/>
    <w:rsid w:val="00061736"/>
    <w:rsid w:val="00062D68"/>
    <w:rsid w:val="00064FBD"/>
    <w:rsid w:val="000658F7"/>
    <w:rsid w:val="0006645D"/>
    <w:rsid w:val="000670BC"/>
    <w:rsid w:val="00070D2B"/>
    <w:rsid w:val="00070E17"/>
    <w:rsid w:val="00071A3E"/>
    <w:rsid w:val="00073676"/>
    <w:rsid w:val="00080BAE"/>
    <w:rsid w:val="000811E7"/>
    <w:rsid w:val="000833C6"/>
    <w:rsid w:val="00083DB0"/>
    <w:rsid w:val="00083EF7"/>
    <w:rsid w:val="00084469"/>
    <w:rsid w:val="00086061"/>
    <w:rsid w:val="00087782"/>
    <w:rsid w:val="000905A6"/>
    <w:rsid w:val="00091E61"/>
    <w:rsid w:val="0009337A"/>
    <w:rsid w:val="000933A2"/>
    <w:rsid w:val="00093E23"/>
    <w:rsid w:val="000A17A4"/>
    <w:rsid w:val="000A1FB2"/>
    <w:rsid w:val="000A208D"/>
    <w:rsid w:val="000A3E66"/>
    <w:rsid w:val="000A543A"/>
    <w:rsid w:val="000A7CDC"/>
    <w:rsid w:val="000B035F"/>
    <w:rsid w:val="000B0895"/>
    <w:rsid w:val="000B0AF5"/>
    <w:rsid w:val="000B0C6D"/>
    <w:rsid w:val="000B10BC"/>
    <w:rsid w:val="000B16D5"/>
    <w:rsid w:val="000B296C"/>
    <w:rsid w:val="000B44E8"/>
    <w:rsid w:val="000B4FD7"/>
    <w:rsid w:val="000B5FE1"/>
    <w:rsid w:val="000B62E2"/>
    <w:rsid w:val="000B6A06"/>
    <w:rsid w:val="000B705A"/>
    <w:rsid w:val="000B73DB"/>
    <w:rsid w:val="000C0984"/>
    <w:rsid w:val="000C0F39"/>
    <w:rsid w:val="000C1222"/>
    <w:rsid w:val="000C2C93"/>
    <w:rsid w:val="000C4A54"/>
    <w:rsid w:val="000C73F6"/>
    <w:rsid w:val="000C757A"/>
    <w:rsid w:val="000D036B"/>
    <w:rsid w:val="000D0664"/>
    <w:rsid w:val="000D3B17"/>
    <w:rsid w:val="000D5031"/>
    <w:rsid w:val="000D5607"/>
    <w:rsid w:val="000D5DA3"/>
    <w:rsid w:val="000D5E13"/>
    <w:rsid w:val="000D6CF5"/>
    <w:rsid w:val="000D6E48"/>
    <w:rsid w:val="000E02DD"/>
    <w:rsid w:val="000E109F"/>
    <w:rsid w:val="000E2CB5"/>
    <w:rsid w:val="000E3C59"/>
    <w:rsid w:val="000E4F51"/>
    <w:rsid w:val="000E6D83"/>
    <w:rsid w:val="000F1852"/>
    <w:rsid w:val="000F1BEC"/>
    <w:rsid w:val="000F3291"/>
    <w:rsid w:val="000F45C4"/>
    <w:rsid w:val="000F5310"/>
    <w:rsid w:val="000F53E4"/>
    <w:rsid w:val="000F55C0"/>
    <w:rsid w:val="000F7521"/>
    <w:rsid w:val="000F7549"/>
    <w:rsid w:val="000F7932"/>
    <w:rsid w:val="000F7F92"/>
    <w:rsid w:val="001008BD"/>
    <w:rsid w:val="0010093C"/>
    <w:rsid w:val="00100F44"/>
    <w:rsid w:val="00101C4E"/>
    <w:rsid w:val="001024F6"/>
    <w:rsid w:val="00102502"/>
    <w:rsid w:val="0010503A"/>
    <w:rsid w:val="00105352"/>
    <w:rsid w:val="00105554"/>
    <w:rsid w:val="0010695F"/>
    <w:rsid w:val="00106F0B"/>
    <w:rsid w:val="00110FF9"/>
    <w:rsid w:val="001118D5"/>
    <w:rsid w:val="00112A5A"/>
    <w:rsid w:val="00112E9A"/>
    <w:rsid w:val="00113F23"/>
    <w:rsid w:val="001141CA"/>
    <w:rsid w:val="0011420E"/>
    <w:rsid w:val="00114591"/>
    <w:rsid w:val="001162B9"/>
    <w:rsid w:val="0011663F"/>
    <w:rsid w:val="00116FC7"/>
    <w:rsid w:val="0011773C"/>
    <w:rsid w:val="001210D2"/>
    <w:rsid w:val="001213B4"/>
    <w:rsid w:val="00121989"/>
    <w:rsid w:val="00121E18"/>
    <w:rsid w:val="00123C3C"/>
    <w:rsid w:val="00125FAE"/>
    <w:rsid w:val="00130D41"/>
    <w:rsid w:val="0013132D"/>
    <w:rsid w:val="00131954"/>
    <w:rsid w:val="00131B9A"/>
    <w:rsid w:val="0013220C"/>
    <w:rsid w:val="00133959"/>
    <w:rsid w:val="001344E1"/>
    <w:rsid w:val="00134BC0"/>
    <w:rsid w:val="00135BE7"/>
    <w:rsid w:val="0014023E"/>
    <w:rsid w:val="001404B7"/>
    <w:rsid w:val="00140A5F"/>
    <w:rsid w:val="00140B3C"/>
    <w:rsid w:val="00141DBA"/>
    <w:rsid w:val="001420B1"/>
    <w:rsid w:val="00143527"/>
    <w:rsid w:val="001452A1"/>
    <w:rsid w:val="00147033"/>
    <w:rsid w:val="00150F33"/>
    <w:rsid w:val="00151C32"/>
    <w:rsid w:val="00151CCC"/>
    <w:rsid w:val="00152095"/>
    <w:rsid w:val="0015304E"/>
    <w:rsid w:val="00155142"/>
    <w:rsid w:val="00155ACB"/>
    <w:rsid w:val="00157669"/>
    <w:rsid w:val="00157776"/>
    <w:rsid w:val="0016082C"/>
    <w:rsid w:val="00160850"/>
    <w:rsid w:val="00160D1A"/>
    <w:rsid w:val="00162C95"/>
    <w:rsid w:val="00163CF9"/>
    <w:rsid w:val="00163F0B"/>
    <w:rsid w:val="00164B37"/>
    <w:rsid w:val="0016509F"/>
    <w:rsid w:val="001676D0"/>
    <w:rsid w:val="0017206C"/>
    <w:rsid w:val="001729EA"/>
    <w:rsid w:val="001734CE"/>
    <w:rsid w:val="001773D8"/>
    <w:rsid w:val="0017777F"/>
    <w:rsid w:val="00180487"/>
    <w:rsid w:val="001823F0"/>
    <w:rsid w:val="00184177"/>
    <w:rsid w:val="0018439F"/>
    <w:rsid w:val="00185E27"/>
    <w:rsid w:val="001904BA"/>
    <w:rsid w:val="00190A58"/>
    <w:rsid w:val="00191B23"/>
    <w:rsid w:val="00192C41"/>
    <w:rsid w:val="00192E8C"/>
    <w:rsid w:val="00193322"/>
    <w:rsid w:val="001937D1"/>
    <w:rsid w:val="001946FE"/>
    <w:rsid w:val="0019470D"/>
    <w:rsid w:val="00194FCF"/>
    <w:rsid w:val="0019681B"/>
    <w:rsid w:val="00197295"/>
    <w:rsid w:val="0019735A"/>
    <w:rsid w:val="0019737A"/>
    <w:rsid w:val="001A0796"/>
    <w:rsid w:val="001A0E90"/>
    <w:rsid w:val="001A1830"/>
    <w:rsid w:val="001A2844"/>
    <w:rsid w:val="001A2FCB"/>
    <w:rsid w:val="001A3559"/>
    <w:rsid w:val="001A4317"/>
    <w:rsid w:val="001A4F53"/>
    <w:rsid w:val="001A6058"/>
    <w:rsid w:val="001B04C2"/>
    <w:rsid w:val="001B27BC"/>
    <w:rsid w:val="001B2A5E"/>
    <w:rsid w:val="001B361F"/>
    <w:rsid w:val="001B5D83"/>
    <w:rsid w:val="001B6F56"/>
    <w:rsid w:val="001C0658"/>
    <w:rsid w:val="001C0962"/>
    <w:rsid w:val="001C21F6"/>
    <w:rsid w:val="001C454A"/>
    <w:rsid w:val="001C5358"/>
    <w:rsid w:val="001C54D9"/>
    <w:rsid w:val="001C56E4"/>
    <w:rsid w:val="001C6281"/>
    <w:rsid w:val="001C641C"/>
    <w:rsid w:val="001C6B93"/>
    <w:rsid w:val="001C7D1E"/>
    <w:rsid w:val="001D030C"/>
    <w:rsid w:val="001D0A38"/>
    <w:rsid w:val="001D0C47"/>
    <w:rsid w:val="001D0D13"/>
    <w:rsid w:val="001D13E3"/>
    <w:rsid w:val="001D1C94"/>
    <w:rsid w:val="001D1FD7"/>
    <w:rsid w:val="001D2163"/>
    <w:rsid w:val="001D4954"/>
    <w:rsid w:val="001D5464"/>
    <w:rsid w:val="001D5C1A"/>
    <w:rsid w:val="001D65B2"/>
    <w:rsid w:val="001E19ED"/>
    <w:rsid w:val="001E1AD8"/>
    <w:rsid w:val="001E2207"/>
    <w:rsid w:val="001E26EB"/>
    <w:rsid w:val="001E28F9"/>
    <w:rsid w:val="001E3E8E"/>
    <w:rsid w:val="001E4381"/>
    <w:rsid w:val="001E4CD3"/>
    <w:rsid w:val="001E4D03"/>
    <w:rsid w:val="001E5E9F"/>
    <w:rsid w:val="001E60A9"/>
    <w:rsid w:val="001E726D"/>
    <w:rsid w:val="001F04FA"/>
    <w:rsid w:val="001F074D"/>
    <w:rsid w:val="001F292B"/>
    <w:rsid w:val="001F29DC"/>
    <w:rsid w:val="001F4BAF"/>
    <w:rsid w:val="001F512A"/>
    <w:rsid w:val="001F53D3"/>
    <w:rsid w:val="001F7395"/>
    <w:rsid w:val="00200C0F"/>
    <w:rsid w:val="00200D19"/>
    <w:rsid w:val="00203B6C"/>
    <w:rsid w:val="0020634E"/>
    <w:rsid w:val="00206FA1"/>
    <w:rsid w:val="00207525"/>
    <w:rsid w:val="0021074E"/>
    <w:rsid w:val="00211933"/>
    <w:rsid w:val="00211D09"/>
    <w:rsid w:val="002137F5"/>
    <w:rsid w:val="00213F99"/>
    <w:rsid w:val="0021462C"/>
    <w:rsid w:val="00214C85"/>
    <w:rsid w:val="00215410"/>
    <w:rsid w:val="00215D7C"/>
    <w:rsid w:val="0021673D"/>
    <w:rsid w:val="00216752"/>
    <w:rsid w:val="0021684E"/>
    <w:rsid w:val="00216FFD"/>
    <w:rsid w:val="00217491"/>
    <w:rsid w:val="00217CA1"/>
    <w:rsid w:val="00217E85"/>
    <w:rsid w:val="0022022C"/>
    <w:rsid w:val="00220B71"/>
    <w:rsid w:val="0022252A"/>
    <w:rsid w:val="00223410"/>
    <w:rsid w:val="00223615"/>
    <w:rsid w:val="00226322"/>
    <w:rsid w:val="00227ED7"/>
    <w:rsid w:val="00230809"/>
    <w:rsid w:val="00230E25"/>
    <w:rsid w:val="00231015"/>
    <w:rsid w:val="002314B8"/>
    <w:rsid w:val="00231A49"/>
    <w:rsid w:val="00231B9B"/>
    <w:rsid w:val="00231DF3"/>
    <w:rsid w:val="00232B19"/>
    <w:rsid w:val="00232CD1"/>
    <w:rsid w:val="002358BA"/>
    <w:rsid w:val="00235FBD"/>
    <w:rsid w:val="002409F7"/>
    <w:rsid w:val="002450E6"/>
    <w:rsid w:val="0024618B"/>
    <w:rsid w:val="0024650C"/>
    <w:rsid w:val="00247235"/>
    <w:rsid w:val="00247561"/>
    <w:rsid w:val="00250FB7"/>
    <w:rsid w:val="00251476"/>
    <w:rsid w:val="00252AC4"/>
    <w:rsid w:val="00253528"/>
    <w:rsid w:val="00253765"/>
    <w:rsid w:val="00254063"/>
    <w:rsid w:val="00254795"/>
    <w:rsid w:val="00254FD3"/>
    <w:rsid w:val="00255020"/>
    <w:rsid w:val="002559AC"/>
    <w:rsid w:val="002561CF"/>
    <w:rsid w:val="002577CE"/>
    <w:rsid w:val="0026038C"/>
    <w:rsid w:val="00260E1C"/>
    <w:rsid w:val="0026211D"/>
    <w:rsid w:val="00262B72"/>
    <w:rsid w:val="00262B7A"/>
    <w:rsid w:val="00263C9F"/>
    <w:rsid w:val="00265A50"/>
    <w:rsid w:val="00266196"/>
    <w:rsid w:val="00267E57"/>
    <w:rsid w:val="00271EF8"/>
    <w:rsid w:val="00272C41"/>
    <w:rsid w:val="00273813"/>
    <w:rsid w:val="002741C9"/>
    <w:rsid w:val="00274C89"/>
    <w:rsid w:val="0027508E"/>
    <w:rsid w:val="002769A5"/>
    <w:rsid w:val="00280853"/>
    <w:rsid w:val="00281DD0"/>
    <w:rsid w:val="0028208D"/>
    <w:rsid w:val="002829C4"/>
    <w:rsid w:val="002839FE"/>
    <w:rsid w:val="00283FD8"/>
    <w:rsid w:val="00284D1B"/>
    <w:rsid w:val="002855FE"/>
    <w:rsid w:val="00285C02"/>
    <w:rsid w:val="00286F2E"/>
    <w:rsid w:val="002909D7"/>
    <w:rsid w:val="00290E49"/>
    <w:rsid w:val="00292CDE"/>
    <w:rsid w:val="00292EC7"/>
    <w:rsid w:val="002938C6"/>
    <w:rsid w:val="00296016"/>
    <w:rsid w:val="002968B4"/>
    <w:rsid w:val="00296B4A"/>
    <w:rsid w:val="002979E1"/>
    <w:rsid w:val="00297D11"/>
    <w:rsid w:val="002A1EEF"/>
    <w:rsid w:val="002A2D80"/>
    <w:rsid w:val="002A3B9B"/>
    <w:rsid w:val="002A4D9A"/>
    <w:rsid w:val="002B1115"/>
    <w:rsid w:val="002B46DD"/>
    <w:rsid w:val="002B647B"/>
    <w:rsid w:val="002B68A7"/>
    <w:rsid w:val="002C0E44"/>
    <w:rsid w:val="002C11A9"/>
    <w:rsid w:val="002C22DF"/>
    <w:rsid w:val="002C2F4F"/>
    <w:rsid w:val="002C4F5A"/>
    <w:rsid w:val="002C64EC"/>
    <w:rsid w:val="002C6B59"/>
    <w:rsid w:val="002C7619"/>
    <w:rsid w:val="002D178D"/>
    <w:rsid w:val="002D2080"/>
    <w:rsid w:val="002D28F4"/>
    <w:rsid w:val="002D3293"/>
    <w:rsid w:val="002D3EC8"/>
    <w:rsid w:val="002D5486"/>
    <w:rsid w:val="002D7676"/>
    <w:rsid w:val="002D7D39"/>
    <w:rsid w:val="002D7F8D"/>
    <w:rsid w:val="002E0575"/>
    <w:rsid w:val="002E09F5"/>
    <w:rsid w:val="002E3448"/>
    <w:rsid w:val="002E3E0D"/>
    <w:rsid w:val="002E42E2"/>
    <w:rsid w:val="002E4BE8"/>
    <w:rsid w:val="002E5503"/>
    <w:rsid w:val="002E5A54"/>
    <w:rsid w:val="002E6137"/>
    <w:rsid w:val="002E6833"/>
    <w:rsid w:val="002E6C34"/>
    <w:rsid w:val="002E71DE"/>
    <w:rsid w:val="002E76F7"/>
    <w:rsid w:val="002E78E1"/>
    <w:rsid w:val="002E7CDB"/>
    <w:rsid w:val="002F2661"/>
    <w:rsid w:val="002F3E80"/>
    <w:rsid w:val="002F74F6"/>
    <w:rsid w:val="002F7B5D"/>
    <w:rsid w:val="00300012"/>
    <w:rsid w:val="00300ECD"/>
    <w:rsid w:val="00301A27"/>
    <w:rsid w:val="00301A61"/>
    <w:rsid w:val="00302080"/>
    <w:rsid w:val="003025A7"/>
    <w:rsid w:val="00304308"/>
    <w:rsid w:val="00305692"/>
    <w:rsid w:val="003057CD"/>
    <w:rsid w:val="00307723"/>
    <w:rsid w:val="00310171"/>
    <w:rsid w:val="0031035E"/>
    <w:rsid w:val="00310885"/>
    <w:rsid w:val="00311B6D"/>
    <w:rsid w:val="00313611"/>
    <w:rsid w:val="00313FC0"/>
    <w:rsid w:val="00314133"/>
    <w:rsid w:val="0031467A"/>
    <w:rsid w:val="00314F38"/>
    <w:rsid w:val="003150F5"/>
    <w:rsid w:val="00315642"/>
    <w:rsid w:val="00315C59"/>
    <w:rsid w:val="003168B6"/>
    <w:rsid w:val="00317658"/>
    <w:rsid w:val="00321D95"/>
    <w:rsid w:val="00323CA3"/>
    <w:rsid w:val="00324012"/>
    <w:rsid w:val="00324348"/>
    <w:rsid w:val="00324547"/>
    <w:rsid w:val="003269C9"/>
    <w:rsid w:val="003304F8"/>
    <w:rsid w:val="00330FD7"/>
    <w:rsid w:val="0033194E"/>
    <w:rsid w:val="00331E0B"/>
    <w:rsid w:val="00332630"/>
    <w:rsid w:val="00332866"/>
    <w:rsid w:val="00334213"/>
    <w:rsid w:val="00334F5C"/>
    <w:rsid w:val="0033541D"/>
    <w:rsid w:val="00335BB3"/>
    <w:rsid w:val="00335E8D"/>
    <w:rsid w:val="00336C30"/>
    <w:rsid w:val="003400E7"/>
    <w:rsid w:val="00340AA9"/>
    <w:rsid w:val="00342B2D"/>
    <w:rsid w:val="003433C6"/>
    <w:rsid w:val="003441BB"/>
    <w:rsid w:val="00345BA2"/>
    <w:rsid w:val="00345E41"/>
    <w:rsid w:val="0034772B"/>
    <w:rsid w:val="00347ACC"/>
    <w:rsid w:val="003507F8"/>
    <w:rsid w:val="003508FD"/>
    <w:rsid w:val="003538DC"/>
    <w:rsid w:val="00354739"/>
    <w:rsid w:val="003555F0"/>
    <w:rsid w:val="0035616A"/>
    <w:rsid w:val="00356566"/>
    <w:rsid w:val="00357E26"/>
    <w:rsid w:val="00361BCC"/>
    <w:rsid w:val="003627EF"/>
    <w:rsid w:val="00364784"/>
    <w:rsid w:val="00365D81"/>
    <w:rsid w:val="003671FD"/>
    <w:rsid w:val="00367C42"/>
    <w:rsid w:val="003702C2"/>
    <w:rsid w:val="00373662"/>
    <w:rsid w:val="00375DB1"/>
    <w:rsid w:val="00380CBC"/>
    <w:rsid w:val="00381BAC"/>
    <w:rsid w:val="0038311D"/>
    <w:rsid w:val="00384436"/>
    <w:rsid w:val="00384446"/>
    <w:rsid w:val="00384746"/>
    <w:rsid w:val="0038533A"/>
    <w:rsid w:val="003860D6"/>
    <w:rsid w:val="00386440"/>
    <w:rsid w:val="0038781D"/>
    <w:rsid w:val="00390E81"/>
    <w:rsid w:val="00392773"/>
    <w:rsid w:val="00392F8D"/>
    <w:rsid w:val="00393115"/>
    <w:rsid w:val="00393357"/>
    <w:rsid w:val="003935EB"/>
    <w:rsid w:val="00393E83"/>
    <w:rsid w:val="00394F89"/>
    <w:rsid w:val="00395431"/>
    <w:rsid w:val="0039690E"/>
    <w:rsid w:val="00397316"/>
    <w:rsid w:val="003A00AA"/>
    <w:rsid w:val="003A0E9C"/>
    <w:rsid w:val="003A1E76"/>
    <w:rsid w:val="003A20BE"/>
    <w:rsid w:val="003A40A2"/>
    <w:rsid w:val="003A7E92"/>
    <w:rsid w:val="003B041E"/>
    <w:rsid w:val="003B0512"/>
    <w:rsid w:val="003B22D4"/>
    <w:rsid w:val="003B2AAF"/>
    <w:rsid w:val="003B318C"/>
    <w:rsid w:val="003B3828"/>
    <w:rsid w:val="003B46DA"/>
    <w:rsid w:val="003B4FA0"/>
    <w:rsid w:val="003B6387"/>
    <w:rsid w:val="003C0347"/>
    <w:rsid w:val="003C39A1"/>
    <w:rsid w:val="003C455D"/>
    <w:rsid w:val="003C4C33"/>
    <w:rsid w:val="003C6387"/>
    <w:rsid w:val="003C63CD"/>
    <w:rsid w:val="003C73D4"/>
    <w:rsid w:val="003C7643"/>
    <w:rsid w:val="003C782B"/>
    <w:rsid w:val="003C7846"/>
    <w:rsid w:val="003C7D7A"/>
    <w:rsid w:val="003D0AE6"/>
    <w:rsid w:val="003D0C38"/>
    <w:rsid w:val="003D2003"/>
    <w:rsid w:val="003D2D37"/>
    <w:rsid w:val="003D31A0"/>
    <w:rsid w:val="003D339B"/>
    <w:rsid w:val="003D37B7"/>
    <w:rsid w:val="003D46CC"/>
    <w:rsid w:val="003E0B5A"/>
    <w:rsid w:val="003E0C1E"/>
    <w:rsid w:val="003E0E97"/>
    <w:rsid w:val="003E1146"/>
    <w:rsid w:val="003E1441"/>
    <w:rsid w:val="003E1B5F"/>
    <w:rsid w:val="003E2198"/>
    <w:rsid w:val="003E330D"/>
    <w:rsid w:val="003E4829"/>
    <w:rsid w:val="003E4D8A"/>
    <w:rsid w:val="003E55E0"/>
    <w:rsid w:val="003E5674"/>
    <w:rsid w:val="003F1982"/>
    <w:rsid w:val="003F22C7"/>
    <w:rsid w:val="003F230B"/>
    <w:rsid w:val="003F3DAA"/>
    <w:rsid w:val="003F513E"/>
    <w:rsid w:val="003F5D02"/>
    <w:rsid w:val="003F676E"/>
    <w:rsid w:val="00400319"/>
    <w:rsid w:val="00401D64"/>
    <w:rsid w:val="0040269A"/>
    <w:rsid w:val="00402E47"/>
    <w:rsid w:val="00403382"/>
    <w:rsid w:val="00403929"/>
    <w:rsid w:val="00403A49"/>
    <w:rsid w:val="004045F4"/>
    <w:rsid w:val="00405174"/>
    <w:rsid w:val="00405372"/>
    <w:rsid w:val="00406AA9"/>
    <w:rsid w:val="00412BCF"/>
    <w:rsid w:val="00413E9F"/>
    <w:rsid w:val="004146EF"/>
    <w:rsid w:val="00414828"/>
    <w:rsid w:val="00414983"/>
    <w:rsid w:val="004164A0"/>
    <w:rsid w:val="004217CA"/>
    <w:rsid w:val="00421894"/>
    <w:rsid w:val="00422C9B"/>
    <w:rsid w:val="00422CBC"/>
    <w:rsid w:val="00423839"/>
    <w:rsid w:val="00423AA6"/>
    <w:rsid w:val="0042476D"/>
    <w:rsid w:val="00424B0A"/>
    <w:rsid w:val="004262CE"/>
    <w:rsid w:val="00427A55"/>
    <w:rsid w:val="004304A7"/>
    <w:rsid w:val="004314BF"/>
    <w:rsid w:val="004324AC"/>
    <w:rsid w:val="004349A0"/>
    <w:rsid w:val="00434A67"/>
    <w:rsid w:val="00434B5E"/>
    <w:rsid w:val="00435088"/>
    <w:rsid w:val="00437E02"/>
    <w:rsid w:val="00440E23"/>
    <w:rsid w:val="00441424"/>
    <w:rsid w:val="00441E8F"/>
    <w:rsid w:val="00443A78"/>
    <w:rsid w:val="00444E82"/>
    <w:rsid w:val="00444F30"/>
    <w:rsid w:val="00445232"/>
    <w:rsid w:val="00445503"/>
    <w:rsid w:val="004460B5"/>
    <w:rsid w:val="00447877"/>
    <w:rsid w:val="00452431"/>
    <w:rsid w:val="00453713"/>
    <w:rsid w:val="004563F4"/>
    <w:rsid w:val="0045675D"/>
    <w:rsid w:val="00460E70"/>
    <w:rsid w:val="00460FB7"/>
    <w:rsid w:val="00461C35"/>
    <w:rsid w:val="0046208B"/>
    <w:rsid w:val="004634E6"/>
    <w:rsid w:val="004647C0"/>
    <w:rsid w:val="004649F1"/>
    <w:rsid w:val="00465D0F"/>
    <w:rsid w:val="00466863"/>
    <w:rsid w:val="00466C35"/>
    <w:rsid w:val="00466D79"/>
    <w:rsid w:val="00470A5F"/>
    <w:rsid w:val="00472A5B"/>
    <w:rsid w:val="00474357"/>
    <w:rsid w:val="004756B6"/>
    <w:rsid w:val="00476037"/>
    <w:rsid w:val="0047723D"/>
    <w:rsid w:val="004773E0"/>
    <w:rsid w:val="00477576"/>
    <w:rsid w:val="0047795F"/>
    <w:rsid w:val="00477FBF"/>
    <w:rsid w:val="00480D74"/>
    <w:rsid w:val="004816C6"/>
    <w:rsid w:val="00482A2D"/>
    <w:rsid w:val="004850A1"/>
    <w:rsid w:val="00486117"/>
    <w:rsid w:val="00486A68"/>
    <w:rsid w:val="00487253"/>
    <w:rsid w:val="004903AC"/>
    <w:rsid w:val="00490DEA"/>
    <w:rsid w:val="00491167"/>
    <w:rsid w:val="0049143C"/>
    <w:rsid w:val="00493F7F"/>
    <w:rsid w:val="004940C4"/>
    <w:rsid w:val="00494940"/>
    <w:rsid w:val="00495014"/>
    <w:rsid w:val="00495F2C"/>
    <w:rsid w:val="004A07EA"/>
    <w:rsid w:val="004A11C3"/>
    <w:rsid w:val="004A4DF1"/>
    <w:rsid w:val="004A4F04"/>
    <w:rsid w:val="004A6173"/>
    <w:rsid w:val="004B0A09"/>
    <w:rsid w:val="004B1860"/>
    <w:rsid w:val="004B21FF"/>
    <w:rsid w:val="004B2570"/>
    <w:rsid w:val="004B2C15"/>
    <w:rsid w:val="004B4107"/>
    <w:rsid w:val="004B5E72"/>
    <w:rsid w:val="004B7B04"/>
    <w:rsid w:val="004C079D"/>
    <w:rsid w:val="004C0A02"/>
    <w:rsid w:val="004C2A38"/>
    <w:rsid w:val="004C2B65"/>
    <w:rsid w:val="004C48C8"/>
    <w:rsid w:val="004C5A19"/>
    <w:rsid w:val="004C6EF6"/>
    <w:rsid w:val="004C74E9"/>
    <w:rsid w:val="004D185B"/>
    <w:rsid w:val="004D26B3"/>
    <w:rsid w:val="004D2786"/>
    <w:rsid w:val="004D2E26"/>
    <w:rsid w:val="004D3159"/>
    <w:rsid w:val="004D582E"/>
    <w:rsid w:val="004D611F"/>
    <w:rsid w:val="004D6484"/>
    <w:rsid w:val="004D72F0"/>
    <w:rsid w:val="004E17F7"/>
    <w:rsid w:val="004E1D60"/>
    <w:rsid w:val="004E1FBB"/>
    <w:rsid w:val="004E23F5"/>
    <w:rsid w:val="004E2CC6"/>
    <w:rsid w:val="004E6B52"/>
    <w:rsid w:val="004E6C4C"/>
    <w:rsid w:val="004F27DA"/>
    <w:rsid w:val="004F346A"/>
    <w:rsid w:val="004F61B9"/>
    <w:rsid w:val="004F66AC"/>
    <w:rsid w:val="004F69B5"/>
    <w:rsid w:val="004F7335"/>
    <w:rsid w:val="005017D2"/>
    <w:rsid w:val="005041EB"/>
    <w:rsid w:val="00504AF6"/>
    <w:rsid w:val="00504E6B"/>
    <w:rsid w:val="00504EC1"/>
    <w:rsid w:val="00504F5F"/>
    <w:rsid w:val="00505E84"/>
    <w:rsid w:val="005070E3"/>
    <w:rsid w:val="00507D74"/>
    <w:rsid w:val="0051320B"/>
    <w:rsid w:val="00514512"/>
    <w:rsid w:val="00516F4B"/>
    <w:rsid w:val="00517A63"/>
    <w:rsid w:val="00517D7F"/>
    <w:rsid w:val="00520731"/>
    <w:rsid w:val="00521574"/>
    <w:rsid w:val="00523ACE"/>
    <w:rsid w:val="00524065"/>
    <w:rsid w:val="00524358"/>
    <w:rsid w:val="00525BFD"/>
    <w:rsid w:val="00530E04"/>
    <w:rsid w:val="0053257C"/>
    <w:rsid w:val="0053272F"/>
    <w:rsid w:val="0053367C"/>
    <w:rsid w:val="00533970"/>
    <w:rsid w:val="00533B2D"/>
    <w:rsid w:val="00534F05"/>
    <w:rsid w:val="00540944"/>
    <w:rsid w:val="00540B8A"/>
    <w:rsid w:val="00541668"/>
    <w:rsid w:val="00542741"/>
    <w:rsid w:val="00542BDA"/>
    <w:rsid w:val="00543085"/>
    <w:rsid w:val="00544FC5"/>
    <w:rsid w:val="00545DC5"/>
    <w:rsid w:val="00546508"/>
    <w:rsid w:val="00547E8F"/>
    <w:rsid w:val="00550F90"/>
    <w:rsid w:val="005512D4"/>
    <w:rsid w:val="00551D01"/>
    <w:rsid w:val="0055305F"/>
    <w:rsid w:val="005561B1"/>
    <w:rsid w:val="005565BE"/>
    <w:rsid w:val="005567F4"/>
    <w:rsid w:val="005575E8"/>
    <w:rsid w:val="005575F0"/>
    <w:rsid w:val="005625F4"/>
    <w:rsid w:val="005627D0"/>
    <w:rsid w:val="00562AF2"/>
    <w:rsid w:val="00563A06"/>
    <w:rsid w:val="00564EEA"/>
    <w:rsid w:val="00565AF2"/>
    <w:rsid w:val="00565FD2"/>
    <w:rsid w:val="00566B14"/>
    <w:rsid w:val="00570B51"/>
    <w:rsid w:val="00570D2C"/>
    <w:rsid w:val="00571158"/>
    <w:rsid w:val="005729FD"/>
    <w:rsid w:val="00574B6E"/>
    <w:rsid w:val="00574C00"/>
    <w:rsid w:val="00575026"/>
    <w:rsid w:val="00575DD5"/>
    <w:rsid w:val="00576016"/>
    <w:rsid w:val="005761CC"/>
    <w:rsid w:val="00576207"/>
    <w:rsid w:val="00576505"/>
    <w:rsid w:val="005815C8"/>
    <w:rsid w:val="00581E1C"/>
    <w:rsid w:val="00581F51"/>
    <w:rsid w:val="00582663"/>
    <w:rsid w:val="00582C7E"/>
    <w:rsid w:val="00592B01"/>
    <w:rsid w:val="00592DB1"/>
    <w:rsid w:val="005935E4"/>
    <w:rsid w:val="00593BC6"/>
    <w:rsid w:val="00594573"/>
    <w:rsid w:val="00595C0F"/>
    <w:rsid w:val="00595F74"/>
    <w:rsid w:val="00596B93"/>
    <w:rsid w:val="005A0868"/>
    <w:rsid w:val="005A0A2F"/>
    <w:rsid w:val="005A1FB0"/>
    <w:rsid w:val="005A5440"/>
    <w:rsid w:val="005A5A01"/>
    <w:rsid w:val="005A5F29"/>
    <w:rsid w:val="005A7C11"/>
    <w:rsid w:val="005B198A"/>
    <w:rsid w:val="005B1FDC"/>
    <w:rsid w:val="005B75A0"/>
    <w:rsid w:val="005C201D"/>
    <w:rsid w:val="005C3E8E"/>
    <w:rsid w:val="005C4361"/>
    <w:rsid w:val="005C6FBA"/>
    <w:rsid w:val="005C7FDD"/>
    <w:rsid w:val="005D2937"/>
    <w:rsid w:val="005D2B99"/>
    <w:rsid w:val="005D30ED"/>
    <w:rsid w:val="005D3C9F"/>
    <w:rsid w:val="005D47A3"/>
    <w:rsid w:val="005D53FF"/>
    <w:rsid w:val="005D5770"/>
    <w:rsid w:val="005D5EFC"/>
    <w:rsid w:val="005E13EA"/>
    <w:rsid w:val="005E2F61"/>
    <w:rsid w:val="005E370A"/>
    <w:rsid w:val="005E5225"/>
    <w:rsid w:val="005E58A8"/>
    <w:rsid w:val="005F15CB"/>
    <w:rsid w:val="005F485C"/>
    <w:rsid w:val="005F4FE9"/>
    <w:rsid w:val="005F5578"/>
    <w:rsid w:val="006005FF"/>
    <w:rsid w:val="00601D6D"/>
    <w:rsid w:val="00601E38"/>
    <w:rsid w:val="006024AB"/>
    <w:rsid w:val="00603C85"/>
    <w:rsid w:val="006050A3"/>
    <w:rsid w:val="006054BA"/>
    <w:rsid w:val="00605AF1"/>
    <w:rsid w:val="006069A6"/>
    <w:rsid w:val="00606E2B"/>
    <w:rsid w:val="00611143"/>
    <w:rsid w:val="0061115A"/>
    <w:rsid w:val="00611545"/>
    <w:rsid w:val="006146DD"/>
    <w:rsid w:val="00614D8A"/>
    <w:rsid w:val="00615446"/>
    <w:rsid w:val="00616008"/>
    <w:rsid w:val="00621BB8"/>
    <w:rsid w:val="00622C36"/>
    <w:rsid w:val="00622DC0"/>
    <w:rsid w:val="00623FE0"/>
    <w:rsid w:val="0062419E"/>
    <w:rsid w:val="00624AD9"/>
    <w:rsid w:val="00625436"/>
    <w:rsid w:val="006266CC"/>
    <w:rsid w:val="00626C2D"/>
    <w:rsid w:val="006273E4"/>
    <w:rsid w:val="006324AE"/>
    <w:rsid w:val="00632BEE"/>
    <w:rsid w:val="00632D4B"/>
    <w:rsid w:val="00633BA9"/>
    <w:rsid w:val="00633BC2"/>
    <w:rsid w:val="00634631"/>
    <w:rsid w:val="00634B86"/>
    <w:rsid w:val="0063505C"/>
    <w:rsid w:val="0063542C"/>
    <w:rsid w:val="006356F8"/>
    <w:rsid w:val="0063796D"/>
    <w:rsid w:val="00637FD9"/>
    <w:rsid w:val="0064024D"/>
    <w:rsid w:val="0064098A"/>
    <w:rsid w:val="0064120A"/>
    <w:rsid w:val="00641578"/>
    <w:rsid w:val="0064192B"/>
    <w:rsid w:val="006424E6"/>
    <w:rsid w:val="00642728"/>
    <w:rsid w:val="00643B46"/>
    <w:rsid w:val="00644477"/>
    <w:rsid w:val="006451B9"/>
    <w:rsid w:val="006453BA"/>
    <w:rsid w:val="0064743B"/>
    <w:rsid w:val="00647DD6"/>
    <w:rsid w:val="006502E8"/>
    <w:rsid w:val="00650E52"/>
    <w:rsid w:val="006517D5"/>
    <w:rsid w:val="00655108"/>
    <w:rsid w:val="00656757"/>
    <w:rsid w:val="00656B34"/>
    <w:rsid w:val="006601AF"/>
    <w:rsid w:val="006620E0"/>
    <w:rsid w:val="006637F6"/>
    <w:rsid w:val="00664D47"/>
    <w:rsid w:val="00665E7E"/>
    <w:rsid w:val="00666497"/>
    <w:rsid w:val="00667BC4"/>
    <w:rsid w:val="00670599"/>
    <w:rsid w:val="00671962"/>
    <w:rsid w:val="00672D72"/>
    <w:rsid w:val="00673BDC"/>
    <w:rsid w:val="00676B67"/>
    <w:rsid w:val="00680A72"/>
    <w:rsid w:val="00681E68"/>
    <w:rsid w:val="00682EC3"/>
    <w:rsid w:val="0068309E"/>
    <w:rsid w:val="00683168"/>
    <w:rsid w:val="00683227"/>
    <w:rsid w:val="00683F16"/>
    <w:rsid w:val="006852E6"/>
    <w:rsid w:val="00685838"/>
    <w:rsid w:val="00685C32"/>
    <w:rsid w:val="0068714A"/>
    <w:rsid w:val="00687A24"/>
    <w:rsid w:val="00690B89"/>
    <w:rsid w:val="0069149A"/>
    <w:rsid w:val="006965D0"/>
    <w:rsid w:val="006A12EC"/>
    <w:rsid w:val="006A32A4"/>
    <w:rsid w:val="006A4A53"/>
    <w:rsid w:val="006A52FF"/>
    <w:rsid w:val="006A57AF"/>
    <w:rsid w:val="006A67F6"/>
    <w:rsid w:val="006A75A2"/>
    <w:rsid w:val="006B0746"/>
    <w:rsid w:val="006B3E16"/>
    <w:rsid w:val="006B486A"/>
    <w:rsid w:val="006B581A"/>
    <w:rsid w:val="006C078E"/>
    <w:rsid w:val="006C11E5"/>
    <w:rsid w:val="006C230E"/>
    <w:rsid w:val="006C2468"/>
    <w:rsid w:val="006C2F8A"/>
    <w:rsid w:val="006C3FCE"/>
    <w:rsid w:val="006C5680"/>
    <w:rsid w:val="006C5F8E"/>
    <w:rsid w:val="006C7F63"/>
    <w:rsid w:val="006D13E5"/>
    <w:rsid w:val="006D2F9C"/>
    <w:rsid w:val="006D3BA1"/>
    <w:rsid w:val="006D4E7C"/>
    <w:rsid w:val="006D6B85"/>
    <w:rsid w:val="006E07FB"/>
    <w:rsid w:val="006E1337"/>
    <w:rsid w:val="006E29DB"/>
    <w:rsid w:val="006E44AE"/>
    <w:rsid w:val="006E4AA4"/>
    <w:rsid w:val="006E5601"/>
    <w:rsid w:val="006E61B3"/>
    <w:rsid w:val="006E7826"/>
    <w:rsid w:val="006F2682"/>
    <w:rsid w:val="006F463B"/>
    <w:rsid w:val="006F4845"/>
    <w:rsid w:val="006F4B6C"/>
    <w:rsid w:val="006F702D"/>
    <w:rsid w:val="007015E7"/>
    <w:rsid w:val="00701867"/>
    <w:rsid w:val="00702075"/>
    <w:rsid w:val="007020B3"/>
    <w:rsid w:val="0070210F"/>
    <w:rsid w:val="007038C4"/>
    <w:rsid w:val="00703BB8"/>
    <w:rsid w:val="0070405D"/>
    <w:rsid w:val="00704131"/>
    <w:rsid w:val="0070607D"/>
    <w:rsid w:val="0070639F"/>
    <w:rsid w:val="00706F41"/>
    <w:rsid w:val="007072D7"/>
    <w:rsid w:val="00707E1F"/>
    <w:rsid w:val="00710652"/>
    <w:rsid w:val="00711016"/>
    <w:rsid w:val="00712AD0"/>
    <w:rsid w:val="00712D94"/>
    <w:rsid w:val="007145CB"/>
    <w:rsid w:val="0071505A"/>
    <w:rsid w:val="00715C16"/>
    <w:rsid w:val="0071719D"/>
    <w:rsid w:val="0072039B"/>
    <w:rsid w:val="00720CF5"/>
    <w:rsid w:val="0072249B"/>
    <w:rsid w:val="0072268E"/>
    <w:rsid w:val="0072292E"/>
    <w:rsid w:val="007248D9"/>
    <w:rsid w:val="0072547A"/>
    <w:rsid w:val="00725919"/>
    <w:rsid w:val="007260F5"/>
    <w:rsid w:val="00726326"/>
    <w:rsid w:val="007271CC"/>
    <w:rsid w:val="007273B2"/>
    <w:rsid w:val="00731950"/>
    <w:rsid w:val="007328E0"/>
    <w:rsid w:val="00732C43"/>
    <w:rsid w:val="00732CE6"/>
    <w:rsid w:val="00733C3B"/>
    <w:rsid w:val="00733D34"/>
    <w:rsid w:val="007352EE"/>
    <w:rsid w:val="007354E2"/>
    <w:rsid w:val="00736F10"/>
    <w:rsid w:val="007373EF"/>
    <w:rsid w:val="00737428"/>
    <w:rsid w:val="00737671"/>
    <w:rsid w:val="00737D50"/>
    <w:rsid w:val="0074069D"/>
    <w:rsid w:val="00740BDC"/>
    <w:rsid w:val="00742FB5"/>
    <w:rsid w:val="007437B7"/>
    <w:rsid w:val="00744F45"/>
    <w:rsid w:val="00745FC2"/>
    <w:rsid w:val="0074727A"/>
    <w:rsid w:val="00747760"/>
    <w:rsid w:val="00747EEE"/>
    <w:rsid w:val="00750132"/>
    <w:rsid w:val="0075209A"/>
    <w:rsid w:val="00752D23"/>
    <w:rsid w:val="00753E6A"/>
    <w:rsid w:val="00754B67"/>
    <w:rsid w:val="007566E4"/>
    <w:rsid w:val="00756A68"/>
    <w:rsid w:val="00756B1E"/>
    <w:rsid w:val="00760CA8"/>
    <w:rsid w:val="00762631"/>
    <w:rsid w:val="00762929"/>
    <w:rsid w:val="007631ED"/>
    <w:rsid w:val="00763CAC"/>
    <w:rsid w:val="00764049"/>
    <w:rsid w:val="00764CBC"/>
    <w:rsid w:val="00764CD2"/>
    <w:rsid w:val="00764F1B"/>
    <w:rsid w:val="00765808"/>
    <w:rsid w:val="0076584E"/>
    <w:rsid w:val="00765C13"/>
    <w:rsid w:val="00765D68"/>
    <w:rsid w:val="00766709"/>
    <w:rsid w:val="00770809"/>
    <w:rsid w:val="00772557"/>
    <w:rsid w:val="00773CA3"/>
    <w:rsid w:val="00775BB4"/>
    <w:rsid w:val="00776E1B"/>
    <w:rsid w:val="00780FBE"/>
    <w:rsid w:val="0078177E"/>
    <w:rsid w:val="0078184A"/>
    <w:rsid w:val="00782AAD"/>
    <w:rsid w:val="00782E51"/>
    <w:rsid w:val="007831B3"/>
    <w:rsid w:val="00784259"/>
    <w:rsid w:val="007874C4"/>
    <w:rsid w:val="00792E7B"/>
    <w:rsid w:val="007942A7"/>
    <w:rsid w:val="007947E9"/>
    <w:rsid w:val="00794CAC"/>
    <w:rsid w:val="00797A85"/>
    <w:rsid w:val="007A1C17"/>
    <w:rsid w:val="007A211F"/>
    <w:rsid w:val="007A36E0"/>
    <w:rsid w:val="007A379A"/>
    <w:rsid w:val="007A3C43"/>
    <w:rsid w:val="007A4C1B"/>
    <w:rsid w:val="007A68CD"/>
    <w:rsid w:val="007A7087"/>
    <w:rsid w:val="007B0257"/>
    <w:rsid w:val="007B056D"/>
    <w:rsid w:val="007B2389"/>
    <w:rsid w:val="007B27CB"/>
    <w:rsid w:val="007B30EE"/>
    <w:rsid w:val="007B6172"/>
    <w:rsid w:val="007B70C7"/>
    <w:rsid w:val="007B7B59"/>
    <w:rsid w:val="007B7C7D"/>
    <w:rsid w:val="007C037B"/>
    <w:rsid w:val="007C0523"/>
    <w:rsid w:val="007C182F"/>
    <w:rsid w:val="007C430F"/>
    <w:rsid w:val="007C64D5"/>
    <w:rsid w:val="007C6F86"/>
    <w:rsid w:val="007D0BDF"/>
    <w:rsid w:val="007D1F9F"/>
    <w:rsid w:val="007D25D5"/>
    <w:rsid w:val="007D3376"/>
    <w:rsid w:val="007D3DBE"/>
    <w:rsid w:val="007D3E81"/>
    <w:rsid w:val="007D41CC"/>
    <w:rsid w:val="007D4DC6"/>
    <w:rsid w:val="007D58E6"/>
    <w:rsid w:val="007D58FE"/>
    <w:rsid w:val="007D6561"/>
    <w:rsid w:val="007D6C58"/>
    <w:rsid w:val="007D6F08"/>
    <w:rsid w:val="007D7FCA"/>
    <w:rsid w:val="007E05E4"/>
    <w:rsid w:val="007E1D2E"/>
    <w:rsid w:val="007E4B08"/>
    <w:rsid w:val="007E5948"/>
    <w:rsid w:val="007E6602"/>
    <w:rsid w:val="007E6C97"/>
    <w:rsid w:val="007E7F27"/>
    <w:rsid w:val="007F06A9"/>
    <w:rsid w:val="007F3002"/>
    <w:rsid w:val="007F5087"/>
    <w:rsid w:val="007F5D0A"/>
    <w:rsid w:val="008000D5"/>
    <w:rsid w:val="00800D6D"/>
    <w:rsid w:val="00801F65"/>
    <w:rsid w:val="008023F0"/>
    <w:rsid w:val="00802488"/>
    <w:rsid w:val="00802FF9"/>
    <w:rsid w:val="00805821"/>
    <w:rsid w:val="008064A5"/>
    <w:rsid w:val="00810A59"/>
    <w:rsid w:val="008111C0"/>
    <w:rsid w:val="00811C9C"/>
    <w:rsid w:val="00812AF9"/>
    <w:rsid w:val="00815B38"/>
    <w:rsid w:val="008166ED"/>
    <w:rsid w:val="00817522"/>
    <w:rsid w:val="00821F4E"/>
    <w:rsid w:val="00823F17"/>
    <w:rsid w:val="00824EAC"/>
    <w:rsid w:val="0082522D"/>
    <w:rsid w:val="00825C5D"/>
    <w:rsid w:val="00825EEA"/>
    <w:rsid w:val="008269D0"/>
    <w:rsid w:val="008276A2"/>
    <w:rsid w:val="00832644"/>
    <w:rsid w:val="00833834"/>
    <w:rsid w:val="008340B5"/>
    <w:rsid w:val="008342E9"/>
    <w:rsid w:val="00834CC0"/>
    <w:rsid w:val="00834DC2"/>
    <w:rsid w:val="00835D0B"/>
    <w:rsid w:val="008361EF"/>
    <w:rsid w:val="008369BD"/>
    <w:rsid w:val="00836A3F"/>
    <w:rsid w:val="00836D73"/>
    <w:rsid w:val="00836D8E"/>
    <w:rsid w:val="008370F1"/>
    <w:rsid w:val="0083795B"/>
    <w:rsid w:val="00840027"/>
    <w:rsid w:val="0084072F"/>
    <w:rsid w:val="008436E5"/>
    <w:rsid w:val="00843888"/>
    <w:rsid w:val="00843DBE"/>
    <w:rsid w:val="008449E0"/>
    <w:rsid w:val="00844CCD"/>
    <w:rsid w:val="00850F54"/>
    <w:rsid w:val="00850F60"/>
    <w:rsid w:val="008536E5"/>
    <w:rsid w:val="00853775"/>
    <w:rsid w:val="008542A6"/>
    <w:rsid w:val="008545F2"/>
    <w:rsid w:val="00854902"/>
    <w:rsid w:val="00854BA0"/>
    <w:rsid w:val="00854F55"/>
    <w:rsid w:val="008550DF"/>
    <w:rsid w:val="0085632A"/>
    <w:rsid w:val="00856BFE"/>
    <w:rsid w:val="00857840"/>
    <w:rsid w:val="00860188"/>
    <w:rsid w:val="00861CC3"/>
    <w:rsid w:val="00861EB4"/>
    <w:rsid w:val="00862FC2"/>
    <w:rsid w:val="008631AD"/>
    <w:rsid w:val="00863383"/>
    <w:rsid w:val="008634AA"/>
    <w:rsid w:val="0086350E"/>
    <w:rsid w:val="00865026"/>
    <w:rsid w:val="00865365"/>
    <w:rsid w:val="00866232"/>
    <w:rsid w:val="00866BC1"/>
    <w:rsid w:val="008674D0"/>
    <w:rsid w:val="008674EE"/>
    <w:rsid w:val="00867AC1"/>
    <w:rsid w:val="00867D02"/>
    <w:rsid w:val="00871D48"/>
    <w:rsid w:val="00872B23"/>
    <w:rsid w:val="00874251"/>
    <w:rsid w:val="00874C4A"/>
    <w:rsid w:val="0087772C"/>
    <w:rsid w:val="0087790F"/>
    <w:rsid w:val="0088076E"/>
    <w:rsid w:val="00880C1C"/>
    <w:rsid w:val="00880EA2"/>
    <w:rsid w:val="00880F21"/>
    <w:rsid w:val="00881155"/>
    <w:rsid w:val="008827C6"/>
    <w:rsid w:val="00883B51"/>
    <w:rsid w:val="008851B3"/>
    <w:rsid w:val="00887E3D"/>
    <w:rsid w:val="00890324"/>
    <w:rsid w:val="008907EE"/>
    <w:rsid w:val="00891C7E"/>
    <w:rsid w:val="0089379E"/>
    <w:rsid w:val="008967D3"/>
    <w:rsid w:val="00896A24"/>
    <w:rsid w:val="00897C9C"/>
    <w:rsid w:val="00897F1B"/>
    <w:rsid w:val="008A16B8"/>
    <w:rsid w:val="008A194F"/>
    <w:rsid w:val="008A20BE"/>
    <w:rsid w:val="008A2C58"/>
    <w:rsid w:val="008A349E"/>
    <w:rsid w:val="008A426C"/>
    <w:rsid w:val="008A538A"/>
    <w:rsid w:val="008A577D"/>
    <w:rsid w:val="008A6A7C"/>
    <w:rsid w:val="008B05F8"/>
    <w:rsid w:val="008B064E"/>
    <w:rsid w:val="008B5438"/>
    <w:rsid w:val="008B729A"/>
    <w:rsid w:val="008C1734"/>
    <w:rsid w:val="008C32D4"/>
    <w:rsid w:val="008C3726"/>
    <w:rsid w:val="008C52F0"/>
    <w:rsid w:val="008C5947"/>
    <w:rsid w:val="008C5A40"/>
    <w:rsid w:val="008C5E14"/>
    <w:rsid w:val="008C6259"/>
    <w:rsid w:val="008C760B"/>
    <w:rsid w:val="008D0296"/>
    <w:rsid w:val="008D032E"/>
    <w:rsid w:val="008D0413"/>
    <w:rsid w:val="008D0B2F"/>
    <w:rsid w:val="008D0E13"/>
    <w:rsid w:val="008D19D4"/>
    <w:rsid w:val="008D1E6D"/>
    <w:rsid w:val="008D279D"/>
    <w:rsid w:val="008D28AD"/>
    <w:rsid w:val="008D4E91"/>
    <w:rsid w:val="008D5DD9"/>
    <w:rsid w:val="008D6C3A"/>
    <w:rsid w:val="008D7B46"/>
    <w:rsid w:val="008E0FB8"/>
    <w:rsid w:val="008E2423"/>
    <w:rsid w:val="008E26AD"/>
    <w:rsid w:val="008E26D5"/>
    <w:rsid w:val="008E4F9B"/>
    <w:rsid w:val="008E6AC3"/>
    <w:rsid w:val="008F0972"/>
    <w:rsid w:val="008F2DAB"/>
    <w:rsid w:val="008F2E15"/>
    <w:rsid w:val="008F2E46"/>
    <w:rsid w:val="008F45FB"/>
    <w:rsid w:val="008F5FF6"/>
    <w:rsid w:val="00901F1D"/>
    <w:rsid w:val="00905C56"/>
    <w:rsid w:val="00906C46"/>
    <w:rsid w:val="00907D5A"/>
    <w:rsid w:val="0091114D"/>
    <w:rsid w:val="00912595"/>
    <w:rsid w:val="00912E70"/>
    <w:rsid w:val="009135EA"/>
    <w:rsid w:val="009172A3"/>
    <w:rsid w:val="009213F8"/>
    <w:rsid w:val="00921B41"/>
    <w:rsid w:val="00922D1D"/>
    <w:rsid w:val="00922D43"/>
    <w:rsid w:val="00926C6E"/>
    <w:rsid w:val="00927255"/>
    <w:rsid w:val="009273DB"/>
    <w:rsid w:val="00927870"/>
    <w:rsid w:val="00931093"/>
    <w:rsid w:val="00931A07"/>
    <w:rsid w:val="00932805"/>
    <w:rsid w:val="00933A42"/>
    <w:rsid w:val="009340F2"/>
    <w:rsid w:val="009372B9"/>
    <w:rsid w:val="00940BF0"/>
    <w:rsid w:val="00941D8A"/>
    <w:rsid w:val="00942054"/>
    <w:rsid w:val="00944DAA"/>
    <w:rsid w:val="009462B6"/>
    <w:rsid w:val="00946FA4"/>
    <w:rsid w:val="00951168"/>
    <w:rsid w:val="00951B01"/>
    <w:rsid w:val="00952209"/>
    <w:rsid w:val="00955400"/>
    <w:rsid w:val="00956BB1"/>
    <w:rsid w:val="00956F5C"/>
    <w:rsid w:val="00960617"/>
    <w:rsid w:val="0096076B"/>
    <w:rsid w:val="0096226E"/>
    <w:rsid w:val="0096275C"/>
    <w:rsid w:val="0096285B"/>
    <w:rsid w:val="00964A8B"/>
    <w:rsid w:val="00965331"/>
    <w:rsid w:val="00965338"/>
    <w:rsid w:val="00965483"/>
    <w:rsid w:val="00966403"/>
    <w:rsid w:val="009666B0"/>
    <w:rsid w:val="009758A5"/>
    <w:rsid w:val="009759B0"/>
    <w:rsid w:val="00975F30"/>
    <w:rsid w:val="00977224"/>
    <w:rsid w:val="0098003F"/>
    <w:rsid w:val="009808AA"/>
    <w:rsid w:val="00980CCB"/>
    <w:rsid w:val="00981177"/>
    <w:rsid w:val="00981B55"/>
    <w:rsid w:val="00983F3F"/>
    <w:rsid w:val="0098427E"/>
    <w:rsid w:val="00985228"/>
    <w:rsid w:val="009861E6"/>
    <w:rsid w:val="00986869"/>
    <w:rsid w:val="00986FB1"/>
    <w:rsid w:val="0098718A"/>
    <w:rsid w:val="0098771F"/>
    <w:rsid w:val="00991296"/>
    <w:rsid w:val="009926A4"/>
    <w:rsid w:val="00993AE0"/>
    <w:rsid w:val="00993F23"/>
    <w:rsid w:val="0099425B"/>
    <w:rsid w:val="009960D3"/>
    <w:rsid w:val="00996724"/>
    <w:rsid w:val="009A07EF"/>
    <w:rsid w:val="009A0F69"/>
    <w:rsid w:val="009A1090"/>
    <w:rsid w:val="009A10DA"/>
    <w:rsid w:val="009A393E"/>
    <w:rsid w:val="009A4953"/>
    <w:rsid w:val="009B0D12"/>
    <w:rsid w:val="009B1032"/>
    <w:rsid w:val="009B1D0D"/>
    <w:rsid w:val="009B1F30"/>
    <w:rsid w:val="009B440A"/>
    <w:rsid w:val="009B4884"/>
    <w:rsid w:val="009B4A81"/>
    <w:rsid w:val="009B5F79"/>
    <w:rsid w:val="009B653F"/>
    <w:rsid w:val="009C02A0"/>
    <w:rsid w:val="009C086B"/>
    <w:rsid w:val="009C0A78"/>
    <w:rsid w:val="009C0B40"/>
    <w:rsid w:val="009C140E"/>
    <w:rsid w:val="009C1BD1"/>
    <w:rsid w:val="009C1E9B"/>
    <w:rsid w:val="009C22F4"/>
    <w:rsid w:val="009C2AD4"/>
    <w:rsid w:val="009C48A3"/>
    <w:rsid w:val="009C4990"/>
    <w:rsid w:val="009C5544"/>
    <w:rsid w:val="009C5CE6"/>
    <w:rsid w:val="009C5D61"/>
    <w:rsid w:val="009C6825"/>
    <w:rsid w:val="009C72C8"/>
    <w:rsid w:val="009D0F34"/>
    <w:rsid w:val="009D1A60"/>
    <w:rsid w:val="009D3AE5"/>
    <w:rsid w:val="009D4100"/>
    <w:rsid w:val="009D4C1B"/>
    <w:rsid w:val="009D5406"/>
    <w:rsid w:val="009D63EC"/>
    <w:rsid w:val="009D6933"/>
    <w:rsid w:val="009D7889"/>
    <w:rsid w:val="009E0ADC"/>
    <w:rsid w:val="009E1DF8"/>
    <w:rsid w:val="009E2F2E"/>
    <w:rsid w:val="009E3E7D"/>
    <w:rsid w:val="009E4189"/>
    <w:rsid w:val="009E5093"/>
    <w:rsid w:val="009E512D"/>
    <w:rsid w:val="009E5261"/>
    <w:rsid w:val="009E5FB1"/>
    <w:rsid w:val="009E6F9A"/>
    <w:rsid w:val="009F1D55"/>
    <w:rsid w:val="009F213D"/>
    <w:rsid w:val="009F27B4"/>
    <w:rsid w:val="009F295D"/>
    <w:rsid w:val="009F417C"/>
    <w:rsid w:val="009F5C6A"/>
    <w:rsid w:val="009F5E32"/>
    <w:rsid w:val="009F65EA"/>
    <w:rsid w:val="009F6D7D"/>
    <w:rsid w:val="00A01F35"/>
    <w:rsid w:val="00A035B0"/>
    <w:rsid w:val="00A043BD"/>
    <w:rsid w:val="00A04998"/>
    <w:rsid w:val="00A04CFB"/>
    <w:rsid w:val="00A052A1"/>
    <w:rsid w:val="00A0597E"/>
    <w:rsid w:val="00A072B4"/>
    <w:rsid w:val="00A07F7A"/>
    <w:rsid w:val="00A1018D"/>
    <w:rsid w:val="00A128EA"/>
    <w:rsid w:val="00A12A7F"/>
    <w:rsid w:val="00A13BC2"/>
    <w:rsid w:val="00A150AF"/>
    <w:rsid w:val="00A15500"/>
    <w:rsid w:val="00A1610F"/>
    <w:rsid w:val="00A20B81"/>
    <w:rsid w:val="00A225AD"/>
    <w:rsid w:val="00A225C7"/>
    <w:rsid w:val="00A256D4"/>
    <w:rsid w:val="00A26555"/>
    <w:rsid w:val="00A269BE"/>
    <w:rsid w:val="00A27E53"/>
    <w:rsid w:val="00A30A8B"/>
    <w:rsid w:val="00A310F7"/>
    <w:rsid w:val="00A33B3B"/>
    <w:rsid w:val="00A34F9D"/>
    <w:rsid w:val="00A3594A"/>
    <w:rsid w:val="00A36161"/>
    <w:rsid w:val="00A36631"/>
    <w:rsid w:val="00A3789A"/>
    <w:rsid w:val="00A40BF4"/>
    <w:rsid w:val="00A424EA"/>
    <w:rsid w:val="00A425BE"/>
    <w:rsid w:val="00A42613"/>
    <w:rsid w:val="00A431AD"/>
    <w:rsid w:val="00A43207"/>
    <w:rsid w:val="00A45861"/>
    <w:rsid w:val="00A46318"/>
    <w:rsid w:val="00A51C9D"/>
    <w:rsid w:val="00A526E8"/>
    <w:rsid w:val="00A5428B"/>
    <w:rsid w:val="00A5606E"/>
    <w:rsid w:val="00A560BF"/>
    <w:rsid w:val="00A56B3F"/>
    <w:rsid w:val="00A56B7C"/>
    <w:rsid w:val="00A6005A"/>
    <w:rsid w:val="00A60628"/>
    <w:rsid w:val="00A61CB3"/>
    <w:rsid w:val="00A61E56"/>
    <w:rsid w:val="00A62860"/>
    <w:rsid w:val="00A62ABD"/>
    <w:rsid w:val="00A64C99"/>
    <w:rsid w:val="00A735EC"/>
    <w:rsid w:val="00A74177"/>
    <w:rsid w:val="00A753BE"/>
    <w:rsid w:val="00A80C20"/>
    <w:rsid w:val="00A81493"/>
    <w:rsid w:val="00A81DD5"/>
    <w:rsid w:val="00A823C9"/>
    <w:rsid w:val="00A83523"/>
    <w:rsid w:val="00A84528"/>
    <w:rsid w:val="00A846B3"/>
    <w:rsid w:val="00A84CAB"/>
    <w:rsid w:val="00A85336"/>
    <w:rsid w:val="00A869FB"/>
    <w:rsid w:val="00A873BD"/>
    <w:rsid w:val="00A87E10"/>
    <w:rsid w:val="00A90E70"/>
    <w:rsid w:val="00A9120F"/>
    <w:rsid w:val="00A956DE"/>
    <w:rsid w:val="00A95927"/>
    <w:rsid w:val="00A96063"/>
    <w:rsid w:val="00A960AB"/>
    <w:rsid w:val="00A96741"/>
    <w:rsid w:val="00A96B52"/>
    <w:rsid w:val="00A9759E"/>
    <w:rsid w:val="00A977DB"/>
    <w:rsid w:val="00AA16AD"/>
    <w:rsid w:val="00AA181D"/>
    <w:rsid w:val="00AA21F4"/>
    <w:rsid w:val="00AA4C1A"/>
    <w:rsid w:val="00AA5716"/>
    <w:rsid w:val="00AA6AEB"/>
    <w:rsid w:val="00AA781A"/>
    <w:rsid w:val="00AA7B84"/>
    <w:rsid w:val="00AB0213"/>
    <w:rsid w:val="00AB04D3"/>
    <w:rsid w:val="00AB0D40"/>
    <w:rsid w:val="00AB1306"/>
    <w:rsid w:val="00AB421F"/>
    <w:rsid w:val="00AB46D5"/>
    <w:rsid w:val="00AB47E8"/>
    <w:rsid w:val="00AB5F33"/>
    <w:rsid w:val="00AB7EF4"/>
    <w:rsid w:val="00AC0CDA"/>
    <w:rsid w:val="00AC1329"/>
    <w:rsid w:val="00AC194D"/>
    <w:rsid w:val="00AC23A8"/>
    <w:rsid w:val="00AC3D2B"/>
    <w:rsid w:val="00AC402C"/>
    <w:rsid w:val="00AC4463"/>
    <w:rsid w:val="00AC478B"/>
    <w:rsid w:val="00AC5330"/>
    <w:rsid w:val="00AC5D4E"/>
    <w:rsid w:val="00AC64F2"/>
    <w:rsid w:val="00AC7A77"/>
    <w:rsid w:val="00AD068D"/>
    <w:rsid w:val="00AD0F45"/>
    <w:rsid w:val="00AD1D19"/>
    <w:rsid w:val="00AD2C35"/>
    <w:rsid w:val="00AD4CC2"/>
    <w:rsid w:val="00AD5C59"/>
    <w:rsid w:val="00AD5F43"/>
    <w:rsid w:val="00AD6170"/>
    <w:rsid w:val="00AE2AA0"/>
    <w:rsid w:val="00AE2CEA"/>
    <w:rsid w:val="00AE3045"/>
    <w:rsid w:val="00AE33CD"/>
    <w:rsid w:val="00AE3C13"/>
    <w:rsid w:val="00AE509A"/>
    <w:rsid w:val="00AE6A20"/>
    <w:rsid w:val="00AE6E95"/>
    <w:rsid w:val="00AF0999"/>
    <w:rsid w:val="00AF0D02"/>
    <w:rsid w:val="00AF12C4"/>
    <w:rsid w:val="00AF21A4"/>
    <w:rsid w:val="00AF3E13"/>
    <w:rsid w:val="00AF4493"/>
    <w:rsid w:val="00AF4FDD"/>
    <w:rsid w:val="00AF5864"/>
    <w:rsid w:val="00AF7EDF"/>
    <w:rsid w:val="00B01670"/>
    <w:rsid w:val="00B02D10"/>
    <w:rsid w:val="00B02ED1"/>
    <w:rsid w:val="00B04C13"/>
    <w:rsid w:val="00B05254"/>
    <w:rsid w:val="00B05A20"/>
    <w:rsid w:val="00B05EC1"/>
    <w:rsid w:val="00B06717"/>
    <w:rsid w:val="00B0769C"/>
    <w:rsid w:val="00B1061E"/>
    <w:rsid w:val="00B10C22"/>
    <w:rsid w:val="00B10EED"/>
    <w:rsid w:val="00B1332F"/>
    <w:rsid w:val="00B13670"/>
    <w:rsid w:val="00B1417F"/>
    <w:rsid w:val="00B145D0"/>
    <w:rsid w:val="00B154A1"/>
    <w:rsid w:val="00B163DB"/>
    <w:rsid w:val="00B175F0"/>
    <w:rsid w:val="00B17BA1"/>
    <w:rsid w:val="00B20655"/>
    <w:rsid w:val="00B21410"/>
    <w:rsid w:val="00B227ED"/>
    <w:rsid w:val="00B23C22"/>
    <w:rsid w:val="00B2552B"/>
    <w:rsid w:val="00B25D8D"/>
    <w:rsid w:val="00B265F0"/>
    <w:rsid w:val="00B26A33"/>
    <w:rsid w:val="00B27CF9"/>
    <w:rsid w:val="00B30587"/>
    <w:rsid w:val="00B34298"/>
    <w:rsid w:val="00B34F5D"/>
    <w:rsid w:val="00B35CE9"/>
    <w:rsid w:val="00B40F5F"/>
    <w:rsid w:val="00B414B2"/>
    <w:rsid w:val="00B41764"/>
    <w:rsid w:val="00B418C8"/>
    <w:rsid w:val="00B4410E"/>
    <w:rsid w:val="00B4527D"/>
    <w:rsid w:val="00B45851"/>
    <w:rsid w:val="00B46633"/>
    <w:rsid w:val="00B47035"/>
    <w:rsid w:val="00B47388"/>
    <w:rsid w:val="00B474E2"/>
    <w:rsid w:val="00B51D47"/>
    <w:rsid w:val="00B51D86"/>
    <w:rsid w:val="00B522AE"/>
    <w:rsid w:val="00B529F0"/>
    <w:rsid w:val="00B52DB0"/>
    <w:rsid w:val="00B53971"/>
    <w:rsid w:val="00B5502A"/>
    <w:rsid w:val="00B55F1A"/>
    <w:rsid w:val="00B57039"/>
    <w:rsid w:val="00B60B2A"/>
    <w:rsid w:val="00B60EDD"/>
    <w:rsid w:val="00B63160"/>
    <w:rsid w:val="00B63F92"/>
    <w:rsid w:val="00B64173"/>
    <w:rsid w:val="00B645AC"/>
    <w:rsid w:val="00B64A01"/>
    <w:rsid w:val="00B64CF8"/>
    <w:rsid w:val="00B65B2B"/>
    <w:rsid w:val="00B65D8F"/>
    <w:rsid w:val="00B65E56"/>
    <w:rsid w:val="00B66C37"/>
    <w:rsid w:val="00B679A9"/>
    <w:rsid w:val="00B67D94"/>
    <w:rsid w:val="00B7196D"/>
    <w:rsid w:val="00B71FC0"/>
    <w:rsid w:val="00B72013"/>
    <w:rsid w:val="00B736D5"/>
    <w:rsid w:val="00B7428E"/>
    <w:rsid w:val="00B74871"/>
    <w:rsid w:val="00B75CF4"/>
    <w:rsid w:val="00B75D3A"/>
    <w:rsid w:val="00B803CA"/>
    <w:rsid w:val="00B80CC5"/>
    <w:rsid w:val="00B82411"/>
    <w:rsid w:val="00B83E0E"/>
    <w:rsid w:val="00B845A9"/>
    <w:rsid w:val="00B8716D"/>
    <w:rsid w:val="00B87A29"/>
    <w:rsid w:val="00B87F76"/>
    <w:rsid w:val="00B906F3"/>
    <w:rsid w:val="00B920A9"/>
    <w:rsid w:val="00B92479"/>
    <w:rsid w:val="00B93932"/>
    <w:rsid w:val="00B94825"/>
    <w:rsid w:val="00B94B5C"/>
    <w:rsid w:val="00B96776"/>
    <w:rsid w:val="00B97B93"/>
    <w:rsid w:val="00BA02A6"/>
    <w:rsid w:val="00BA0A24"/>
    <w:rsid w:val="00BA12AB"/>
    <w:rsid w:val="00BA2335"/>
    <w:rsid w:val="00BA2B19"/>
    <w:rsid w:val="00BA516E"/>
    <w:rsid w:val="00BA5935"/>
    <w:rsid w:val="00BA664A"/>
    <w:rsid w:val="00BA715A"/>
    <w:rsid w:val="00BA7456"/>
    <w:rsid w:val="00BA7F4A"/>
    <w:rsid w:val="00BB001C"/>
    <w:rsid w:val="00BB0B24"/>
    <w:rsid w:val="00BB141F"/>
    <w:rsid w:val="00BB2B8E"/>
    <w:rsid w:val="00BB3051"/>
    <w:rsid w:val="00BB3A5E"/>
    <w:rsid w:val="00BB45F4"/>
    <w:rsid w:val="00BB5C92"/>
    <w:rsid w:val="00BB7EE1"/>
    <w:rsid w:val="00BC0F48"/>
    <w:rsid w:val="00BC17F9"/>
    <w:rsid w:val="00BC21CA"/>
    <w:rsid w:val="00BC2C66"/>
    <w:rsid w:val="00BC5030"/>
    <w:rsid w:val="00BC59A0"/>
    <w:rsid w:val="00BC79B3"/>
    <w:rsid w:val="00BC7B47"/>
    <w:rsid w:val="00BC7E15"/>
    <w:rsid w:val="00BD01F7"/>
    <w:rsid w:val="00BD26B6"/>
    <w:rsid w:val="00BD270B"/>
    <w:rsid w:val="00BD4960"/>
    <w:rsid w:val="00BD4CDA"/>
    <w:rsid w:val="00BD60AA"/>
    <w:rsid w:val="00BD731C"/>
    <w:rsid w:val="00BD7A5B"/>
    <w:rsid w:val="00BD7CB1"/>
    <w:rsid w:val="00BE121B"/>
    <w:rsid w:val="00BE2D01"/>
    <w:rsid w:val="00BE2F63"/>
    <w:rsid w:val="00BE4117"/>
    <w:rsid w:val="00BE4D0C"/>
    <w:rsid w:val="00BE4D67"/>
    <w:rsid w:val="00BE7DBD"/>
    <w:rsid w:val="00BF1BA2"/>
    <w:rsid w:val="00BF3299"/>
    <w:rsid w:val="00BF3DE4"/>
    <w:rsid w:val="00BF447C"/>
    <w:rsid w:val="00BF5590"/>
    <w:rsid w:val="00BF5D2A"/>
    <w:rsid w:val="00BF64A8"/>
    <w:rsid w:val="00BF6E18"/>
    <w:rsid w:val="00BF7B2A"/>
    <w:rsid w:val="00C00E73"/>
    <w:rsid w:val="00C02775"/>
    <w:rsid w:val="00C0573D"/>
    <w:rsid w:val="00C05AA1"/>
    <w:rsid w:val="00C06A0B"/>
    <w:rsid w:val="00C078C4"/>
    <w:rsid w:val="00C07962"/>
    <w:rsid w:val="00C1272F"/>
    <w:rsid w:val="00C13104"/>
    <w:rsid w:val="00C13CBF"/>
    <w:rsid w:val="00C14A0D"/>
    <w:rsid w:val="00C1618C"/>
    <w:rsid w:val="00C16A60"/>
    <w:rsid w:val="00C16C18"/>
    <w:rsid w:val="00C17060"/>
    <w:rsid w:val="00C170D7"/>
    <w:rsid w:val="00C17834"/>
    <w:rsid w:val="00C21AF1"/>
    <w:rsid w:val="00C23843"/>
    <w:rsid w:val="00C24977"/>
    <w:rsid w:val="00C24BE6"/>
    <w:rsid w:val="00C30167"/>
    <w:rsid w:val="00C30B2D"/>
    <w:rsid w:val="00C33146"/>
    <w:rsid w:val="00C33DFE"/>
    <w:rsid w:val="00C34E13"/>
    <w:rsid w:val="00C36DDB"/>
    <w:rsid w:val="00C373EC"/>
    <w:rsid w:val="00C400DC"/>
    <w:rsid w:val="00C450D4"/>
    <w:rsid w:val="00C4670D"/>
    <w:rsid w:val="00C46B4A"/>
    <w:rsid w:val="00C50137"/>
    <w:rsid w:val="00C50733"/>
    <w:rsid w:val="00C511F1"/>
    <w:rsid w:val="00C513EC"/>
    <w:rsid w:val="00C51566"/>
    <w:rsid w:val="00C5173F"/>
    <w:rsid w:val="00C51810"/>
    <w:rsid w:val="00C52F97"/>
    <w:rsid w:val="00C53684"/>
    <w:rsid w:val="00C53871"/>
    <w:rsid w:val="00C54548"/>
    <w:rsid w:val="00C54BC5"/>
    <w:rsid w:val="00C56329"/>
    <w:rsid w:val="00C573F6"/>
    <w:rsid w:val="00C6009B"/>
    <w:rsid w:val="00C609A2"/>
    <w:rsid w:val="00C616F0"/>
    <w:rsid w:val="00C620F5"/>
    <w:rsid w:val="00C63361"/>
    <w:rsid w:val="00C63BCE"/>
    <w:rsid w:val="00C65CED"/>
    <w:rsid w:val="00C65F42"/>
    <w:rsid w:val="00C66ED4"/>
    <w:rsid w:val="00C675C5"/>
    <w:rsid w:val="00C71CF7"/>
    <w:rsid w:val="00C7382E"/>
    <w:rsid w:val="00C752C1"/>
    <w:rsid w:val="00C75ABE"/>
    <w:rsid w:val="00C76128"/>
    <w:rsid w:val="00C7789D"/>
    <w:rsid w:val="00C80A17"/>
    <w:rsid w:val="00C80B04"/>
    <w:rsid w:val="00C826C2"/>
    <w:rsid w:val="00C858B3"/>
    <w:rsid w:val="00C85C80"/>
    <w:rsid w:val="00C867B8"/>
    <w:rsid w:val="00C86E94"/>
    <w:rsid w:val="00C90196"/>
    <w:rsid w:val="00C9097A"/>
    <w:rsid w:val="00C90B00"/>
    <w:rsid w:val="00C94D74"/>
    <w:rsid w:val="00C96000"/>
    <w:rsid w:val="00C96A36"/>
    <w:rsid w:val="00C96B2E"/>
    <w:rsid w:val="00C970E6"/>
    <w:rsid w:val="00C9712F"/>
    <w:rsid w:val="00C9773E"/>
    <w:rsid w:val="00CA24E8"/>
    <w:rsid w:val="00CA25CA"/>
    <w:rsid w:val="00CA2C9C"/>
    <w:rsid w:val="00CA499C"/>
    <w:rsid w:val="00CA6213"/>
    <w:rsid w:val="00CB06C1"/>
    <w:rsid w:val="00CB11FF"/>
    <w:rsid w:val="00CB1955"/>
    <w:rsid w:val="00CB5465"/>
    <w:rsid w:val="00CB6454"/>
    <w:rsid w:val="00CB64D9"/>
    <w:rsid w:val="00CB76FB"/>
    <w:rsid w:val="00CB799E"/>
    <w:rsid w:val="00CC0E3B"/>
    <w:rsid w:val="00CC1AFF"/>
    <w:rsid w:val="00CC1B1C"/>
    <w:rsid w:val="00CC2438"/>
    <w:rsid w:val="00CC28A5"/>
    <w:rsid w:val="00CC484B"/>
    <w:rsid w:val="00CC529C"/>
    <w:rsid w:val="00CC6288"/>
    <w:rsid w:val="00CC792C"/>
    <w:rsid w:val="00CD0219"/>
    <w:rsid w:val="00CD0494"/>
    <w:rsid w:val="00CD165B"/>
    <w:rsid w:val="00CD176C"/>
    <w:rsid w:val="00CD25A6"/>
    <w:rsid w:val="00CD2F2B"/>
    <w:rsid w:val="00CD34F8"/>
    <w:rsid w:val="00CD46AB"/>
    <w:rsid w:val="00CD5009"/>
    <w:rsid w:val="00CD6CCD"/>
    <w:rsid w:val="00CD725A"/>
    <w:rsid w:val="00CD753C"/>
    <w:rsid w:val="00CE028A"/>
    <w:rsid w:val="00CE0741"/>
    <w:rsid w:val="00CE165E"/>
    <w:rsid w:val="00CE2B8C"/>
    <w:rsid w:val="00CE3182"/>
    <w:rsid w:val="00CE415D"/>
    <w:rsid w:val="00CE4E5B"/>
    <w:rsid w:val="00CE5BD4"/>
    <w:rsid w:val="00CE5C38"/>
    <w:rsid w:val="00CE5DAF"/>
    <w:rsid w:val="00CE5E4F"/>
    <w:rsid w:val="00CE678D"/>
    <w:rsid w:val="00CE6E5A"/>
    <w:rsid w:val="00CF005A"/>
    <w:rsid w:val="00CF01CC"/>
    <w:rsid w:val="00CF1139"/>
    <w:rsid w:val="00CF2FF0"/>
    <w:rsid w:val="00CF309B"/>
    <w:rsid w:val="00CF30D8"/>
    <w:rsid w:val="00CF3159"/>
    <w:rsid w:val="00CF3BFD"/>
    <w:rsid w:val="00CF43CE"/>
    <w:rsid w:val="00CF5A5C"/>
    <w:rsid w:val="00CF61E8"/>
    <w:rsid w:val="00CF651D"/>
    <w:rsid w:val="00CF6626"/>
    <w:rsid w:val="00CF7D61"/>
    <w:rsid w:val="00D00701"/>
    <w:rsid w:val="00D00A24"/>
    <w:rsid w:val="00D014A0"/>
    <w:rsid w:val="00D046A6"/>
    <w:rsid w:val="00D046CF"/>
    <w:rsid w:val="00D05F99"/>
    <w:rsid w:val="00D06621"/>
    <w:rsid w:val="00D078F7"/>
    <w:rsid w:val="00D07FD3"/>
    <w:rsid w:val="00D10591"/>
    <w:rsid w:val="00D110C6"/>
    <w:rsid w:val="00D11B4A"/>
    <w:rsid w:val="00D1385F"/>
    <w:rsid w:val="00D14741"/>
    <w:rsid w:val="00D151FE"/>
    <w:rsid w:val="00D15A58"/>
    <w:rsid w:val="00D20321"/>
    <w:rsid w:val="00D20A0A"/>
    <w:rsid w:val="00D2307D"/>
    <w:rsid w:val="00D23FC8"/>
    <w:rsid w:val="00D244FF"/>
    <w:rsid w:val="00D2524A"/>
    <w:rsid w:val="00D2690A"/>
    <w:rsid w:val="00D31C35"/>
    <w:rsid w:val="00D32063"/>
    <w:rsid w:val="00D328FE"/>
    <w:rsid w:val="00D32D11"/>
    <w:rsid w:val="00D32DE5"/>
    <w:rsid w:val="00D35394"/>
    <w:rsid w:val="00D36C5A"/>
    <w:rsid w:val="00D3750C"/>
    <w:rsid w:val="00D3790D"/>
    <w:rsid w:val="00D37E08"/>
    <w:rsid w:val="00D4006C"/>
    <w:rsid w:val="00D4285A"/>
    <w:rsid w:val="00D437BC"/>
    <w:rsid w:val="00D44187"/>
    <w:rsid w:val="00D44AC8"/>
    <w:rsid w:val="00D45DEF"/>
    <w:rsid w:val="00D460F3"/>
    <w:rsid w:val="00D4705D"/>
    <w:rsid w:val="00D47F5B"/>
    <w:rsid w:val="00D52EC4"/>
    <w:rsid w:val="00D54C29"/>
    <w:rsid w:val="00D553EE"/>
    <w:rsid w:val="00D5634C"/>
    <w:rsid w:val="00D57662"/>
    <w:rsid w:val="00D577E8"/>
    <w:rsid w:val="00D60950"/>
    <w:rsid w:val="00D642D0"/>
    <w:rsid w:val="00D64364"/>
    <w:rsid w:val="00D64EB4"/>
    <w:rsid w:val="00D65642"/>
    <w:rsid w:val="00D661F2"/>
    <w:rsid w:val="00D66F5A"/>
    <w:rsid w:val="00D677B3"/>
    <w:rsid w:val="00D71A3A"/>
    <w:rsid w:val="00D72965"/>
    <w:rsid w:val="00D73271"/>
    <w:rsid w:val="00D751EE"/>
    <w:rsid w:val="00D76410"/>
    <w:rsid w:val="00D765CD"/>
    <w:rsid w:val="00D77735"/>
    <w:rsid w:val="00D778DC"/>
    <w:rsid w:val="00D80851"/>
    <w:rsid w:val="00D81AC2"/>
    <w:rsid w:val="00D81ADA"/>
    <w:rsid w:val="00D82D94"/>
    <w:rsid w:val="00D832FC"/>
    <w:rsid w:val="00D83BB6"/>
    <w:rsid w:val="00D83F79"/>
    <w:rsid w:val="00D855DD"/>
    <w:rsid w:val="00D8582D"/>
    <w:rsid w:val="00D870ED"/>
    <w:rsid w:val="00D90BB5"/>
    <w:rsid w:val="00D913D9"/>
    <w:rsid w:val="00D943BB"/>
    <w:rsid w:val="00D94AC7"/>
    <w:rsid w:val="00D96437"/>
    <w:rsid w:val="00D97697"/>
    <w:rsid w:val="00D97905"/>
    <w:rsid w:val="00DA120C"/>
    <w:rsid w:val="00DA19D3"/>
    <w:rsid w:val="00DA261B"/>
    <w:rsid w:val="00DA4EEF"/>
    <w:rsid w:val="00DA5072"/>
    <w:rsid w:val="00DA6AB2"/>
    <w:rsid w:val="00DA7952"/>
    <w:rsid w:val="00DA7A2D"/>
    <w:rsid w:val="00DB005E"/>
    <w:rsid w:val="00DB1D9D"/>
    <w:rsid w:val="00DB3E36"/>
    <w:rsid w:val="00DB41E8"/>
    <w:rsid w:val="00DB444F"/>
    <w:rsid w:val="00DB62F4"/>
    <w:rsid w:val="00DB7061"/>
    <w:rsid w:val="00DB79D2"/>
    <w:rsid w:val="00DC062D"/>
    <w:rsid w:val="00DC0A82"/>
    <w:rsid w:val="00DC2A3E"/>
    <w:rsid w:val="00DC3686"/>
    <w:rsid w:val="00DC391A"/>
    <w:rsid w:val="00DC3DFD"/>
    <w:rsid w:val="00DC43E0"/>
    <w:rsid w:val="00DC4415"/>
    <w:rsid w:val="00DC5CE6"/>
    <w:rsid w:val="00DC5E32"/>
    <w:rsid w:val="00DC66BC"/>
    <w:rsid w:val="00DC7894"/>
    <w:rsid w:val="00DD1E3B"/>
    <w:rsid w:val="00DD28A9"/>
    <w:rsid w:val="00DD2F0B"/>
    <w:rsid w:val="00DD3DF6"/>
    <w:rsid w:val="00DD4400"/>
    <w:rsid w:val="00DD7A16"/>
    <w:rsid w:val="00DE2445"/>
    <w:rsid w:val="00DE34BA"/>
    <w:rsid w:val="00DE3692"/>
    <w:rsid w:val="00DE4141"/>
    <w:rsid w:val="00DE69E2"/>
    <w:rsid w:val="00DE6DF3"/>
    <w:rsid w:val="00DE78A5"/>
    <w:rsid w:val="00DF12AE"/>
    <w:rsid w:val="00DF15D5"/>
    <w:rsid w:val="00DF2A2F"/>
    <w:rsid w:val="00DF3122"/>
    <w:rsid w:val="00DF3970"/>
    <w:rsid w:val="00DF3A31"/>
    <w:rsid w:val="00DF4495"/>
    <w:rsid w:val="00DF671A"/>
    <w:rsid w:val="00DF6A62"/>
    <w:rsid w:val="00DF75F0"/>
    <w:rsid w:val="00E001A3"/>
    <w:rsid w:val="00E00543"/>
    <w:rsid w:val="00E01B25"/>
    <w:rsid w:val="00E0228D"/>
    <w:rsid w:val="00E03ABC"/>
    <w:rsid w:val="00E04507"/>
    <w:rsid w:val="00E0613E"/>
    <w:rsid w:val="00E0645D"/>
    <w:rsid w:val="00E07764"/>
    <w:rsid w:val="00E07A83"/>
    <w:rsid w:val="00E10F19"/>
    <w:rsid w:val="00E11EB4"/>
    <w:rsid w:val="00E15013"/>
    <w:rsid w:val="00E15889"/>
    <w:rsid w:val="00E17206"/>
    <w:rsid w:val="00E176AF"/>
    <w:rsid w:val="00E20669"/>
    <w:rsid w:val="00E2235D"/>
    <w:rsid w:val="00E22C87"/>
    <w:rsid w:val="00E23AF6"/>
    <w:rsid w:val="00E24425"/>
    <w:rsid w:val="00E25555"/>
    <w:rsid w:val="00E267B1"/>
    <w:rsid w:val="00E277C6"/>
    <w:rsid w:val="00E3183D"/>
    <w:rsid w:val="00E32CAF"/>
    <w:rsid w:val="00E32CCB"/>
    <w:rsid w:val="00E32F8F"/>
    <w:rsid w:val="00E33990"/>
    <w:rsid w:val="00E33D11"/>
    <w:rsid w:val="00E407FC"/>
    <w:rsid w:val="00E42F81"/>
    <w:rsid w:val="00E43E81"/>
    <w:rsid w:val="00E4420B"/>
    <w:rsid w:val="00E449F2"/>
    <w:rsid w:val="00E450AE"/>
    <w:rsid w:val="00E4510B"/>
    <w:rsid w:val="00E45902"/>
    <w:rsid w:val="00E46385"/>
    <w:rsid w:val="00E46A69"/>
    <w:rsid w:val="00E508BC"/>
    <w:rsid w:val="00E52FB1"/>
    <w:rsid w:val="00E53110"/>
    <w:rsid w:val="00E53629"/>
    <w:rsid w:val="00E53AE9"/>
    <w:rsid w:val="00E54996"/>
    <w:rsid w:val="00E56660"/>
    <w:rsid w:val="00E569E2"/>
    <w:rsid w:val="00E56AA2"/>
    <w:rsid w:val="00E575CB"/>
    <w:rsid w:val="00E60412"/>
    <w:rsid w:val="00E614AD"/>
    <w:rsid w:val="00E62323"/>
    <w:rsid w:val="00E623A4"/>
    <w:rsid w:val="00E62AA9"/>
    <w:rsid w:val="00E62B72"/>
    <w:rsid w:val="00E633B0"/>
    <w:rsid w:val="00E6448D"/>
    <w:rsid w:val="00E648E4"/>
    <w:rsid w:val="00E65295"/>
    <w:rsid w:val="00E67891"/>
    <w:rsid w:val="00E70C86"/>
    <w:rsid w:val="00E7405A"/>
    <w:rsid w:val="00E76864"/>
    <w:rsid w:val="00E775E7"/>
    <w:rsid w:val="00E7781E"/>
    <w:rsid w:val="00E827F9"/>
    <w:rsid w:val="00E82AEF"/>
    <w:rsid w:val="00E82FE3"/>
    <w:rsid w:val="00E843B4"/>
    <w:rsid w:val="00E86435"/>
    <w:rsid w:val="00E86580"/>
    <w:rsid w:val="00E86788"/>
    <w:rsid w:val="00E86C64"/>
    <w:rsid w:val="00E90227"/>
    <w:rsid w:val="00E92520"/>
    <w:rsid w:val="00E9324D"/>
    <w:rsid w:val="00E95517"/>
    <w:rsid w:val="00E96D1E"/>
    <w:rsid w:val="00E97D52"/>
    <w:rsid w:val="00E97EAD"/>
    <w:rsid w:val="00E97EEF"/>
    <w:rsid w:val="00EA0010"/>
    <w:rsid w:val="00EA009F"/>
    <w:rsid w:val="00EA1EBF"/>
    <w:rsid w:val="00EA1FE4"/>
    <w:rsid w:val="00EA277C"/>
    <w:rsid w:val="00EA326A"/>
    <w:rsid w:val="00EA32B7"/>
    <w:rsid w:val="00EA3D43"/>
    <w:rsid w:val="00EA4935"/>
    <w:rsid w:val="00EB0739"/>
    <w:rsid w:val="00EB0B1D"/>
    <w:rsid w:val="00EB0E0E"/>
    <w:rsid w:val="00EB0E7B"/>
    <w:rsid w:val="00EB211E"/>
    <w:rsid w:val="00EB28C1"/>
    <w:rsid w:val="00EB319F"/>
    <w:rsid w:val="00EB33CE"/>
    <w:rsid w:val="00EB367C"/>
    <w:rsid w:val="00EB3E0D"/>
    <w:rsid w:val="00EB4984"/>
    <w:rsid w:val="00EB6614"/>
    <w:rsid w:val="00EB6885"/>
    <w:rsid w:val="00EB6BCC"/>
    <w:rsid w:val="00EC0786"/>
    <w:rsid w:val="00EC0FFF"/>
    <w:rsid w:val="00EC2806"/>
    <w:rsid w:val="00EC369F"/>
    <w:rsid w:val="00EC4A60"/>
    <w:rsid w:val="00EC62BA"/>
    <w:rsid w:val="00EC73D8"/>
    <w:rsid w:val="00EC7839"/>
    <w:rsid w:val="00EC7FAC"/>
    <w:rsid w:val="00ED011A"/>
    <w:rsid w:val="00ED0BA8"/>
    <w:rsid w:val="00ED2205"/>
    <w:rsid w:val="00ED477A"/>
    <w:rsid w:val="00ED5834"/>
    <w:rsid w:val="00ED58AA"/>
    <w:rsid w:val="00ED603C"/>
    <w:rsid w:val="00ED6961"/>
    <w:rsid w:val="00ED6BB6"/>
    <w:rsid w:val="00ED74DD"/>
    <w:rsid w:val="00EE00E5"/>
    <w:rsid w:val="00EE0DB9"/>
    <w:rsid w:val="00EE1154"/>
    <w:rsid w:val="00EE2214"/>
    <w:rsid w:val="00EE3CF4"/>
    <w:rsid w:val="00EE5FDD"/>
    <w:rsid w:val="00EE62DD"/>
    <w:rsid w:val="00EE6659"/>
    <w:rsid w:val="00EE720B"/>
    <w:rsid w:val="00EF0B26"/>
    <w:rsid w:val="00EF0D81"/>
    <w:rsid w:val="00EF11C6"/>
    <w:rsid w:val="00EF1EF8"/>
    <w:rsid w:val="00EF394C"/>
    <w:rsid w:val="00EF524A"/>
    <w:rsid w:val="00EF6473"/>
    <w:rsid w:val="00F0002F"/>
    <w:rsid w:val="00F006F5"/>
    <w:rsid w:val="00F00F9A"/>
    <w:rsid w:val="00F01B8A"/>
    <w:rsid w:val="00F026CE"/>
    <w:rsid w:val="00F03833"/>
    <w:rsid w:val="00F041A6"/>
    <w:rsid w:val="00F103B9"/>
    <w:rsid w:val="00F10CCE"/>
    <w:rsid w:val="00F112B8"/>
    <w:rsid w:val="00F122CD"/>
    <w:rsid w:val="00F125A2"/>
    <w:rsid w:val="00F146EB"/>
    <w:rsid w:val="00F153CA"/>
    <w:rsid w:val="00F215A6"/>
    <w:rsid w:val="00F216C1"/>
    <w:rsid w:val="00F224DD"/>
    <w:rsid w:val="00F248CB"/>
    <w:rsid w:val="00F24E42"/>
    <w:rsid w:val="00F25253"/>
    <w:rsid w:val="00F25C7A"/>
    <w:rsid w:val="00F26464"/>
    <w:rsid w:val="00F27029"/>
    <w:rsid w:val="00F2712D"/>
    <w:rsid w:val="00F279E5"/>
    <w:rsid w:val="00F30A13"/>
    <w:rsid w:val="00F30D44"/>
    <w:rsid w:val="00F32ADF"/>
    <w:rsid w:val="00F3328B"/>
    <w:rsid w:val="00F3330C"/>
    <w:rsid w:val="00F33BE2"/>
    <w:rsid w:val="00F34AEA"/>
    <w:rsid w:val="00F36867"/>
    <w:rsid w:val="00F40AEA"/>
    <w:rsid w:val="00F44057"/>
    <w:rsid w:val="00F44551"/>
    <w:rsid w:val="00F50B81"/>
    <w:rsid w:val="00F515F4"/>
    <w:rsid w:val="00F53078"/>
    <w:rsid w:val="00F55870"/>
    <w:rsid w:val="00F56532"/>
    <w:rsid w:val="00F56D59"/>
    <w:rsid w:val="00F57312"/>
    <w:rsid w:val="00F5745D"/>
    <w:rsid w:val="00F578C0"/>
    <w:rsid w:val="00F60225"/>
    <w:rsid w:val="00F60611"/>
    <w:rsid w:val="00F615EB"/>
    <w:rsid w:val="00F616B0"/>
    <w:rsid w:val="00F63F15"/>
    <w:rsid w:val="00F64AE5"/>
    <w:rsid w:val="00F6669E"/>
    <w:rsid w:val="00F67DC6"/>
    <w:rsid w:val="00F700E5"/>
    <w:rsid w:val="00F72FA2"/>
    <w:rsid w:val="00F73AC7"/>
    <w:rsid w:val="00F74E79"/>
    <w:rsid w:val="00F754E9"/>
    <w:rsid w:val="00F75A8C"/>
    <w:rsid w:val="00F75CF8"/>
    <w:rsid w:val="00F76E3D"/>
    <w:rsid w:val="00F801C4"/>
    <w:rsid w:val="00F8030A"/>
    <w:rsid w:val="00F80CE4"/>
    <w:rsid w:val="00F80E97"/>
    <w:rsid w:val="00F81D0E"/>
    <w:rsid w:val="00F82F23"/>
    <w:rsid w:val="00F8382F"/>
    <w:rsid w:val="00F83BA7"/>
    <w:rsid w:val="00F85733"/>
    <w:rsid w:val="00F85A8A"/>
    <w:rsid w:val="00F85B98"/>
    <w:rsid w:val="00F8649C"/>
    <w:rsid w:val="00F87064"/>
    <w:rsid w:val="00F901A9"/>
    <w:rsid w:val="00F90F58"/>
    <w:rsid w:val="00F91260"/>
    <w:rsid w:val="00F9167D"/>
    <w:rsid w:val="00F91C67"/>
    <w:rsid w:val="00F92077"/>
    <w:rsid w:val="00F93FEB"/>
    <w:rsid w:val="00F960AA"/>
    <w:rsid w:val="00F962B2"/>
    <w:rsid w:val="00FA000F"/>
    <w:rsid w:val="00FA1373"/>
    <w:rsid w:val="00FA3B84"/>
    <w:rsid w:val="00FA4BE1"/>
    <w:rsid w:val="00FA4FE7"/>
    <w:rsid w:val="00FA5F3C"/>
    <w:rsid w:val="00FA64D3"/>
    <w:rsid w:val="00FA6D34"/>
    <w:rsid w:val="00FA74C5"/>
    <w:rsid w:val="00FB130D"/>
    <w:rsid w:val="00FB38A9"/>
    <w:rsid w:val="00FB3F66"/>
    <w:rsid w:val="00FB4EC7"/>
    <w:rsid w:val="00FB5652"/>
    <w:rsid w:val="00FB648A"/>
    <w:rsid w:val="00FC00DE"/>
    <w:rsid w:val="00FC0E2F"/>
    <w:rsid w:val="00FC1239"/>
    <w:rsid w:val="00FC1871"/>
    <w:rsid w:val="00FC21EB"/>
    <w:rsid w:val="00FC3CB9"/>
    <w:rsid w:val="00FC4BD5"/>
    <w:rsid w:val="00FC5204"/>
    <w:rsid w:val="00FC5BA4"/>
    <w:rsid w:val="00FC5EC6"/>
    <w:rsid w:val="00FC6223"/>
    <w:rsid w:val="00FC685E"/>
    <w:rsid w:val="00FC6CD0"/>
    <w:rsid w:val="00FC7844"/>
    <w:rsid w:val="00FD1952"/>
    <w:rsid w:val="00FD2030"/>
    <w:rsid w:val="00FD27EA"/>
    <w:rsid w:val="00FD286B"/>
    <w:rsid w:val="00FD42B1"/>
    <w:rsid w:val="00FD43CB"/>
    <w:rsid w:val="00FD5ACD"/>
    <w:rsid w:val="00FD619D"/>
    <w:rsid w:val="00FE03D5"/>
    <w:rsid w:val="00FE122B"/>
    <w:rsid w:val="00FE1936"/>
    <w:rsid w:val="00FE1C56"/>
    <w:rsid w:val="00FE2632"/>
    <w:rsid w:val="00FE532E"/>
    <w:rsid w:val="00FE5CFB"/>
    <w:rsid w:val="00FE5D0F"/>
    <w:rsid w:val="00FE6A47"/>
    <w:rsid w:val="00FE759E"/>
    <w:rsid w:val="00FE77A5"/>
    <w:rsid w:val="00FE7DF5"/>
    <w:rsid w:val="00FE7DF7"/>
    <w:rsid w:val="00FE7EF5"/>
    <w:rsid w:val="00FF2D6B"/>
    <w:rsid w:val="00FF31EA"/>
    <w:rsid w:val="00FF5F7E"/>
    <w:rsid w:val="00FF5FAB"/>
    <w:rsid w:val="00FF7209"/>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002D"/>
  <w15:docId w15:val="{DDBEFFC7-9D7C-4CC0-A8C5-B19EA657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60"/>
  </w:style>
  <w:style w:type="paragraph" w:styleId="Heading1">
    <w:name w:val="heading 1"/>
    <w:basedOn w:val="Normal"/>
    <w:next w:val="Normal"/>
    <w:link w:val="Heading1Char"/>
    <w:uiPriority w:val="9"/>
    <w:qFormat/>
    <w:rsid w:val="00F27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2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2712D"/>
    <w:pPr>
      <w:spacing w:after="0" w:line="240" w:lineRule="auto"/>
    </w:pPr>
  </w:style>
  <w:style w:type="paragraph" w:styleId="BalloonText">
    <w:name w:val="Balloon Text"/>
    <w:basedOn w:val="Normal"/>
    <w:link w:val="BalloonTextChar"/>
    <w:uiPriority w:val="99"/>
    <w:semiHidden/>
    <w:unhideWhenUsed/>
    <w:rsid w:val="00F2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2D"/>
    <w:rPr>
      <w:rFonts w:ascii="Tahoma" w:hAnsi="Tahoma" w:cs="Tahoma"/>
      <w:sz w:val="16"/>
      <w:szCs w:val="16"/>
    </w:rPr>
  </w:style>
  <w:style w:type="table" w:styleId="TableGrid">
    <w:name w:val="Table Grid"/>
    <w:basedOn w:val="TableNormal"/>
    <w:uiPriority w:val="59"/>
    <w:rsid w:val="0025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10E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CD5009"/>
    <w:rPr>
      <w:color w:val="0000FF"/>
      <w:u w:val="single"/>
    </w:rPr>
  </w:style>
  <w:style w:type="paragraph" w:styleId="Header">
    <w:name w:val="header"/>
    <w:basedOn w:val="Normal"/>
    <w:link w:val="HeaderChar"/>
    <w:uiPriority w:val="99"/>
    <w:unhideWhenUsed/>
    <w:rsid w:val="007E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D2E"/>
  </w:style>
  <w:style w:type="paragraph" w:styleId="Footer">
    <w:name w:val="footer"/>
    <w:basedOn w:val="Normal"/>
    <w:link w:val="FooterChar"/>
    <w:uiPriority w:val="99"/>
    <w:unhideWhenUsed/>
    <w:rsid w:val="007E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2E"/>
  </w:style>
  <w:style w:type="character" w:styleId="CommentReference">
    <w:name w:val="annotation reference"/>
    <w:basedOn w:val="DefaultParagraphFont"/>
    <w:uiPriority w:val="99"/>
    <w:semiHidden/>
    <w:unhideWhenUsed/>
    <w:rsid w:val="00BD270B"/>
    <w:rPr>
      <w:sz w:val="16"/>
      <w:szCs w:val="16"/>
    </w:rPr>
  </w:style>
  <w:style w:type="paragraph" w:styleId="CommentText">
    <w:name w:val="annotation text"/>
    <w:basedOn w:val="Normal"/>
    <w:link w:val="CommentTextChar"/>
    <w:uiPriority w:val="99"/>
    <w:semiHidden/>
    <w:unhideWhenUsed/>
    <w:rsid w:val="00BD270B"/>
    <w:pPr>
      <w:spacing w:line="240" w:lineRule="auto"/>
    </w:pPr>
    <w:rPr>
      <w:sz w:val="20"/>
      <w:szCs w:val="20"/>
    </w:rPr>
  </w:style>
  <w:style w:type="character" w:customStyle="1" w:styleId="CommentTextChar">
    <w:name w:val="Comment Text Char"/>
    <w:basedOn w:val="DefaultParagraphFont"/>
    <w:link w:val="CommentText"/>
    <w:uiPriority w:val="99"/>
    <w:semiHidden/>
    <w:rsid w:val="00BD270B"/>
    <w:rPr>
      <w:sz w:val="20"/>
      <w:szCs w:val="20"/>
    </w:rPr>
  </w:style>
  <w:style w:type="paragraph" w:styleId="CommentSubject">
    <w:name w:val="annotation subject"/>
    <w:basedOn w:val="CommentText"/>
    <w:next w:val="CommentText"/>
    <w:link w:val="CommentSubjectChar"/>
    <w:uiPriority w:val="99"/>
    <w:semiHidden/>
    <w:unhideWhenUsed/>
    <w:rsid w:val="00BD270B"/>
    <w:rPr>
      <w:b/>
      <w:bCs/>
    </w:rPr>
  </w:style>
  <w:style w:type="character" w:customStyle="1" w:styleId="CommentSubjectChar">
    <w:name w:val="Comment Subject Char"/>
    <w:basedOn w:val="CommentTextChar"/>
    <w:link w:val="CommentSubject"/>
    <w:uiPriority w:val="99"/>
    <w:semiHidden/>
    <w:rsid w:val="00BD270B"/>
    <w:rPr>
      <w:b/>
      <w:bCs/>
      <w:sz w:val="20"/>
      <w:szCs w:val="20"/>
    </w:rPr>
  </w:style>
  <w:style w:type="character" w:customStyle="1" w:styleId="NoSpacingChar">
    <w:name w:val="No Spacing Char"/>
    <w:basedOn w:val="DefaultParagraphFont"/>
    <w:link w:val="NoSpacing"/>
    <w:uiPriority w:val="1"/>
    <w:rsid w:val="00782E51"/>
  </w:style>
  <w:style w:type="paragraph" w:styleId="ListParagraph">
    <w:name w:val="List Paragraph"/>
    <w:basedOn w:val="Normal"/>
    <w:uiPriority w:val="34"/>
    <w:qFormat/>
    <w:rsid w:val="00BE4117"/>
    <w:pPr>
      <w:spacing w:after="160" w:line="259" w:lineRule="auto"/>
      <w:ind w:left="720"/>
      <w:contextualSpacing/>
    </w:pPr>
  </w:style>
  <w:style w:type="table" w:customStyle="1" w:styleId="ListTable4-Accent51">
    <w:name w:val="List Table 4 - Accent 51"/>
    <w:basedOn w:val="TableNormal"/>
    <w:uiPriority w:val="49"/>
    <w:rsid w:val="00232B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1">
    <w:name w:val="Unresolved Mention1"/>
    <w:basedOn w:val="DefaultParagraphFont"/>
    <w:uiPriority w:val="99"/>
    <w:semiHidden/>
    <w:unhideWhenUsed/>
    <w:rsid w:val="0045675D"/>
    <w:rPr>
      <w:color w:val="605E5C"/>
      <w:shd w:val="clear" w:color="auto" w:fill="E1DFDD"/>
    </w:rPr>
  </w:style>
  <w:style w:type="character" w:customStyle="1" w:styleId="UnresolvedMention2">
    <w:name w:val="Unresolved Mention2"/>
    <w:basedOn w:val="DefaultParagraphFont"/>
    <w:uiPriority w:val="99"/>
    <w:semiHidden/>
    <w:unhideWhenUsed/>
    <w:rsid w:val="00834DC2"/>
    <w:rPr>
      <w:color w:val="605E5C"/>
      <w:shd w:val="clear" w:color="auto" w:fill="E1DFDD"/>
    </w:rPr>
  </w:style>
  <w:style w:type="table" w:styleId="GridTable4-Accent1">
    <w:name w:val="Grid Table 4 Accent 1"/>
    <w:basedOn w:val="TableNormal"/>
    <w:uiPriority w:val="49"/>
    <w:rsid w:val="0084388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DD7A1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0D3B1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0D3B1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DA261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E277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14">
      <w:bodyDiv w:val="1"/>
      <w:marLeft w:val="0"/>
      <w:marRight w:val="0"/>
      <w:marTop w:val="0"/>
      <w:marBottom w:val="0"/>
      <w:divBdr>
        <w:top w:val="none" w:sz="0" w:space="0" w:color="auto"/>
        <w:left w:val="none" w:sz="0" w:space="0" w:color="auto"/>
        <w:bottom w:val="none" w:sz="0" w:space="0" w:color="auto"/>
        <w:right w:val="none" w:sz="0" w:space="0" w:color="auto"/>
      </w:divBdr>
    </w:div>
    <w:div w:id="31536659">
      <w:bodyDiv w:val="1"/>
      <w:marLeft w:val="0"/>
      <w:marRight w:val="0"/>
      <w:marTop w:val="0"/>
      <w:marBottom w:val="0"/>
      <w:divBdr>
        <w:top w:val="none" w:sz="0" w:space="0" w:color="auto"/>
        <w:left w:val="none" w:sz="0" w:space="0" w:color="auto"/>
        <w:bottom w:val="none" w:sz="0" w:space="0" w:color="auto"/>
        <w:right w:val="none" w:sz="0" w:space="0" w:color="auto"/>
      </w:divBdr>
    </w:div>
    <w:div w:id="33578880">
      <w:bodyDiv w:val="1"/>
      <w:marLeft w:val="0"/>
      <w:marRight w:val="0"/>
      <w:marTop w:val="0"/>
      <w:marBottom w:val="0"/>
      <w:divBdr>
        <w:top w:val="none" w:sz="0" w:space="0" w:color="auto"/>
        <w:left w:val="none" w:sz="0" w:space="0" w:color="auto"/>
        <w:bottom w:val="none" w:sz="0" w:space="0" w:color="auto"/>
        <w:right w:val="none" w:sz="0" w:space="0" w:color="auto"/>
      </w:divBdr>
    </w:div>
    <w:div w:id="128518350">
      <w:bodyDiv w:val="1"/>
      <w:marLeft w:val="0"/>
      <w:marRight w:val="0"/>
      <w:marTop w:val="0"/>
      <w:marBottom w:val="0"/>
      <w:divBdr>
        <w:top w:val="none" w:sz="0" w:space="0" w:color="auto"/>
        <w:left w:val="none" w:sz="0" w:space="0" w:color="auto"/>
        <w:bottom w:val="none" w:sz="0" w:space="0" w:color="auto"/>
        <w:right w:val="none" w:sz="0" w:space="0" w:color="auto"/>
      </w:divBdr>
    </w:div>
    <w:div w:id="177159065">
      <w:bodyDiv w:val="1"/>
      <w:marLeft w:val="0"/>
      <w:marRight w:val="0"/>
      <w:marTop w:val="0"/>
      <w:marBottom w:val="0"/>
      <w:divBdr>
        <w:top w:val="none" w:sz="0" w:space="0" w:color="auto"/>
        <w:left w:val="none" w:sz="0" w:space="0" w:color="auto"/>
        <w:bottom w:val="none" w:sz="0" w:space="0" w:color="auto"/>
        <w:right w:val="none" w:sz="0" w:space="0" w:color="auto"/>
      </w:divBdr>
    </w:div>
    <w:div w:id="484712557">
      <w:bodyDiv w:val="1"/>
      <w:marLeft w:val="0"/>
      <w:marRight w:val="0"/>
      <w:marTop w:val="0"/>
      <w:marBottom w:val="0"/>
      <w:divBdr>
        <w:top w:val="none" w:sz="0" w:space="0" w:color="auto"/>
        <w:left w:val="none" w:sz="0" w:space="0" w:color="auto"/>
        <w:bottom w:val="none" w:sz="0" w:space="0" w:color="auto"/>
        <w:right w:val="none" w:sz="0" w:space="0" w:color="auto"/>
      </w:divBdr>
    </w:div>
    <w:div w:id="571233653">
      <w:bodyDiv w:val="1"/>
      <w:marLeft w:val="0"/>
      <w:marRight w:val="0"/>
      <w:marTop w:val="0"/>
      <w:marBottom w:val="0"/>
      <w:divBdr>
        <w:top w:val="none" w:sz="0" w:space="0" w:color="auto"/>
        <w:left w:val="none" w:sz="0" w:space="0" w:color="auto"/>
        <w:bottom w:val="none" w:sz="0" w:space="0" w:color="auto"/>
        <w:right w:val="none" w:sz="0" w:space="0" w:color="auto"/>
      </w:divBdr>
    </w:div>
    <w:div w:id="588974724">
      <w:bodyDiv w:val="1"/>
      <w:marLeft w:val="0"/>
      <w:marRight w:val="0"/>
      <w:marTop w:val="0"/>
      <w:marBottom w:val="0"/>
      <w:divBdr>
        <w:top w:val="none" w:sz="0" w:space="0" w:color="auto"/>
        <w:left w:val="none" w:sz="0" w:space="0" w:color="auto"/>
        <w:bottom w:val="none" w:sz="0" w:space="0" w:color="auto"/>
        <w:right w:val="none" w:sz="0" w:space="0" w:color="auto"/>
      </w:divBdr>
    </w:div>
    <w:div w:id="616985097">
      <w:bodyDiv w:val="1"/>
      <w:marLeft w:val="0"/>
      <w:marRight w:val="0"/>
      <w:marTop w:val="0"/>
      <w:marBottom w:val="0"/>
      <w:divBdr>
        <w:top w:val="none" w:sz="0" w:space="0" w:color="auto"/>
        <w:left w:val="none" w:sz="0" w:space="0" w:color="auto"/>
        <w:bottom w:val="none" w:sz="0" w:space="0" w:color="auto"/>
        <w:right w:val="none" w:sz="0" w:space="0" w:color="auto"/>
      </w:divBdr>
    </w:div>
    <w:div w:id="627468634">
      <w:bodyDiv w:val="1"/>
      <w:marLeft w:val="0"/>
      <w:marRight w:val="0"/>
      <w:marTop w:val="0"/>
      <w:marBottom w:val="0"/>
      <w:divBdr>
        <w:top w:val="none" w:sz="0" w:space="0" w:color="auto"/>
        <w:left w:val="none" w:sz="0" w:space="0" w:color="auto"/>
        <w:bottom w:val="none" w:sz="0" w:space="0" w:color="auto"/>
        <w:right w:val="none" w:sz="0" w:space="0" w:color="auto"/>
      </w:divBdr>
    </w:div>
    <w:div w:id="692338332">
      <w:bodyDiv w:val="1"/>
      <w:marLeft w:val="0"/>
      <w:marRight w:val="0"/>
      <w:marTop w:val="0"/>
      <w:marBottom w:val="0"/>
      <w:divBdr>
        <w:top w:val="none" w:sz="0" w:space="0" w:color="auto"/>
        <w:left w:val="none" w:sz="0" w:space="0" w:color="auto"/>
        <w:bottom w:val="none" w:sz="0" w:space="0" w:color="auto"/>
        <w:right w:val="none" w:sz="0" w:space="0" w:color="auto"/>
      </w:divBdr>
    </w:div>
    <w:div w:id="723069261">
      <w:bodyDiv w:val="1"/>
      <w:marLeft w:val="0"/>
      <w:marRight w:val="0"/>
      <w:marTop w:val="0"/>
      <w:marBottom w:val="0"/>
      <w:divBdr>
        <w:top w:val="none" w:sz="0" w:space="0" w:color="auto"/>
        <w:left w:val="none" w:sz="0" w:space="0" w:color="auto"/>
        <w:bottom w:val="none" w:sz="0" w:space="0" w:color="auto"/>
        <w:right w:val="none" w:sz="0" w:space="0" w:color="auto"/>
      </w:divBdr>
    </w:div>
    <w:div w:id="731126497">
      <w:bodyDiv w:val="1"/>
      <w:marLeft w:val="0"/>
      <w:marRight w:val="0"/>
      <w:marTop w:val="0"/>
      <w:marBottom w:val="0"/>
      <w:divBdr>
        <w:top w:val="none" w:sz="0" w:space="0" w:color="auto"/>
        <w:left w:val="none" w:sz="0" w:space="0" w:color="auto"/>
        <w:bottom w:val="none" w:sz="0" w:space="0" w:color="auto"/>
        <w:right w:val="none" w:sz="0" w:space="0" w:color="auto"/>
      </w:divBdr>
    </w:div>
    <w:div w:id="742921274">
      <w:bodyDiv w:val="1"/>
      <w:marLeft w:val="0"/>
      <w:marRight w:val="0"/>
      <w:marTop w:val="0"/>
      <w:marBottom w:val="0"/>
      <w:divBdr>
        <w:top w:val="none" w:sz="0" w:space="0" w:color="auto"/>
        <w:left w:val="none" w:sz="0" w:space="0" w:color="auto"/>
        <w:bottom w:val="none" w:sz="0" w:space="0" w:color="auto"/>
        <w:right w:val="none" w:sz="0" w:space="0" w:color="auto"/>
      </w:divBdr>
    </w:div>
    <w:div w:id="908079451">
      <w:bodyDiv w:val="1"/>
      <w:marLeft w:val="0"/>
      <w:marRight w:val="0"/>
      <w:marTop w:val="0"/>
      <w:marBottom w:val="0"/>
      <w:divBdr>
        <w:top w:val="none" w:sz="0" w:space="0" w:color="auto"/>
        <w:left w:val="none" w:sz="0" w:space="0" w:color="auto"/>
        <w:bottom w:val="none" w:sz="0" w:space="0" w:color="auto"/>
        <w:right w:val="none" w:sz="0" w:space="0" w:color="auto"/>
      </w:divBdr>
    </w:div>
    <w:div w:id="920066878">
      <w:bodyDiv w:val="1"/>
      <w:marLeft w:val="0"/>
      <w:marRight w:val="0"/>
      <w:marTop w:val="0"/>
      <w:marBottom w:val="0"/>
      <w:divBdr>
        <w:top w:val="none" w:sz="0" w:space="0" w:color="auto"/>
        <w:left w:val="none" w:sz="0" w:space="0" w:color="auto"/>
        <w:bottom w:val="none" w:sz="0" w:space="0" w:color="auto"/>
        <w:right w:val="none" w:sz="0" w:space="0" w:color="auto"/>
      </w:divBdr>
    </w:div>
    <w:div w:id="939800637">
      <w:bodyDiv w:val="1"/>
      <w:marLeft w:val="0"/>
      <w:marRight w:val="0"/>
      <w:marTop w:val="0"/>
      <w:marBottom w:val="0"/>
      <w:divBdr>
        <w:top w:val="none" w:sz="0" w:space="0" w:color="auto"/>
        <w:left w:val="none" w:sz="0" w:space="0" w:color="auto"/>
        <w:bottom w:val="none" w:sz="0" w:space="0" w:color="auto"/>
        <w:right w:val="none" w:sz="0" w:space="0" w:color="auto"/>
      </w:divBdr>
    </w:div>
    <w:div w:id="958537348">
      <w:bodyDiv w:val="1"/>
      <w:marLeft w:val="0"/>
      <w:marRight w:val="0"/>
      <w:marTop w:val="0"/>
      <w:marBottom w:val="0"/>
      <w:divBdr>
        <w:top w:val="none" w:sz="0" w:space="0" w:color="auto"/>
        <w:left w:val="none" w:sz="0" w:space="0" w:color="auto"/>
        <w:bottom w:val="none" w:sz="0" w:space="0" w:color="auto"/>
        <w:right w:val="none" w:sz="0" w:space="0" w:color="auto"/>
      </w:divBdr>
    </w:div>
    <w:div w:id="1066418647">
      <w:bodyDiv w:val="1"/>
      <w:marLeft w:val="0"/>
      <w:marRight w:val="0"/>
      <w:marTop w:val="0"/>
      <w:marBottom w:val="0"/>
      <w:divBdr>
        <w:top w:val="none" w:sz="0" w:space="0" w:color="auto"/>
        <w:left w:val="none" w:sz="0" w:space="0" w:color="auto"/>
        <w:bottom w:val="none" w:sz="0" w:space="0" w:color="auto"/>
        <w:right w:val="none" w:sz="0" w:space="0" w:color="auto"/>
      </w:divBdr>
    </w:div>
    <w:div w:id="1193878164">
      <w:bodyDiv w:val="1"/>
      <w:marLeft w:val="0"/>
      <w:marRight w:val="0"/>
      <w:marTop w:val="0"/>
      <w:marBottom w:val="0"/>
      <w:divBdr>
        <w:top w:val="none" w:sz="0" w:space="0" w:color="auto"/>
        <w:left w:val="none" w:sz="0" w:space="0" w:color="auto"/>
        <w:bottom w:val="none" w:sz="0" w:space="0" w:color="auto"/>
        <w:right w:val="none" w:sz="0" w:space="0" w:color="auto"/>
      </w:divBdr>
    </w:div>
    <w:div w:id="1209026870">
      <w:bodyDiv w:val="1"/>
      <w:marLeft w:val="0"/>
      <w:marRight w:val="0"/>
      <w:marTop w:val="0"/>
      <w:marBottom w:val="0"/>
      <w:divBdr>
        <w:top w:val="none" w:sz="0" w:space="0" w:color="auto"/>
        <w:left w:val="none" w:sz="0" w:space="0" w:color="auto"/>
        <w:bottom w:val="none" w:sz="0" w:space="0" w:color="auto"/>
        <w:right w:val="none" w:sz="0" w:space="0" w:color="auto"/>
      </w:divBdr>
    </w:div>
    <w:div w:id="1263760097">
      <w:bodyDiv w:val="1"/>
      <w:marLeft w:val="0"/>
      <w:marRight w:val="0"/>
      <w:marTop w:val="0"/>
      <w:marBottom w:val="0"/>
      <w:divBdr>
        <w:top w:val="none" w:sz="0" w:space="0" w:color="auto"/>
        <w:left w:val="none" w:sz="0" w:space="0" w:color="auto"/>
        <w:bottom w:val="none" w:sz="0" w:space="0" w:color="auto"/>
        <w:right w:val="none" w:sz="0" w:space="0" w:color="auto"/>
      </w:divBdr>
    </w:div>
    <w:div w:id="1307197628">
      <w:bodyDiv w:val="1"/>
      <w:marLeft w:val="0"/>
      <w:marRight w:val="0"/>
      <w:marTop w:val="0"/>
      <w:marBottom w:val="0"/>
      <w:divBdr>
        <w:top w:val="none" w:sz="0" w:space="0" w:color="auto"/>
        <w:left w:val="none" w:sz="0" w:space="0" w:color="auto"/>
        <w:bottom w:val="none" w:sz="0" w:space="0" w:color="auto"/>
        <w:right w:val="none" w:sz="0" w:space="0" w:color="auto"/>
      </w:divBdr>
    </w:div>
    <w:div w:id="1319967319">
      <w:bodyDiv w:val="1"/>
      <w:marLeft w:val="0"/>
      <w:marRight w:val="0"/>
      <w:marTop w:val="0"/>
      <w:marBottom w:val="0"/>
      <w:divBdr>
        <w:top w:val="none" w:sz="0" w:space="0" w:color="auto"/>
        <w:left w:val="none" w:sz="0" w:space="0" w:color="auto"/>
        <w:bottom w:val="none" w:sz="0" w:space="0" w:color="auto"/>
        <w:right w:val="none" w:sz="0" w:space="0" w:color="auto"/>
      </w:divBdr>
    </w:div>
    <w:div w:id="1476682346">
      <w:bodyDiv w:val="1"/>
      <w:marLeft w:val="0"/>
      <w:marRight w:val="0"/>
      <w:marTop w:val="0"/>
      <w:marBottom w:val="0"/>
      <w:divBdr>
        <w:top w:val="none" w:sz="0" w:space="0" w:color="auto"/>
        <w:left w:val="none" w:sz="0" w:space="0" w:color="auto"/>
        <w:bottom w:val="none" w:sz="0" w:space="0" w:color="auto"/>
        <w:right w:val="none" w:sz="0" w:space="0" w:color="auto"/>
      </w:divBdr>
    </w:div>
    <w:div w:id="1542552639">
      <w:bodyDiv w:val="1"/>
      <w:marLeft w:val="0"/>
      <w:marRight w:val="0"/>
      <w:marTop w:val="0"/>
      <w:marBottom w:val="0"/>
      <w:divBdr>
        <w:top w:val="none" w:sz="0" w:space="0" w:color="auto"/>
        <w:left w:val="none" w:sz="0" w:space="0" w:color="auto"/>
        <w:bottom w:val="none" w:sz="0" w:space="0" w:color="auto"/>
        <w:right w:val="none" w:sz="0" w:space="0" w:color="auto"/>
      </w:divBdr>
    </w:div>
    <w:div w:id="1551645910">
      <w:bodyDiv w:val="1"/>
      <w:marLeft w:val="0"/>
      <w:marRight w:val="0"/>
      <w:marTop w:val="0"/>
      <w:marBottom w:val="0"/>
      <w:divBdr>
        <w:top w:val="none" w:sz="0" w:space="0" w:color="auto"/>
        <w:left w:val="none" w:sz="0" w:space="0" w:color="auto"/>
        <w:bottom w:val="none" w:sz="0" w:space="0" w:color="auto"/>
        <w:right w:val="none" w:sz="0" w:space="0" w:color="auto"/>
      </w:divBdr>
    </w:div>
    <w:div w:id="1612516615">
      <w:bodyDiv w:val="1"/>
      <w:marLeft w:val="0"/>
      <w:marRight w:val="0"/>
      <w:marTop w:val="0"/>
      <w:marBottom w:val="0"/>
      <w:divBdr>
        <w:top w:val="none" w:sz="0" w:space="0" w:color="auto"/>
        <w:left w:val="none" w:sz="0" w:space="0" w:color="auto"/>
        <w:bottom w:val="none" w:sz="0" w:space="0" w:color="auto"/>
        <w:right w:val="none" w:sz="0" w:space="0" w:color="auto"/>
      </w:divBdr>
    </w:div>
    <w:div w:id="1726249752">
      <w:bodyDiv w:val="1"/>
      <w:marLeft w:val="0"/>
      <w:marRight w:val="0"/>
      <w:marTop w:val="0"/>
      <w:marBottom w:val="0"/>
      <w:divBdr>
        <w:top w:val="none" w:sz="0" w:space="0" w:color="auto"/>
        <w:left w:val="none" w:sz="0" w:space="0" w:color="auto"/>
        <w:bottom w:val="none" w:sz="0" w:space="0" w:color="auto"/>
        <w:right w:val="none" w:sz="0" w:space="0" w:color="auto"/>
      </w:divBdr>
    </w:div>
    <w:div w:id="2018773501">
      <w:bodyDiv w:val="1"/>
      <w:marLeft w:val="0"/>
      <w:marRight w:val="0"/>
      <w:marTop w:val="0"/>
      <w:marBottom w:val="0"/>
      <w:divBdr>
        <w:top w:val="none" w:sz="0" w:space="0" w:color="auto"/>
        <w:left w:val="none" w:sz="0" w:space="0" w:color="auto"/>
        <w:bottom w:val="none" w:sz="0" w:space="0" w:color="auto"/>
        <w:right w:val="none" w:sz="0" w:space="0" w:color="auto"/>
      </w:divBdr>
    </w:div>
    <w:div w:id="21462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watson@freshprodu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reshproduce.com/insit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e-Marie\Documents\210%20Analytics\Clients\IRI\2023\January%202023\Line_graph_produce_January_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ne-Marie\Documents\210%20Analytics\Clients\IRI\2023\January%202023\Line_graph_produce_January_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ne-Marie\Documents\210%20Analytics\Clients\IRI\2023\January%202023\Line_graph_produce_January_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000"/>
            </a:pPr>
            <a:r>
              <a:rPr lang="en-US" sz="1000"/>
              <a:t>% Dollar growth versus YA and 2019</a:t>
            </a:r>
          </a:p>
        </c:rich>
      </c:tx>
      <c:overlay val="0"/>
    </c:title>
    <c:autoTitleDeleted val="0"/>
    <c:plotArea>
      <c:layout/>
      <c:lineChart>
        <c:grouping val="standard"/>
        <c:varyColors val="0"/>
        <c:ser>
          <c:idx val="0"/>
          <c:order val="0"/>
          <c:tx>
            <c:strRef>
              <c:f>Sheet1!$A$30</c:f>
              <c:strCache>
                <c:ptCount val="1"/>
                <c:pt idx="0">
                  <c:v>Produce dpt  </c:v>
                </c:pt>
              </c:strCache>
            </c:strRef>
          </c:tx>
          <c:marker>
            <c:symbol val="none"/>
          </c:marker>
          <c:dLbls>
            <c:dLbl>
              <c:idx val="0"/>
              <c:layout>
                <c:manualLayout>
                  <c:x val="-6.3073042185404743E-2"/>
                  <c:y val="-1.0999996535434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64-46AD-AB7A-A6B9659E5BC1}"/>
                </c:ext>
              </c:extLst>
            </c:dLbl>
            <c:dLbl>
              <c:idx val="1"/>
              <c:layout>
                <c:manualLayout>
                  <c:x val="-3.2262228751839012E-2"/>
                  <c:y val="-1.899999401574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64-46AD-AB7A-A6B9659E5BC1}"/>
                </c:ext>
              </c:extLst>
            </c:dLbl>
            <c:dLbl>
              <c:idx val="5"/>
              <c:layout>
                <c:manualLayout>
                  <c:x val="-2.4229214437575215E-2"/>
                  <c:y val="-1.4999995275592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64-46AD-AB7A-A6B9659E5BC1}"/>
                </c:ext>
              </c:extLst>
            </c:dLbl>
            <c:dLbl>
              <c:idx val="6"/>
              <c:layout>
                <c:manualLayout>
                  <c:x val="-3.6881075840587842E-2"/>
                  <c:y val="-2.00863862565649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64-46AD-AB7A-A6B9659E5BC1}"/>
                </c:ext>
              </c:extLst>
            </c:dLbl>
            <c:dLbl>
              <c:idx val="7"/>
              <c:layout>
                <c:manualLayout>
                  <c:x val="-1.2700320381976309E-2"/>
                  <c:y val="2.39740069492428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64-46AD-AB7A-A6B9659E5BC1}"/>
                </c:ext>
              </c:extLst>
            </c:dLbl>
            <c:dLbl>
              <c:idx val="8"/>
              <c:layout>
                <c:manualLayout>
                  <c:x val="-1.8726705522064315E-2"/>
                  <c:y val="-2.2288533225572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64-46AD-AB7A-A6B9659E5BC1}"/>
                </c:ext>
              </c:extLst>
            </c:dLbl>
            <c:dLbl>
              <c:idx val="9"/>
              <c:layout>
                <c:manualLayout>
                  <c:x val="-1.4612762247133194E-2"/>
                  <c:y val="-2.9476601902744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664-46AD-AB7A-A6B9659E5BC1}"/>
                </c:ext>
              </c:extLst>
            </c:dLbl>
            <c:dLbl>
              <c:idx val="10"/>
              <c:layout>
                <c:manualLayout>
                  <c:x val="-6.1708652810387428E-3"/>
                  <c:y val="-7.531148333540705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664-46AD-AB7A-A6B9659E5BC1}"/>
                </c:ext>
              </c:extLst>
            </c:dLbl>
            <c:dLbl>
              <c:idx val="11"/>
              <c:layout>
                <c:manualLayout>
                  <c:x val="-2.4693211455823771E-2"/>
                  <c:y val="2.81119320555966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664-46AD-AB7A-A6B9659E5BC1}"/>
                </c:ext>
              </c:extLst>
            </c:dLbl>
            <c:dLbl>
              <c:idx val="12"/>
              <c:layout>
                <c:manualLayout>
                  <c:x val="-2.3484444590904287E-2"/>
                  <c:y val="-1.79424119166335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664-46AD-AB7A-A6B9659E5BC1}"/>
                </c:ext>
              </c:extLst>
            </c:dLbl>
            <c:dLbl>
              <c:idx val="13"/>
              <c:layout>
                <c:manualLayout>
                  <c:x val="-1.8576973326594252E-2"/>
                  <c:y val="3.08599510085453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664-46AD-AB7A-A6B9659E5BC1}"/>
                </c:ext>
              </c:extLst>
            </c:dLbl>
            <c:spPr>
              <a:noFill/>
              <a:ln>
                <a:noFill/>
              </a:ln>
              <a:effectLst/>
            </c:spPr>
            <c:txPr>
              <a:bodyPr/>
              <a:lstStyle/>
              <a:p>
                <a:pPr>
                  <a:defRPr sz="800">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2020</c:v>
                </c:pt>
                <c:pt idx="2">
                  <c:v>Q1 '21</c:v>
                </c:pt>
                <c:pt idx="3">
                  <c:v>Q2 '21</c:v>
                </c:pt>
                <c:pt idx="4">
                  <c:v>Q3 '21</c:v>
                </c:pt>
                <c:pt idx="5">
                  <c:v>Q4 '21</c:v>
                </c:pt>
                <c:pt idx="6">
                  <c:v>Q1 '22</c:v>
                </c:pt>
                <c:pt idx="7">
                  <c:v>Q2 '22</c:v>
                </c:pt>
                <c:pt idx="8">
                  <c:v>Q3 '22</c:v>
                </c:pt>
                <c:pt idx="9">
                  <c:v>Q4 '22</c:v>
                </c:pt>
                <c:pt idx="10">
                  <c:v>Jan 23</c:v>
                </c:pt>
              </c:strCache>
            </c:strRef>
          </c:cat>
          <c:val>
            <c:numRef>
              <c:f>Sheet1!$B$30:$L$30</c:f>
              <c:numCache>
                <c:formatCode>0%</c:formatCode>
                <c:ptCount val="11"/>
                <c:pt idx="0">
                  <c:v>1.7999999999999999E-2</c:v>
                </c:pt>
                <c:pt idx="1">
                  <c:v>0.11700000000000001</c:v>
                </c:pt>
                <c:pt idx="2">
                  <c:v>4.8000000000000001E-2</c:v>
                </c:pt>
                <c:pt idx="3">
                  <c:v>-1.0999999999999999E-2</c:v>
                </c:pt>
                <c:pt idx="4">
                  <c:v>0.02</c:v>
                </c:pt>
                <c:pt idx="5">
                  <c:v>5.0999999999999997E-2</c:v>
                </c:pt>
                <c:pt idx="6">
                  <c:v>4.7E-2</c:v>
                </c:pt>
                <c:pt idx="7">
                  <c:v>3.5999999999999997E-2</c:v>
                </c:pt>
                <c:pt idx="8">
                  <c:v>4.5999999999999999E-2</c:v>
                </c:pt>
                <c:pt idx="9">
                  <c:v>4.1781901116790601E-2</c:v>
                </c:pt>
                <c:pt idx="10" formatCode="0.0%">
                  <c:v>1.3000000000000001E-2</c:v>
                </c:pt>
              </c:numCache>
            </c:numRef>
          </c:val>
          <c:smooth val="0"/>
          <c:extLst>
            <c:ext xmlns:c16="http://schemas.microsoft.com/office/drawing/2014/chart" uri="{C3380CC4-5D6E-409C-BE32-E72D297353CC}">
              <c16:uniqueId val="{0000000B-1664-46AD-AB7A-A6B9659E5BC1}"/>
            </c:ext>
          </c:extLst>
        </c:ser>
        <c:ser>
          <c:idx val="1"/>
          <c:order val="1"/>
          <c:tx>
            <c:strRef>
              <c:f>Sheet1!$A$31</c:f>
              <c:strCache>
                <c:ptCount val="1"/>
                <c:pt idx="0">
                  <c:v>Fresh fruit</c:v>
                </c:pt>
              </c:strCache>
            </c:strRef>
          </c:tx>
          <c:marker>
            <c:symbol val="none"/>
          </c:marker>
          <c:dLbls>
            <c:dLbl>
              <c:idx val="0"/>
              <c:layout>
                <c:manualLayout>
                  <c:x val="-6.4151356812203172E-2"/>
                  <c:y val="-4.999998425197379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664-46AD-AB7A-A6B9659E5BC1}"/>
                </c:ext>
              </c:extLst>
            </c:dLbl>
            <c:dLbl>
              <c:idx val="5"/>
              <c:layout>
                <c:manualLayout>
                  <c:x val="-2.5939110462519059E-2"/>
                  <c:y val="4.6999985196855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664-46AD-AB7A-A6B9659E5BC1}"/>
                </c:ext>
              </c:extLst>
            </c:dLbl>
            <c:dLbl>
              <c:idx val="7"/>
              <c:layout>
                <c:manualLayout>
                  <c:x val="-1.5272707253360319E-2"/>
                  <c:y val="-3.1879898254706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664-46AD-AB7A-A6B9659E5BC1}"/>
                </c:ext>
              </c:extLst>
            </c:dLbl>
            <c:dLbl>
              <c:idx val="8"/>
              <c:layout>
                <c:manualLayout>
                  <c:x val="-1.5503347337317341E-2"/>
                  <c:y val="2.2435382531660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664-46AD-AB7A-A6B9659E5BC1}"/>
                </c:ext>
              </c:extLst>
            </c:dLbl>
            <c:dLbl>
              <c:idx val="9"/>
              <c:layout>
                <c:manualLayout>
                  <c:x val="-2.1295823144015694E-2"/>
                  <c:y val="1.88159029388621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664-46AD-AB7A-A6B9659E5BC1}"/>
                </c:ext>
              </c:extLst>
            </c:dLbl>
            <c:dLbl>
              <c:idx val="10"/>
              <c:layout>
                <c:manualLayout>
                  <c:x val="-3.6496104464030497E-3"/>
                  <c:y val="-2.46209928138698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664-46AD-AB7A-A6B9659E5BC1}"/>
                </c:ext>
              </c:extLst>
            </c:dLbl>
            <c:dLbl>
              <c:idx val="11"/>
              <c:layout>
                <c:manualLayout>
                  <c:x val="-1.6288929183536787E-2"/>
                  <c:y val="-2.811193205559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664-46AD-AB7A-A6B9659E5BC1}"/>
                </c:ext>
              </c:extLst>
            </c:dLbl>
            <c:dLbl>
              <c:idx val="12"/>
              <c:layout>
                <c:manualLayout>
                  <c:x val="-2.6024411456978667E-2"/>
                  <c:y val="-1.67609970915972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664-46AD-AB7A-A6B9659E5BC1}"/>
                </c:ext>
              </c:extLst>
            </c:dLbl>
            <c:spPr>
              <a:noFill/>
              <a:ln>
                <a:noFill/>
              </a:ln>
              <a:effectLst/>
            </c:spPr>
            <c:txPr>
              <a:bodyPr/>
              <a:lstStyle/>
              <a:p>
                <a:pPr>
                  <a:defRPr sz="800">
                    <a:solidFill>
                      <a:schemeClr val="accent2"/>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2020</c:v>
                </c:pt>
                <c:pt idx="2">
                  <c:v>Q1 '21</c:v>
                </c:pt>
                <c:pt idx="3">
                  <c:v>Q2 '21</c:v>
                </c:pt>
                <c:pt idx="4">
                  <c:v>Q3 '21</c:v>
                </c:pt>
                <c:pt idx="5">
                  <c:v>Q4 '21</c:v>
                </c:pt>
                <c:pt idx="6">
                  <c:v>Q1 '22</c:v>
                </c:pt>
                <c:pt idx="7">
                  <c:v>Q2 '22</c:v>
                </c:pt>
                <c:pt idx="8">
                  <c:v>Q3 '22</c:v>
                </c:pt>
                <c:pt idx="9">
                  <c:v>Q4 '22</c:v>
                </c:pt>
                <c:pt idx="10">
                  <c:v>Jan 23</c:v>
                </c:pt>
              </c:strCache>
            </c:strRef>
          </c:cat>
          <c:val>
            <c:numRef>
              <c:f>Sheet1!$B$31:$L$31</c:f>
              <c:numCache>
                <c:formatCode>0%</c:formatCode>
                <c:ptCount val="11"/>
                <c:pt idx="0">
                  <c:v>-2E-3</c:v>
                </c:pt>
                <c:pt idx="1">
                  <c:v>8.7999999999999995E-2</c:v>
                </c:pt>
                <c:pt idx="2">
                  <c:v>5.0999999999999997E-2</c:v>
                </c:pt>
                <c:pt idx="3">
                  <c:v>4.4999999999999998E-2</c:v>
                </c:pt>
                <c:pt idx="4">
                  <c:v>6.0999999999999999E-2</c:v>
                </c:pt>
                <c:pt idx="5">
                  <c:v>0.109</c:v>
                </c:pt>
                <c:pt idx="6">
                  <c:v>0.10199999999999999</c:v>
                </c:pt>
                <c:pt idx="7">
                  <c:v>4.2000000000000003E-2</c:v>
                </c:pt>
                <c:pt idx="8">
                  <c:v>4.5999999999999999E-2</c:v>
                </c:pt>
                <c:pt idx="9">
                  <c:v>1.2594981345311892E-2</c:v>
                </c:pt>
                <c:pt idx="10" formatCode="0.0%">
                  <c:v>-1.4999999999999999E-2</c:v>
                </c:pt>
              </c:numCache>
            </c:numRef>
          </c:val>
          <c:smooth val="0"/>
          <c:extLst>
            <c:ext xmlns:c16="http://schemas.microsoft.com/office/drawing/2014/chart" uri="{C3380CC4-5D6E-409C-BE32-E72D297353CC}">
              <c16:uniqueId val="{00000014-1664-46AD-AB7A-A6B9659E5BC1}"/>
            </c:ext>
          </c:extLst>
        </c:ser>
        <c:ser>
          <c:idx val="2"/>
          <c:order val="2"/>
          <c:tx>
            <c:strRef>
              <c:f>Sheet1!$A$32</c:f>
              <c:strCache>
                <c:ptCount val="1"/>
                <c:pt idx="0">
                  <c:v>Fresh vegetables</c:v>
                </c:pt>
              </c:strCache>
            </c:strRef>
          </c:tx>
          <c:marker>
            <c:symbol val="none"/>
          </c:marker>
          <c:dLbls>
            <c:dLbl>
              <c:idx val="0"/>
              <c:layout>
                <c:manualLayout>
                  <c:x val="-5.6586555146759317E-2"/>
                  <c:y val="-2.6999991496065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664-46AD-AB7A-A6B9659E5BC1}"/>
                </c:ext>
              </c:extLst>
            </c:dLbl>
            <c:dLbl>
              <c:idx val="5"/>
              <c:layout>
                <c:manualLayout>
                  <c:x val="-2.277731918402871E-2"/>
                  <c:y val="-4.4261372788715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664-46AD-AB7A-A6B9659E5BC1}"/>
                </c:ext>
              </c:extLst>
            </c:dLbl>
            <c:dLbl>
              <c:idx val="7"/>
              <c:layout>
                <c:manualLayout>
                  <c:x val="-1.5293235587360045E-2"/>
                  <c:y val="4.09246443087587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664-46AD-AB7A-A6B9659E5BC1}"/>
                </c:ext>
              </c:extLst>
            </c:dLbl>
            <c:dLbl>
              <c:idx val="8"/>
              <c:layout>
                <c:manualLayout>
                  <c:x val="-1.8323217685719519E-2"/>
                  <c:y val="-4.88025437360137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664-46AD-AB7A-A6B9659E5BC1}"/>
                </c:ext>
              </c:extLst>
            </c:dLbl>
            <c:dLbl>
              <c:idx val="9"/>
              <c:layout>
                <c:manualLayout>
                  <c:x val="-1.8515573724603138E-2"/>
                  <c:y val="-2.89685593694923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664-46AD-AB7A-A6B9659E5BC1}"/>
                </c:ext>
              </c:extLst>
            </c:dLbl>
            <c:dLbl>
              <c:idx val="10"/>
              <c:layout>
                <c:manualLayout>
                  <c:x val="-8.9834576897806998E-3"/>
                  <c:y val="2.44847519801342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664-46AD-AB7A-A6B9659E5BC1}"/>
                </c:ext>
              </c:extLst>
            </c:dLbl>
            <c:dLbl>
              <c:idx val="11"/>
              <c:layout>
                <c:manualLayout>
                  <c:x val="-2.2165180456543882E-2"/>
                  <c:y val="3.63367808682864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664-46AD-AB7A-A6B9659E5BC1}"/>
                </c:ext>
              </c:extLst>
            </c:dLbl>
            <c:dLbl>
              <c:idx val="12"/>
              <c:layout>
                <c:manualLayout>
                  <c:x val="-2.4583776145535061E-2"/>
                  <c:y val="2.83001698427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664-46AD-AB7A-A6B9659E5BC1}"/>
                </c:ext>
              </c:extLst>
            </c:dLbl>
            <c:dLbl>
              <c:idx val="13"/>
              <c:layout>
                <c:manualLayout>
                  <c:x val="-2.1939062981788597E-2"/>
                  <c:y val="5.00616983027511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664-46AD-AB7A-A6B9659E5BC1}"/>
                </c:ext>
              </c:extLst>
            </c:dLbl>
            <c:spPr>
              <a:noFill/>
              <a:ln>
                <a:noFill/>
              </a:ln>
              <a:effectLst/>
            </c:spPr>
            <c:txPr>
              <a:bodyPr/>
              <a:lstStyle/>
              <a:p>
                <a:pPr>
                  <a:defRPr sz="800">
                    <a:solidFill>
                      <a:schemeClr val="accent3">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2020</c:v>
                </c:pt>
                <c:pt idx="2">
                  <c:v>Q1 '21</c:v>
                </c:pt>
                <c:pt idx="3">
                  <c:v>Q2 '21</c:v>
                </c:pt>
                <c:pt idx="4">
                  <c:v>Q3 '21</c:v>
                </c:pt>
                <c:pt idx="5">
                  <c:v>Q4 '21</c:v>
                </c:pt>
                <c:pt idx="6">
                  <c:v>Q1 '22</c:v>
                </c:pt>
                <c:pt idx="7">
                  <c:v>Q2 '22</c:v>
                </c:pt>
                <c:pt idx="8">
                  <c:v>Q3 '22</c:v>
                </c:pt>
                <c:pt idx="9">
                  <c:v>Q4 '22</c:v>
                </c:pt>
                <c:pt idx="10">
                  <c:v>Jan 23</c:v>
                </c:pt>
              </c:strCache>
            </c:strRef>
          </c:cat>
          <c:val>
            <c:numRef>
              <c:f>Sheet1!$B$32:$L$32</c:f>
              <c:numCache>
                <c:formatCode>0%</c:formatCode>
                <c:ptCount val="11"/>
                <c:pt idx="0">
                  <c:v>3.9E-2</c:v>
                </c:pt>
                <c:pt idx="1">
                  <c:v>0.151</c:v>
                </c:pt>
                <c:pt idx="2">
                  <c:v>4.7E-2</c:v>
                </c:pt>
                <c:pt idx="3">
                  <c:v>-7.0999999999999994E-2</c:v>
                </c:pt>
                <c:pt idx="4">
                  <c:v>-2.4E-2</c:v>
                </c:pt>
                <c:pt idx="5">
                  <c:v>1E-3</c:v>
                </c:pt>
                <c:pt idx="6">
                  <c:v>-4.0000000000000001E-3</c:v>
                </c:pt>
                <c:pt idx="7">
                  <c:v>2.9000000000000001E-2</c:v>
                </c:pt>
                <c:pt idx="8">
                  <c:v>4.8000000000000001E-2</c:v>
                </c:pt>
                <c:pt idx="9">
                  <c:v>6.7683785064821297E-2</c:v>
                </c:pt>
                <c:pt idx="10" formatCode="0.0%">
                  <c:v>3.6999999999999998E-2</c:v>
                </c:pt>
              </c:numCache>
            </c:numRef>
          </c:val>
          <c:smooth val="0"/>
          <c:extLst>
            <c:ext xmlns:c16="http://schemas.microsoft.com/office/drawing/2014/chart" uri="{C3380CC4-5D6E-409C-BE32-E72D297353CC}">
              <c16:uniqueId val="{0000001E-1664-46AD-AB7A-A6B9659E5BC1}"/>
            </c:ext>
          </c:extLst>
        </c:ser>
        <c:ser>
          <c:idx val="3"/>
          <c:order val="3"/>
          <c:tx>
            <c:strRef>
              <c:f>Sheet1!$A$33</c:f>
              <c:strCache>
                <c:ptCount val="1"/>
                <c:pt idx="0">
                  <c:v>Produce dpt vs. 2019</c:v>
                </c:pt>
              </c:strCache>
            </c:strRef>
          </c:tx>
          <c:spPr>
            <a:ln>
              <a:noFill/>
            </a:ln>
          </c:spPr>
          <c:marker>
            <c:spPr>
              <a:solidFill>
                <a:srgbClr val="7030A0"/>
              </a:solidFill>
              <a:ln>
                <a:noFill/>
              </a:ln>
            </c:spPr>
          </c:marker>
          <c:dLbls>
            <c:dLbl>
              <c:idx val="7"/>
              <c:layout>
                <c:manualLayout>
                  <c:x val="8.9521073276133262E-3"/>
                  <c:y val="-3.6194795927983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1664-46AD-AB7A-A6B9659E5BC1}"/>
                </c:ext>
              </c:extLst>
            </c:dLbl>
            <c:dLbl>
              <c:idx val="11"/>
              <c:layout>
                <c:manualLayout>
                  <c:x val="0"/>
                  <c:y val="-1.37155337815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1664-46AD-AB7A-A6B9659E5BC1}"/>
                </c:ext>
              </c:extLst>
            </c:dLbl>
            <c:spPr>
              <a:noFill/>
              <a:ln>
                <a:noFill/>
              </a:ln>
              <a:effectLst/>
            </c:spPr>
            <c:txPr>
              <a:bodyPr/>
              <a:lstStyle/>
              <a:p>
                <a:pPr>
                  <a:defRPr sz="800">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2020</c:v>
                </c:pt>
                <c:pt idx="2">
                  <c:v>Q1 '21</c:v>
                </c:pt>
                <c:pt idx="3">
                  <c:v>Q2 '21</c:v>
                </c:pt>
                <c:pt idx="4">
                  <c:v>Q3 '21</c:v>
                </c:pt>
                <c:pt idx="5">
                  <c:v>Q4 '21</c:v>
                </c:pt>
                <c:pt idx="6">
                  <c:v>Q1 '22</c:v>
                </c:pt>
                <c:pt idx="7">
                  <c:v>Q2 '22</c:v>
                </c:pt>
                <c:pt idx="8">
                  <c:v>Q3 '22</c:v>
                </c:pt>
                <c:pt idx="9">
                  <c:v>Q4 '22</c:v>
                </c:pt>
                <c:pt idx="10">
                  <c:v>Jan 23</c:v>
                </c:pt>
              </c:strCache>
            </c:strRef>
          </c:cat>
          <c:val>
            <c:numRef>
              <c:f>Sheet1!$B$33:$L$33</c:f>
              <c:numCache>
                <c:formatCode>General</c:formatCode>
                <c:ptCount val="11"/>
                <c:pt idx="2" formatCode="0%">
                  <c:v>0.12</c:v>
                </c:pt>
                <c:pt idx="3" formatCode="0%">
                  <c:v>0.13800000000000001</c:v>
                </c:pt>
                <c:pt idx="4" formatCode="0%">
                  <c:v>0.14399999999999999</c:v>
                </c:pt>
                <c:pt idx="5" formatCode="0%">
                  <c:v>0.17499999999999999</c:v>
                </c:pt>
                <c:pt idx="6" formatCode="0%">
                  <c:v>0.17199999999999999</c:v>
                </c:pt>
                <c:pt idx="7" formatCode="0%">
                  <c:v>0.18</c:v>
                </c:pt>
                <c:pt idx="8" formatCode="0%">
                  <c:v>0.19900000000000001</c:v>
                </c:pt>
                <c:pt idx="9" formatCode="0%">
                  <c:v>0.22576429428110084</c:v>
                </c:pt>
                <c:pt idx="10" formatCode="0.0%">
                  <c:v>0.184</c:v>
                </c:pt>
              </c:numCache>
            </c:numRef>
          </c:val>
          <c:smooth val="0"/>
          <c:extLst>
            <c:ext xmlns:c16="http://schemas.microsoft.com/office/drawing/2014/chart" uri="{C3380CC4-5D6E-409C-BE32-E72D297353CC}">
              <c16:uniqueId val="{00000021-1664-46AD-AB7A-A6B9659E5BC1}"/>
            </c:ext>
          </c:extLst>
        </c:ser>
        <c:ser>
          <c:idx val="4"/>
          <c:order val="4"/>
          <c:tx>
            <c:strRef>
              <c:f>Sheet1!$A$34</c:f>
              <c:strCache>
                <c:ptCount val="1"/>
                <c:pt idx="0">
                  <c:v>Fresh fruit vs. 2019</c:v>
                </c:pt>
              </c:strCache>
            </c:strRef>
          </c:tx>
          <c:spPr>
            <a:ln>
              <a:noFill/>
            </a:ln>
          </c:spPr>
          <c:marker>
            <c:spPr>
              <a:solidFill>
                <a:schemeClr val="accent5"/>
              </a:solidFill>
              <a:ln>
                <a:noFill/>
              </a:ln>
            </c:spPr>
          </c:marker>
          <c:dLbls>
            <c:dLbl>
              <c:idx val="7"/>
              <c:layout>
                <c:manualLayout>
                  <c:x val="3.9861921591190204E-3"/>
                  <c:y val="-2.20209267808502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1664-46AD-AB7A-A6B9659E5BC1}"/>
                </c:ext>
              </c:extLst>
            </c:dLbl>
            <c:dLbl>
              <c:idx val="8"/>
              <c:layout>
                <c:manualLayout>
                  <c:x val="2.5723932915874053E-3"/>
                  <c:y val="-1.7617603975670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1664-46AD-AB7A-A6B9659E5BC1}"/>
                </c:ext>
              </c:extLst>
            </c:dLbl>
            <c:dLbl>
              <c:idx val="9"/>
              <c:layout>
                <c:manualLayout>
                  <c:x val="2.521252657602785E-3"/>
                  <c:y val="3.3537639486380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1664-46AD-AB7A-A6B9659E5BC1}"/>
                </c:ext>
              </c:extLst>
            </c:dLbl>
            <c:dLbl>
              <c:idx val="11"/>
              <c:layout>
                <c:manualLayout>
                  <c:x val="-2.5193144132161509E-3"/>
                  <c:y val="-4.1146601344727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1664-46AD-AB7A-A6B9659E5BC1}"/>
                </c:ext>
              </c:extLst>
            </c:dLbl>
            <c:dLbl>
              <c:idx val="12"/>
              <c:layout>
                <c:manualLayout>
                  <c:x val="0"/>
                  <c:y val="-3.7559699252010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1664-46AD-AB7A-A6B9659E5BC1}"/>
                </c:ext>
              </c:extLst>
            </c:dLbl>
            <c:spPr>
              <a:noFill/>
              <a:ln>
                <a:noFill/>
              </a:ln>
              <a:effectLst/>
            </c:spPr>
            <c:txPr>
              <a:bodyPr/>
              <a:lstStyle/>
              <a:p>
                <a:pPr>
                  <a:defRPr sz="800">
                    <a:solidFill>
                      <a:schemeClr val="accent5"/>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2020</c:v>
                </c:pt>
                <c:pt idx="2">
                  <c:v>Q1 '21</c:v>
                </c:pt>
                <c:pt idx="3">
                  <c:v>Q2 '21</c:v>
                </c:pt>
                <c:pt idx="4">
                  <c:v>Q3 '21</c:v>
                </c:pt>
                <c:pt idx="5">
                  <c:v>Q4 '21</c:v>
                </c:pt>
                <c:pt idx="6">
                  <c:v>Q1 '22</c:v>
                </c:pt>
                <c:pt idx="7">
                  <c:v>Q2 '22</c:v>
                </c:pt>
                <c:pt idx="8">
                  <c:v>Q3 '22</c:v>
                </c:pt>
                <c:pt idx="9">
                  <c:v>Q4 '22</c:v>
                </c:pt>
                <c:pt idx="10">
                  <c:v>Jan 23</c:v>
                </c:pt>
              </c:strCache>
            </c:strRef>
          </c:cat>
          <c:val>
            <c:numRef>
              <c:f>Sheet1!$B$34:$L$34</c:f>
              <c:numCache>
                <c:formatCode>General</c:formatCode>
                <c:ptCount val="11"/>
                <c:pt idx="2" formatCode="0%">
                  <c:v>0.106</c:v>
                </c:pt>
                <c:pt idx="3" formatCode="0%">
                  <c:v>0.156</c:v>
                </c:pt>
                <c:pt idx="4" formatCode="0%">
                  <c:v>0.16300000000000001</c:v>
                </c:pt>
                <c:pt idx="5" formatCode="0%">
                  <c:v>0.20599999999999999</c:v>
                </c:pt>
                <c:pt idx="6" formatCode="0%">
                  <c:v>0.22</c:v>
                </c:pt>
                <c:pt idx="7" formatCode="0%">
                  <c:v>0.20499999999999999</c:v>
                </c:pt>
                <c:pt idx="8" formatCode="0%">
                  <c:v>0.218</c:v>
                </c:pt>
                <c:pt idx="9" formatCode="0%">
                  <c:v>0.22267063894602829</c:v>
                </c:pt>
                <c:pt idx="10" formatCode="0.0%">
                  <c:v>0.19600000000000001</c:v>
                </c:pt>
              </c:numCache>
            </c:numRef>
          </c:val>
          <c:smooth val="0"/>
          <c:extLst>
            <c:ext xmlns:c16="http://schemas.microsoft.com/office/drawing/2014/chart" uri="{C3380CC4-5D6E-409C-BE32-E72D297353CC}">
              <c16:uniqueId val="{00000027-1664-46AD-AB7A-A6B9659E5BC1}"/>
            </c:ext>
          </c:extLst>
        </c:ser>
        <c:ser>
          <c:idx val="5"/>
          <c:order val="5"/>
          <c:tx>
            <c:strRef>
              <c:f>Sheet1!$A$35</c:f>
              <c:strCache>
                <c:ptCount val="1"/>
                <c:pt idx="0">
                  <c:v>Fresh veg vs. 2019</c:v>
                </c:pt>
              </c:strCache>
            </c:strRef>
          </c:tx>
          <c:spPr>
            <a:ln>
              <a:noFill/>
            </a:ln>
          </c:spPr>
          <c:marker>
            <c:spPr>
              <a:ln>
                <a:noFill/>
              </a:ln>
            </c:spPr>
          </c:marker>
          <c:dLbls>
            <c:dLbl>
              <c:idx val="7"/>
              <c:layout>
                <c:manualLayout>
                  <c:x val="6.4308675159260378E-3"/>
                  <c:y val="-5.183583550081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1664-46AD-AB7A-A6B9659E5BC1}"/>
                </c:ext>
              </c:extLst>
            </c:dLbl>
            <c:dLbl>
              <c:idx val="8"/>
              <c:layout>
                <c:manualLayout>
                  <c:x val="3.8585403060229836E-3"/>
                  <c:y val="-4.30305125256425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1664-46AD-AB7A-A6B9659E5BC1}"/>
                </c:ext>
              </c:extLst>
            </c:dLbl>
            <c:dLbl>
              <c:idx val="9"/>
              <c:layout>
                <c:manualLayout>
                  <c:x val="-1.7380455339265309E-16"/>
                  <c:y val="-1.5006756928378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1664-46AD-AB7A-A6B9659E5BC1}"/>
                </c:ext>
              </c:extLst>
            </c:dLbl>
            <c:dLbl>
              <c:idx val="10"/>
              <c:layout>
                <c:manualLayout>
                  <c:x val="0"/>
                  <c:y val="9.8749125901765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1664-46AD-AB7A-A6B9659E5BC1}"/>
                </c:ext>
              </c:extLst>
            </c:dLbl>
            <c:dLbl>
              <c:idx val="11"/>
              <c:layout>
                <c:manualLayout>
                  <c:x val="0"/>
                  <c:y val="1.6458640537890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1664-46AD-AB7A-A6B9659E5BC1}"/>
                </c:ext>
              </c:extLst>
            </c:dLbl>
            <c:dLbl>
              <c:idx val="12"/>
              <c:layout>
                <c:manualLayout>
                  <c:x val="0"/>
                  <c:y val="5.62933354864809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1664-46AD-AB7A-A6B9659E5BC1}"/>
                </c:ext>
              </c:extLst>
            </c:dLbl>
            <c:spPr>
              <a:noFill/>
              <a:ln>
                <a:noFill/>
              </a:ln>
              <a:effectLst/>
            </c:spPr>
            <c:txPr>
              <a:bodyPr/>
              <a:lstStyle/>
              <a:p>
                <a:pPr>
                  <a:defRPr sz="800">
                    <a:solidFill>
                      <a:schemeClr val="accent6">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2020</c:v>
                </c:pt>
                <c:pt idx="2">
                  <c:v>Q1 '21</c:v>
                </c:pt>
                <c:pt idx="3">
                  <c:v>Q2 '21</c:v>
                </c:pt>
                <c:pt idx="4">
                  <c:v>Q3 '21</c:v>
                </c:pt>
                <c:pt idx="5">
                  <c:v>Q4 '21</c:v>
                </c:pt>
                <c:pt idx="6">
                  <c:v>Q1 '22</c:v>
                </c:pt>
                <c:pt idx="7">
                  <c:v>Q2 '22</c:v>
                </c:pt>
                <c:pt idx="8">
                  <c:v>Q3 '22</c:v>
                </c:pt>
                <c:pt idx="9">
                  <c:v>Q4 '22</c:v>
                </c:pt>
                <c:pt idx="10">
                  <c:v>Jan 23</c:v>
                </c:pt>
              </c:strCache>
            </c:strRef>
          </c:cat>
          <c:val>
            <c:numRef>
              <c:f>Sheet1!$B$35:$L$35</c:f>
              <c:numCache>
                <c:formatCode>General</c:formatCode>
                <c:ptCount val="11"/>
                <c:pt idx="2" formatCode="0%">
                  <c:v>0.13500000000000001</c:v>
                </c:pt>
                <c:pt idx="3" formatCode="0%">
                  <c:v>0.121</c:v>
                </c:pt>
                <c:pt idx="4" formatCode="0%">
                  <c:v>0.125</c:v>
                </c:pt>
                <c:pt idx="5" formatCode="0%">
                  <c:v>0.151</c:v>
                </c:pt>
                <c:pt idx="6" formatCode="0%">
                  <c:v>0.13</c:v>
                </c:pt>
                <c:pt idx="7" formatCode="0%">
                  <c:v>0.155</c:v>
                </c:pt>
                <c:pt idx="8" formatCode="0%">
                  <c:v>0.18</c:v>
                </c:pt>
                <c:pt idx="9" formatCode="0%">
                  <c:v>0.23192471659752981</c:v>
                </c:pt>
                <c:pt idx="10" formatCode="0.0%">
                  <c:v>0.17599999999999999</c:v>
                </c:pt>
              </c:numCache>
            </c:numRef>
          </c:val>
          <c:smooth val="0"/>
          <c:extLst>
            <c:ext xmlns:c16="http://schemas.microsoft.com/office/drawing/2014/chart" uri="{C3380CC4-5D6E-409C-BE32-E72D297353CC}">
              <c16:uniqueId val="{0000002E-1664-46AD-AB7A-A6B9659E5BC1}"/>
            </c:ext>
          </c:extLst>
        </c:ser>
        <c:dLbls>
          <c:showLegendKey val="0"/>
          <c:showVal val="1"/>
          <c:showCatName val="0"/>
          <c:showSerName val="0"/>
          <c:showPercent val="0"/>
          <c:showBubbleSize val="0"/>
        </c:dLbls>
        <c:smooth val="0"/>
        <c:axId val="147893248"/>
        <c:axId val="147837696"/>
      </c:lineChart>
      <c:catAx>
        <c:axId val="147893248"/>
        <c:scaling>
          <c:orientation val="minMax"/>
        </c:scaling>
        <c:delete val="0"/>
        <c:axPos val="b"/>
        <c:numFmt formatCode="General" sourceLinked="0"/>
        <c:majorTickMark val="none"/>
        <c:minorTickMark val="none"/>
        <c:tickLblPos val="nextTo"/>
        <c:crossAx val="147837696"/>
        <c:crosses val="autoZero"/>
        <c:auto val="1"/>
        <c:lblAlgn val="ctr"/>
        <c:lblOffset val="100"/>
        <c:noMultiLvlLbl val="0"/>
      </c:catAx>
      <c:valAx>
        <c:axId val="147837696"/>
        <c:scaling>
          <c:orientation val="minMax"/>
        </c:scaling>
        <c:delete val="1"/>
        <c:axPos val="l"/>
        <c:numFmt formatCode="0%" sourceLinked="1"/>
        <c:majorTickMark val="none"/>
        <c:minorTickMark val="none"/>
        <c:tickLblPos val="none"/>
        <c:crossAx val="147893248"/>
        <c:crosses val="autoZero"/>
        <c:crossBetween val="between"/>
      </c:valAx>
    </c:plotArea>
    <c:legend>
      <c:legendPos val="t"/>
      <c:layout>
        <c:manualLayout>
          <c:xMode val="edge"/>
          <c:yMode val="edge"/>
          <c:x val="4.8713872069891723E-2"/>
          <c:y val="0.11871712429478265"/>
          <c:w val="0.89999990885384662"/>
          <c:h val="0.1168809820303099"/>
        </c:manualLayout>
      </c:layout>
      <c:overlay val="0"/>
      <c:txPr>
        <a:bodyPr/>
        <a:lstStyle/>
        <a:p>
          <a:pPr>
            <a:defRPr sz="800"/>
          </a:pPr>
          <a:endParaRPr lang="en-US"/>
        </a:p>
      </c:txPr>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Share of dollars across merchandising zones</a:t>
            </a:r>
          </a:p>
        </c:rich>
      </c:tx>
      <c:layout>
        <c:manualLayout>
          <c:xMode val="edge"/>
          <c:yMode val="edge"/>
          <c:x val="1.0460850088679821E-2"/>
          <c:y val="2.1621621621621651E-2"/>
        </c:manualLayout>
      </c:layout>
      <c:overlay val="0"/>
    </c:title>
    <c:autoTitleDeleted val="0"/>
    <c:plotArea>
      <c:layout/>
      <c:barChart>
        <c:barDir val="col"/>
        <c:grouping val="percentStacked"/>
        <c:varyColors val="0"/>
        <c:ser>
          <c:idx val="0"/>
          <c:order val="0"/>
          <c:tx>
            <c:strRef>
              <c:f>Sheet1!$A$114</c:f>
              <c:strCache>
                <c:ptCount val="1"/>
                <c:pt idx="0">
                  <c:v>Fresh</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Sheet1!$B$113:$F$113</c:f>
              <c:strCache>
                <c:ptCount val="5"/>
                <c:pt idx="0">
                  <c:v>2019</c:v>
                </c:pt>
                <c:pt idx="1">
                  <c:v>2020</c:v>
                </c:pt>
                <c:pt idx="2">
                  <c:v>2021</c:v>
                </c:pt>
                <c:pt idx="3">
                  <c:v>2022</c:v>
                </c:pt>
                <c:pt idx="4">
                  <c:v>Jan '23</c:v>
                </c:pt>
              </c:strCache>
            </c:strRef>
          </c:cat>
          <c:val>
            <c:numRef>
              <c:f>Sheet1!$B$114:$F$114</c:f>
              <c:numCache>
                <c:formatCode>0.0%</c:formatCode>
                <c:ptCount val="5"/>
                <c:pt idx="0">
                  <c:v>0.79300000000000004</c:v>
                </c:pt>
                <c:pt idx="1">
                  <c:v>0.78400000000000003</c:v>
                </c:pt>
                <c:pt idx="2">
                  <c:v>0.79900000000000004</c:v>
                </c:pt>
                <c:pt idx="3">
                  <c:v>0.79200000000000004</c:v>
                </c:pt>
                <c:pt idx="4">
                  <c:v>0.77800000000000002</c:v>
                </c:pt>
              </c:numCache>
            </c:numRef>
          </c:val>
          <c:extLst>
            <c:ext xmlns:c16="http://schemas.microsoft.com/office/drawing/2014/chart" uri="{C3380CC4-5D6E-409C-BE32-E72D297353CC}">
              <c16:uniqueId val="{00000000-C3D6-41CD-9812-D04A7068C627}"/>
            </c:ext>
          </c:extLst>
        </c:ser>
        <c:ser>
          <c:idx val="1"/>
          <c:order val="1"/>
          <c:tx>
            <c:strRef>
              <c:f>Sheet1!$A$115</c:f>
              <c:strCache>
                <c:ptCount val="1"/>
                <c:pt idx="0">
                  <c:v>Shelf stable</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Sheet1!$B$113:$F$113</c:f>
              <c:strCache>
                <c:ptCount val="5"/>
                <c:pt idx="0">
                  <c:v>2019</c:v>
                </c:pt>
                <c:pt idx="1">
                  <c:v>2020</c:v>
                </c:pt>
                <c:pt idx="2">
                  <c:v>2021</c:v>
                </c:pt>
                <c:pt idx="3">
                  <c:v>2022</c:v>
                </c:pt>
                <c:pt idx="4">
                  <c:v>Jan '23</c:v>
                </c:pt>
              </c:strCache>
            </c:strRef>
          </c:cat>
          <c:val>
            <c:numRef>
              <c:f>Sheet1!$B$115:$F$115</c:f>
              <c:numCache>
                <c:formatCode>0.0%</c:formatCode>
                <c:ptCount val="5"/>
                <c:pt idx="0">
                  <c:v>0.13500000000000001</c:v>
                </c:pt>
                <c:pt idx="1">
                  <c:v>0.13900000000000001</c:v>
                </c:pt>
                <c:pt idx="2">
                  <c:v>0.126</c:v>
                </c:pt>
                <c:pt idx="3">
                  <c:v>0.13300000000000001</c:v>
                </c:pt>
                <c:pt idx="4">
                  <c:v>0.129</c:v>
                </c:pt>
              </c:numCache>
            </c:numRef>
          </c:val>
          <c:extLst>
            <c:ext xmlns:c16="http://schemas.microsoft.com/office/drawing/2014/chart" uri="{C3380CC4-5D6E-409C-BE32-E72D297353CC}">
              <c16:uniqueId val="{00000001-C3D6-41CD-9812-D04A7068C627}"/>
            </c:ext>
          </c:extLst>
        </c:ser>
        <c:ser>
          <c:idx val="2"/>
          <c:order val="2"/>
          <c:tx>
            <c:strRef>
              <c:f>Sheet1!$A$116</c:f>
              <c:strCache>
                <c:ptCount val="1"/>
                <c:pt idx="0">
                  <c:v>Frozen</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Sheet1!$B$113:$F$113</c:f>
              <c:strCache>
                <c:ptCount val="5"/>
                <c:pt idx="0">
                  <c:v>2019</c:v>
                </c:pt>
                <c:pt idx="1">
                  <c:v>2020</c:v>
                </c:pt>
                <c:pt idx="2">
                  <c:v>2021</c:v>
                </c:pt>
                <c:pt idx="3">
                  <c:v>2022</c:v>
                </c:pt>
                <c:pt idx="4">
                  <c:v>Jan '23</c:v>
                </c:pt>
              </c:strCache>
            </c:strRef>
          </c:cat>
          <c:val>
            <c:numRef>
              <c:f>Sheet1!$B$116:$F$116</c:f>
              <c:numCache>
                <c:formatCode>0.0%</c:formatCode>
                <c:ptCount val="5"/>
                <c:pt idx="0">
                  <c:v>7.1999999999999995E-2</c:v>
                </c:pt>
                <c:pt idx="1">
                  <c:v>7.6999999999999999E-2</c:v>
                </c:pt>
                <c:pt idx="2">
                  <c:v>7.4999999999999997E-2</c:v>
                </c:pt>
                <c:pt idx="3">
                  <c:v>7.4999999999999997E-2</c:v>
                </c:pt>
                <c:pt idx="4">
                  <c:v>9.2999999999999999E-2</c:v>
                </c:pt>
              </c:numCache>
            </c:numRef>
          </c:val>
          <c:extLst>
            <c:ext xmlns:c16="http://schemas.microsoft.com/office/drawing/2014/chart" uri="{C3380CC4-5D6E-409C-BE32-E72D297353CC}">
              <c16:uniqueId val="{00000002-C3D6-41CD-9812-D04A7068C627}"/>
            </c:ext>
          </c:extLst>
        </c:ser>
        <c:dLbls>
          <c:showLegendKey val="0"/>
          <c:showVal val="1"/>
          <c:showCatName val="0"/>
          <c:showSerName val="0"/>
          <c:showPercent val="0"/>
          <c:showBubbleSize val="0"/>
        </c:dLbls>
        <c:gapWidth val="95"/>
        <c:overlap val="100"/>
        <c:axId val="148140416"/>
        <c:axId val="148141952"/>
      </c:barChart>
      <c:catAx>
        <c:axId val="148140416"/>
        <c:scaling>
          <c:orientation val="minMax"/>
        </c:scaling>
        <c:delete val="0"/>
        <c:axPos val="b"/>
        <c:numFmt formatCode="General" sourceLinked="0"/>
        <c:majorTickMark val="none"/>
        <c:minorTickMark val="none"/>
        <c:tickLblPos val="nextTo"/>
        <c:crossAx val="148141952"/>
        <c:crosses val="autoZero"/>
        <c:auto val="1"/>
        <c:lblAlgn val="ctr"/>
        <c:lblOffset val="100"/>
        <c:noMultiLvlLbl val="0"/>
      </c:catAx>
      <c:valAx>
        <c:axId val="148141952"/>
        <c:scaling>
          <c:orientation val="minMax"/>
        </c:scaling>
        <c:delete val="1"/>
        <c:axPos val="l"/>
        <c:numFmt formatCode="0%" sourceLinked="1"/>
        <c:majorTickMark val="out"/>
        <c:minorTickMark val="none"/>
        <c:tickLblPos val="none"/>
        <c:crossAx val="148140416"/>
        <c:crosses val="autoZero"/>
        <c:crossBetween val="between"/>
      </c:valAx>
    </c:plotArea>
    <c:legend>
      <c:legendPos val="t"/>
      <c:layout>
        <c:manualLayout>
          <c:xMode val="edge"/>
          <c:yMode val="edge"/>
          <c:x val="1.2260471141121556E-2"/>
          <c:y val="0.10423458132908484"/>
          <c:w val="0.39130999149234313"/>
          <c:h val="9.0578633356982075E-2"/>
        </c:manualLayout>
      </c:layout>
      <c:overlay val="0"/>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Dollar and volume growth total produce (fixed and random weight)</a:t>
            </a:r>
            <a:br>
              <a:rPr lang="en-US" sz="900"/>
            </a:br>
            <a:r>
              <a:rPr lang="en-US" sz="900"/>
              <a:t>versus the comparable period YA and 2019</a:t>
            </a:r>
          </a:p>
        </c:rich>
      </c:tx>
      <c:overlay val="0"/>
    </c:title>
    <c:autoTitleDeleted val="0"/>
    <c:plotArea>
      <c:layout>
        <c:manualLayout>
          <c:layoutTarget val="inner"/>
          <c:xMode val="edge"/>
          <c:yMode val="edge"/>
          <c:x val="1.5534523839044542E-2"/>
          <c:y val="0.1738405967790867"/>
          <c:w val="0.96893095232191095"/>
          <c:h val="0.80986327937037239"/>
        </c:manualLayout>
      </c:layout>
      <c:lineChart>
        <c:grouping val="standard"/>
        <c:varyColors val="0"/>
        <c:ser>
          <c:idx val="0"/>
          <c:order val="0"/>
          <c:tx>
            <c:strRef>
              <c:f>Sheet1!$A$56</c:f>
              <c:strCache>
                <c:ptCount val="1"/>
                <c:pt idx="0">
                  <c:v>Dollar growth</c:v>
                </c:pt>
              </c:strCache>
            </c:strRef>
          </c:tx>
          <c:spPr>
            <a:ln>
              <a:solidFill>
                <a:schemeClr val="tx2">
                  <a:lumMod val="75000"/>
                </a:schemeClr>
              </a:solidFill>
            </a:ln>
          </c:spPr>
          <c:marker>
            <c:symbol val="none"/>
          </c:marker>
          <c:dLbls>
            <c:dLbl>
              <c:idx val="0"/>
              <c:layout>
                <c:manualLayout>
                  <c:x val="-3.4746457593163152E-2"/>
                  <c:y val="-6.055788746505889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0D-4C8F-91A5-5342842886E3}"/>
                </c:ext>
              </c:extLst>
            </c:dLbl>
            <c:dLbl>
              <c:idx val="2"/>
              <c:layout>
                <c:manualLayout>
                  <c:x val="-2.7702077641009765E-2"/>
                  <c:y val="-2.89418846955314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0D-4C8F-91A5-5342842886E3}"/>
                </c:ext>
              </c:extLst>
            </c:dLbl>
            <c:dLbl>
              <c:idx val="3"/>
              <c:layout>
                <c:manualLayout>
                  <c:x val="-2.3079483993763576E-2"/>
                  <c:y val="-3.67847348306576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0D-4C8F-91A5-5342842886E3}"/>
                </c:ext>
              </c:extLst>
            </c:dLbl>
            <c:dLbl>
              <c:idx val="4"/>
              <c:layout>
                <c:manualLayout>
                  <c:x val="-1.8940200502051956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0D-4C8F-91A5-5342842886E3}"/>
                </c:ext>
              </c:extLst>
            </c:dLbl>
            <c:dLbl>
              <c:idx val="5"/>
              <c:layout>
                <c:manualLayout>
                  <c:x val="-2.285753223561764E-2"/>
                  <c:y val="3.53085523952941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0D-4C8F-91A5-5342842886E3}"/>
                </c:ext>
              </c:extLst>
            </c:dLbl>
            <c:dLbl>
              <c:idx val="6"/>
              <c:layout>
                <c:manualLayout>
                  <c:x val="-2.0533236137664852E-2"/>
                  <c:y val="-2.63297894395869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70D-4C8F-91A5-5342842886E3}"/>
                </c:ext>
              </c:extLst>
            </c:dLbl>
            <c:dLbl>
              <c:idx val="7"/>
              <c:layout>
                <c:manualLayout>
                  <c:x val="-2.8582432745714093E-2"/>
                  <c:y val="-2.4116839527960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70D-4C8F-91A5-5342842886E3}"/>
                </c:ext>
              </c:extLst>
            </c:dLbl>
            <c:dLbl>
              <c:idx val="8"/>
              <c:layout>
                <c:manualLayout>
                  <c:x val="-2.0943394110203416E-2"/>
                  <c:y val="3.2915342322617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70D-4C8F-91A5-5342842886E3}"/>
                </c:ext>
              </c:extLst>
            </c:dLbl>
            <c:dLbl>
              <c:idx val="9"/>
              <c:layout>
                <c:manualLayout>
                  <c:x val="-3.5118686783167798E-2"/>
                  <c:y val="2.73888144087226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70D-4C8F-91A5-5342842886E3}"/>
                </c:ext>
              </c:extLst>
            </c:dLbl>
            <c:dLbl>
              <c:idx val="10"/>
              <c:layout>
                <c:manualLayout>
                  <c:x val="-2.5686726606262918E-2"/>
                  <c:y val="-4.55806881514202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70D-4C8F-91A5-5342842886E3}"/>
                </c:ext>
              </c:extLst>
            </c:dLbl>
            <c:dLbl>
              <c:idx val="11"/>
              <c:layout>
                <c:manualLayout>
                  <c:x val="-2.6635126973376437E-2"/>
                  <c:y val="-3.4020284444489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70D-4C8F-91A5-5342842886E3}"/>
                </c:ext>
              </c:extLst>
            </c:dLbl>
            <c:dLbl>
              <c:idx val="12"/>
              <c:layout>
                <c:manualLayout>
                  <c:x val="-2.7088913767426469E-2"/>
                  <c:y val="-3.07249965158281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70D-4C8F-91A5-5342842886E3}"/>
                </c:ext>
              </c:extLst>
            </c:dLbl>
            <c:dLbl>
              <c:idx val="13"/>
              <c:layout>
                <c:manualLayout>
                  <c:x val="-2.5774155342648455E-2"/>
                  <c:y val="-1.71442062823670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70D-4C8F-91A5-5342842886E3}"/>
                </c:ext>
              </c:extLst>
            </c:dLbl>
            <c:spPr>
              <a:noFill/>
              <a:ln>
                <a:noFill/>
              </a:ln>
              <a:effectLst/>
            </c:spPr>
            <c:txPr>
              <a:bodyPr/>
              <a:lstStyle/>
              <a:p>
                <a:pPr>
                  <a:defRPr>
                    <a:solidFill>
                      <a:schemeClr val="tx2">
                        <a:lumMod val="75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Sheet1!$B$55:$L$55</c:f>
              <c:strCache>
                <c:ptCount val="11"/>
                <c:pt idx="0">
                  <c:v>2019</c:v>
                </c:pt>
                <c:pt idx="1">
                  <c:v>2020</c:v>
                </c:pt>
                <c:pt idx="2">
                  <c:v>Q1 '21</c:v>
                </c:pt>
                <c:pt idx="3">
                  <c:v>Q2 '21</c:v>
                </c:pt>
                <c:pt idx="4">
                  <c:v>Q3 '21</c:v>
                </c:pt>
                <c:pt idx="5">
                  <c:v>Q4 '21</c:v>
                </c:pt>
                <c:pt idx="6">
                  <c:v>Q1 '22</c:v>
                </c:pt>
                <c:pt idx="7">
                  <c:v>Q2 '22</c:v>
                </c:pt>
                <c:pt idx="8">
                  <c:v>Q3 '22</c:v>
                </c:pt>
                <c:pt idx="9">
                  <c:v>Q4 '22</c:v>
                </c:pt>
                <c:pt idx="10">
                  <c:v>Jan '22</c:v>
                </c:pt>
              </c:strCache>
            </c:strRef>
          </c:cat>
          <c:val>
            <c:numRef>
              <c:f>Sheet1!$B$56:$L$56</c:f>
              <c:numCache>
                <c:formatCode>0%</c:formatCode>
                <c:ptCount val="11"/>
                <c:pt idx="0">
                  <c:v>1.7999999999999999E-2</c:v>
                </c:pt>
                <c:pt idx="1">
                  <c:v>0.12</c:v>
                </c:pt>
                <c:pt idx="2">
                  <c:v>4.8000000000000001E-2</c:v>
                </c:pt>
                <c:pt idx="3">
                  <c:v>-1.0999999999999999E-2</c:v>
                </c:pt>
                <c:pt idx="4">
                  <c:v>2.1000000000000001E-2</c:v>
                </c:pt>
                <c:pt idx="5">
                  <c:v>5.0999999999999997E-2</c:v>
                </c:pt>
                <c:pt idx="6">
                  <c:v>4.7E-2</c:v>
                </c:pt>
                <c:pt idx="7">
                  <c:v>3.5999999999999997E-2</c:v>
                </c:pt>
                <c:pt idx="8">
                  <c:v>4.5999999999999999E-2</c:v>
                </c:pt>
                <c:pt idx="9">
                  <c:v>5.2999999999999999E-2</c:v>
                </c:pt>
                <c:pt idx="10" formatCode="0.0%">
                  <c:v>1.2999999999999999E-2</c:v>
                </c:pt>
              </c:numCache>
            </c:numRef>
          </c:val>
          <c:smooth val="0"/>
          <c:extLst>
            <c:ext xmlns:c16="http://schemas.microsoft.com/office/drawing/2014/chart" uri="{C3380CC4-5D6E-409C-BE32-E72D297353CC}">
              <c16:uniqueId val="{0000000D-670D-4C8F-91A5-5342842886E3}"/>
            </c:ext>
          </c:extLst>
        </c:ser>
        <c:ser>
          <c:idx val="1"/>
          <c:order val="1"/>
          <c:tx>
            <c:strRef>
              <c:f>Sheet1!$A$57</c:f>
              <c:strCache>
                <c:ptCount val="1"/>
                <c:pt idx="0">
                  <c:v>Volume growth</c:v>
                </c:pt>
              </c:strCache>
            </c:strRef>
          </c:tx>
          <c:spPr>
            <a:ln>
              <a:solidFill>
                <a:schemeClr val="accent5"/>
              </a:solidFill>
            </a:ln>
          </c:spPr>
          <c:marker>
            <c:symbol val="none"/>
          </c:marker>
          <c:dLbls>
            <c:dLbl>
              <c:idx val="0"/>
              <c:layout>
                <c:manualLayout>
                  <c:x val="-3.8663758336473515E-2"/>
                  <c:y val="-1.6284638656779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70D-4C8F-91A5-5342842886E3}"/>
                </c:ext>
              </c:extLst>
            </c:dLbl>
            <c:dLbl>
              <c:idx val="3"/>
              <c:layout>
                <c:manualLayout>
                  <c:x val="-2.4672519793166498E-2"/>
                  <c:y val="3.351498062348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70D-4C8F-91A5-5342842886E3}"/>
                </c:ext>
              </c:extLst>
            </c:dLbl>
            <c:dLbl>
              <c:idx val="4"/>
              <c:layout>
                <c:manualLayout>
                  <c:x val="-2.4163268159799151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70D-4C8F-91A5-5342842886E3}"/>
                </c:ext>
              </c:extLst>
            </c:dLbl>
            <c:dLbl>
              <c:idx val="5"/>
              <c:layout>
                <c:manualLayout>
                  <c:x val="-2.1839003052101652E-2"/>
                  <c:y val="2.3138299810546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70D-4C8F-91A5-5342842886E3}"/>
                </c:ext>
              </c:extLst>
            </c:dLbl>
            <c:dLbl>
              <c:idx val="6"/>
              <c:layout>
                <c:manualLayout>
                  <c:x val="-2.0533236137664852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70D-4C8F-91A5-5342842886E3}"/>
                </c:ext>
              </c:extLst>
            </c:dLbl>
            <c:dLbl>
              <c:idx val="7"/>
              <c:layout>
                <c:manualLayout>
                  <c:x val="-3.1575961188850206E-2"/>
                  <c:y val="2.66129032258066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70D-4C8F-91A5-5342842886E3}"/>
                </c:ext>
              </c:extLst>
            </c:dLbl>
            <c:dLbl>
              <c:idx val="8"/>
              <c:layout>
                <c:manualLayout>
                  <c:x val="-1.992808089141105E-2"/>
                  <c:y val="3.42277806743913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70D-4C8F-91A5-5342842886E3}"/>
                </c:ext>
              </c:extLst>
            </c:dLbl>
            <c:dLbl>
              <c:idx val="9"/>
              <c:layout>
                <c:manualLayout>
                  <c:x val="-2.8589820939239265E-2"/>
                  <c:y val="3.9095747955750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70D-4C8F-91A5-5342842886E3}"/>
                </c:ext>
              </c:extLst>
            </c:dLbl>
            <c:dLbl>
              <c:idx val="10"/>
              <c:layout>
                <c:manualLayout>
                  <c:x val="-2.0347090283063852E-2"/>
                  <c:y val="2.10169442293336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70D-4C8F-91A5-5342842886E3}"/>
                </c:ext>
              </c:extLst>
            </c:dLbl>
            <c:dLbl>
              <c:idx val="11"/>
              <c:layout>
                <c:manualLayout>
                  <c:x val="-3.4819550194175992E-2"/>
                  <c:y val="2.1716677351344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70D-4C8F-91A5-5342842886E3}"/>
                </c:ext>
              </c:extLst>
            </c:dLbl>
            <c:dLbl>
              <c:idx val="12"/>
              <c:layout>
                <c:manualLayout>
                  <c:x val="-2.8045278100028978E-2"/>
                  <c:y val="1.9508924390279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70D-4C8F-91A5-5342842886E3}"/>
                </c:ext>
              </c:extLst>
            </c:dLbl>
            <c:dLbl>
              <c:idx val="13"/>
              <c:layout>
                <c:manualLayout>
                  <c:x val="-2.8232166423407545E-2"/>
                  <c:y val="3.13325149298433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70D-4C8F-91A5-5342842886E3}"/>
                </c:ext>
              </c:extLst>
            </c:dLbl>
            <c:dLbl>
              <c:idx val="14"/>
              <c:layout>
                <c:manualLayout>
                  <c:x val="-2.6888223658378608E-2"/>
                  <c:y val="2.7237512827605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70D-4C8F-91A5-5342842886E3}"/>
                </c:ext>
              </c:extLst>
            </c:dLbl>
            <c:dLbl>
              <c:idx val="15"/>
              <c:layout>
                <c:manualLayout>
                  <c:x val="-2.550151795139673E-2"/>
                  <c:y val="1.99741760735773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70D-4C8F-91A5-5342842886E3}"/>
                </c:ext>
              </c:extLst>
            </c:dLbl>
            <c:dLbl>
              <c:idx val="16"/>
              <c:layout>
                <c:manualLayout>
                  <c:x val="-2.1762107687852764E-2"/>
                  <c:y val="1.75530638222346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70D-4C8F-91A5-5342842886E3}"/>
                </c:ext>
              </c:extLst>
            </c:dLbl>
            <c:spPr>
              <a:noFill/>
              <a:ln>
                <a:noFill/>
              </a:ln>
              <a:effectLst/>
            </c:spPr>
            <c:txPr>
              <a:bodyPr/>
              <a:lstStyle/>
              <a:p>
                <a:pPr>
                  <a:defRPr>
                    <a:solidFill>
                      <a:schemeClr val="accent5">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Sheet1!$B$55:$L$55</c:f>
              <c:strCache>
                <c:ptCount val="11"/>
                <c:pt idx="0">
                  <c:v>2019</c:v>
                </c:pt>
                <c:pt idx="1">
                  <c:v>2020</c:v>
                </c:pt>
                <c:pt idx="2">
                  <c:v>Q1 '21</c:v>
                </c:pt>
                <c:pt idx="3">
                  <c:v>Q2 '21</c:v>
                </c:pt>
                <c:pt idx="4">
                  <c:v>Q3 '21</c:v>
                </c:pt>
                <c:pt idx="5">
                  <c:v>Q4 '21</c:v>
                </c:pt>
                <c:pt idx="6">
                  <c:v>Q1 '22</c:v>
                </c:pt>
                <c:pt idx="7">
                  <c:v>Q2 '22</c:v>
                </c:pt>
                <c:pt idx="8">
                  <c:v>Q3 '22</c:v>
                </c:pt>
                <c:pt idx="9">
                  <c:v>Q4 '22</c:v>
                </c:pt>
                <c:pt idx="10">
                  <c:v>Jan '22</c:v>
                </c:pt>
              </c:strCache>
            </c:strRef>
          </c:cat>
          <c:val>
            <c:numRef>
              <c:f>Sheet1!$B$57:$L$57</c:f>
              <c:numCache>
                <c:formatCode>0%</c:formatCode>
                <c:ptCount val="11"/>
                <c:pt idx="0">
                  <c:v>5.0000000000000001E-3</c:v>
                </c:pt>
                <c:pt idx="1">
                  <c:v>0.112</c:v>
                </c:pt>
                <c:pt idx="2">
                  <c:v>0</c:v>
                </c:pt>
                <c:pt idx="3">
                  <c:v>-0.08</c:v>
                </c:pt>
                <c:pt idx="4">
                  <c:v>-2.5000000000000001E-2</c:v>
                </c:pt>
                <c:pt idx="5">
                  <c:v>-3.5999999999999997E-2</c:v>
                </c:pt>
                <c:pt idx="6">
                  <c:v>-4.8000000000000001E-2</c:v>
                </c:pt>
                <c:pt idx="7">
                  <c:v>-4.7E-2</c:v>
                </c:pt>
                <c:pt idx="8">
                  <c:v>-4.9000000000000002E-2</c:v>
                </c:pt>
                <c:pt idx="9">
                  <c:v>-3.3000000000000002E-2</c:v>
                </c:pt>
                <c:pt idx="10" formatCode="0.0%">
                  <c:v>-4.1000000000000002E-2</c:v>
                </c:pt>
              </c:numCache>
            </c:numRef>
          </c:val>
          <c:smooth val="0"/>
          <c:extLst>
            <c:ext xmlns:c16="http://schemas.microsoft.com/office/drawing/2014/chart" uri="{C3380CC4-5D6E-409C-BE32-E72D297353CC}">
              <c16:uniqueId val="{0000001D-670D-4C8F-91A5-5342842886E3}"/>
            </c:ext>
          </c:extLst>
        </c:ser>
        <c:ser>
          <c:idx val="2"/>
          <c:order val="2"/>
          <c:tx>
            <c:strRef>
              <c:f>Sheet1!$A$58</c:f>
              <c:strCache>
                <c:ptCount val="1"/>
                <c:pt idx="0">
                  <c:v>Dollars vs. 2019</c:v>
                </c:pt>
              </c:strCache>
            </c:strRef>
          </c:tx>
          <c:spPr>
            <a:ln>
              <a:noFill/>
            </a:ln>
          </c:spPr>
          <c:marker>
            <c:spPr>
              <a:ln>
                <a:noFill/>
              </a:ln>
            </c:spPr>
          </c:marker>
          <c:dLbls>
            <c:dLbl>
              <c:idx val="7"/>
              <c:layout>
                <c:manualLayout>
                  <c:x val="-2.4870184691729913E-2"/>
                  <c:y val="-2.11614742705351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70D-4C8F-91A5-5342842886E3}"/>
                </c:ext>
              </c:extLst>
            </c:dLbl>
            <c:dLbl>
              <c:idx val="8"/>
              <c:layout>
                <c:manualLayout>
                  <c:x val="-3.0424541590033889E-2"/>
                  <c:y val="-2.4718602892409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70D-4C8F-91A5-5342842886E3}"/>
                </c:ext>
              </c:extLst>
            </c:dLbl>
            <c:dLbl>
              <c:idx val="9"/>
              <c:layout>
                <c:manualLayout>
                  <c:x val="-2.9022767742298981E-2"/>
                  <c:y val="-2.3792098519060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670D-4C8F-91A5-5342842886E3}"/>
                </c:ext>
              </c:extLst>
            </c:dLbl>
            <c:dLbl>
              <c:idx val="10"/>
              <c:layout>
                <c:manualLayout>
                  <c:x val="-2.6268246098989385E-2"/>
                  <c:y val="-1.802336964302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670D-4C8F-91A5-5342842886E3}"/>
                </c:ext>
              </c:extLst>
            </c:dLbl>
            <c:dLbl>
              <c:idx val="11"/>
              <c:layout>
                <c:manualLayout>
                  <c:x val="-2.3030779625602561E-2"/>
                  <c:y val="-2.832015034535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670D-4C8F-91A5-5342842886E3}"/>
                </c:ext>
              </c:extLst>
            </c:dLbl>
            <c:dLbl>
              <c:idx val="12"/>
              <c:layout>
                <c:manualLayout>
                  <c:x val="-2.8577602453530172E-2"/>
                  <c:y val="-2.6011896239898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70D-4C8F-91A5-5342842886E3}"/>
                </c:ext>
              </c:extLst>
            </c:dLbl>
            <c:dLbl>
              <c:idx val="13"/>
              <c:layout>
                <c:manualLayout>
                  <c:x val="-2.1825119143991344E-2"/>
                  <c:y val="-1.8917744863301604E-2"/>
                </c:manualLayout>
              </c:layout>
              <c:showLegendKey val="0"/>
              <c:showVal val="1"/>
              <c:showCatName val="0"/>
              <c:showSerName val="0"/>
              <c:showPercent val="0"/>
              <c:showBubbleSize val="0"/>
              <c:extLst>
                <c:ext xmlns:c15="http://schemas.microsoft.com/office/drawing/2012/chart" uri="{CE6537A1-D6FC-4f65-9D91-7224C49458BB}">
                  <c15:layout>
                    <c:manualLayout>
                      <c:w val="3.606821543859863E-2"/>
                      <c:h val="3.5106127644469388E-2"/>
                    </c:manualLayout>
                  </c15:layout>
                </c:ext>
                <c:ext xmlns:c16="http://schemas.microsoft.com/office/drawing/2014/chart" uri="{C3380CC4-5D6E-409C-BE32-E72D297353CC}">
                  <c16:uniqueId val="{00000024-670D-4C8F-91A5-5342842886E3}"/>
                </c:ext>
              </c:extLst>
            </c:dLbl>
            <c:dLbl>
              <c:idx val="14"/>
              <c:layout>
                <c:manualLayout>
                  <c:x val="-2.7734114139637552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670D-4C8F-91A5-5342842886E3}"/>
                </c:ext>
              </c:extLst>
            </c:dLbl>
            <c:dLbl>
              <c:idx val="15"/>
              <c:layout>
                <c:manualLayout>
                  <c:x val="-3.1894231260583286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670D-4C8F-91A5-5342842886E3}"/>
                </c:ext>
              </c:extLst>
            </c:dLbl>
            <c:dLbl>
              <c:idx val="16"/>
              <c:layout>
                <c:manualLayout>
                  <c:x val="-2.3573997018691919E-2"/>
                  <c:y val="-2.6632234764769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670D-4C8F-91A5-5342842886E3}"/>
                </c:ext>
              </c:extLst>
            </c:dLbl>
            <c:spPr>
              <a:noFill/>
              <a:ln>
                <a:noFill/>
              </a:ln>
              <a:effectLst/>
            </c:spPr>
            <c:txPr>
              <a:bodyPr wrap="square" lIns="38100" tIns="19050" rIns="38100" bIns="19050" anchor="ctr">
                <a:spAutoFit/>
              </a:bodyPr>
              <a:lstStyle/>
              <a:p>
                <a:pPr>
                  <a:defRPr>
                    <a:solidFill>
                      <a:schemeClr val="accent3">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Sheet1!$B$55:$L$55</c:f>
              <c:strCache>
                <c:ptCount val="11"/>
                <c:pt idx="0">
                  <c:v>2019</c:v>
                </c:pt>
                <c:pt idx="1">
                  <c:v>2020</c:v>
                </c:pt>
                <c:pt idx="2">
                  <c:v>Q1 '21</c:v>
                </c:pt>
                <c:pt idx="3">
                  <c:v>Q2 '21</c:v>
                </c:pt>
                <c:pt idx="4">
                  <c:v>Q3 '21</c:v>
                </c:pt>
                <c:pt idx="5">
                  <c:v>Q4 '21</c:v>
                </c:pt>
                <c:pt idx="6">
                  <c:v>Q1 '22</c:v>
                </c:pt>
                <c:pt idx="7">
                  <c:v>Q2 '22</c:v>
                </c:pt>
                <c:pt idx="8">
                  <c:v>Q3 '22</c:v>
                </c:pt>
                <c:pt idx="9">
                  <c:v>Q4 '22</c:v>
                </c:pt>
                <c:pt idx="10">
                  <c:v>Jan '22</c:v>
                </c:pt>
              </c:strCache>
            </c:strRef>
          </c:cat>
          <c:val>
            <c:numRef>
              <c:f>Sheet1!$B$58:$L$58</c:f>
              <c:numCache>
                <c:formatCode>General</c:formatCode>
                <c:ptCount val="11"/>
                <c:pt idx="2" formatCode="0%">
                  <c:v>0.12</c:v>
                </c:pt>
                <c:pt idx="3" formatCode="0%">
                  <c:v>0.13900000000000001</c:v>
                </c:pt>
                <c:pt idx="4" formatCode="0%">
                  <c:v>0.14499999999999999</c:v>
                </c:pt>
                <c:pt idx="5" formatCode="0%">
                  <c:v>0.17499999999999999</c:v>
                </c:pt>
                <c:pt idx="6" formatCode="0%">
                  <c:v>0.17199999999999999</c:v>
                </c:pt>
                <c:pt idx="7" formatCode="0%">
                  <c:v>0.18</c:v>
                </c:pt>
                <c:pt idx="8" formatCode="0%">
                  <c:v>0.19900000000000001</c:v>
                </c:pt>
                <c:pt idx="9" formatCode="0%">
                  <c:v>0.188</c:v>
                </c:pt>
                <c:pt idx="10" formatCode="0.0%">
                  <c:v>0.184</c:v>
                </c:pt>
              </c:numCache>
            </c:numRef>
          </c:val>
          <c:smooth val="0"/>
          <c:extLst>
            <c:ext xmlns:c16="http://schemas.microsoft.com/office/drawing/2014/chart" uri="{C3380CC4-5D6E-409C-BE32-E72D297353CC}">
              <c16:uniqueId val="{00000028-670D-4C8F-91A5-5342842886E3}"/>
            </c:ext>
          </c:extLst>
        </c:ser>
        <c:ser>
          <c:idx val="3"/>
          <c:order val="3"/>
          <c:tx>
            <c:strRef>
              <c:f>Sheet1!$A$59</c:f>
              <c:strCache>
                <c:ptCount val="1"/>
                <c:pt idx="0">
                  <c:v>Volume vs. 2019</c:v>
                </c:pt>
              </c:strCache>
            </c:strRef>
          </c:tx>
          <c:spPr>
            <a:ln>
              <a:noFill/>
            </a:ln>
          </c:spPr>
          <c:marker>
            <c:symbol val="square"/>
            <c:size val="5"/>
            <c:spPr>
              <a:solidFill>
                <a:srgbClr val="7030A0"/>
              </a:solidFill>
              <a:ln>
                <a:noFill/>
              </a:ln>
            </c:spPr>
          </c:marker>
          <c:dLbls>
            <c:dLbl>
              <c:idx val="7"/>
              <c:layout>
                <c:manualLayout>
                  <c:x val="-1.9342251634456464E-2"/>
                  <c:y val="-2.1370986267718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670D-4C8F-91A5-5342842886E3}"/>
                </c:ext>
              </c:extLst>
            </c:dLbl>
            <c:dLbl>
              <c:idx val="8"/>
              <c:layout>
                <c:manualLayout>
                  <c:x val="-4.9446685780776461E-2"/>
                  <c:y val="1.57878898395094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670D-4C8F-91A5-5342842886E3}"/>
                </c:ext>
              </c:extLst>
            </c:dLbl>
            <c:dLbl>
              <c:idx val="9"/>
              <c:layout>
                <c:manualLayout>
                  <c:x val="-1.9334717564079999E-2"/>
                  <c:y val="-2.2297490641066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670D-4C8F-91A5-5342842886E3}"/>
                </c:ext>
              </c:extLst>
            </c:dLbl>
            <c:dLbl>
              <c:idx val="10"/>
              <c:layout>
                <c:manualLayout>
                  <c:x val="-5.6748315170978949E-3"/>
                  <c:y val="-1.45945310366956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670D-4C8F-91A5-5342842886E3}"/>
                </c:ext>
              </c:extLst>
            </c:dLbl>
            <c:dLbl>
              <c:idx val="11"/>
              <c:layout>
                <c:manualLayout>
                  <c:x val="-5.1055987683198455E-3"/>
                  <c:y val="-1.19988242358160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670D-4C8F-91A5-5342842886E3}"/>
                </c:ext>
              </c:extLst>
            </c:dLbl>
            <c:dLbl>
              <c:idx val="12"/>
              <c:layout>
                <c:manualLayout>
                  <c:x val="-2.5775249417394064E-2"/>
                  <c:y val="3.69460323758032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670D-4C8F-91A5-5342842886E3}"/>
                </c:ext>
              </c:extLst>
            </c:dLbl>
            <c:dLbl>
              <c:idx val="13"/>
              <c:layout>
                <c:manualLayout>
                  <c:x val="-2.4553259036990436E-2"/>
                  <c:y val="-1.8917744863301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670D-4C8F-91A5-5342842886E3}"/>
                </c:ext>
              </c:extLst>
            </c:dLbl>
            <c:dLbl>
              <c:idx val="14"/>
              <c:layout>
                <c:manualLayout>
                  <c:x val="-2.3573997018692019E-2"/>
                  <c:y val="-1.9368898010741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670D-4C8F-91A5-5342842886E3}"/>
                </c:ext>
              </c:extLst>
            </c:dLbl>
            <c:dLbl>
              <c:idx val="15"/>
              <c:layout>
                <c:manualLayout>
                  <c:x val="-2.0800585604728163E-2"/>
                  <c:y val="-1.210556125671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670D-4C8F-91A5-5342842886E3}"/>
                </c:ext>
              </c:extLst>
            </c:dLbl>
            <c:dLbl>
              <c:idx val="16"/>
              <c:layout>
                <c:manualLayout>
                  <c:x val="-2.3573997018691919E-2"/>
                  <c:y val="-2.4211122513427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670D-4C8F-91A5-5342842886E3}"/>
                </c:ext>
              </c:extLst>
            </c:dLbl>
            <c:spPr>
              <a:noFill/>
              <a:ln>
                <a:noFill/>
              </a:ln>
              <a:effectLst/>
            </c:spPr>
            <c:txPr>
              <a:bodyPr wrap="square" lIns="38100" tIns="19050" rIns="38100" bIns="19050" anchor="ctr">
                <a:spAutoFit/>
              </a:bodyPr>
              <a:lstStyle/>
              <a:p>
                <a:pPr>
                  <a:defRPr>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Sheet1!$B$55:$L$55</c:f>
              <c:strCache>
                <c:ptCount val="11"/>
                <c:pt idx="0">
                  <c:v>2019</c:v>
                </c:pt>
                <c:pt idx="1">
                  <c:v>2020</c:v>
                </c:pt>
                <c:pt idx="2">
                  <c:v>Q1 '21</c:v>
                </c:pt>
                <c:pt idx="3">
                  <c:v>Q2 '21</c:v>
                </c:pt>
                <c:pt idx="4">
                  <c:v>Q3 '21</c:v>
                </c:pt>
                <c:pt idx="5">
                  <c:v>Q4 '21</c:v>
                </c:pt>
                <c:pt idx="6">
                  <c:v>Q1 '22</c:v>
                </c:pt>
                <c:pt idx="7">
                  <c:v>Q2 '22</c:v>
                </c:pt>
                <c:pt idx="8">
                  <c:v>Q3 '22</c:v>
                </c:pt>
                <c:pt idx="9">
                  <c:v>Q4 '22</c:v>
                </c:pt>
                <c:pt idx="10">
                  <c:v>Jan '22</c:v>
                </c:pt>
              </c:strCache>
            </c:strRef>
          </c:cat>
          <c:val>
            <c:numRef>
              <c:f>Sheet1!$B$59:$L$59</c:f>
              <c:numCache>
                <c:formatCode>General</c:formatCode>
                <c:ptCount val="11"/>
                <c:pt idx="2" formatCode="0%">
                  <c:v>9.5000000000000001E-2</c:v>
                </c:pt>
                <c:pt idx="3" formatCode="0%">
                  <c:v>6.0999999999999999E-2</c:v>
                </c:pt>
                <c:pt idx="4" formatCode="0%">
                  <c:v>6.9000000000000006E-2</c:v>
                </c:pt>
                <c:pt idx="5" formatCode="0%">
                  <c:v>6.0999999999999999E-2</c:v>
                </c:pt>
                <c:pt idx="6" formatCode="0%">
                  <c:v>4.3999999999999997E-2</c:v>
                </c:pt>
                <c:pt idx="7" formatCode="0%">
                  <c:v>8.0000000000000002E-3</c:v>
                </c:pt>
                <c:pt idx="8" formatCode="0%">
                  <c:v>1.9E-2</c:v>
                </c:pt>
                <c:pt idx="9" formatCode="0%">
                  <c:v>7.2999999999999995E-2</c:v>
                </c:pt>
                <c:pt idx="10" formatCode="0.0%">
                  <c:v>6.0000000000000001E-3</c:v>
                </c:pt>
              </c:numCache>
            </c:numRef>
          </c:val>
          <c:smooth val="0"/>
          <c:extLst>
            <c:ext xmlns:c16="http://schemas.microsoft.com/office/drawing/2014/chart" uri="{C3380CC4-5D6E-409C-BE32-E72D297353CC}">
              <c16:uniqueId val="{00000033-670D-4C8F-91A5-5342842886E3}"/>
            </c:ext>
          </c:extLst>
        </c:ser>
        <c:dLbls>
          <c:showLegendKey val="0"/>
          <c:showVal val="1"/>
          <c:showCatName val="0"/>
          <c:showSerName val="0"/>
          <c:showPercent val="0"/>
          <c:showBubbleSize val="0"/>
        </c:dLbls>
        <c:smooth val="0"/>
        <c:axId val="147973248"/>
        <c:axId val="147974784"/>
      </c:lineChart>
      <c:catAx>
        <c:axId val="147973248"/>
        <c:scaling>
          <c:orientation val="minMax"/>
        </c:scaling>
        <c:delete val="0"/>
        <c:axPos val="b"/>
        <c:numFmt formatCode="General" sourceLinked="0"/>
        <c:majorTickMark val="none"/>
        <c:minorTickMark val="none"/>
        <c:tickLblPos val="nextTo"/>
        <c:txPr>
          <a:bodyPr/>
          <a:lstStyle/>
          <a:p>
            <a:pPr>
              <a:defRPr sz="900"/>
            </a:pPr>
            <a:endParaRPr lang="en-US"/>
          </a:p>
        </c:txPr>
        <c:crossAx val="147974784"/>
        <c:crosses val="autoZero"/>
        <c:auto val="1"/>
        <c:lblAlgn val="ctr"/>
        <c:lblOffset val="100"/>
        <c:noMultiLvlLbl val="0"/>
      </c:catAx>
      <c:valAx>
        <c:axId val="147974784"/>
        <c:scaling>
          <c:orientation val="minMax"/>
        </c:scaling>
        <c:delete val="1"/>
        <c:axPos val="l"/>
        <c:numFmt formatCode="0%" sourceLinked="1"/>
        <c:majorTickMark val="none"/>
        <c:minorTickMark val="none"/>
        <c:tickLblPos val="none"/>
        <c:crossAx val="147973248"/>
        <c:crosses val="autoZero"/>
        <c:crossBetween val="between"/>
      </c:valAx>
    </c:plotArea>
    <c:legend>
      <c:legendPos val="t"/>
      <c:overlay val="0"/>
      <c:txPr>
        <a:bodyPr/>
        <a:lstStyle/>
        <a:p>
          <a:pPr>
            <a:defRPr sz="900"/>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BC50A1FC79394A9023C6A5DFA7A09D" ma:contentTypeVersion="13" ma:contentTypeDescription="Create a new document." ma:contentTypeScope="" ma:versionID="79705aaae5de6f9ed494cfeb67a4f3c7">
  <xsd:schema xmlns:xsd="http://www.w3.org/2001/XMLSchema" xmlns:xs="http://www.w3.org/2001/XMLSchema" xmlns:p="http://schemas.microsoft.com/office/2006/metadata/properties" xmlns:ns3="4f61ba3f-198b-401e-8f2f-b2c662dca9cb" xmlns:ns4="b9b95171-1552-4127-953a-44d049f6e73c" targetNamespace="http://schemas.microsoft.com/office/2006/metadata/properties" ma:root="true" ma:fieldsID="b556130ecffddc83dc8ca6d01a721ba0" ns3:_="" ns4:_="">
    <xsd:import namespace="4f61ba3f-198b-401e-8f2f-b2c662dca9cb"/>
    <xsd:import namespace="b9b95171-1552-4127-953a-44d049f6e7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ba3f-198b-401e-8f2f-b2c662dca9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95171-1552-4127-953a-44d049f6e7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3BEEF-BB43-4692-BD09-7A0D07B70B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1429A9-3D0E-4A6F-85FA-43551D5CA474}">
  <ds:schemaRefs>
    <ds:schemaRef ds:uri="http://schemas.openxmlformats.org/officeDocument/2006/bibliography"/>
  </ds:schemaRefs>
</ds:datastoreItem>
</file>

<file path=customXml/itemProps3.xml><?xml version="1.0" encoding="utf-8"?>
<ds:datastoreItem xmlns:ds="http://schemas.openxmlformats.org/officeDocument/2006/customXml" ds:itemID="{27FB094F-237B-42B9-A007-1B37B12C3D19}">
  <ds:schemaRefs>
    <ds:schemaRef ds:uri="http://schemas.microsoft.com/sharepoint/v3/contenttype/forms"/>
  </ds:schemaRefs>
</ds:datastoreItem>
</file>

<file path=customXml/itemProps4.xml><?xml version="1.0" encoding="utf-8"?>
<ds:datastoreItem xmlns:ds="http://schemas.openxmlformats.org/officeDocument/2006/customXml" ds:itemID="{31812EC2-62BE-486D-9F59-FCA114384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ba3f-198b-401e-8f2f-b2c662dca9cb"/>
    <ds:schemaRef ds:uri="b9b95171-1552-4127-953a-44d049f6e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6</Pages>
  <Words>2346</Words>
  <Characters>13375</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Anne-Marie Roerink</cp:lastModifiedBy>
  <cp:revision>39</cp:revision>
  <dcterms:created xsi:type="dcterms:W3CDTF">2022-12-12T21:03:00Z</dcterms:created>
  <dcterms:modified xsi:type="dcterms:W3CDTF">2023-02-12T01:26:00Z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0x010100F7BC50A1FC79394A9023C6A5DFA7A09D</vt:lpwstr>
  </property>
</Properties>
</file>