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0203" w:rsidR="001B377D" w:rsidP="008F4D7C" w:rsidRDefault="007B25EE" w14:paraId="0A8865EB" w14:textId="3D5C51A6">
      <w:pPr>
        <w:ind w:left="1410" w:hanging="1410"/>
        <w:rPr>
          <w:rFonts w:ascii="Verdana" w:hAnsi="Verdana" w:eastAsia="Times New Roman" w:cs="Verdana"/>
          <w:b/>
          <w:bCs/>
          <w:sz w:val="18"/>
          <w:szCs w:val="18"/>
          <w:lang w:eastAsia="nl-NL"/>
        </w:rPr>
      </w:pPr>
      <w:bookmarkStart w:name="_Hlk147840496" w:id="0"/>
      <w:bookmarkEnd w:id="0"/>
      <w:r w:rsidRPr="00550203">
        <w:rPr>
          <w:rFonts w:ascii="Verdana" w:hAnsi="Verdana"/>
          <w:b/>
          <w:bCs/>
          <w:sz w:val="18"/>
          <w:szCs w:val="18"/>
          <w:lang w:eastAsia="nl-NL"/>
        </w:rPr>
        <w:t>364</w:t>
      </w:r>
      <w:r w:rsidRPr="00550203" w:rsidR="008F4D7C">
        <w:rPr>
          <w:rFonts w:ascii="Verdana" w:hAnsi="Verdana"/>
          <w:b/>
          <w:bCs/>
          <w:sz w:val="18"/>
          <w:szCs w:val="18"/>
          <w:lang w:eastAsia="nl-NL"/>
        </w:rPr>
        <w:t>26</w:t>
      </w:r>
      <w:r w:rsidRPr="00550203">
        <w:rPr>
          <w:rFonts w:ascii="Verdana" w:hAnsi="Verdana"/>
          <w:b/>
          <w:bCs/>
          <w:sz w:val="18"/>
          <w:szCs w:val="18"/>
          <w:lang w:eastAsia="nl-NL"/>
        </w:rPr>
        <w:tab/>
      </w:r>
      <w:r w:rsidRPr="00550203" w:rsidR="008F4D7C">
        <w:rPr>
          <w:rFonts w:ascii="Verdana" w:hAnsi="Verdana"/>
          <w:b/>
          <w:bCs/>
          <w:sz w:val="18"/>
          <w:szCs w:val="18"/>
          <w:lang w:eastAsia="nl-NL"/>
        </w:rPr>
        <w:t>Wijziging van enkele belastingwetten (Wet fiscale Klimaatmaatregelen glastuinbouw</w:t>
      </w:r>
      <w:r w:rsidRPr="00550203" w:rsidR="00597536">
        <w:rPr>
          <w:rFonts w:ascii="Verdana" w:hAnsi="Verdana"/>
          <w:b/>
          <w:bCs/>
          <w:sz w:val="18"/>
          <w:szCs w:val="18"/>
          <w:lang w:eastAsia="nl-NL"/>
        </w:rPr>
        <w:t>)</w:t>
      </w:r>
    </w:p>
    <w:p w:rsidRPr="00550203" w:rsidR="001B377D" w:rsidP="007B25EE" w:rsidRDefault="0007282E" w14:paraId="2DBAA374" w14:textId="492CE522">
      <w:pPr>
        <w:spacing w:after="0" w:line="360" w:lineRule="auto"/>
        <w:ind w:left="2126" w:hanging="710"/>
        <w:rPr>
          <w:rFonts w:ascii="Verdana" w:hAnsi="Verdana" w:eastAsia="Times New Roman" w:cs="Verdana"/>
          <w:b/>
          <w:bCs/>
          <w:sz w:val="18"/>
          <w:szCs w:val="18"/>
          <w:lang w:eastAsia="nl-NL"/>
        </w:rPr>
      </w:pPr>
      <w:r w:rsidRPr="00550203">
        <w:rPr>
          <w:rFonts w:ascii="Verdana" w:hAnsi="Verdana" w:eastAsia="Times New Roman" w:cs="Verdana"/>
          <w:b/>
          <w:bCs/>
          <w:sz w:val="18"/>
          <w:szCs w:val="18"/>
          <w:lang w:eastAsia="nl-NL"/>
        </w:rPr>
        <w:t>N</w:t>
      </w:r>
      <w:r w:rsidRPr="00550203" w:rsidR="001B377D">
        <w:rPr>
          <w:rFonts w:ascii="Verdana" w:hAnsi="Verdana" w:eastAsia="Times New Roman" w:cs="Verdana"/>
          <w:b/>
          <w:bCs/>
          <w:sz w:val="18"/>
          <w:szCs w:val="18"/>
          <w:lang w:eastAsia="nl-NL"/>
        </w:rPr>
        <w:t xml:space="preserve">OTA VAN WIJZIGING </w:t>
      </w:r>
    </w:p>
    <w:p w:rsidRPr="00550203" w:rsidR="001B377D" w:rsidP="007B25EE" w:rsidRDefault="001B377D" w14:paraId="6C1D6860" w14:textId="77777777">
      <w:pPr>
        <w:spacing w:after="0" w:line="360" w:lineRule="auto"/>
        <w:ind w:left="2126" w:hanging="1418"/>
        <w:rPr>
          <w:rFonts w:ascii="Verdana" w:hAnsi="Verdana" w:eastAsia="Times New Roman" w:cs="Verdana"/>
          <w:b/>
          <w:bCs/>
          <w:sz w:val="18"/>
          <w:szCs w:val="18"/>
          <w:lang w:eastAsia="nl-NL"/>
        </w:rPr>
      </w:pPr>
    </w:p>
    <w:p w:rsidRPr="00550203" w:rsidR="001B377D" w:rsidP="007B25EE" w:rsidRDefault="001B377D" w14:paraId="3F3A1B28" w14:textId="21946B7D">
      <w:pPr>
        <w:spacing w:after="0" w:line="360" w:lineRule="auto"/>
        <w:ind w:left="2126" w:hanging="710"/>
        <w:rPr>
          <w:rFonts w:ascii="Verdana" w:hAnsi="Verdana" w:eastAsia="Times New Roman" w:cs="Verdana"/>
          <w:sz w:val="18"/>
          <w:szCs w:val="18"/>
          <w:lang w:eastAsia="nl-NL"/>
        </w:rPr>
      </w:pPr>
      <w:r w:rsidRPr="00550203">
        <w:rPr>
          <w:rFonts w:ascii="Verdana" w:hAnsi="Verdana" w:eastAsia="Times New Roman" w:cs="Verdana"/>
          <w:sz w:val="18"/>
          <w:szCs w:val="18"/>
          <w:lang w:eastAsia="nl-NL"/>
        </w:rPr>
        <w:t>Het voorstel van wet wordt als volgt gewijzigd:</w:t>
      </w:r>
    </w:p>
    <w:p w:rsidRPr="00550203" w:rsidR="00E87FD0" w:rsidP="007B25EE" w:rsidRDefault="00E87FD0" w14:paraId="55EC6DA8" w14:textId="6A37984D">
      <w:pPr>
        <w:spacing w:after="0" w:line="360" w:lineRule="auto"/>
        <w:ind w:left="2126" w:hanging="710"/>
        <w:rPr>
          <w:rFonts w:ascii="Verdana" w:hAnsi="Verdana" w:eastAsia="Times New Roman" w:cs="Verdana"/>
          <w:sz w:val="18"/>
          <w:szCs w:val="18"/>
          <w:lang w:eastAsia="nl-NL"/>
        </w:rPr>
      </w:pPr>
    </w:p>
    <w:p w:rsidRPr="00550203" w:rsidR="006E5563" w:rsidP="006E5563" w:rsidRDefault="00F35313" w14:paraId="69C7020E" w14:textId="41469433">
      <w:pPr>
        <w:spacing w:after="0" w:line="360" w:lineRule="auto"/>
        <w:ind w:left="1418" w:hanging="2"/>
        <w:rPr>
          <w:rFonts w:ascii="Verdana" w:hAnsi="Verdana" w:eastAsia="Times New Roman" w:cs="Verdana"/>
          <w:sz w:val="18"/>
          <w:szCs w:val="18"/>
          <w:lang w:eastAsia="nl-NL"/>
        </w:rPr>
      </w:pPr>
      <w:r w:rsidRPr="00550203">
        <w:rPr>
          <w:rFonts w:ascii="Verdana" w:hAnsi="Verdana" w:eastAsia="Times New Roman" w:cs="Verdana"/>
          <w:sz w:val="18"/>
          <w:szCs w:val="18"/>
          <w:lang w:eastAsia="nl-NL"/>
        </w:rPr>
        <w:t>1</w:t>
      </w:r>
    </w:p>
    <w:p w:rsidRPr="00550203" w:rsidR="000D7ADE" w:rsidP="00BB51AF" w:rsidRDefault="000D7ADE" w14:paraId="00F14C95" w14:textId="4B453E46">
      <w:pPr>
        <w:spacing w:after="0" w:line="360" w:lineRule="auto"/>
        <w:ind w:left="708" w:firstLine="708"/>
        <w:rPr>
          <w:rFonts w:ascii="Verdana" w:hAnsi="Verdana" w:eastAsia="Times New Roman" w:cs="Verdana"/>
          <w:sz w:val="18"/>
          <w:szCs w:val="18"/>
          <w:lang w:eastAsia="nl-NL"/>
        </w:rPr>
      </w:pPr>
    </w:p>
    <w:p w:rsidRPr="00550203" w:rsidR="00FE486F" w:rsidP="00BB51AF" w:rsidRDefault="00FE486F" w14:paraId="3F9EA9B2" w14:textId="77777777">
      <w:pPr>
        <w:spacing w:after="0" w:line="360" w:lineRule="auto"/>
        <w:ind w:left="708" w:firstLine="708"/>
        <w:rPr>
          <w:rFonts w:ascii="Verdana" w:hAnsi="Verdana"/>
          <w:sz w:val="18"/>
          <w:szCs w:val="18"/>
        </w:rPr>
      </w:pPr>
      <w:r w:rsidRPr="00550203">
        <w:rPr>
          <w:rFonts w:ascii="Verdana" w:hAnsi="Verdana"/>
          <w:sz w:val="18"/>
          <w:szCs w:val="18"/>
        </w:rPr>
        <w:t>Artikel I wordt als volgt gewijzigd:</w:t>
      </w:r>
    </w:p>
    <w:p w:rsidRPr="00550203" w:rsidR="00FE486F" w:rsidP="00BB51AF" w:rsidRDefault="00FE486F" w14:paraId="11CFD9C8" w14:textId="77777777">
      <w:pPr>
        <w:spacing w:after="0" w:line="360" w:lineRule="auto"/>
        <w:ind w:left="708" w:firstLine="708"/>
        <w:rPr>
          <w:rFonts w:ascii="Verdana" w:hAnsi="Verdana"/>
          <w:sz w:val="18"/>
          <w:szCs w:val="18"/>
        </w:rPr>
      </w:pPr>
    </w:p>
    <w:p w:rsidRPr="00550203" w:rsidR="00123DC3" w:rsidP="00BE47AF" w:rsidRDefault="00FE486F" w14:paraId="6A825A43" w14:textId="48AC46D8">
      <w:pPr>
        <w:spacing w:after="0" w:line="360" w:lineRule="auto"/>
        <w:ind w:left="708" w:firstLine="708"/>
        <w:rPr>
          <w:rFonts w:ascii="Verdana" w:hAnsi="Verdana"/>
          <w:sz w:val="18"/>
          <w:szCs w:val="18"/>
        </w:rPr>
      </w:pPr>
      <w:r w:rsidRPr="00550203">
        <w:rPr>
          <w:rFonts w:ascii="Verdana" w:hAnsi="Verdana"/>
          <w:sz w:val="18"/>
          <w:szCs w:val="18"/>
        </w:rPr>
        <w:t xml:space="preserve">a. </w:t>
      </w:r>
      <w:r w:rsidRPr="00550203" w:rsidR="00123DC3">
        <w:rPr>
          <w:rFonts w:ascii="Verdana" w:hAnsi="Verdana"/>
          <w:sz w:val="18"/>
          <w:szCs w:val="18"/>
        </w:rPr>
        <w:t>Onderdeel E</w:t>
      </w:r>
      <w:r w:rsidRPr="00550203" w:rsidR="00BE47AF">
        <w:rPr>
          <w:rFonts w:ascii="Verdana" w:hAnsi="Verdana"/>
          <w:sz w:val="18"/>
          <w:szCs w:val="18"/>
        </w:rPr>
        <w:t>, onder 1,</w:t>
      </w:r>
      <w:r w:rsidRPr="00550203" w:rsidR="00123DC3">
        <w:rPr>
          <w:rFonts w:ascii="Verdana" w:hAnsi="Verdana"/>
          <w:sz w:val="18"/>
          <w:szCs w:val="18"/>
        </w:rPr>
        <w:t xml:space="preserve"> wordt als volgt gewijzigd:</w:t>
      </w:r>
    </w:p>
    <w:p w:rsidRPr="00550203" w:rsidR="00123DC3" w:rsidP="00BE47AF" w:rsidRDefault="00123DC3" w14:paraId="5B56BD28" w14:textId="46982477">
      <w:pPr>
        <w:spacing w:after="0" w:line="360" w:lineRule="auto"/>
        <w:ind w:left="708" w:firstLine="708"/>
        <w:rPr>
          <w:rFonts w:ascii="Verdana" w:hAnsi="Verdana"/>
          <w:sz w:val="18"/>
          <w:szCs w:val="18"/>
        </w:rPr>
      </w:pPr>
      <w:r w:rsidRPr="00550203">
        <w:rPr>
          <w:rFonts w:ascii="Verdana" w:hAnsi="Verdana"/>
          <w:sz w:val="18"/>
          <w:szCs w:val="18"/>
        </w:rPr>
        <w:t xml:space="preserve">1. In </w:t>
      </w:r>
      <w:r w:rsidRPr="00550203" w:rsidR="00570154">
        <w:rPr>
          <w:rFonts w:ascii="Verdana" w:hAnsi="Verdana"/>
          <w:sz w:val="18"/>
          <w:szCs w:val="18"/>
        </w:rPr>
        <w:t>het voorgestelde eerste lid, onderdeel a,</w:t>
      </w:r>
      <w:r w:rsidRPr="00550203">
        <w:rPr>
          <w:rFonts w:ascii="Verdana" w:hAnsi="Verdana"/>
          <w:sz w:val="18"/>
          <w:szCs w:val="18"/>
        </w:rPr>
        <w:t xml:space="preserve"> wordt “0,31658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0,2808</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w:t>
      </w:r>
    </w:p>
    <w:p w:rsidRPr="00550203" w:rsidR="008F4D7C" w:rsidP="00BE47AF" w:rsidRDefault="00123DC3" w14:paraId="3A72EB5B" w14:textId="186C7BDA">
      <w:pPr>
        <w:spacing w:after="0" w:line="360" w:lineRule="auto"/>
        <w:ind w:left="708" w:firstLine="708"/>
        <w:rPr>
          <w:rFonts w:ascii="Verdana" w:hAnsi="Verdana"/>
          <w:sz w:val="18"/>
          <w:szCs w:val="18"/>
        </w:rPr>
      </w:pPr>
      <w:r w:rsidRPr="00550203">
        <w:rPr>
          <w:rFonts w:ascii="Verdana" w:hAnsi="Verdana"/>
          <w:sz w:val="18"/>
          <w:szCs w:val="18"/>
        </w:rPr>
        <w:t xml:space="preserve">2. In </w:t>
      </w:r>
      <w:r w:rsidRPr="00550203" w:rsidR="00B5786B">
        <w:rPr>
          <w:rFonts w:ascii="Verdana" w:hAnsi="Verdana"/>
          <w:sz w:val="18"/>
          <w:szCs w:val="18"/>
        </w:rPr>
        <w:t>het voorgestelde tweede lid</w:t>
      </w:r>
      <w:r w:rsidRPr="00550203" w:rsidR="00FE486F">
        <w:rPr>
          <w:rFonts w:ascii="Verdana" w:hAnsi="Verdana"/>
          <w:sz w:val="18"/>
          <w:szCs w:val="18"/>
        </w:rPr>
        <w:t xml:space="preserve"> wordt </w:t>
      </w:r>
      <w:r w:rsidRPr="00550203">
        <w:rPr>
          <w:rFonts w:ascii="Verdana" w:hAnsi="Verdana"/>
          <w:sz w:val="18"/>
          <w:szCs w:val="18"/>
        </w:rPr>
        <w:t>“0,31658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0,2808 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xml:space="preserve">” </w:t>
      </w:r>
      <w:r w:rsidRPr="00550203" w:rsidR="00B76D0E">
        <w:rPr>
          <w:rFonts w:ascii="Verdana" w:hAnsi="Verdana"/>
          <w:sz w:val="18"/>
          <w:szCs w:val="18"/>
        </w:rPr>
        <w:t xml:space="preserve">en wordt </w:t>
      </w:r>
      <w:r w:rsidRPr="00550203" w:rsidR="00FE486F">
        <w:rPr>
          <w:rFonts w:ascii="Verdana" w:hAnsi="Verdana"/>
          <w:sz w:val="18"/>
          <w:szCs w:val="18"/>
        </w:rPr>
        <w:t>na “een distributienet” ingevoegd “</w:t>
      </w:r>
      <w:proofErr w:type="gramStart"/>
      <w:r w:rsidRPr="00550203" w:rsidR="00FE486F">
        <w:rPr>
          <w:rFonts w:ascii="Verdana" w:hAnsi="Verdana"/>
          <w:sz w:val="18"/>
          <w:szCs w:val="18"/>
        </w:rPr>
        <w:t>alsmede</w:t>
      </w:r>
      <w:proofErr w:type="gramEnd"/>
      <w:r w:rsidRPr="00550203" w:rsidR="00FE486F">
        <w:rPr>
          <w:rFonts w:ascii="Verdana" w:hAnsi="Verdana"/>
          <w:sz w:val="18"/>
          <w:szCs w:val="18"/>
        </w:rPr>
        <w:t xml:space="preserve"> </w:t>
      </w:r>
      <w:r w:rsidRPr="00550203" w:rsidR="00432386">
        <w:rPr>
          <w:rFonts w:ascii="Verdana" w:hAnsi="Verdana"/>
          <w:sz w:val="18"/>
          <w:szCs w:val="18"/>
        </w:rPr>
        <w:t>0,16</w:t>
      </w:r>
      <w:r w:rsidRPr="00550203" w:rsidR="0091228B">
        <w:rPr>
          <w:rFonts w:ascii="Verdana" w:hAnsi="Verdana"/>
          <w:sz w:val="18"/>
          <w:szCs w:val="18"/>
        </w:rPr>
        <w:t>70</w:t>
      </w:r>
      <w:r w:rsidRPr="00550203" w:rsidR="00432386">
        <w:rPr>
          <w:rFonts w:ascii="Verdana" w:hAnsi="Verdana"/>
          <w:sz w:val="18"/>
          <w:szCs w:val="18"/>
        </w:rPr>
        <w:t xml:space="preserve"> </w:t>
      </w:r>
      <w:r w:rsidRPr="00550203" w:rsidR="00FE486F">
        <w:rPr>
          <w:rFonts w:ascii="Verdana" w:hAnsi="Verdana"/>
          <w:sz w:val="18"/>
          <w:szCs w:val="18"/>
        </w:rPr>
        <w:t>Nm</w:t>
      </w:r>
      <w:r w:rsidRPr="00550203" w:rsidR="00FE486F">
        <w:rPr>
          <w:rFonts w:ascii="Verdana" w:hAnsi="Verdana"/>
          <w:sz w:val="18"/>
          <w:szCs w:val="18"/>
          <w:vertAlign w:val="superscript"/>
        </w:rPr>
        <w:t>3</w:t>
      </w:r>
      <w:r w:rsidRPr="00550203" w:rsidR="00FE486F">
        <w:rPr>
          <w:rFonts w:ascii="Verdana" w:hAnsi="Verdana"/>
          <w:sz w:val="18"/>
          <w:szCs w:val="18"/>
        </w:rPr>
        <w:t xml:space="preserve"> per kWh elektriciteit die de exploitant van de installatie niet </w:t>
      </w:r>
      <w:proofErr w:type="spellStart"/>
      <w:r w:rsidRPr="00550203" w:rsidR="00FE486F">
        <w:rPr>
          <w:rFonts w:ascii="Verdana" w:hAnsi="Verdana"/>
          <w:sz w:val="18"/>
          <w:szCs w:val="18"/>
        </w:rPr>
        <w:t>invoedt</w:t>
      </w:r>
      <w:proofErr w:type="spellEnd"/>
      <w:r w:rsidRPr="00550203" w:rsidR="00FE486F">
        <w:rPr>
          <w:rFonts w:ascii="Verdana" w:hAnsi="Verdana"/>
          <w:sz w:val="18"/>
          <w:szCs w:val="18"/>
        </w:rPr>
        <w:t xml:space="preserve"> op een distributienet”.</w:t>
      </w:r>
    </w:p>
    <w:p w:rsidRPr="00550203" w:rsidR="008F4D7C" w:rsidP="00325774" w:rsidRDefault="008F4D7C" w14:paraId="62E3767B" w14:textId="50B60766">
      <w:pPr>
        <w:spacing w:after="0" w:line="360" w:lineRule="auto"/>
        <w:rPr>
          <w:rFonts w:ascii="Verdana" w:hAnsi="Verdana"/>
          <w:sz w:val="18"/>
          <w:szCs w:val="18"/>
        </w:rPr>
      </w:pPr>
    </w:p>
    <w:p w:rsidRPr="00550203" w:rsidR="00FE486F" w:rsidP="00BB51AF" w:rsidRDefault="00123DC3" w14:paraId="7246AC3E" w14:textId="2B22971D">
      <w:pPr>
        <w:spacing w:after="0" w:line="360" w:lineRule="auto"/>
        <w:ind w:left="708" w:firstLine="708"/>
        <w:rPr>
          <w:rFonts w:ascii="Verdana" w:hAnsi="Verdana"/>
          <w:sz w:val="18"/>
          <w:szCs w:val="18"/>
        </w:rPr>
      </w:pPr>
      <w:r w:rsidRPr="00550203">
        <w:rPr>
          <w:rFonts w:ascii="Verdana" w:hAnsi="Verdana"/>
          <w:sz w:val="18"/>
          <w:szCs w:val="18"/>
        </w:rPr>
        <w:t>b</w:t>
      </w:r>
      <w:r w:rsidRPr="00550203" w:rsidR="00FE486F">
        <w:rPr>
          <w:rFonts w:ascii="Verdana" w:hAnsi="Verdana"/>
          <w:sz w:val="18"/>
          <w:szCs w:val="18"/>
        </w:rPr>
        <w:t xml:space="preserve">. </w:t>
      </w:r>
      <w:r w:rsidRPr="00550203" w:rsidR="00565D41">
        <w:rPr>
          <w:rFonts w:ascii="Verdana" w:hAnsi="Verdana"/>
          <w:sz w:val="18"/>
          <w:szCs w:val="18"/>
        </w:rPr>
        <w:t>In o</w:t>
      </w:r>
      <w:r w:rsidRPr="00550203" w:rsidR="009A2451">
        <w:rPr>
          <w:rFonts w:ascii="Verdana" w:hAnsi="Verdana"/>
          <w:sz w:val="18"/>
          <w:szCs w:val="18"/>
        </w:rPr>
        <w:t xml:space="preserve">nderdeel I </w:t>
      </w:r>
      <w:r w:rsidRPr="00550203" w:rsidR="00433431">
        <w:rPr>
          <w:rFonts w:ascii="Verdana" w:hAnsi="Verdana"/>
          <w:sz w:val="18"/>
          <w:szCs w:val="18"/>
        </w:rPr>
        <w:t xml:space="preserve">wordt </w:t>
      </w:r>
      <w:r w:rsidRPr="00550203" w:rsidR="00AF77AA">
        <w:rPr>
          <w:rFonts w:ascii="Verdana" w:hAnsi="Verdana"/>
          <w:sz w:val="18"/>
          <w:szCs w:val="18"/>
        </w:rPr>
        <w:t xml:space="preserve">het voorgestelde </w:t>
      </w:r>
      <w:r w:rsidRPr="00550203">
        <w:rPr>
          <w:rFonts w:ascii="Verdana" w:hAnsi="Verdana"/>
          <w:sz w:val="18"/>
          <w:szCs w:val="18"/>
        </w:rPr>
        <w:t>a</w:t>
      </w:r>
      <w:r w:rsidRPr="00550203" w:rsidR="00565D41">
        <w:rPr>
          <w:rFonts w:ascii="Verdana" w:hAnsi="Verdana"/>
          <w:sz w:val="18"/>
          <w:szCs w:val="18"/>
        </w:rPr>
        <w:t>rtikel 71y</w:t>
      </w:r>
      <w:r w:rsidRPr="00550203" w:rsidR="00433431">
        <w:rPr>
          <w:rFonts w:ascii="Verdana" w:hAnsi="Verdana"/>
          <w:sz w:val="18"/>
          <w:szCs w:val="18"/>
        </w:rPr>
        <w:t xml:space="preserve"> als volgt gewijzigd</w:t>
      </w:r>
      <w:r w:rsidRPr="00550203" w:rsidR="00565D41">
        <w:rPr>
          <w:rFonts w:ascii="Verdana" w:hAnsi="Verdana"/>
          <w:sz w:val="18"/>
          <w:szCs w:val="18"/>
        </w:rPr>
        <w:t>:</w:t>
      </w:r>
    </w:p>
    <w:p w:rsidRPr="00550203" w:rsidR="00433431" w:rsidP="00565D41" w:rsidRDefault="00433431" w14:paraId="54B1C0A1" w14:textId="7621E605">
      <w:pPr>
        <w:spacing w:after="0" w:line="360" w:lineRule="auto"/>
        <w:ind w:left="708" w:firstLine="708"/>
        <w:rPr>
          <w:rFonts w:ascii="Verdana" w:hAnsi="Verdana"/>
          <w:sz w:val="18"/>
          <w:szCs w:val="18"/>
        </w:rPr>
      </w:pPr>
      <w:r w:rsidRPr="00550203">
        <w:rPr>
          <w:rFonts w:ascii="Verdana" w:hAnsi="Verdana"/>
          <w:sz w:val="18"/>
          <w:szCs w:val="18"/>
        </w:rPr>
        <w:t>1. Het eerste lid komt te luiden:</w:t>
      </w:r>
    </w:p>
    <w:p w:rsidRPr="00550203" w:rsidR="00565D41" w:rsidP="00565D41" w:rsidRDefault="00433431" w14:paraId="722A4EB4" w14:textId="53D7D9E8">
      <w:pPr>
        <w:spacing w:after="0" w:line="360" w:lineRule="auto"/>
        <w:ind w:left="708" w:firstLine="708"/>
        <w:rPr>
          <w:rFonts w:ascii="Verdana" w:hAnsi="Verdana"/>
          <w:sz w:val="18"/>
          <w:szCs w:val="18"/>
        </w:rPr>
      </w:pPr>
      <w:r w:rsidRPr="00550203">
        <w:rPr>
          <w:rFonts w:ascii="Verdana" w:hAnsi="Verdana"/>
          <w:sz w:val="18"/>
          <w:szCs w:val="18"/>
        </w:rPr>
        <w:t>1</w:t>
      </w:r>
      <w:r w:rsidRPr="00550203" w:rsidR="00565D41">
        <w:rPr>
          <w:rFonts w:ascii="Verdana" w:hAnsi="Verdana"/>
          <w:sz w:val="18"/>
          <w:szCs w:val="18"/>
        </w:rPr>
        <w:t xml:space="preserve">. Het </w:t>
      </w:r>
      <w:r w:rsidRPr="00550203">
        <w:rPr>
          <w:rFonts w:ascii="Verdana" w:hAnsi="Verdana"/>
          <w:sz w:val="18"/>
          <w:szCs w:val="18"/>
        </w:rPr>
        <w:t>tarief bedraagt per ton kooldioxide</w:t>
      </w:r>
      <w:r w:rsidRPr="00550203" w:rsidR="00565D41">
        <w:rPr>
          <w:rFonts w:ascii="Verdana" w:hAnsi="Verdana"/>
          <w:sz w:val="18"/>
          <w:szCs w:val="18"/>
        </w:rPr>
        <w:t xml:space="preserve"> voor: </w:t>
      </w:r>
    </w:p>
    <w:p w:rsidRPr="00550203" w:rsidR="00565D41" w:rsidP="00565D41" w:rsidRDefault="00565D41" w14:paraId="2773DF13" w14:textId="21198956">
      <w:pPr>
        <w:spacing w:after="0" w:line="360" w:lineRule="auto"/>
        <w:ind w:left="708" w:firstLine="708"/>
        <w:rPr>
          <w:rFonts w:ascii="Verdana" w:hAnsi="Verdana"/>
          <w:sz w:val="18"/>
          <w:szCs w:val="18"/>
        </w:rPr>
      </w:pPr>
      <w:r w:rsidRPr="00550203">
        <w:rPr>
          <w:rFonts w:ascii="Verdana" w:hAnsi="Verdana"/>
          <w:sz w:val="18"/>
          <w:szCs w:val="18"/>
        </w:rPr>
        <w:t xml:space="preserve">– het kalenderjaar 2025: € </w:t>
      </w:r>
      <w:r w:rsidRPr="00550203" w:rsidR="00432386">
        <w:rPr>
          <w:rFonts w:ascii="Verdana" w:hAnsi="Verdana" w:cs="Calibri"/>
          <w:color w:val="000000"/>
          <w:sz w:val="18"/>
          <w:szCs w:val="18"/>
        </w:rPr>
        <w:t>8,2</w:t>
      </w:r>
      <w:r w:rsidRPr="00550203" w:rsidR="004C5916">
        <w:rPr>
          <w:rFonts w:ascii="Verdana" w:hAnsi="Verdana" w:cs="Calibri"/>
          <w:color w:val="000000"/>
          <w:sz w:val="18"/>
          <w:szCs w:val="18"/>
        </w:rPr>
        <w:t>0</w:t>
      </w:r>
      <w:r w:rsidRPr="00550203">
        <w:rPr>
          <w:rFonts w:ascii="Verdana" w:hAnsi="Verdana"/>
          <w:sz w:val="18"/>
          <w:szCs w:val="18"/>
        </w:rPr>
        <w:t>;</w:t>
      </w:r>
    </w:p>
    <w:p w:rsidRPr="00550203" w:rsidR="00565D41" w:rsidP="00565D41" w:rsidRDefault="00565D41" w14:paraId="2341B67E" w14:textId="10BFB980">
      <w:pPr>
        <w:spacing w:after="0" w:line="360" w:lineRule="auto"/>
        <w:ind w:left="708" w:firstLine="708"/>
        <w:rPr>
          <w:rFonts w:ascii="Verdana" w:hAnsi="Verdana"/>
          <w:sz w:val="18"/>
          <w:szCs w:val="18"/>
        </w:rPr>
      </w:pPr>
      <w:r w:rsidRPr="00550203">
        <w:rPr>
          <w:rFonts w:ascii="Verdana" w:hAnsi="Verdana"/>
          <w:sz w:val="18"/>
          <w:szCs w:val="18"/>
        </w:rPr>
        <w:t xml:space="preserve">– het kalenderjaar 2026: € </w:t>
      </w:r>
      <w:r w:rsidRPr="00550203" w:rsidR="00432386">
        <w:rPr>
          <w:rFonts w:ascii="Verdana" w:hAnsi="Verdana"/>
          <w:sz w:val="18"/>
          <w:szCs w:val="18"/>
        </w:rPr>
        <w:t>9,2</w:t>
      </w:r>
      <w:r w:rsidRPr="00550203" w:rsidR="004C5916">
        <w:rPr>
          <w:rFonts w:ascii="Verdana" w:hAnsi="Verdana"/>
          <w:sz w:val="18"/>
          <w:szCs w:val="18"/>
        </w:rPr>
        <w:t>0</w:t>
      </w:r>
      <w:r w:rsidRPr="00550203">
        <w:rPr>
          <w:rFonts w:ascii="Verdana" w:hAnsi="Verdana"/>
          <w:sz w:val="18"/>
          <w:szCs w:val="18"/>
        </w:rPr>
        <w:t>;</w:t>
      </w:r>
    </w:p>
    <w:p w:rsidRPr="00550203" w:rsidR="00565D41" w:rsidP="00565D41" w:rsidRDefault="00565D41" w14:paraId="2B02CA67" w14:textId="3DDBF8A5">
      <w:pPr>
        <w:spacing w:after="0" w:line="360" w:lineRule="auto"/>
        <w:ind w:left="708" w:firstLine="708"/>
        <w:rPr>
          <w:rFonts w:ascii="Verdana" w:hAnsi="Verdana"/>
          <w:sz w:val="18"/>
          <w:szCs w:val="18"/>
        </w:rPr>
      </w:pPr>
      <w:r w:rsidRPr="00550203">
        <w:rPr>
          <w:rFonts w:ascii="Verdana" w:hAnsi="Verdana"/>
          <w:sz w:val="18"/>
          <w:szCs w:val="18"/>
        </w:rPr>
        <w:t xml:space="preserve">– het kalenderjaar 2027: € </w:t>
      </w:r>
      <w:r w:rsidRPr="00550203" w:rsidR="00432386">
        <w:rPr>
          <w:rFonts w:ascii="Verdana" w:hAnsi="Verdana"/>
          <w:sz w:val="18"/>
          <w:szCs w:val="18"/>
        </w:rPr>
        <w:t>10,2</w:t>
      </w:r>
      <w:r w:rsidRPr="00550203" w:rsidR="004C5916">
        <w:rPr>
          <w:rFonts w:ascii="Verdana" w:hAnsi="Verdana"/>
          <w:sz w:val="18"/>
          <w:szCs w:val="18"/>
        </w:rPr>
        <w:t>0</w:t>
      </w:r>
      <w:r w:rsidRPr="00550203">
        <w:rPr>
          <w:rFonts w:ascii="Verdana" w:hAnsi="Verdana"/>
          <w:sz w:val="18"/>
          <w:szCs w:val="18"/>
        </w:rPr>
        <w:t>;</w:t>
      </w:r>
    </w:p>
    <w:p w:rsidRPr="00550203" w:rsidR="00565D41" w:rsidP="00565D41" w:rsidRDefault="00565D41" w14:paraId="251BA7F6" w14:textId="14506A1D">
      <w:pPr>
        <w:spacing w:after="0" w:line="360" w:lineRule="auto"/>
        <w:ind w:left="708" w:firstLine="708"/>
        <w:rPr>
          <w:rFonts w:ascii="Verdana" w:hAnsi="Verdana"/>
          <w:sz w:val="18"/>
          <w:szCs w:val="18"/>
        </w:rPr>
      </w:pPr>
      <w:r w:rsidRPr="00550203">
        <w:rPr>
          <w:rFonts w:ascii="Verdana" w:hAnsi="Verdana"/>
          <w:sz w:val="18"/>
          <w:szCs w:val="18"/>
        </w:rPr>
        <w:t xml:space="preserve">– het kalenderjaar 2028: € </w:t>
      </w:r>
      <w:r w:rsidRPr="00550203" w:rsidR="00432386">
        <w:rPr>
          <w:rFonts w:ascii="Verdana" w:hAnsi="Verdana"/>
          <w:sz w:val="18"/>
          <w:szCs w:val="18"/>
        </w:rPr>
        <w:t>10,7</w:t>
      </w:r>
      <w:r w:rsidRPr="00550203" w:rsidR="004C5916">
        <w:rPr>
          <w:rFonts w:ascii="Verdana" w:hAnsi="Verdana"/>
          <w:sz w:val="18"/>
          <w:szCs w:val="18"/>
        </w:rPr>
        <w:t>0</w:t>
      </w:r>
      <w:r w:rsidRPr="00550203">
        <w:rPr>
          <w:rFonts w:ascii="Verdana" w:hAnsi="Verdana"/>
          <w:sz w:val="18"/>
          <w:szCs w:val="18"/>
        </w:rPr>
        <w:t>;</w:t>
      </w:r>
    </w:p>
    <w:p w:rsidRPr="00550203" w:rsidR="00565D41" w:rsidP="00565D41" w:rsidRDefault="00565D41" w14:paraId="31075A57" w14:textId="712490F7">
      <w:pPr>
        <w:spacing w:after="0" w:line="360" w:lineRule="auto"/>
        <w:ind w:left="708" w:firstLine="708"/>
        <w:rPr>
          <w:rFonts w:ascii="Verdana" w:hAnsi="Verdana"/>
          <w:sz w:val="18"/>
          <w:szCs w:val="18"/>
        </w:rPr>
      </w:pPr>
      <w:r w:rsidRPr="00550203">
        <w:rPr>
          <w:rFonts w:ascii="Verdana" w:hAnsi="Verdana"/>
          <w:sz w:val="18"/>
          <w:szCs w:val="18"/>
        </w:rPr>
        <w:t xml:space="preserve">– het kalenderjaar 2029: € </w:t>
      </w:r>
      <w:r w:rsidRPr="00550203" w:rsidR="00432386">
        <w:rPr>
          <w:rFonts w:ascii="Verdana" w:hAnsi="Verdana"/>
          <w:sz w:val="18"/>
          <w:szCs w:val="18"/>
        </w:rPr>
        <w:t>11,3</w:t>
      </w:r>
      <w:r w:rsidRPr="00550203" w:rsidR="004C5916">
        <w:rPr>
          <w:rFonts w:ascii="Verdana" w:hAnsi="Verdana"/>
          <w:sz w:val="18"/>
          <w:szCs w:val="18"/>
        </w:rPr>
        <w:t>0</w:t>
      </w:r>
      <w:r w:rsidRPr="00550203">
        <w:rPr>
          <w:rFonts w:ascii="Verdana" w:hAnsi="Verdana"/>
          <w:sz w:val="18"/>
          <w:szCs w:val="18"/>
        </w:rPr>
        <w:t>;</w:t>
      </w:r>
    </w:p>
    <w:p w:rsidRPr="00550203" w:rsidR="00565D41" w:rsidP="00565D41" w:rsidRDefault="00565D41" w14:paraId="4819EE3F" w14:textId="7695384D">
      <w:pPr>
        <w:spacing w:after="0" w:line="360" w:lineRule="auto"/>
        <w:ind w:left="708" w:firstLine="708"/>
        <w:rPr>
          <w:rFonts w:ascii="Verdana" w:hAnsi="Verdana"/>
          <w:sz w:val="18"/>
          <w:szCs w:val="18"/>
        </w:rPr>
      </w:pPr>
      <w:r w:rsidRPr="00550203">
        <w:rPr>
          <w:rFonts w:ascii="Verdana" w:hAnsi="Verdana"/>
          <w:sz w:val="18"/>
          <w:szCs w:val="18"/>
        </w:rPr>
        <w:t xml:space="preserve">– de kalenderjaren vanaf 2030: € </w:t>
      </w:r>
      <w:r w:rsidRPr="00550203" w:rsidR="00432386">
        <w:rPr>
          <w:rFonts w:ascii="Verdana" w:hAnsi="Verdana"/>
          <w:sz w:val="18"/>
          <w:szCs w:val="18"/>
        </w:rPr>
        <w:t>12,4</w:t>
      </w:r>
      <w:r w:rsidRPr="00550203" w:rsidR="004C5916">
        <w:rPr>
          <w:rFonts w:ascii="Verdana" w:hAnsi="Verdana"/>
          <w:sz w:val="18"/>
          <w:szCs w:val="18"/>
        </w:rPr>
        <w:t>0</w:t>
      </w:r>
      <w:r w:rsidRPr="00550203">
        <w:rPr>
          <w:rFonts w:ascii="Verdana" w:hAnsi="Verdana"/>
          <w:sz w:val="18"/>
          <w:szCs w:val="18"/>
        </w:rPr>
        <w:t>.</w:t>
      </w:r>
    </w:p>
    <w:p w:rsidRPr="00550203" w:rsidR="00433431" w:rsidP="00565D41" w:rsidRDefault="00433431" w14:paraId="7FF58AB4" w14:textId="1D0BACD1">
      <w:pPr>
        <w:spacing w:after="0" w:line="360" w:lineRule="auto"/>
        <w:ind w:left="708" w:firstLine="708"/>
        <w:rPr>
          <w:rFonts w:ascii="Verdana" w:hAnsi="Verdana"/>
          <w:sz w:val="18"/>
          <w:szCs w:val="18"/>
        </w:rPr>
      </w:pPr>
      <w:r w:rsidRPr="00550203">
        <w:rPr>
          <w:rFonts w:ascii="Verdana" w:hAnsi="Verdana"/>
          <w:sz w:val="18"/>
          <w:szCs w:val="18"/>
        </w:rPr>
        <w:t xml:space="preserve">2. Het tweede lid vervalt, onder vernummering van het derde </w:t>
      </w:r>
      <w:r w:rsidRPr="00550203" w:rsidR="00173AB9">
        <w:rPr>
          <w:rFonts w:ascii="Verdana" w:hAnsi="Verdana"/>
          <w:sz w:val="18"/>
          <w:szCs w:val="18"/>
        </w:rPr>
        <w:t xml:space="preserve">lid </w:t>
      </w:r>
      <w:r w:rsidRPr="00550203">
        <w:rPr>
          <w:rFonts w:ascii="Verdana" w:hAnsi="Verdana"/>
          <w:sz w:val="18"/>
          <w:szCs w:val="18"/>
        </w:rPr>
        <w:t>tot tweede lid.</w:t>
      </w:r>
    </w:p>
    <w:p w:rsidRPr="00550203" w:rsidR="00565D41" w:rsidP="00565D41" w:rsidRDefault="00565D41" w14:paraId="79CDDBA2" w14:textId="696FD813">
      <w:pPr>
        <w:spacing w:after="0" w:line="360" w:lineRule="auto"/>
        <w:ind w:left="708" w:firstLine="708"/>
        <w:rPr>
          <w:rFonts w:ascii="Verdana" w:hAnsi="Verdana"/>
          <w:sz w:val="18"/>
          <w:szCs w:val="18"/>
        </w:rPr>
      </w:pPr>
    </w:p>
    <w:p w:rsidRPr="00550203" w:rsidR="00B76D0E" w:rsidP="00C74BDB" w:rsidRDefault="00B76D0E" w14:paraId="09C31C73" w14:textId="23A87C20">
      <w:pPr>
        <w:spacing w:after="0" w:line="360" w:lineRule="auto"/>
        <w:ind w:left="1416"/>
        <w:rPr>
          <w:rFonts w:ascii="Verdana" w:hAnsi="Verdana"/>
          <w:sz w:val="18"/>
          <w:szCs w:val="18"/>
        </w:rPr>
      </w:pPr>
      <w:r w:rsidRPr="00550203">
        <w:rPr>
          <w:rFonts w:ascii="Verdana" w:hAnsi="Verdana"/>
          <w:sz w:val="18"/>
          <w:szCs w:val="18"/>
        </w:rPr>
        <w:t>c</w:t>
      </w:r>
      <w:r w:rsidRPr="00550203" w:rsidR="00BE58AC">
        <w:rPr>
          <w:rFonts w:ascii="Verdana" w:hAnsi="Verdana"/>
          <w:sz w:val="18"/>
          <w:szCs w:val="18"/>
        </w:rPr>
        <w:t xml:space="preserve">. </w:t>
      </w:r>
      <w:r w:rsidRPr="00550203">
        <w:rPr>
          <w:rFonts w:ascii="Verdana" w:hAnsi="Verdana"/>
          <w:sz w:val="18"/>
          <w:szCs w:val="18"/>
        </w:rPr>
        <w:t>Onderdeel J komt te luiden:</w:t>
      </w:r>
      <w:r w:rsidRPr="00550203">
        <w:rPr>
          <w:rFonts w:ascii="Verdana" w:hAnsi="Verdana"/>
          <w:sz w:val="18"/>
          <w:szCs w:val="18"/>
        </w:rPr>
        <w:br/>
        <w:t>J</w:t>
      </w:r>
      <w:r w:rsidRPr="00550203">
        <w:rPr>
          <w:rFonts w:ascii="Verdana" w:hAnsi="Verdana"/>
          <w:sz w:val="18"/>
          <w:szCs w:val="18"/>
        </w:rPr>
        <w:br/>
        <w:t>In artikel 90</w:t>
      </w:r>
      <w:r w:rsidRPr="00550203" w:rsidR="00162F78">
        <w:rPr>
          <w:rFonts w:ascii="Verdana" w:hAnsi="Verdana"/>
          <w:sz w:val="18"/>
          <w:szCs w:val="18"/>
        </w:rPr>
        <w:t xml:space="preserve"> </w:t>
      </w:r>
      <w:r w:rsidRPr="00550203">
        <w:rPr>
          <w:rFonts w:ascii="Verdana" w:hAnsi="Verdana"/>
          <w:sz w:val="18"/>
          <w:szCs w:val="18"/>
        </w:rPr>
        <w:t xml:space="preserve">vervalt </w:t>
      </w:r>
      <w:r w:rsidRPr="00550203" w:rsidR="00597536">
        <w:rPr>
          <w:rFonts w:ascii="Verdana" w:hAnsi="Verdana"/>
          <w:sz w:val="18"/>
          <w:szCs w:val="18"/>
        </w:rPr>
        <w:t xml:space="preserve">in de eerste zin </w:t>
      </w:r>
      <w:r w:rsidRPr="00550203">
        <w:rPr>
          <w:rFonts w:ascii="Verdana" w:hAnsi="Verdana"/>
          <w:sz w:val="18"/>
          <w:szCs w:val="18"/>
        </w:rPr>
        <w:t>“60, eerste lid</w:t>
      </w:r>
      <w:r w:rsidRPr="00550203" w:rsidR="00903AD5">
        <w:rPr>
          <w:rFonts w:ascii="Verdana" w:hAnsi="Verdana"/>
          <w:sz w:val="18"/>
          <w:szCs w:val="18"/>
        </w:rPr>
        <w:t>,</w:t>
      </w:r>
      <w:r w:rsidRPr="00550203">
        <w:rPr>
          <w:rFonts w:ascii="Verdana" w:hAnsi="Verdana"/>
          <w:sz w:val="18"/>
          <w:szCs w:val="18"/>
        </w:rPr>
        <w:t xml:space="preserve">” en </w:t>
      </w:r>
      <w:r w:rsidRPr="00550203" w:rsidR="008A0221">
        <w:rPr>
          <w:rFonts w:ascii="Verdana" w:hAnsi="Verdana"/>
          <w:sz w:val="18"/>
          <w:szCs w:val="18"/>
        </w:rPr>
        <w:t xml:space="preserve">wordt </w:t>
      </w:r>
      <w:r w:rsidRPr="00550203" w:rsidR="00597536">
        <w:rPr>
          <w:rFonts w:ascii="Verdana" w:hAnsi="Verdana"/>
          <w:sz w:val="18"/>
          <w:szCs w:val="18"/>
        </w:rPr>
        <w:t xml:space="preserve">in de tweede zin </w:t>
      </w:r>
      <w:r w:rsidRPr="00550203" w:rsidR="008A0221">
        <w:rPr>
          <w:rFonts w:ascii="Verdana" w:hAnsi="Verdana"/>
          <w:sz w:val="18"/>
          <w:szCs w:val="18"/>
        </w:rPr>
        <w:t xml:space="preserve">“artikel 71f, vierde lid,” </w:t>
      </w:r>
      <w:r w:rsidRPr="00550203" w:rsidR="003D02E0">
        <w:rPr>
          <w:rFonts w:ascii="Verdana" w:hAnsi="Verdana"/>
          <w:sz w:val="18"/>
          <w:szCs w:val="18"/>
        </w:rPr>
        <w:t xml:space="preserve">vervangen door </w:t>
      </w:r>
      <w:r w:rsidRPr="00550203" w:rsidR="008A0221">
        <w:rPr>
          <w:rFonts w:ascii="Verdana" w:hAnsi="Verdana"/>
          <w:sz w:val="18"/>
          <w:szCs w:val="18"/>
        </w:rPr>
        <w:t>“</w:t>
      </w:r>
      <w:bookmarkStart w:name="_Hlk147930258" w:id="1"/>
      <w:r w:rsidRPr="00550203" w:rsidR="003D02E0">
        <w:rPr>
          <w:rFonts w:ascii="Verdana" w:hAnsi="Verdana"/>
          <w:sz w:val="18"/>
          <w:szCs w:val="18"/>
        </w:rPr>
        <w:t xml:space="preserve">de </w:t>
      </w:r>
      <w:r w:rsidRPr="00550203" w:rsidR="008A0221">
        <w:rPr>
          <w:rFonts w:ascii="Verdana" w:hAnsi="Verdana"/>
          <w:sz w:val="18"/>
          <w:szCs w:val="18"/>
        </w:rPr>
        <w:t>artikel</w:t>
      </w:r>
      <w:r w:rsidRPr="00550203" w:rsidR="003D02E0">
        <w:rPr>
          <w:rFonts w:ascii="Verdana" w:hAnsi="Verdana"/>
          <w:sz w:val="18"/>
          <w:szCs w:val="18"/>
        </w:rPr>
        <w:t>en 71f, vierde lid, en</w:t>
      </w:r>
      <w:r w:rsidRPr="00550203" w:rsidR="008A0221">
        <w:rPr>
          <w:rFonts w:ascii="Verdana" w:hAnsi="Verdana"/>
          <w:sz w:val="18"/>
          <w:szCs w:val="18"/>
        </w:rPr>
        <w:t xml:space="preserve"> 71y, </w:t>
      </w:r>
      <w:r w:rsidRPr="00550203" w:rsidR="00433431">
        <w:rPr>
          <w:rFonts w:ascii="Verdana" w:hAnsi="Verdana"/>
          <w:sz w:val="18"/>
          <w:szCs w:val="18"/>
        </w:rPr>
        <w:t xml:space="preserve">eerste </w:t>
      </w:r>
      <w:r w:rsidRPr="00550203" w:rsidR="008A0221">
        <w:rPr>
          <w:rFonts w:ascii="Verdana" w:hAnsi="Verdana"/>
          <w:sz w:val="18"/>
          <w:szCs w:val="18"/>
        </w:rPr>
        <w:t>lid</w:t>
      </w:r>
      <w:bookmarkEnd w:id="1"/>
      <w:r w:rsidRPr="00550203" w:rsidR="008A0221">
        <w:rPr>
          <w:rFonts w:ascii="Verdana" w:hAnsi="Verdana"/>
          <w:sz w:val="18"/>
          <w:szCs w:val="18"/>
        </w:rPr>
        <w:t xml:space="preserve">,”. </w:t>
      </w:r>
    </w:p>
    <w:p w:rsidRPr="00550203" w:rsidR="0045665B" w:rsidP="00BB51AF" w:rsidRDefault="0045665B" w14:paraId="3033BE67" w14:textId="77777777">
      <w:pPr>
        <w:spacing w:after="0" w:line="360" w:lineRule="auto"/>
        <w:ind w:left="708" w:firstLine="708"/>
        <w:rPr>
          <w:rFonts w:ascii="Verdana" w:hAnsi="Verdana"/>
          <w:sz w:val="18"/>
          <w:szCs w:val="18"/>
        </w:rPr>
      </w:pPr>
    </w:p>
    <w:p w:rsidRPr="00550203" w:rsidR="00BE58AC" w:rsidP="0022189D" w:rsidRDefault="00FE486F" w14:paraId="0D6CFD78" w14:textId="2CFB5668">
      <w:pPr>
        <w:spacing w:after="0" w:line="360" w:lineRule="auto"/>
        <w:ind w:left="708" w:firstLine="708"/>
        <w:rPr>
          <w:rFonts w:ascii="Verdana" w:hAnsi="Verdana"/>
          <w:sz w:val="18"/>
          <w:szCs w:val="18"/>
        </w:rPr>
      </w:pPr>
      <w:r w:rsidRPr="00550203">
        <w:rPr>
          <w:rFonts w:ascii="Verdana" w:hAnsi="Verdana"/>
          <w:sz w:val="18"/>
          <w:szCs w:val="18"/>
        </w:rPr>
        <w:t>2</w:t>
      </w:r>
      <w:r w:rsidRPr="00550203" w:rsidR="009A2451">
        <w:rPr>
          <w:rFonts w:ascii="Verdana" w:hAnsi="Verdana"/>
          <w:sz w:val="18"/>
          <w:szCs w:val="18"/>
        </w:rPr>
        <w:t xml:space="preserve"> </w:t>
      </w:r>
    </w:p>
    <w:p w:rsidRPr="00550203" w:rsidR="009E14A3" w:rsidP="0022189D" w:rsidRDefault="009E14A3" w14:paraId="412E9532" w14:textId="77777777">
      <w:pPr>
        <w:spacing w:after="0" w:line="360" w:lineRule="auto"/>
        <w:ind w:left="708" w:firstLine="708"/>
        <w:rPr>
          <w:rFonts w:ascii="Verdana" w:hAnsi="Verdana"/>
          <w:sz w:val="18"/>
          <w:szCs w:val="18"/>
        </w:rPr>
      </w:pPr>
    </w:p>
    <w:p w:rsidRPr="00550203" w:rsidR="00621A39" w:rsidP="0022189D" w:rsidRDefault="00621A39" w14:paraId="018B28DD" w14:textId="5A5F2271">
      <w:pPr>
        <w:spacing w:after="0" w:line="360" w:lineRule="auto"/>
        <w:ind w:left="708" w:firstLine="708"/>
        <w:rPr>
          <w:rFonts w:ascii="Verdana" w:hAnsi="Verdana"/>
          <w:sz w:val="18"/>
          <w:szCs w:val="18"/>
        </w:rPr>
      </w:pPr>
      <w:r w:rsidRPr="00550203">
        <w:rPr>
          <w:rFonts w:ascii="Verdana" w:hAnsi="Verdana"/>
          <w:sz w:val="18"/>
          <w:szCs w:val="18"/>
        </w:rPr>
        <w:t>A</w:t>
      </w:r>
      <w:r w:rsidRPr="00550203" w:rsidR="009A2451">
        <w:rPr>
          <w:rFonts w:ascii="Verdana" w:hAnsi="Verdana"/>
          <w:sz w:val="18"/>
          <w:szCs w:val="18"/>
        </w:rPr>
        <w:t>rtikel II, onderdeel B</w:t>
      </w:r>
      <w:r w:rsidRPr="00550203" w:rsidR="008A0221">
        <w:rPr>
          <w:rFonts w:ascii="Verdana" w:hAnsi="Verdana"/>
          <w:sz w:val="18"/>
          <w:szCs w:val="18"/>
        </w:rPr>
        <w:t>,</w:t>
      </w:r>
      <w:r w:rsidRPr="00550203" w:rsidR="009A2451">
        <w:rPr>
          <w:rFonts w:ascii="Verdana" w:hAnsi="Verdana"/>
          <w:sz w:val="18"/>
          <w:szCs w:val="18"/>
        </w:rPr>
        <w:t xml:space="preserve"> </w:t>
      </w:r>
      <w:r w:rsidRPr="00550203">
        <w:rPr>
          <w:rFonts w:ascii="Verdana" w:hAnsi="Verdana"/>
          <w:sz w:val="18"/>
          <w:szCs w:val="18"/>
        </w:rPr>
        <w:t>wordt als volgt gewijzigd:</w:t>
      </w:r>
    </w:p>
    <w:p w:rsidRPr="00550203" w:rsidR="00621A39" w:rsidP="0022189D" w:rsidRDefault="00621A39" w14:paraId="0D17A9AC" w14:textId="174F9C4C">
      <w:pPr>
        <w:spacing w:after="0" w:line="360" w:lineRule="auto"/>
        <w:ind w:left="708" w:firstLine="708"/>
        <w:rPr>
          <w:rFonts w:ascii="Verdana" w:hAnsi="Verdana"/>
          <w:sz w:val="18"/>
          <w:szCs w:val="18"/>
        </w:rPr>
      </w:pPr>
      <w:r w:rsidRPr="00550203">
        <w:rPr>
          <w:rFonts w:ascii="Verdana" w:hAnsi="Verdana"/>
          <w:sz w:val="18"/>
          <w:szCs w:val="18"/>
        </w:rPr>
        <w:t xml:space="preserve">1. </w:t>
      </w:r>
      <w:r w:rsidRPr="00550203" w:rsidR="00597536">
        <w:rPr>
          <w:rFonts w:ascii="Verdana" w:hAnsi="Verdana"/>
          <w:sz w:val="18"/>
          <w:szCs w:val="18"/>
        </w:rPr>
        <w:t>In subo</w:t>
      </w:r>
      <w:r w:rsidRPr="00550203" w:rsidR="008A0221">
        <w:rPr>
          <w:rFonts w:ascii="Verdana" w:hAnsi="Verdana"/>
          <w:sz w:val="18"/>
          <w:szCs w:val="18"/>
        </w:rPr>
        <w:t>nder</w:t>
      </w:r>
      <w:r w:rsidRPr="00550203" w:rsidR="00597536">
        <w:rPr>
          <w:rFonts w:ascii="Verdana" w:hAnsi="Verdana"/>
          <w:sz w:val="18"/>
          <w:szCs w:val="18"/>
        </w:rPr>
        <w:t>deel</w:t>
      </w:r>
      <w:r w:rsidRPr="00550203" w:rsidR="008A0221">
        <w:rPr>
          <w:rFonts w:ascii="Verdana" w:hAnsi="Verdana"/>
          <w:sz w:val="18"/>
          <w:szCs w:val="18"/>
        </w:rPr>
        <w:t xml:space="preserve"> 1 </w:t>
      </w:r>
      <w:r w:rsidRPr="00550203" w:rsidR="009A2451">
        <w:rPr>
          <w:rFonts w:ascii="Verdana" w:hAnsi="Verdana"/>
          <w:sz w:val="18"/>
          <w:szCs w:val="18"/>
        </w:rPr>
        <w:t>wordt “0,31658 Nm</w:t>
      </w:r>
      <w:r w:rsidRPr="00550203" w:rsidR="009A2451">
        <w:rPr>
          <w:rFonts w:ascii="Verdana" w:hAnsi="Verdana"/>
          <w:sz w:val="18"/>
          <w:szCs w:val="18"/>
          <w:vertAlign w:val="superscript"/>
        </w:rPr>
        <w:t>3</w:t>
      </w:r>
      <w:r w:rsidRPr="00550203" w:rsidR="009A2451">
        <w:rPr>
          <w:rFonts w:ascii="Verdana" w:hAnsi="Verdana"/>
          <w:sz w:val="18"/>
          <w:szCs w:val="18"/>
        </w:rPr>
        <w:t>” vervangen door “</w:t>
      </w:r>
      <w:r w:rsidRPr="00550203" w:rsidR="0091228B">
        <w:rPr>
          <w:rFonts w:ascii="Verdana" w:hAnsi="Verdana"/>
          <w:sz w:val="18"/>
          <w:szCs w:val="18"/>
        </w:rPr>
        <w:t>0,2808</w:t>
      </w:r>
      <w:r w:rsidRPr="00550203" w:rsidR="009A2451">
        <w:rPr>
          <w:rFonts w:ascii="Verdana" w:hAnsi="Verdana"/>
          <w:sz w:val="18"/>
          <w:szCs w:val="18"/>
        </w:rPr>
        <w:t xml:space="preserve"> Nm</w:t>
      </w:r>
      <w:r w:rsidRPr="00550203" w:rsidR="009A2451">
        <w:rPr>
          <w:rFonts w:ascii="Verdana" w:hAnsi="Verdana"/>
          <w:sz w:val="18"/>
          <w:szCs w:val="18"/>
          <w:vertAlign w:val="superscript"/>
        </w:rPr>
        <w:t>3</w:t>
      </w:r>
      <w:r w:rsidRPr="00550203" w:rsidR="009A2451">
        <w:rPr>
          <w:rFonts w:ascii="Verdana" w:hAnsi="Verdana"/>
          <w:sz w:val="18"/>
          <w:szCs w:val="18"/>
        </w:rPr>
        <w:t xml:space="preserve">” en </w:t>
      </w:r>
      <w:r w:rsidRPr="00550203" w:rsidR="008A0221">
        <w:rPr>
          <w:rFonts w:ascii="Verdana" w:hAnsi="Verdana"/>
          <w:sz w:val="18"/>
          <w:szCs w:val="18"/>
        </w:rPr>
        <w:t xml:space="preserve">wordt </w:t>
      </w:r>
      <w:r w:rsidRPr="00550203" w:rsidR="009A2451">
        <w:rPr>
          <w:rFonts w:ascii="Verdana" w:hAnsi="Verdana"/>
          <w:sz w:val="18"/>
          <w:szCs w:val="18"/>
        </w:rPr>
        <w:t>“0,29004 Nm</w:t>
      </w:r>
      <w:r w:rsidRPr="00550203" w:rsidR="009A2451">
        <w:rPr>
          <w:rFonts w:ascii="Verdana" w:hAnsi="Verdana"/>
          <w:sz w:val="18"/>
          <w:szCs w:val="18"/>
          <w:vertAlign w:val="superscript"/>
        </w:rPr>
        <w:t>3</w:t>
      </w:r>
      <w:r w:rsidRPr="00550203" w:rsidR="009A2451">
        <w:rPr>
          <w:rFonts w:ascii="Verdana" w:hAnsi="Verdana"/>
          <w:sz w:val="18"/>
          <w:szCs w:val="18"/>
        </w:rPr>
        <w:t>” vervangen door “</w:t>
      </w:r>
      <w:r w:rsidRPr="00550203" w:rsidR="0091228B">
        <w:rPr>
          <w:rFonts w:ascii="Verdana" w:hAnsi="Verdana"/>
          <w:sz w:val="18"/>
          <w:szCs w:val="18"/>
        </w:rPr>
        <w:t>0,2635</w:t>
      </w:r>
      <w:r w:rsidRPr="00550203" w:rsidR="009A2451">
        <w:rPr>
          <w:rFonts w:ascii="Verdana" w:hAnsi="Verdana"/>
          <w:sz w:val="18"/>
          <w:szCs w:val="18"/>
        </w:rPr>
        <w:t xml:space="preserve"> Nm</w:t>
      </w:r>
      <w:r w:rsidRPr="00550203" w:rsidR="009A2451">
        <w:rPr>
          <w:rFonts w:ascii="Verdana" w:hAnsi="Verdana"/>
          <w:sz w:val="18"/>
          <w:szCs w:val="18"/>
          <w:vertAlign w:val="superscript"/>
        </w:rPr>
        <w:t>3</w:t>
      </w:r>
      <w:r w:rsidRPr="00550203" w:rsidR="009A2451">
        <w:rPr>
          <w:rFonts w:ascii="Verdana" w:hAnsi="Verdana"/>
          <w:sz w:val="18"/>
          <w:szCs w:val="18"/>
        </w:rPr>
        <w:t>”.</w:t>
      </w:r>
      <w:r w:rsidRPr="00550203" w:rsidR="0022189D">
        <w:rPr>
          <w:rFonts w:ascii="Verdana" w:hAnsi="Verdana"/>
          <w:sz w:val="18"/>
          <w:szCs w:val="18"/>
        </w:rPr>
        <w:t xml:space="preserve"> </w:t>
      </w:r>
    </w:p>
    <w:p w:rsidRPr="00550203" w:rsidR="0022189D" w:rsidP="0022189D" w:rsidRDefault="00621A39" w14:paraId="07FE92B8" w14:textId="6D3D7797">
      <w:pPr>
        <w:spacing w:after="0" w:line="360" w:lineRule="auto"/>
        <w:ind w:left="708" w:firstLine="708"/>
        <w:rPr>
          <w:rFonts w:ascii="Verdana" w:hAnsi="Verdana"/>
          <w:sz w:val="18"/>
          <w:szCs w:val="18"/>
        </w:rPr>
      </w:pPr>
      <w:r w:rsidRPr="00550203">
        <w:rPr>
          <w:rFonts w:ascii="Verdana" w:hAnsi="Verdana"/>
          <w:sz w:val="18"/>
          <w:szCs w:val="18"/>
        </w:rPr>
        <w:t xml:space="preserve">2. </w:t>
      </w:r>
      <w:r w:rsidRPr="00550203" w:rsidR="00597536">
        <w:rPr>
          <w:rFonts w:ascii="Verdana" w:hAnsi="Verdana"/>
          <w:sz w:val="18"/>
          <w:szCs w:val="18"/>
        </w:rPr>
        <w:t>In subo</w:t>
      </w:r>
      <w:r w:rsidRPr="00550203">
        <w:rPr>
          <w:rFonts w:ascii="Verdana" w:hAnsi="Verdana"/>
          <w:sz w:val="18"/>
          <w:szCs w:val="18"/>
        </w:rPr>
        <w:t>nder</w:t>
      </w:r>
      <w:r w:rsidRPr="00550203" w:rsidR="00597536">
        <w:rPr>
          <w:rFonts w:ascii="Verdana" w:hAnsi="Verdana"/>
          <w:sz w:val="18"/>
          <w:szCs w:val="18"/>
        </w:rPr>
        <w:t>deel</w:t>
      </w:r>
      <w:r w:rsidRPr="00550203">
        <w:rPr>
          <w:rFonts w:ascii="Verdana" w:hAnsi="Verdana"/>
          <w:sz w:val="18"/>
          <w:szCs w:val="18"/>
        </w:rPr>
        <w:t xml:space="preserve"> 2 wordt “0,31658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0,2808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“0,29004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0,2635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xml:space="preserve">”. </w:t>
      </w:r>
      <w:r w:rsidRPr="00550203" w:rsidR="0022189D">
        <w:rPr>
          <w:rFonts w:ascii="Verdana" w:hAnsi="Verdana"/>
          <w:sz w:val="18"/>
          <w:szCs w:val="18"/>
        </w:rPr>
        <w:t xml:space="preserve">Voorts wordt </w:t>
      </w:r>
      <w:r w:rsidRPr="00550203">
        <w:rPr>
          <w:rFonts w:ascii="Verdana" w:hAnsi="Verdana"/>
          <w:sz w:val="18"/>
          <w:szCs w:val="18"/>
        </w:rPr>
        <w:t xml:space="preserve">toegevoegd </w:t>
      </w:r>
      <w:r w:rsidRPr="00550203" w:rsidR="0022189D">
        <w:rPr>
          <w:rFonts w:ascii="Verdana" w:hAnsi="Verdana"/>
          <w:sz w:val="18"/>
          <w:szCs w:val="18"/>
        </w:rPr>
        <w:t>“en “</w:t>
      </w:r>
      <w:r w:rsidRPr="00550203" w:rsidR="00432386">
        <w:rPr>
          <w:rFonts w:ascii="Verdana" w:hAnsi="Verdana"/>
          <w:sz w:val="18"/>
          <w:szCs w:val="18"/>
        </w:rPr>
        <w:t>0,16</w:t>
      </w:r>
      <w:r w:rsidRPr="00550203" w:rsidR="0091228B">
        <w:rPr>
          <w:rFonts w:ascii="Verdana" w:hAnsi="Verdana"/>
          <w:sz w:val="18"/>
          <w:szCs w:val="18"/>
        </w:rPr>
        <w:t>70</w:t>
      </w:r>
      <w:r w:rsidRPr="00550203" w:rsidR="00432386">
        <w:rPr>
          <w:rFonts w:ascii="Verdana" w:hAnsi="Verdana"/>
          <w:sz w:val="18"/>
          <w:szCs w:val="18"/>
        </w:rPr>
        <w:t xml:space="preserve"> </w:t>
      </w:r>
      <w:r w:rsidRPr="00550203" w:rsidR="0022189D">
        <w:rPr>
          <w:rFonts w:ascii="Verdana" w:hAnsi="Verdana"/>
          <w:sz w:val="18"/>
          <w:szCs w:val="18"/>
        </w:rPr>
        <w:t>Nm</w:t>
      </w:r>
      <w:r w:rsidRPr="00550203" w:rsidR="0022189D">
        <w:rPr>
          <w:rFonts w:ascii="Verdana" w:hAnsi="Verdana"/>
          <w:sz w:val="18"/>
          <w:szCs w:val="18"/>
          <w:vertAlign w:val="superscript"/>
        </w:rPr>
        <w:t>3</w:t>
      </w:r>
      <w:r w:rsidRPr="00550203" w:rsidR="0022189D">
        <w:rPr>
          <w:rFonts w:ascii="Verdana" w:hAnsi="Verdana"/>
          <w:sz w:val="18"/>
          <w:szCs w:val="18"/>
        </w:rPr>
        <w:t>” wordt vervangen door “</w:t>
      </w:r>
      <w:r w:rsidRPr="00550203" w:rsidR="00432386">
        <w:rPr>
          <w:rFonts w:ascii="Verdana" w:hAnsi="Verdana"/>
          <w:sz w:val="18"/>
          <w:szCs w:val="18"/>
        </w:rPr>
        <w:t>0,1</w:t>
      </w:r>
      <w:r w:rsidRPr="00550203" w:rsidR="0091228B">
        <w:rPr>
          <w:rFonts w:ascii="Verdana" w:hAnsi="Verdana"/>
          <w:sz w:val="18"/>
          <w:szCs w:val="18"/>
        </w:rPr>
        <w:t xml:space="preserve">498 </w:t>
      </w:r>
      <w:r w:rsidRPr="00550203" w:rsidR="0022189D">
        <w:rPr>
          <w:rFonts w:ascii="Verdana" w:hAnsi="Verdana"/>
          <w:sz w:val="18"/>
          <w:szCs w:val="18"/>
        </w:rPr>
        <w:t>Nm</w:t>
      </w:r>
      <w:r w:rsidRPr="00550203" w:rsidR="0022189D">
        <w:rPr>
          <w:rFonts w:ascii="Verdana" w:hAnsi="Verdana"/>
          <w:sz w:val="18"/>
          <w:szCs w:val="18"/>
          <w:vertAlign w:val="superscript"/>
        </w:rPr>
        <w:t>3</w:t>
      </w:r>
      <w:r w:rsidRPr="00550203" w:rsidR="0022189D">
        <w:rPr>
          <w:rFonts w:ascii="Verdana" w:hAnsi="Verdana"/>
          <w:sz w:val="18"/>
          <w:szCs w:val="18"/>
        </w:rPr>
        <w:t>”</w:t>
      </w:r>
      <w:r w:rsidRPr="00550203" w:rsidR="00C74BDB">
        <w:rPr>
          <w:rFonts w:ascii="Verdana" w:hAnsi="Verdana"/>
          <w:sz w:val="18"/>
          <w:szCs w:val="18"/>
        </w:rPr>
        <w:t>”</w:t>
      </w:r>
      <w:r w:rsidRPr="00550203" w:rsidR="0022189D">
        <w:rPr>
          <w:rFonts w:ascii="Verdana" w:hAnsi="Verdana"/>
          <w:sz w:val="18"/>
          <w:szCs w:val="18"/>
        </w:rPr>
        <w:t>.</w:t>
      </w:r>
    </w:p>
    <w:p w:rsidRPr="00550203" w:rsidR="00FE486F" w:rsidP="00BB51AF" w:rsidRDefault="00FE486F" w14:paraId="30BC8C8F" w14:textId="47CF4D3A">
      <w:pPr>
        <w:spacing w:after="0" w:line="360" w:lineRule="auto"/>
        <w:ind w:left="708" w:firstLine="708"/>
        <w:rPr>
          <w:rFonts w:ascii="Verdana" w:hAnsi="Verdana"/>
          <w:sz w:val="18"/>
          <w:szCs w:val="18"/>
        </w:rPr>
      </w:pPr>
    </w:p>
    <w:p w:rsidRPr="00550203" w:rsidR="00BE58AC" w:rsidP="009A2451" w:rsidRDefault="009A2451" w14:paraId="480AA675" w14:textId="49659155">
      <w:pPr>
        <w:spacing w:after="0" w:line="360" w:lineRule="auto"/>
        <w:ind w:left="708" w:firstLine="708"/>
        <w:rPr>
          <w:rFonts w:ascii="Verdana" w:hAnsi="Verdana"/>
          <w:sz w:val="18"/>
          <w:szCs w:val="18"/>
        </w:rPr>
      </w:pPr>
      <w:r w:rsidRPr="00550203">
        <w:rPr>
          <w:rFonts w:ascii="Verdana" w:hAnsi="Verdana"/>
          <w:sz w:val="18"/>
          <w:szCs w:val="18"/>
        </w:rPr>
        <w:lastRenderedPageBreak/>
        <w:t xml:space="preserve">3 </w:t>
      </w:r>
    </w:p>
    <w:p w:rsidRPr="00550203" w:rsidR="00123DC3" w:rsidP="009A2451" w:rsidRDefault="00123DC3" w14:paraId="58854E6E" w14:textId="77777777">
      <w:pPr>
        <w:spacing w:after="0" w:line="360" w:lineRule="auto"/>
        <w:ind w:left="708" w:firstLine="708"/>
        <w:rPr>
          <w:rFonts w:ascii="Verdana" w:hAnsi="Verdana"/>
          <w:sz w:val="18"/>
          <w:szCs w:val="18"/>
        </w:rPr>
      </w:pPr>
    </w:p>
    <w:p w:rsidRPr="00550203" w:rsidR="000A7990" w:rsidP="000A7990" w:rsidRDefault="000A7990" w14:paraId="26576F87" w14:textId="0C58EC71">
      <w:pPr>
        <w:spacing w:after="0" w:line="360" w:lineRule="auto"/>
        <w:ind w:left="708" w:firstLine="708"/>
        <w:rPr>
          <w:rFonts w:ascii="Verdana" w:hAnsi="Verdana"/>
          <w:sz w:val="18"/>
          <w:szCs w:val="18"/>
        </w:rPr>
      </w:pPr>
      <w:r w:rsidRPr="00550203">
        <w:rPr>
          <w:rFonts w:ascii="Verdana" w:hAnsi="Verdana"/>
          <w:sz w:val="18"/>
          <w:szCs w:val="18"/>
        </w:rPr>
        <w:t>Artikel III, onderdeel B, wordt als volgt gewijzigd:</w:t>
      </w:r>
    </w:p>
    <w:p w:rsidRPr="00550203" w:rsidR="000A7990" w:rsidP="000A7990" w:rsidRDefault="000A7990" w14:paraId="035E6317" w14:textId="7F730763">
      <w:pPr>
        <w:spacing w:after="0" w:line="360" w:lineRule="auto"/>
        <w:ind w:left="708" w:firstLine="708"/>
        <w:rPr>
          <w:rFonts w:ascii="Verdana" w:hAnsi="Verdana"/>
          <w:sz w:val="18"/>
          <w:szCs w:val="18"/>
        </w:rPr>
      </w:pPr>
      <w:r w:rsidRPr="00550203">
        <w:rPr>
          <w:rFonts w:ascii="Verdana" w:hAnsi="Verdana"/>
          <w:sz w:val="18"/>
          <w:szCs w:val="18"/>
        </w:rPr>
        <w:t xml:space="preserve">1. </w:t>
      </w:r>
      <w:r w:rsidRPr="00550203" w:rsidR="00597536">
        <w:rPr>
          <w:rFonts w:ascii="Verdana" w:hAnsi="Verdana"/>
          <w:sz w:val="18"/>
          <w:szCs w:val="18"/>
        </w:rPr>
        <w:t>In subo</w:t>
      </w:r>
      <w:r w:rsidRPr="00550203">
        <w:rPr>
          <w:rFonts w:ascii="Verdana" w:hAnsi="Verdana"/>
          <w:sz w:val="18"/>
          <w:szCs w:val="18"/>
        </w:rPr>
        <w:t>nder</w:t>
      </w:r>
      <w:r w:rsidRPr="00550203" w:rsidR="00597536">
        <w:rPr>
          <w:rFonts w:ascii="Verdana" w:hAnsi="Verdana"/>
          <w:sz w:val="18"/>
          <w:szCs w:val="18"/>
        </w:rPr>
        <w:t>deel</w:t>
      </w:r>
      <w:r w:rsidRPr="00550203">
        <w:rPr>
          <w:rFonts w:ascii="Verdana" w:hAnsi="Verdana"/>
          <w:sz w:val="18"/>
          <w:szCs w:val="18"/>
        </w:rPr>
        <w:t xml:space="preserve"> 1 wordt “0,29004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0,2635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“0,26540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0,2467</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xml:space="preserve">”. </w:t>
      </w:r>
    </w:p>
    <w:p w:rsidRPr="00550203" w:rsidR="000A7990" w:rsidP="000A7990" w:rsidRDefault="000A7990" w14:paraId="570C230D" w14:textId="6462E667">
      <w:pPr>
        <w:spacing w:after="0" w:line="360" w:lineRule="auto"/>
        <w:ind w:left="708" w:firstLine="708"/>
        <w:rPr>
          <w:rFonts w:ascii="Verdana" w:hAnsi="Verdana"/>
          <w:sz w:val="18"/>
          <w:szCs w:val="18"/>
        </w:rPr>
      </w:pPr>
      <w:r w:rsidRPr="00550203">
        <w:rPr>
          <w:rFonts w:ascii="Verdana" w:hAnsi="Verdana"/>
          <w:sz w:val="18"/>
          <w:szCs w:val="18"/>
        </w:rPr>
        <w:t xml:space="preserve">2. </w:t>
      </w:r>
      <w:r w:rsidRPr="00550203" w:rsidR="00597536">
        <w:rPr>
          <w:rFonts w:ascii="Verdana" w:hAnsi="Verdana"/>
          <w:sz w:val="18"/>
          <w:szCs w:val="18"/>
        </w:rPr>
        <w:t>In subo</w:t>
      </w:r>
      <w:r w:rsidRPr="00550203">
        <w:rPr>
          <w:rFonts w:ascii="Verdana" w:hAnsi="Verdana"/>
          <w:sz w:val="18"/>
          <w:szCs w:val="18"/>
        </w:rPr>
        <w:t>nder</w:t>
      </w:r>
      <w:r w:rsidRPr="00550203" w:rsidR="00597536">
        <w:rPr>
          <w:rFonts w:ascii="Verdana" w:hAnsi="Verdana"/>
          <w:sz w:val="18"/>
          <w:szCs w:val="18"/>
        </w:rPr>
        <w:t>deel</w:t>
      </w:r>
      <w:r w:rsidRPr="00550203">
        <w:rPr>
          <w:rFonts w:ascii="Verdana" w:hAnsi="Verdana"/>
          <w:sz w:val="18"/>
          <w:szCs w:val="18"/>
        </w:rPr>
        <w:t xml:space="preserve"> 2 wordt “0,29004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0,2635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“0,26540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0,2467</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Voorts wordt toegevoegd “en “</w:t>
      </w:r>
      <w:r w:rsidRPr="00550203" w:rsidR="00432386">
        <w:rPr>
          <w:rFonts w:ascii="Verdana" w:hAnsi="Verdana"/>
          <w:sz w:val="18"/>
          <w:szCs w:val="18"/>
        </w:rPr>
        <w:t>0,</w:t>
      </w:r>
      <w:r w:rsidRPr="00550203" w:rsidR="0091228B">
        <w:rPr>
          <w:rFonts w:ascii="Verdana" w:hAnsi="Verdana"/>
          <w:sz w:val="18"/>
          <w:szCs w:val="18"/>
        </w:rPr>
        <w:t>1498</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wordt vervangen door “</w:t>
      </w:r>
      <w:r w:rsidRPr="00550203" w:rsidR="00432386">
        <w:rPr>
          <w:rFonts w:ascii="Verdana" w:hAnsi="Verdana"/>
          <w:sz w:val="18"/>
          <w:szCs w:val="18"/>
        </w:rPr>
        <w:t>0,</w:t>
      </w:r>
      <w:r w:rsidRPr="00550203" w:rsidR="0091228B">
        <w:rPr>
          <w:rFonts w:ascii="Verdana" w:hAnsi="Verdana"/>
          <w:sz w:val="18"/>
          <w:szCs w:val="18"/>
        </w:rPr>
        <w:t>1329</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w:t>
      </w:r>
      <w:r w:rsidRPr="00550203" w:rsidR="00C74BDB">
        <w:rPr>
          <w:rFonts w:ascii="Verdana" w:hAnsi="Verdana"/>
          <w:sz w:val="18"/>
          <w:szCs w:val="18"/>
        </w:rPr>
        <w:t>”</w:t>
      </w:r>
      <w:r w:rsidRPr="00550203">
        <w:rPr>
          <w:rFonts w:ascii="Verdana" w:hAnsi="Verdana"/>
          <w:sz w:val="18"/>
          <w:szCs w:val="18"/>
        </w:rPr>
        <w:t>.</w:t>
      </w:r>
    </w:p>
    <w:p w:rsidRPr="00550203" w:rsidR="009A2451" w:rsidP="009A2451" w:rsidRDefault="009A2451" w14:paraId="08F4D3A2" w14:textId="77777777">
      <w:pPr>
        <w:spacing w:after="0" w:line="360" w:lineRule="auto"/>
        <w:ind w:left="708" w:firstLine="708"/>
        <w:rPr>
          <w:rFonts w:ascii="Verdana" w:hAnsi="Verdana"/>
          <w:sz w:val="18"/>
          <w:szCs w:val="18"/>
        </w:rPr>
      </w:pPr>
    </w:p>
    <w:p w:rsidRPr="00550203" w:rsidR="00BE58AC" w:rsidP="009A2451" w:rsidRDefault="009A2451" w14:paraId="3CEC34F0" w14:textId="1554C511">
      <w:pPr>
        <w:spacing w:after="0" w:line="360" w:lineRule="auto"/>
        <w:ind w:left="708" w:firstLine="708"/>
        <w:rPr>
          <w:rFonts w:ascii="Verdana" w:hAnsi="Verdana"/>
          <w:sz w:val="18"/>
          <w:szCs w:val="18"/>
        </w:rPr>
      </w:pPr>
      <w:r w:rsidRPr="00550203">
        <w:rPr>
          <w:rFonts w:ascii="Verdana" w:hAnsi="Verdana"/>
          <w:sz w:val="18"/>
          <w:szCs w:val="18"/>
        </w:rPr>
        <w:t xml:space="preserve">4 </w:t>
      </w:r>
    </w:p>
    <w:p w:rsidRPr="00550203" w:rsidR="00123DC3" w:rsidP="009A2451" w:rsidRDefault="00123DC3" w14:paraId="7018D598" w14:textId="77777777">
      <w:pPr>
        <w:spacing w:after="0" w:line="360" w:lineRule="auto"/>
        <w:ind w:left="708" w:firstLine="708"/>
        <w:rPr>
          <w:rFonts w:ascii="Verdana" w:hAnsi="Verdana"/>
          <w:sz w:val="18"/>
          <w:szCs w:val="18"/>
        </w:rPr>
      </w:pPr>
    </w:p>
    <w:p w:rsidRPr="00550203" w:rsidR="000A7990" w:rsidP="000A7990" w:rsidRDefault="000A7990" w14:paraId="4F4E271B" w14:textId="3765EB0B">
      <w:pPr>
        <w:spacing w:after="0" w:line="360" w:lineRule="auto"/>
        <w:ind w:left="708" w:firstLine="708"/>
        <w:rPr>
          <w:rFonts w:ascii="Verdana" w:hAnsi="Verdana"/>
          <w:sz w:val="18"/>
          <w:szCs w:val="18"/>
        </w:rPr>
      </w:pPr>
      <w:r w:rsidRPr="00550203">
        <w:rPr>
          <w:rFonts w:ascii="Verdana" w:hAnsi="Verdana"/>
          <w:sz w:val="18"/>
          <w:szCs w:val="18"/>
        </w:rPr>
        <w:t>Artikel IV, onderdeel B, wordt als volgt gewijzigd:</w:t>
      </w:r>
    </w:p>
    <w:p w:rsidRPr="00550203" w:rsidR="000A7990" w:rsidP="000A7990" w:rsidRDefault="000A7990" w14:paraId="043F17B2" w14:textId="431270A5">
      <w:pPr>
        <w:spacing w:after="0" w:line="360" w:lineRule="auto"/>
        <w:ind w:left="708" w:firstLine="708"/>
        <w:rPr>
          <w:rFonts w:ascii="Verdana" w:hAnsi="Verdana"/>
          <w:sz w:val="18"/>
          <w:szCs w:val="18"/>
        </w:rPr>
      </w:pPr>
      <w:r w:rsidRPr="00550203">
        <w:rPr>
          <w:rFonts w:ascii="Verdana" w:hAnsi="Verdana"/>
          <w:sz w:val="18"/>
          <w:szCs w:val="18"/>
        </w:rPr>
        <w:t xml:space="preserve">1. </w:t>
      </w:r>
      <w:r w:rsidRPr="00550203" w:rsidR="00597536">
        <w:rPr>
          <w:rFonts w:ascii="Verdana" w:hAnsi="Verdana"/>
          <w:sz w:val="18"/>
          <w:szCs w:val="18"/>
        </w:rPr>
        <w:t>In subo</w:t>
      </w:r>
      <w:r w:rsidRPr="00550203">
        <w:rPr>
          <w:rFonts w:ascii="Verdana" w:hAnsi="Verdana"/>
          <w:sz w:val="18"/>
          <w:szCs w:val="18"/>
        </w:rPr>
        <w:t>nder</w:t>
      </w:r>
      <w:r w:rsidRPr="00550203" w:rsidR="00597536">
        <w:rPr>
          <w:rFonts w:ascii="Verdana" w:hAnsi="Verdana"/>
          <w:sz w:val="18"/>
          <w:szCs w:val="18"/>
        </w:rPr>
        <w:t>deel</w:t>
      </w:r>
      <w:r w:rsidRPr="00550203">
        <w:rPr>
          <w:rFonts w:ascii="Verdana" w:hAnsi="Verdana"/>
          <w:sz w:val="18"/>
          <w:szCs w:val="18"/>
        </w:rPr>
        <w:t xml:space="preserve"> 1 wordt “0,26540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0,2467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“0,24075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0,2270</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xml:space="preserve">”. </w:t>
      </w:r>
    </w:p>
    <w:p w:rsidRPr="00550203" w:rsidR="000A7990" w:rsidP="000A7990" w:rsidRDefault="000A7990" w14:paraId="037CB5D3" w14:textId="3B1B205E">
      <w:pPr>
        <w:spacing w:after="0" w:line="360" w:lineRule="auto"/>
        <w:ind w:left="708" w:firstLine="708"/>
        <w:rPr>
          <w:rFonts w:ascii="Verdana" w:hAnsi="Verdana"/>
          <w:sz w:val="18"/>
          <w:szCs w:val="18"/>
        </w:rPr>
      </w:pPr>
      <w:r w:rsidRPr="00550203">
        <w:rPr>
          <w:rFonts w:ascii="Verdana" w:hAnsi="Verdana"/>
          <w:sz w:val="18"/>
          <w:szCs w:val="18"/>
        </w:rPr>
        <w:t xml:space="preserve">2. </w:t>
      </w:r>
      <w:r w:rsidRPr="00550203" w:rsidR="00597536">
        <w:rPr>
          <w:rFonts w:ascii="Verdana" w:hAnsi="Verdana"/>
          <w:sz w:val="18"/>
          <w:szCs w:val="18"/>
        </w:rPr>
        <w:t>In subo</w:t>
      </w:r>
      <w:r w:rsidRPr="00550203">
        <w:rPr>
          <w:rFonts w:ascii="Verdana" w:hAnsi="Verdana"/>
          <w:sz w:val="18"/>
          <w:szCs w:val="18"/>
        </w:rPr>
        <w:t>nder</w:t>
      </w:r>
      <w:r w:rsidRPr="00550203" w:rsidR="00597536">
        <w:rPr>
          <w:rFonts w:ascii="Verdana" w:hAnsi="Verdana"/>
          <w:sz w:val="18"/>
          <w:szCs w:val="18"/>
        </w:rPr>
        <w:t>deel</w:t>
      </w:r>
      <w:r w:rsidRPr="00550203">
        <w:rPr>
          <w:rFonts w:ascii="Verdana" w:hAnsi="Verdana"/>
          <w:sz w:val="18"/>
          <w:szCs w:val="18"/>
        </w:rPr>
        <w:t xml:space="preserve"> 2 wordt “0,26540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0,2467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“0,24075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0,2270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Voorts wordt toegevoegd “en “</w:t>
      </w:r>
      <w:r w:rsidRPr="00550203" w:rsidR="00432386">
        <w:rPr>
          <w:rFonts w:ascii="Verdana" w:hAnsi="Verdana"/>
          <w:sz w:val="18"/>
          <w:szCs w:val="18"/>
        </w:rPr>
        <w:t>0,</w:t>
      </w:r>
      <w:r w:rsidRPr="00550203" w:rsidR="0091228B">
        <w:rPr>
          <w:rFonts w:ascii="Verdana" w:hAnsi="Verdana"/>
          <w:sz w:val="18"/>
          <w:szCs w:val="18"/>
        </w:rPr>
        <w:t>1329</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wordt vervangen door “</w:t>
      </w:r>
      <w:r w:rsidRPr="00550203" w:rsidR="00432386">
        <w:rPr>
          <w:rFonts w:ascii="Verdana" w:hAnsi="Verdana"/>
          <w:sz w:val="18"/>
          <w:szCs w:val="18"/>
        </w:rPr>
        <w:t>0,</w:t>
      </w:r>
      <w:r w:rsidRPr="00550203" w:rsidR="0091228B">
        <w:rPr>
          <w:rFonts w:ascii="Verdana" w:hAnsi="Verdana"/>
          <w:sz w:val="18"/>
          <w:szCs w:val="18"/>
        </w:rPr>
        <w:t>1132</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w:t>
      </w:r>
      <w:r w:rsidRPr="00550203" w:rsidR="00C74BDB">
        <w:rPr>
          <w:rFonts w:ascii="Verdana" w:hAnsi="Verdana"/>
          <w:sz w:val="18"/>
          <w:szCs w:val="18"/>
        </w:rPr>
        <w:t>”</w:t>
      </w:r>
      <w:r w:rsidRPr="00550203">
        <w:rPr>
          <w:rFonts w:ascii="Verdana" w:hAnsi="Verdana"/>
          <w:sz w:val="18"/>
          <w:szCs w:val="18"/>
        </w:rPr>
        <w:t>.</w:t>
      </w:r>
    </w:p>
    <w:p w:rsidRPr="00550203" w:rsidR="000A7990" w:rsidP="009A2451" w:rsidRDefault="000A7990" w14:paraId="21948BDD" w14:textId="77777777">
      <w:pPr>
        <w:spacing w:after="0" w:line="360" w:lineRule="auto"/>
        <w:ind w:left="708" w:firstLine="708"/>
        <w:rPr>
          <w:rFonts w:ascii="Verdana" w:hAnsi="Verdana"/>
          <w:sz w:val="18"/>
          <w:szCs w:val="18"/>
        </w:rPr>
      </w:pPr>
    </w:p>
    <w:p w:rsidRPr="00550203" w:rsidR="00BE58AC" w:rsidP="009A2451" w:rsidRDefault="009A2451" w14:paraId="3E69620F" w14:textId="7DE3A2BF">
      <w:pPr>
        <w:spacing w:after="0" w:line="360" w:lineRule="auto"/>
        <w:ind w:left="708" w:firstLine="708"/>
        <w:rPr>
          <w:rFonts w:ascii="Verdana" w:hAnsi="Verdana"/>
          <w:sz w:val="18"/>
          <w:szCs w:val="18"/>
        </w:rPr>
      </w:pPr>
      <w:r w:rsidRPr="00550203">
        <w:rPr>
          <w:rFonts w:ascii="Verdana" w:hAnsi="Verdana"/>
          <w:sz w:val="18"/>
          <w:szCs w:val="18"/>
        </w:rPr>
        <w:t xml:space="preserve">5 </w:t>
      </w:r>
    </w:p>
    <w:p w:rsidRPr="00550203" w:rsidR="000A7990" w:rsidP="000A7990" w:rsidRDefault="000A7990" w14:paraId="17397B90" w14:textId="4B7F8284">
      <w:pPr>
        <w:spacing w:after="0" w:line="360" w:lineRule="auto"/>
        <w:ind w:left="708" w:firstLine="708"/>
        <w:rPr>
          <w:rFonts w:ascii="Verdana" w:hAnsi="Verdana"/>
          <w:sz w:val="18"/>
          <w:szCs w:val="18"/>
        </w:rPr>
      </w:pPr>
    </w:p>
    <w:p w:rsidRPr="00550203" w:rsidR="000A7990" w:rsidP="000A7990" w:rsidRDefault="000A7990" w14:paraId="218A5FAE" w14:textId="7F5A8658">
      <w:pPr>
        <w:spacing w:after="0" w:line="360" w:lineRule="auto"/>
        <w:ind w:left="708" w:firstLine="708"/>
        <w:rPr>
          <w:rFonts w:ascii="Verdana" w:hAnsi="Verdana"/>
          <w:sz w:val="18"/>
          <w:szCs w:val="18"/>
        </w:rPr>
      </w:pPr>
      <w:r w:rsidRPr="00550203">
        <w:rPr>
          <w:rFonts w:ascii="Verdana" w:hAnsi="Verdana"/>
          <w:sz w:val="18"/>
          <w:szCs w:val="18"/>
        </w:rPr>
        <w:t>Artikel V, onderdeel B, wordt als volgt gewijzigd:</w:t>
      </w:r>
    </w:p>
    <w:p w:rsidRPr="00550203" w:rsidR="000A7990" w:rsidP="000A7990" w:rsidRDefault="000A7990" w14:paraId="5485480A" w14:textId="392C24B7">
      <w:pPr>
        <w:spacing w:after="0" w:line="360" w:lineRule="auto"/>
        <w:ind w:left="708" w:firstLine="708"/>
        <w:rPr>
          <w:rFonts w:ascii="Verdana" w:hAnsi="Verdana"/>
          <w:sz w:val="18"/>
          <w:szCs w:val="18"/>
        </w:rPr>
      </w:pPr>
      <w:r w:rsidRPr="00550203">
        <w:rPr>
          <w:rFonts w:ascii="Verdana" w:hAnsi="Verdana"/>
          <w:sz w:val="18"/>
          <w:szCs w:val="18"/>
        </w:rPr>
        <w:t xml:space="preserve">1. </w:t>
      </w:r>
      <w:r w:rsidRPr="00550203" w:rsidR="00597536">
        <w:rPr>
          <w:rFonts w:ascii="Verdana" w:hAnsi="Verdana"/>
          <w:sz w:val="18"/>
          <w:szCs w:val="18"/>
        </w:rPr>
        <w:t xml:space="preserve">In </w:t>
      </w:r>
      <w:r w:rsidRPr="00550203" w:rsidR="00FB38ED">
        <w:rPr>
          <w:rFonts w:ascii="Verdana" w:hAnsi="Verdana"/>
          <w:sz w:val="18"/>
          <w:szCs w:val="18"/>
        </w:rPr>
        <w:t>sub</w:t>
      </w:r>
      <w:r w:rsidRPr="00550203" w:rsidR="00597536">
        <w:rPr>
          <w:rFonts w:ascii="Verdana" w:hAnsi="Verdana"/>
          <w:sz w:val="18"/>
          <w:szCs w:val="18"/>
        </w:rPr>
        <w:t>o</w:t>
      </w:r>
      <w:r w:rsidRPr="00550203">
        <w:rPr>
          <w:rFonts w:ascii="Verdana" w:hAnsi="Verdana"/>
          <w:sz w:val="18"/>
          <w:szCs w:val="18"/>
        </w:rPr>
        <w:t>nder</w:t>
      </w:r>
      <w:r w:rsidRPr="00550203" w:rsidR="00FB38ED">
        <w:rPr>
          <w:rFonts w:ascii="Verdana" w:hAnsi="Verdana"/>
          <w:sz w:val="18"/>
          <w:szCs w:val="18"/>
        </w:rPr>
        <w:t>deel</w:t>
      </w:r>
      <w:r w:rsidRPr="00550203">
        <w:rPr>
          <w:rFonts w:ascii="Verdana" w:hAnsi="Verdana"/>
          <w:sz w:val="18"/>
          <w:szCs w:val="18"/>
        </w:rPr>
        <w:t xml:space="preserve"> 1 wordt “0,24075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0,2270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“0,21421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0,2110</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xml:space="preserve">”. </w:t>
      </w:r>
    </w:p>
    <w:p w:rsidRPr="00550203" w:rsidR="000A7990" w:rsidP="000A7990" w:rsidRDefault="000A7990" w14:paraId="18297975" w14:textId="104F8004">
      <w:pPr>
        <w:spacing w:after="0" w:line="360" w:lineRule="auto"/>
        <w:ind w:left="708" w:firstLine="708"/>
        <w:rPr>
          <w:rFonts w:ascii="Verdana" w:hAnsi="Verdana"/>
          <w:sz w:val="18"/>
          <w:szCs w:val="18"/>
        </w:rPr>
      </w:pPr>
      <w:r w:rsidRPr="00550203">
        <w:rPr>
          <w:rFonts w:ascii="Verdana" w:hAnsi="Verdana"/>
          <w:sz w:val="18"/>
          <w:szCs w:val="18"/>
        </w:rPr>
        <w:t xml:space="preserve">2. </w:t>
      </w:r>
      <w:r w:rsidRPr="00550203" w:rsidR="00FB38ED">
        <w:rPr>
          <w:rFonts w:ascii="Verdana" w:hAnsi="Verdana"/>
          <w:sz w:val="18"/>
          <w:szCs w:val="18"/>
        </w:rPr>
        <w:t>In subo</w:t>
      </w:r>
      <w:r w:rsidRPr="00550203">
        <w:rPr>
          <w:rFonts w:ascii="Verdana" w:hAnsi="Verdana"/>
          <w:sz w:val="18"/>
          <w:szCs w:val="18"/>
        </w:rPr>
        <w:t>nder</w:t>
      </w:r>
      <w:r w:rsidRPr="00550203" w:rsidR="00FB38ED">
        <w:rPr>
          <w:rFonts w:ascii="Verdana" w:hAnsi="Verdana"/>
          <w:sz w:val="18"/>
          <w:szCs w:val="18"/>
        </w:rPr>
        <w:t>deel</w:t>
      </w:r>
      <w:r w:rsidRPr="00550203">
        <w:rPr>
          <w:rFonts w:ascii="Verdana" w:hAnsi="Verdana"/>
          <w:sz w:val="18"/>
          <w:szCs w:val="18"/>
        </w:rPr>
        <w:t xml:space="preserve"> 2 wordt “0,24075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0,2270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“0,21421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0,2110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Voorts wordt toegevoegd “en “</w:t>
      </w:r>
      <w:r w:rsidRPr="00550203" w:rsidR="00432386">
        <w:rPr>
          <w:rFonts w:ascii="Verdana" w:hAnsi="Verdana"/>
          <w:sz w:val="18"/>
          <w:szCs w:val="18"/>
        </w:rPr>
        <w:t>0,</w:t>
      </w:r>
      <w:r w:rsidRPr="00550203" w:rsidR="0091228B">
        <w:rPr>
          <w:rFonts w:ascii="Verdana" w:hAnsi="Verdana"/>
          <w:sz w:val="18"/>
          <w:szCs w:val="18"/>
        </w:rPr>
        <w:t>1132</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wordt vervangen door “</w:t>
      </w:r>
      <w:r w:rsidRPr="00550203" w:rsidR="00432386">
        <w:rPr>
          <w:rFonts w:ascii="Verdana" w:hAnsi="Verdana"/>
          <w:sz w:val="18"/>
          <w:szCs w:val="18"/>
        </w:rPr>
        <w:t>0,</w:t>
      </w:r>
      <w:r w:rsidRPr="00550203" w:rsidR="0091228B">
        <w:rPr>
          <w:rFonts w:ascii="Verdana" w:hAnsi="Verdana"/>
          <w:sz w:val="18"/>
          <w:szCs w:val="18"/>
        </w:rPr>
        <w:t>0973</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w:t>
      </w:r>
      <w:r w:rsidRPr="00550203" w:rsidR="00C74BDB">
        <w:rPr>
          <w:rFonts w:ascii="Verdana" w:hAnsi="Verdana"/>
          <w:sz w:val="18"/>
          <w:szCs w:val="18"/>
        </w:rPr>
        <w:t>”</w:t>
      </w:r>
      <w:r w:rsidRPr="00550203">
        <w:rPr>
          <w:rFonts w:ascii="Verdana" w:hAnsi="Verdana"/>
          <w:sz w:val="18"/>
          <w:szCs w:val="18"/>
        </w:rPr>
        <w:t>.</w:t>
      </w:r>
    </w:p>
    <w:p w:rsidRPr="00550203" w:rsidR="009A2451" w:rsidP="009A2451" w:rsidRDefault="009A2451" w14:paraId="04F0145B" w14:textId="77777777">
      <w:pPr>
        <w:spacing w:after="0" w:line="360" w:lineRule="auto"/>
        <w:ind w:left="708" w:firstLine="708"/>
        <w:rPr>
          <w:rFonts w:ascii="Verdana" w:hAnsi="Verdana"/>
          <w:sz w:val="18"/>
          <w:szCs w:val="18"/>
        </w:rPr>
      </w:pPr>
    </w:p>
    <w:p w:rsidRPr="00550203" w:rsidR="00BE58AC" w:rsidP="009A2451" w:rsidRDefault="009A2451" w14:paraId="1B675847" w14:textId="448E3BAB">
      <w:pPr>
        <w:spacing w:after="0" w:line="360" w:lineRule="auto"/>
        <w:ind w:left="708" w:firstLine="708"/>
        <w:rPr>
          <w:rFonts w:ascii="Verdana" w:hAnsi="Verdana"/>
          <w:sz w:val="18"/>
          <w:szCs w:val="18"/>
        </w:rPr>
      </w:pPr>
      <w:r w:rsidRPr="00550203">
        <w:rPr>
          <w:rFonts w:ascii="Verdana" w:hAnsi="Verdana"/>
          <w:sz w:val="18"/>
          <w:szCs w:val="18"/>
        </w:rPr>
        <w:t xml:space="preserve">6 </w:t>
      </w:r>
    </w:p>
    <w:p w:rsidRPr="00550203" w:rsidR="00123DC3" w:rsidP="009A2451" w:rsidRDefault="00123DC3" w14:paraId="1F93F819" w14:textId="77777777">
      <w:pPr>
        <w:spacing w:after="0" w:line="360" w:lineRule="auto"/>
        <w:ind w:left="708" w:firstLine="708"/>
        <w:rPr>
          <w:rFonts w:ascii="Verdana" w:hAnsi="Verdana"/>
          <w:sz w:val="18"/>
          <w:szCs w:val="18"/>
        </w:rPr>
      </w:pPr>
    </w:p>
    <w:p w:rsidRPr="00550203" w:rsidR="000A7990" w:rsidP="000A7990" w:rsidRDefault="000A7990" w14:paraId="76C751F9" w14:textId="6959A83E">
      <w:pPr>
        <w:spacing w:after="0" w:line="360" w:lineRule="auto"/>
        <w:ind w:left="708" w:firstLine="708"/>
        <w:rPr>
          <w:rFonts w:ascii="Verdana" w:hAnsi="Verdana"/>
          <w:sz w:val="18"/>
          <w:szCs w:val="18"/>
        </w:rPr>
      </w:pPr>
      <w:r w:rsidRPr="00550203">
        <w:rPr>
          <w:rFonts w:ascii="Verdana" w:hAnsi="Verdana"/>
          <w:sz w:val="18"/>
          <w:szCs w:val="18"/>
        </w:rPr>
        <w:t>Artikel VI, onderdeel D, wordt als volgt gewijzigd:</w:t>
      </w:r>
    </w:p>
    <w:p w:rsidRPr="00550203" w:rsidR="000A7990" w:rsidP="000A7990" w:rsidRDefault="000A7990" w14:paraId="57A0AFB9" w14:textId="082C5A35">
      <w:pPr>
        <w:spacing w:after="0" w:line="360" w:lineRule="auto"/>
        <w:ind w:left="708" w:firstLine="708"/>
        <w:rPr>
          <w:rFonts w:ascii="Verdana" w:hAnsi="Verdana"/>
          <w:sz w:val="18"/>
          <w:szCs w:val="18"/>
        </w:rPr>
      </w:pPr>
      <w:r w:rsidRPr="00550203">
        <w:rPr>
          <w:rFonts w:ascii="Verdana" w:hAnsi="Verdana"/>
          <w:sz w:val="18"/>
          <w:szCs w:val="18"/>
        </w:rPr>
        <w:t xml:space="preserve">1. </w:t>
      </w:r>
      <w:r w:rsidRPr="00550203" w:rsidR="00FB38ED">
        <w:rPr>
          <w:rFonts w:ascii="Verdana" w:hAnsi="Verdana"/>
          <w:sz w:val="18"/>
          <w:szCs w:val="18"/>
        </w:rPr>
        <w:t>In subo</w:t>
      </w:r>
      <w:r w:rsidRPr="00550203">
        <w:rPr>
          <w:rFonts w:ascii="Verdana" w:hAnsi="Verdana"/>
          <w:sz w:val="18"/>
          <w:szCs w:val="18"/>
        </w:rPr>
        <w:t>nder</w:t>
      </w:r>
      <w:r w:rsidRPr="00550203" w:rsidR="00FB38ED">
        <w:rPr>
          <w:rFonts w:ascii="Verdana" w:hAnsi="Verdana"/>
          <w:sz w:val="18"/>
          <w:szCs w:val="18"/>
        </w:rPr>
        <w:t>deel</w:t>
      </w:r>
      <w:r w:rsidRPr="00550203">
        <w:rPr>
          <w:rFonts w:ascii="Verdana" w:hAnsi="Verdana"/>
          <w:sz w:val="18"/>
          <w:szCs w:val="18"/>
        </w:rPr>
        <w:t xml:space="preserve"> 1 wordt “0,21421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0,2110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“0,18957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0,1896</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xml:space="preserve">”. </w:t>
      </w:r>
    </w:p>
    <w:p w:rsidRPr="00550203" w:rsidR="000A7990" w:rsidP="000A7990" w:rsidRDefault="000A7990" w14:paraId="4A822632" w14:textId="73C68FC6">
      <w:pPr>
        <w:spacing w:after="0" w:line="360" w:lineRule="auto"/>
        <w:ind w:left="708" w:firstLine="708"/>
        <w:rPr>
          <w:rFonts w:ascii="Verdana" w:hAnsi="Verdana"/>
          <w:sz w:val="18"/>
          <w:szCs w:val="18"/>
        </w:rPr>
      </w:pPr>
      <w:r w:rsidRPr="00550203">
        <w:rPr>
          <w:rFonts w:ascii="Verdana" w:hAnsi="Verdana"/>
          <w:sz w:val="18"/>
          <w:szCs w:val="18"/>
        </w:rPr>
        <w:t xml:space="preserve">2. </w:t>
      </w:r>
      <w:r w:rsidRPr="00550203" w:rsidR="00FB38ED">
        <w:rPr>
          <w:rFonts w:ascii="Verdana" w:hAnsi="Verdana"/>
          <w:sz w:val="18"/>
          <w:szCs w:val="18"/>
        </w:rPr>
        <w:t>In subo</w:t>
      </w:r>
      <w:r w:rsidRPr="00550203">
        <w:rPr>
          <w:rFonts w:ascii="Verdana" w:hAnsi="Verdana"/>
          <w:sz w:val="18"/>
          <w:szCs w:val="18"/>
        </w:rPr>
        <w:t>nder</w:t>
      </w:r>
      <w:r w:rsidRPr="00550203" w:rsidR="00FB38ED">
        <w:rPr>
          <w:rFonts w:ascii="Verdana" w:hAnsi="Verdana"/>
          <w:sz w:val="18"/>
          <w:szCs w:val="18"/>
        </w:rPr>
        <w:t>deel</w:t>
      </w:r>
      <w:r w:rsidRPr="00550203">
        <w:rPr>
          <w:rFonts w:ascii="Verdana" w:hAnsi="Verdana"/>
          <w:sz w:val="18"/>
          <w:szCs w:val="18"/>
        </w:rPr>
        <w:t xml:space="preserve"> 2 wordt “0,21421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0,2110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en wordt “0,18957 Nm</w:t>
      </w:r>
      <w:r w:rsidRPr="00550203">
        <w:rPr>
          <w:rFonts w:ascii="Verdana" w:hAnsi="Verdana"/>
          <w:sz w:val="18"/>
          <w:szCs w:val="18"/>
          <w:vertAlign w:val="superscript"/>
        </w:rPr>
        <w:t>3</w:t>
      </w:r>
      <w:r w:rsidRPr="00550203">
        <w:rPr>
          <w:rFonts w:ascii="Verdana" w:hAnsi="Verdana"/>
          <w:sz w:val="18"/>
          <w:szCs w:val="18"/>
        </w:rPr>
        <w:t>” vervangen door “</w:t>
      </w:r>
      <w:r w:rsidRPr="00550203" w:rsidR="0091228B">
        <w:rPr>
          <w:rFonts w:ascii="Verdana" w:hAnsi="Verdana"/>
          <w:sz w:val="18"/>
          <w:szCs w:val="18"/>
        </w:rPr>
        <w:t xml:space="preserve">0,1896 </w:t>
      </w:r>
      <w:r w:rsidRPr="00550203">
        <w:rPr>
          <w:rFonts w:ascii="Verdana" w:hAnsi="Verdana"/>
          <w:sz w:val="18"/>
          <w:szCs w:val="18"/>
        </w:rPr>
        <w:t>Nm</w:t>
      </w:r>
      <w:r w:rsidRPr="00550203">
        <w:rPr>
          <w:rFonts w:ascii="Verdana" w:hAnsi="Verdana"/>
          <w:sz w:val="18"/>
          <w:szCs w:val="18"/>
          <w:vertAlign w:val="superscript"/>
        </w:rPr>
        <w:t>3</w:t>
      </w:r>
      <w:r w:rsidRPr="00550203">
        <w:rPr>
          <w:rFonts w:ascii="Verdana" w:hAnsi="Verdana"/>
          <w:sz w:val="18"/>
          <w:szCs w:val="18"/>
        </w:rPr>
        <w:t>”. Voorts wordt toegevoegd “en “</w:t>
      </w:r>
      <w:r w:rsidRPr="00550203" w:rsidR="00432386">
        <w:rPr>
          <w:rFonts w:ascii="Verdana" w:hAnsi="Verdana"/>
          <w:sz w:val="18"/>
          <w:szCs w:val="18"/>
        </w:rPr>
        <w:t>0,097</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 wordt vervangen door “</w:t>
      </w:r>
      <w:r w:rsidRPr="00550203" w:rsidR="00432386">
        <w:rPr>
          <w:rFonts w:ascii="Verdana" w:hAnsi="Verdana"/>
          <w:sz w:val="18"/>
          <w:szCs w:val="18"/>
        </w:rPr>
        <w:t>0,</w:t>
      </w:r>
      <w:r w:rsidRPr="00550203" w:rsidR="0091228B">
        <w:rPr>
          <w:rFonts w:ascii="Verdana" w:hAnsi="Verdana"/>
          <w:sz w:val="18"/>
          <w:szCs w:val="18"/>
        </w:rPr>
        <w:t>0758</w:t>
      </w:r>
      <w:r w:rsidRPr="00550203">
        <w:rPr>
          <w:rFonts w:ascii="Verdana" w:hAnsi="Verdana"/>
          <w:sz w:val="18"/>
          <w:szCs w:val="18"/>
        </w:rPr>
        <w:t xml:space="preserve"> Nm</w:t>
      </w:r>
      <w:r w:rsidRPr="00550203">
        <w:rPr>
          <w:rFonts w:ascii="Verdana" w:hAnsi="Verdana"/>
          <w:sz w:val="18"/>
          <w:szCs w:val="18"/>
          <w:vertAlign w:val="superscript"/>
        </w:rPr>
        <w:t>3</w:t>
      </w:r>
      <w:r w:rsidRPr="00550203">
        <w:rPr>
          <w:rFonts w:ascii="Verdana" w:hAnsi="Verdana"/>
          <w:sz w:val="18"/>
          <w:szCs w:val="18"/>
        </w:rPr>
        <w:t>”</w:t>
      </w:r>
      <w:r w:rsidRPr="00550203" w:rsidR="00C74BDB">
        <w:rPr>
          <w:rFonts w:ascii="Verdana" w:hAnsi="Verdana"/>
          <w:sz w:val="18"/>
          <w:szCs w:val="18"/>
        </w:rPr>
        <w:t>”</w:t>
      </w:r>
      <w:r w:rsidRPr="00550203">
        <w:rPr>
          <w:rFonts w:ascii="Verdana" w:hAnsi="Verdana"/>
          <w:sz w:val="18"/>
          <w:szCs w:val="18"/>
        </w:rPr>
        <w:t>.</w:t>
      </w:r>
    </w:p>
    <w:p w:rsidRPr="00550203" w:rsidR="00FE486F" w:rsidP="00BB51AF" w:rsidRDefault="00FE486F" w14:paraId="3406C147" w14:textId="77777777">
      <w:pPr>
        <w:spacing w:after="0" w:line="360" w:lineRule="auto"/>
        <w:ind w:left="708" w:firstLine="708"/>
        <w:rPr>
          <w:rFonts w:ascii="Verdana" w:hAnsi="Verdana"/>
          <w:sz w:val="18"/>
          <w:szCs w:val="18"/>
        </w:rPr>
      </w:pPr>
    </w:p>
    <w:p w:rsidRPr="00550203" w:rsidR="000637ED" w:rsidP="00BB51AF" w:rsidRDefault="000637ED" w14:paraId="763DFA19" w14:textId="6176B1AC">
      <w:pPr>
        <w:spacing w:after="0" w:line="360" w:lineRule="auto"/>
        <w:ind w:left="708" w:firstLine="708"/>
        <w:rPr>
          <w:rFonts w:ascii="Verdana" w:hAnsi="Verdana"/>
          <w:sz w:val="18"/>
          <w:szCs w:val="18"/>
        </w:rPr>
      </w:pPr>
      <w:r w:rsidRPr="00550203">
        <w:rPr>
          <w:rFonts w:ascii="Verdana" w:hAnsi="Verdana"/>
          <w:b/>
          <w:bCs/>
          <w:sz w:val="18"/>
          <w:szCs w:val="18"/>
        </w:rPr>
        <w:t xml:space="preserve">I. Algemene toelichting </w:t>
      </w:r>
    </w:p>
    <w:p w:rsidRPr="00550203" w:rsidR="00CC4014" w:rsidP="00870991" w:rsidRDefault="00CC4014" w14:paraId="618134B9" w14:textId="0FF502BB">
      <w:pPr>
        <w:spacing w:after="0" w:line="360" w:lineRule="auto"/>
        <w:rPr>
          <w:rFonts w:ascii="Verdana" w:hAnsi="Verdana"/>
          <w:sz w:val="18"/>
          <w:szCs w:val="18"/>
        </w:rPr>
      </w:pPr>
    </w:p>
    <w:p w:rsidRPr="00550203" w:rsidR="001E4910" w:rsidP="001E4910" w:rsidRDefault="001E4910" w14:paraId="1B5276A5" w14:textId="1455BE4B">
      <w:pPr>
        <w:spacing w:after="0" w:line="360" w:lineRule="auto"/>
        <w:ind w:left="708" w:firstLine="708"/>
        <w:rPr>
          <w:rFonts w:ascii="Verdana" w:hAnsi="Verdana"/>
          <w:sz w:val="18"/>
          <w:szCs w:val="18"/>
        </w:rPr>
      </w:pPr>
      <w:r w:rsidRPr="00550203">
        <w:rPr>
          <w:rFonts w:ascii="Verdana" w:hAnsi="Verdana"/>
          <w:sz w:val="18"/>
          <w:szCs w:val="18"/>
        </w:rPr>
        <w:t xml:space="preserve">Deze nota van wijziging heeft ten doel de uitkomst van de fiscale behandeling </w:t>
      </w:r>
      <w:r w:rsidRPr="00550203" w:rsidR="00640393">
        <w:rPr>
          <w:rFonts w:ascii="Verdana" w:hAnsi="Verdana"/>
          <w:sz w:val="18"/>
          <w:szCs w:val="18"/>
        </w:rPr>
        <w:t xml:space="preserve">bij de kleinere installaties (&lt;20 megawatt (MW)) </w:t>
      </w:r>
      <w:r w:rsidRPr="00550203">
        <w:rPr>
          <w:rFonts w:ascii="Verdana" w:hAnsi="Verdana"/>
          <w:sz w:val="18"/>
          <w:szCs w:val="18"/>
        </w:rPr>
        <w:t xml:space="preserve">van </w:t>
      </w:r>
      <w:r w:rsidRPr="00550203" w:rsidR="00640393">
        <w:rPr>
          <w:rFonts w:ascii="Verdana" w:hAnsi="Verdana"/>
          <w:sz w:val="18"/>
          <w:szCs w:val="18"/>
        </w:rPr>
        <w:t xml:space="preserve">de productie van elektriciteit ten behoeve van eigen gebruik gelijk te trekken aan de productie van elektriciteit voor levering aan het net. Hierdoor wordt het fiscale voordeel bij de kleinere installaties om de geproduceerde elektriciteit aan het net te leveren en de elektriciteit voor eigen gebruik van het net te </w:t>
      </w:r>
      <w:r w:rsidRPr="00550203" w:rsidR="00640393">
        <w:rPr>
          <w:rFonts w:ascii="Verdana" w:hAnsi="Verdana"/>
          <w:sz w:val="18"/>
          <w:szCs w:val="18"/>
        </w:rPr>
        <w:lastRenderedPageBreak/>
        <w:t>halen, weggenomen. Deze aanpassing heeft als gevolg</w:t>
      </w:r>
      <w:r w:rsidRPr="00550203" w:rsidR="00B44493">
        <w:rPr>
          <w:rFonts w:ascii="Verdana" w:hAnsi="Verdana"/>
          <w:sz w:val="18"/>
          <w:szCs w:val="18"/>
        </w:rPr>
        <w:t xml:space="preserve"> dat</w:t>
      </w:r>
      <w:r w:rsidRPr="00550203" w:rsidR="00640393">
        <w:rPr>
          <w:rFonts w:ascii="Verdana" w:hAnsi="Verdana"/>
          <w:sz w:val="18"/>
          <w:szCs w:val="18"/>
        </w:rPr>
        <w:t xml:space="preserve"> de fiscale behandeling van </w:t>
      </w:r>
      <w:r w:rsidRPr="00550203">
        <w:rPr>
          <w:rFonts w:ascii="Verdana" w:hAnsi="Verdana"/>
          <w:sz w:val="18"/>
          <w:szCs w:val="18"/>
        </w:rPr>
        <w:t xml:space="preserve">de </w:t>
      </w:r>
      <w:proofErr w:type="gramStart"/>
      <w:r w:rsidRPr="00550203">
        <w:rPr>
          <w:rFonts w:ascii="Verdana" w:hAnsi="Verdana"/>
          <w:sz w:val="18"/>
          <w:szCs w:val="18"/>
        </w:rPr>
        <w:t xml:space="preserve">kleinere </w:t>
      </w:r>
      <w:r w:rsidRPr="00550203" w:rsidR="00640393">
        <w:rPr>
          <w:rFonts w:ascii="Verdana" w:hAnsi="Verdana"/>
          <w:sz w:val="18"/>
          <w:szCs w:val="18"/>
        </w:rPr>
        <w:t xml:space="preserve"> </w:t>
      </w:r>
      <w:r w:rsidRPr="00550203">
        <w:rPr>
          <w:rFonts w:ascii="Verdana" w:hAnsi="Verdana"/>
          <w:sz w:val="18"/>
          <w:szCs w:val="18"/>
        </w:rPr>
        <w:t>en</w:t>
      </w:r>
      <w:proofErr w:type="gramEnd"/>
      <w:r w:rsidRPr="00550203">
        <w:rPr>
          <w:rFonts w:ascii="Verdana" w:hAnsi="Verdana"/>
          <w:sz w:val="18"/>
          <w:szCs w:val="18"/>
        </w:rPr>
        <w:t xml:space="preserve"> grotere </w:t>
      </w:r>
      <w:r w:rsidRPr="00550203" w:rsidR="00B44493">
        <w:rPr>
          <w:rFonts w:ascii="Verdana" w:hAnsi="Verdana"/>
          <w:sz w:val="18"/>
          <w:szCs w:val="18"/>
        </w:rPr>
        <w:t xml:space="preserve">(&gt;20 MW) installaties </w:t>
      </w:r>
      <w:r w:rsidRPr="00550203">
        <w:rPr>
          <w:rFonts w:ascii="Verdana" w:hAnsi="Verdana"/>
          <w:sz w:val="18"/>
          <w:szCs w:val="18"/>
        </w:rPr>
        <w:t xml:space="preserve">gelijk </w:t>
      </w:r>
      <w:r w:rsidRPr="00550203" w:rsidR="00640393">
        <w:rPr>
          <w:rFonts w:ascii="Verdana" w:hAnsi="Verdana"/>
          <w:sz w:val="18"/>
          <w:szCs w:val="18"/>
        </w:rPr>
        <w:t>word</w:t>
      </w:r>
      <w:r w:rsidRPr="00550203" w:rsidR="00173AB9">
        <w:rPr>
          <w:rFonts w:ascii="Verdana" w:hAnsi="Verdana"/>
          <w:sz w:val="18"/>
          <w:szCs w:val="18"/>
        </w:rPr>
        <w:t>t</w:t>
      </w:r>
      <w:r w:rsidRPr="00550203" w:rsidR="00640393">
        <w:rPr>
          <w:rFonts w:ascii="Verdana" w:hAnsi="Verdana"/>
          <w:sz w:val="18"/>
          <w:szCs w:val="18"/>
        </w:rPr>
        <w:t xml:space="preserve"> getrokken</w:t>
      </w:r>
      <w:r w:rsidRPr="00550203">
        <w:rPr>
          <w:rFonts w:ascii="Verdana" w:hAnsi="Verdana"/>
          <w:sz w:val="18"/>
          <w:szCs w:val="18"/>
        </w:rPr>
        <w:t xml:space="preserve">. </w:t>
      </w:r>
      <w:r w:rsidRPr="00550203" w:rsidR="00640393">
        <w:rPr>
          <w:rFonts w:ascii="Verdana" w:hAnsi="Verdana"/>
          <w:sz w:val="18"/>
          <w:szCs w:val="18"/>
        </w:rPr>
        <w:t xml:space="preserve">Hiertoe </w:t>
      </w:r>
      <w:r w:rsidRPr="00550203">
        <w:rPr>
          <w:rFonts w:ascii="Verdana" w:hAnsi="Verdana"/>
          <w:sz w:val="18"/>
          <w:szCs w:val="18"/>
        </w:rPr>
        <w:t xml:space="preserve">wordt de inputvrijstelling uitgebreid voor aardgas dat wordt verbruikt voor de opwekking van elektriciteit die een exploitant van een </w:t>
      </w:r>
      <w:r w:rsidRPr="00550203" w:rsidR="00B44493">
        <w:rPr>
          <w:rFonts w:ascii="Verdana" w:hAnsi="Verdana"/>
          <w:sz w:val="18"/>
          <w:szCs w:val="18"/>
        </w:rPr>
        <w:t>installatie</w:t>
      </w:r>
      <w:r w:rsidRPr="00550203">
        <w:rPr>
          <w:rFonts w:ascii="Verdana" w:hAnsi="Verdana"/>
          <w:sz w:val="18"/>
          <w:szCs w:val="18"/>
        </w:rPr>
        <w:t xml:space="preserve"> zelf verbruikt. De uitbreiding krijgt een </w:t>
      </w:r>
      <w:proofErr w:type="spellStart"/>
      <w:r w:rsidRPr="00550203">
        <w:rPr>
          <w:rFonts w:ascii="Verdana" w:hAnsi="Verdana"/>
          <w:sz w:val="18"/>
          <w:szCs w:val="18"/>
        </w:rPr>
        <w:t>ingroeipad</w:t>
      </w:r>
      <w:proofErr w:type="spellEnd"/>
      <w:r w:rsidRPr="00550203">
        <w:rPr>
          <w:rFonts w:ascii="Verdana" w:hAnsi="Verdana"/>
          <w:sz w:val="18"/>
          <w:szCs w:val="18"/>
        </w:rPr>
        <w:t xml:space="preserve"> dat gelijk is aan het </w:t>
      </w:r>
      <w:proofErr w:type="spellStart"/>
      <w:r w:rsidRPr="00550203">
        <w:rPr>
          <w:rFonts w:ascii="Verdana" w:hAnsi="Verdana"/>
          <w:sz w:val="18"/>
          <w:szCs w:val="18"/>
        </w:rPr>
        <w:t>ingroeipad</w:t>
      </w:r>
      <w:proofErr w:type="spellEnd"/>
      <w:r w:rsidRPr="00550203">
        <w:rPr>
          <w:rFonts w:ascii="Verdana" w:hAnsi="Verdana"/>
          <w:sz w:val="18"/>
          <w:szCs w:val="18"/>
        </w:rPr>
        <w:t xml:space="preserve"> voor de inputvrijstelling voor grote</w:t>
      </w:r>
      <w:r w:rsidRPr="00550203" w:rsidR="00B44493">
        <w:rPr>
          <w:rFonts w:ascii="Verdana" w:hAnsi="Verdana"/>
          <w:sz w:val="18"/>
          <w:szCs w:val="18"/>
        </w:rPr>
        <w:t>re</w:t>
      </w:r>
      <w:r w:rsidRPr="00550203">
        <w:rPr>
          <w:rFonts w:ascii="Verdana" w:hAnsi="Verdana"/>
          <w:sz w:val="18"/>
          <w:szCs w:val="18"/>
        </w:rPr>
        <w:t xml:space="preserve"> installaties en voor elektriciteit die aan het net </w:t>
      </w:r>
      <w:r w:rsidRPr="00550203" w:rsidR="00B44493">
        <w:rPr>
          <w:rFonts w:ascii="Verdana" w:hAnsi="Verdana"/>
          <w:sz w:val="18"/>
          <w:szCs w:val="18"/>
        </w:rPr>
        <w:t xml:space="preserve">wordt </w:t>
      </w:r>
      <w:r w:rsidRPr="00550203">
        <w:rPr>
          <w:rFonts w:ascii="Verdana" w:hAnsi="Verdana"/>
          <w:sz w:val="18"/>
          <w:szCs w:val="18"/>
        </w:rPr>
        <w:t xml:space="preserve">geleverd. </w:t>
      </w:r>
    </w:p>
    <w:p w:rsidR="00613CCF" w:rsidP="001E4910" w:rsidRDefault="001E4910" w14:paraId="19E35FC0" w14:textId="5F0B7F2F">
      <w:pPr>
        <w:spacing w:after="0" w:line="360" w:lineRule="auto"/>
        <w:ind w:left="708" w:firstLine="708"/>
        <w:rPr>
          <w:rFonts w:ascii="Verdana" w:hAnsi="Verdana"/>
          <w:sz w:val="18"/>
          <w:szCs w:val="18"/>
        </w:rPr>
      </w:pPr>
      <w:r w:rsidRPr="00550203">
        <w:rPr>
          <w:rFonts w:ascii="Verdana" w:hAnsi="Verdana"/>
          <w:sz w:val="18"/>
          <w:szCs w:val="18"/>
        </w:rPr>
        <w:t>De wijziging gaat gepaard met een budgettaire derving. De dekking hiervoor wordt gevonden door de CO</w:t>
      </w:r>
      <w:r w:rsidRPr="00550203">
        <w:rPr>
          <w:rFonts w:ascii="Verdana" w:hAnsi="Verdana"/>
          <w:sz w:val="18"/>
          <w:szCs w:val="18"/>
          <w:vertAlign w:val="subscript"/>
        </w:rPr>
        <w:t>2</w:t>
      </w:r>
      <w:r w:rsidRPr="00550203">
        <w:rPr>
          <w:rFonts w:ascii="Verdana" w:hAnsi="Verdana"/>
          <w:sz w:val="18"/>
          <w:szCs w:val="18"/>
        </w:rPr>
        <w:noBreakHyphen/>
        <w:t>heffing glastuinbouw te verhogen en de inputvrijstelling voor overige verbruikers te verkleinen.</w:t>
      </w:r>
    </w:p>
    <w:p w:rsidRPr="00550203" w:rsidR="001E4910" w:rsidP="001E4910" w:rsidRDefault="00A122A7" w14:paraId="459E4F04" w14:textId="28AE593D">
      <w:pPr>
        <w:spacing w:after="0" w:line="360" w:lineRule="auto"/>
        <w:ind w:left="708" w:firstLine="708"/>
        <w:rPr>
          <w:rFonts w:ascii="Verdana" w:hAnsi="Verdana"/>
          <w:sz w:val="18"/>
          <w:szCs w:val="18"/>
        </w:rPr>
      </w:pPr>
      <w:r w:rsidRPr="00EB35E0">
        <w:rPr>
          <w:rFonts w:ascii="Verdana" w:hAnsi="Verdana"/>
          <w:sz w:val="18"/>
          <w:szCs w:val="18"/>
        </w:rPr>
        <w:t xml:space="preserve">In de memorie van toelichting is </w:t>
      </w:r>
      <w:proofErr w:type="gramStart"/>
      <w:r w:rsidRPr="00EB35E0">
        <w:rPr>
          <w:rFonts w:ascii="Verdana" w:hAnsi="Verdana"/>
          <w:sz w:val="18"/>
          <w:szCs w:val="18"/>
        </w:rPr>
        <w:t>reeds</w:t>
      </w:r>
      <w:proofErr w:type="gramEnd"/>
      <w:r w:rsidRPr="00EB35E0">
        <w:rPr>
          <w:rFonts w:ascii="Verdana" w:hAnsi="Verdana"/>
          <w:sz w:val="18"/>
          <w:szCs w:val="18"/>
        </w:rPr>
        <w:t xml:space="preserve"> aangekondigd dat </w:t>
      </w:r>
      <w:r w:rsidRPr="00EB35E0" w:rsidR="009A5945">
        <w:rPr>
          <w:rFonts w:ascii="Verdana" w:hAnsi="Verdana"/>
          <w:sz w:val="18"/>
          <w:szCs w:val="18"/>
        </w:rPr>
        <w:t>ten behoeve van</w:t>
      </w:r>
      <w:r w:rsidRPr="00EB35E0">
        <w:rPr>
          <w:rFonts w:ascii="Verdana" w:hAnsi="Verdana"/>
          <w:sz w:val="18"/>
          <w:szCs w:val="18"/>
        </w:rPr>
        <w:t xml:space="preserve"> het </w:t>
      </w:r>
      <w:r w:rsidRPr="00EB35E0" w:rsidR="009A5945">
        <w:rPr>
          <w:rFonts w:ascii="Verdana" w:hAnsi="Verdana"/>
          <w:sz w:val="18"/>
          <w:szCs w:val="18"/>
        </w:rPr>
        <w:t xml:space="preserve">Belastingplan </w:t>
      </w:r>
      <w:r w:rsidRPr="00EB35E0">
        <w:rPr>
          <w:rFonts w:ascii="Verdana" w:hAnsi="Verdana"/>
          <w:sz w:val="18"/>
          <w:szCs w:val="18"/>
        </w:rPr>
        <w:t xml:space="preserve">2025 </w:t>
      </w:r>
      <w:r w:rsidRPr="00EB35E0" w:rsidR="009A5945">
        <w:rPr>
          <w:rFonts w:ascii="Verdana" w:hAnsi="Verdana"/>
          <w:sz w:val="18"/>
          <w:szCs w:val="18"/>
        </w:rPr>
        <w:t xml:space="preserve">een nieuwe tariefstudie wordt uitgevoerd. Hieruit blijkt welk tarief nodig is om het restemissiedoel voor 2030 te halen. </w:t>
      </w:r>
      <w:r w:rsidRPr="00EB35E0" w:rsidR="00B51D29">
        <w:rPr>
          <w:rFonts w:ascii="Verdana" w:hAnsi="Verdana"/>
          <w:sz w:val="18"/>
          <w:szCs w:val="18"/>
        </w:rPr>
        <w:t xml:space="preserve">Aan de hand van die tariefstudie kan een volgend kabinet het </w:t>
      </w:r>
      <w:proofErr w:type="spellStart"/>
      <w:r w:rsidRPr="00EB35E0" w:rsidR="00B51D29">
        <w:rPr>
          <w:rFonts w:ascii="Verdana" w:hAnsi="Verdana"/>
          <w:sz w:val="18"/>
          <w:szCs w:val="18"/>
        </w:rPr>
        <w:t>tariefpad</w:t>
      </w:r>
      <w:proofErr w:type="spellEnd"/>
      <w:r w:rsidRPr="00EB35E0" w:rsidR="00B51D29">
        <w:rPr>
          <w:rFonts w:ascii="Verdana" w:hAnsi="Verdana"/>
          <w:sz w:val="18"/>
          <w:szCs w:val="18"/>
        </w:rPr>
        <w:t xml:space="preserve"> heroverwegen, waarbij ook de budgettaire gevolgen dienen te worden meegewogen.</w:t>
      </w:r>
      <w:r w:rsidRPr="00EB35E0" w:rsidR="00EB35E0">
        <w:rPr>
          <w:rFonts w:ascii="Verdana" w:hAnsi="Verdana"/>
          <w:sz w:val="18"/>
          <w:szCs w:val="18"/>
        </w:rPr>
        <w:t xml:space="preserve"> </w:t>
      </w:r>
      <w:r w:rsidRPr="00EB35E0" w:rsidR="004D05FD">
        <w:rPr>
          <w:rFonts w:ascii="Verdana" w:hAnsi="Verdana"/>
          <w:sz w:val="18"/>
          <w:szCs w:val="18"/>
        </w:rPr>
        <w:t>Verder zal het</w:t>
      </w:r>
      <w:r w:rsidRPr="00EB35E0" w:rsidR="00613CCF">
        <w:rPr>
          <w:rFonts w:ascii="Verdana" w:hAnsi="Verdana"/>
          <w:sz w:val="18"/>
          <w:szCs w:val="18"/>
        </w:rPr>
        <w:t xml:space="preserve"> kabinet de CO</w:t>
      </w:r>
      <w:r w:rsidRPr="00EB35E0" w:rsidR="00613CCF">
        <w:rPr>
          <w:rFonts w:ascii="Verdana" w:hAnsi="Verdana"/>
          <w:sz w:val="18"/>
          <w:szCs w:val="18"/>
          <w:vertAlign w:val="subscript"/>
        </w:rPr>
        <w:t>2</w:t>
      </w:r>
      <w:r w:rsidRPr="00EB35E0" w:rsidR="00613CCF">
        <w:rPr>
          <w:rFonts w:ascii="Verdana" w:hAnsi="Verdana"/>
          <w:sz w:val="18"/>
          <w:szCs w:val="18"/>
        </w:rPr>
        <w:t>-heffing glastuinbouw in 2029 evalueren.</w:t>
      </w:r>
    </w:p>
    <w:p w:rsidRPr="00550203" w:rsidR="001E4910" w:rsidP="00870991" w:rsidRDefault="001E4910" w14:paraId="4576894A" w14:textId="77777777">
      <w:pPr>
        <w:spacing w:after="0" w:line="360" w:lineRule="auto"/>
        <w:rPr>
          <w:rFonts w:ascii="Verdana" w:hAnsi="Verdana"/>
          <w:sz w:val="18"/>
          <w:szCs w:val="18"/>
        </w:rPr>
      </w:pPr>
    </w:p>
    <w:p w:rsidRPr="00550203" w:rsidR="000637ED" w:rsidP="007B25EE" w:rsidRDefault="000637ED" w14:paraId="3BEEFD64" w14:textId="77777777">
      <w:pPr>
        <w:spacing w:after="0" w:line="360" w:lineRule="auto"/>
        <w:ind w:left="708" w:firstLine="708"/>
        <w:rPr>
          <w:rFonts w:ascii="Verdana" w:hAnsi="Verdana"/>
          <w:sz w:val="18"/>
          <w:szCs w:val="18"/>
          <w:u w:val="single"/>
        </w:rPr>
      </w:pPr>
      <w:r w:rsidRPr="00550203">
        <w:rPr>
          <w:rFonts w:ascii="Verdana" w:hAnsi="Verdana"/>
          <w:sz w:val="18"/>
          <w:szCs w:val="18"/>
          <w:u w:val="single"/>
        </w:rPr>
        <w:t>Budgettair</w:t>
      </w:r>
    </w:p>
    <w:p w:rsidRPr="00550203" w:rsidR="0091228B" w:rsidP="0091228B" w:rsidRDefault="004C5916" w14:paraId="7E10ECCB" w14:textId="32217F68">
      <w:pPr>
        <w:spacing w:after="0" w:line="360" w:lineRule="auto"/>
        <w:ind w:left="708" w:firstLine="708"/>
        <w:rPr>
          <w:rFonts w:ascii="Verdana" w:hAnsi="Verdana"/>
          <w:sz w:val="18"/>
          <w:szCs w:val="18"/>
        </w:rPr>
      </w:pPr>
      <w:r w:rsidRPr="00550203">
        <w:rPr>
          <w:rFonts w:ascii="Verdana" w:hAnsi="Verdana"/>
          <w:sz w:val="18"/>
          <w:szCs w:val="18"/>
        </w:rPr>
        <w:t>Bij h</w:t>
      </w:r>
      <w:r w:rsidRPr="00550203" w:rsidR="00463C98">
        <w:rPr>
          <w:rFonts w:ascii="Verdana" w:hAnsi="Verdana"/>
          <w:sz w:val="18"/>
          <w:szCs w:val="18"/>
        </w:rPr>
        <w:t xml:space="preserve">et ingediende wetsvoorstel </w:t>
      </w:r>
      <w:r w:rsidRPr="00550203">
        <w:rPr>
          <w:rFonts w:ascii="Verdana" w:hAnsi="Verdana"/>
          <w:sz w:val="18"/>
          <w:szCs w:val="18"/>
        </w:rPr>
        <w:t xml:space="preserve">is </w:t>
      </w:r>
      <w:r w:rsidRPr="00550203" w:rsidR="00463C98">
        <w:rPr>
          <w:rFonts w:ascii="Verdana" w:hAnsi="Verdana"/>
          <w:sz w:val="18"/>
          <w:szCs w:val="18"/>
        </w:rPr>
        <w:t xml:space="preserve">in de budgettaire ramingen </w:t>
      </w:r>
      <w:r w:rsidRPr="00550203">
        <w:rPr>
          <w:rFonts w:ascii="Verdana" w:hAnsi="Verdana"/>
          <w:sz w:val="18"/>
          <w:szCs w:val="18"/>
        </w:rPr>
        <w:t xml:space="preserve">onbedoeld uitgegaan van </w:t>
      </w:r>
      <w:r w:rsidRPr="00550203" w:rsidR="00463C98">
        <w:rPr>
          <w:rFonts w:ascii="Verdana" w:hAnsi="Verdana"/>
          <w:sz w:val="18"/>
          <w:szCs w:val="18"/>
        </w:rPr>
        <w:t>een te lage inschatting voor de opbrengsten van de CO</w:t>
      </w:r>
      <w:r w:rsidRPr="00550203" w:rsidR="00463C98">
        <w:rPr>
          <w:rFonts w:ascii="Verdana" w:hAnsi="Verdana"/>
          <w:sz w:val="18"/>
          <w:szCs w:val="18"/>
          <w:vertAlign w:val="subscript"/>
        </w:rPr>
        <w:t>2</w:t>
      </w:r>
      <w:r w:rsidRPr="00550203" w:rsidR="00463C98">
        <w:rPr>
          <w:rFonts w:ascii="Verdana" w:hAnsi="Verdana"/>
          <w:sz w:val="18"/>
          <w:szCs w:val="18"/>
        </w:rPr>
        <w:noBreakHyphen/>
        <w:t xml:space="preserve">heffing glastuinbouw. In deze nota van wijziging wordt deze omissie hersteld. </w:t>
      </w:r>
      <w:r w:rsidRPr="00550203">
        <w:rPr>
          <w:rFonts w:ascii="Verdana" w:hAnsi="Verdana"/>
          <w:sz w:val="18"/>
          <w:szCs w:val="18"/>
        </w:rPr>
        <w:t>E</w:t>
      </w:r>
      <w:r w:rsidRPr="00550203" w:rsidR="00463C98">
        <w:rPr>
          <w:rFonts w:ascii="Verdana" w:hAnsi="Verdana"/>
          <w:sz w:val="18"/>
          <w:szCs w:val="18"/>
        </w:rPr>
        <w:t xml:space="preserve">en deel van de budgettaire derving van de voorgestelde verruiming van de </w:t>
      </w:r>
      <w:r w:rsidRPr="00550203" w:rsidR="002757C0">
        <w:rPr>
          <w:rFonts w:ascii="Verdana" w:hAnsi="Verdana"/>
          <w:sz w:val="18"/>
          <w:szCs w:val="18"/>
        </w:rPr>
        <w:t>vrijstelling voor eigen verbruik van kleine</w:t>
      </w:r>
      <w:r w:rsidRPr="00550203">
        <w:rPr>
          <w:rFonts w:ascii="Verdana" w:hAnsi="Verdana"/>
          <w:sz w:val="18"/>
          <w:szCs w:val="18"/>
        </w:rPr>
        <w:t>re</w:t>
      </w:r>
      <w:r w:rsidRPr="00550203" w:rsidR="002757C0">
        <w:rPr>
          <w:rFonts w:ascii="Verdana" w:hAnsi="Verdana"/>
          <w:sz w:val="18"/>
          <w:szCs w:val="18"/>
        </w:rPr>
        <w:t xml:space="preserve"> installaties word</w:t>
      </w:r>
      <w:r w:rsidRPr="00550203">
        <w:rPr>
          <w:rFonts w:ascii="Verdana" w:hAnsi="Verdana"/>
          <w:sz w:val="18"/>
          <w:szCs w:val="18"/>
        </w:rPr>
        <w:t>t</w:t>
      </w:r>
      <w:r w:rsidRPr="00550203" w:rsidR="002757C0">
        <w:rPr>
          <w:rFonts w:ascii="Verdana" w:hAnsi="Verdana"/>
          <w:sz w:val="18"/>
          <w:szCs w:val="18"/>
        </w:rPr>
        <w:t xml:space="preserve"> opgevangen door de bijstelling van de raming. </w:t>
      </w:r>
      <w:proofErr w:type="gramStart"/>
      <w:r w:rsidRPr="00550203">
        <w:rPr>
          <w:rFonts w:ascii="Verdana" w:hAnsi="Verdana"/>
          <w:sz w:val="18"/>
          <w:szCs w:val="18"/>
        </w:rPr>
        <w:t>Teneinde</w:t>
      </w:r>
      <w:proofErr w:type="gramEnd"/>
      <w:r w:rsidRPr="00550203">
        <w:rPr>
          <w:rFonts w:ascii="Verdana" w:hAnsi="Verdana"/>
          <w:sz w:val="18"/>
          <w:szCs w:val="18"/>
        </w:rPr>
        <w:t xml:space="preserve"> de derving volledig te dekken, wordt</w:t>
      </w:r>
      <w:r w:rsidRPr="00550203" w:rsidR="002757C0">
        <w:rPr>
          <w:rFonts w:ascii="Verdana" w:hAnsi="Verdana"/>
          <w:sz w:val="18"/>
          <w:szCs w:val="18"/>
        </w:rPr>
        <w:t xml:space="preserve"> de CO</w:t>
      </w:r>
      <w:r w:rsidRPr="00550203" w:rsidR="002757C0">
        <w:rPr>
          <w:rFonts w:ascii="Verdana" w:hAnsi="Verdana"/>
          <w:sz w:val="18"/>
          <w:szCs w:val="18"/>
          <w:vertAlign w:val="subscript"/>
        </w:rPr>
        <w:t>2</w:t>
      </w:r>
      <w:r w:rsidRPr="00550203" w:rsidR="002757C0">
        <w:rPr>
          <w:rFonts w:ascii="Verdana" w:hAnsi="Verdana"/>
          <w:sz w:val="18"/>
          <w:szCs w:val="18"/>
        </w:rPr>
        <w:noBreakHyphen/>
        <w:t xml:space="preserve">heffing glastuinbouw verhoogd en </w:t>
      </w:r>
      <w:r w:rsidRPr="00550203">
        <w:rPr>
          <w:rFonts w:ascii="Verdana" w:hAnsi="Verdana"/>
          <w:sz w:val="18"/>
          <w:szCs w:val="18"/>
        </w:rPr>
        <w:t>wordt</w:t>
      </w:r>
      <w:r w:rsidRPr="00550203" w:rsidR="002757C0">
        <w:rPr>
          <w:rFonts w:ascii="Verdana" w:hAnsi="Verdana"/>
          <w:sz w:val="18"/>
          <w:szCs w:val="18"/>
        </w:rPr>
        <w:t xml:space="preserve"> </w:t>
      </w:r>
      <w:r w:rsidR="00613CCF">
        <w:rPr>
          <w:rFonts w:ascii="Verdana" w:hAnsi="Verdana"/>
          <w:sz w:val="18"/>
          <w:szCs w:val="18"/>
        </w:rPr>
        <w:t xml:space="preserve">het </w:t>
      </w:r>
      <w:proofErr w:type="spellStart"/>
      <w:r w:rsidRPr="00550203" w:rsidR="00BD6C7B">
        <w:rPr>
          <w:rFonts w:ascii="Verdana" w:hAnsi="Verdana"/>
          <w:sz w:val="18"/>
          <w:szCs w:val="18"/>
        </w:rPr>
        <w:t>ingroeipad</w:t>
      </w:r>
      <w:proofErr w:type="spellEnd"/>
      <w:r w:rsidRPr="00550203" w:rsidR="00BD6C7B">
        <w:rPr>
          <w:rFonts w:ascii="Verdana" w:hAnsi="Verdana"/>
          <w:sz w:val="18"/>
          <w:szCs w:val="18"/>
        </w:rPr>
        <w:t xml:space="preserve"> voor de inputvrijstelling voor grotere installaties en voor elektriciteit die aan het net wordt geleverd</w:t>
      </w:r>
      <w:r w:rsidR="00BD6C7B">
        <w:rPr>
          <w:rFonts w:ascii="Verdana" w:hAnsi="Verdana"/>
          <w:sz w:val="18"/>
          <w:szCs w:val="18"/>
        </w:rPr>
        <w:t xml:space="preserve"> aangepast</w:t>
      </w:r>
      <w:r w:rsidRPr="00550203" w:rsidR="002757C0">
        <w:rPr>
          <w:rFonts w:ascii="Verdana" w:hAnsi="Verdana"/>
          <w:sz w:val="18"/>
          <w:szCs w:val="18"/>
        </w:rPr>
        <w:t>.</w:t>
      </w:r>
      <w:r w:rsidRPr="00550203" w:rsidR="00593910">
        <w:rPr>
          <w:rFonts w:ascii="Verdana" w:hAnsi="Verdana"/>
          <w:sz w:val="18"/>
          <w:szCs w:val="18"/>
        </w:rPr>
        <w:t xml:space="preserve"> Door afronding wijkt de totale dekking af van de som van de twee dekkingsmaatregel</w:t>
      </w:r>
      <w:r w:rsidR="00613CCF">
        <w:rPr>
          <w:rFonts w:ascii="Verdana" w:hAnsi="Verdana"/>
          <w:sz w:val="18"/>
          <w:szCs w:val="18"/>
        </w:rPr>
        <w:t>e</w:t>
      </w:r>
      <w:r w:rsidRPr="00550203" w:rsidR="00593910">
        <w:rPr>
          <w:rFonts w:ascii="Verdana" w:hAnsi="Verdana"/>
          <w:sz w:val="18"/>
          <w:szCs w:val="18"/>
        </w:rPr>
        <w:t>n</w:t>
      </w:r>
      <w:r w:rsidR="00613CCF">
        <w:rPr>
          <w:rFonts w:ascii="Verdana" w:hAnsi="Verdana"/>
          <w:sz w:val="18"/>
          <w:szCs w:val="18"/>
        </w:rPr>
        <w:t>.</w:t>
      </w:r>
    </w:p>
    <w:p w:rsidRPr="00550203" w:rsidR="0091228B" w:rsidP="0091228B" w:rsidRDefault="0091228B" w14:paraId="7BA4758C" w14:textId="0EB51751">
      <w:pPr>
        <w:spacing w:after="0" w:line="360" w:lineRule="auto"/>
        <w:ind w:left="708" w:firstLine="708"/>
        <w:rPr>
          <w:rFonts w:ascii="Verdana" w:hAnsi="Verdana"/>
          <w:sz w:val="18"/>
          <w:szCs w:val="18"/>
        </w:rPr>
      </w:pPr>
    </w:p>
    <w:tbl>
      <w:tblPr>
        <w:tblStyle w:val="Lijsttabel3-Accent1"/>
        <w:tblW w:w="9817" w:type="dxa"/>
        <w:tblLook w:val="04A0" w:firstRow="1" w:lastRow="0" w:firstColumn="1" w:lastColumn="0" w:noHBand="0" w:noVBand="1"/>
      </w:tblPr>
      <w:tblGrid>
        <w:gridCol w:w="1852"/>
        <w:gridCol w:w="1060"/>
        <w:gridCol w:w="1060"/>
        <w:gridCol w:w="1299"/>
        <w:gridCol w:w="2080"/>
        <w:gridCol w:w="1233"/>
        <w:gridCol w:w="1233"/>
      </w:tblGrid>
      <w:tr w:rsidRPr="00550203" w:rsidR="0091228B" w:rsidTr="00423FB8" w14:paraId="6FF79460" w14:textId="77777777">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1852" w:type="dxa"/>
            <w:noWrap/>
          </w:tcPr>
          <w:p w:rsidRPr="00550203" w:rsidR="0091228B" w:rsidP="00423FB8" w:rsidRDefault="0091228B" w14:paraId="6A591524" w14:textId="77777777">
            <w:pPr>
              <w:rPr>
                <w:rFonts w:ascii="Calibri" w:hAnsi="Calibri" w:eastAsia="Times New Roman" w:cs="Calibri"/>
                <w:color w:val="000000"/>
                <w:lang w:eastAsia="nl-NL"/>
              </w:rPr>
            </w:pPr>
          </w:p>
        </w:tc>
        <w:tc>
          <w:tcPr>
            <w:tcW w:w="1060" w:type="dxa"/>
            <w:noWrap/>
          </w:tcPr>
          <w:p w:rsidRPr="00550203" w:rsidR="0091228B" w:rsidP="00423FB8" w:rsidRDefault="0091228B" w14:paraId="768CE768"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2025</w:t>
            </w:r>
          </w:p>
        </w:tc>
        <w:tc>
          <w:tcPr>
            <w:tcW w:w="1060" w:type="dxa"/>
            <w:noWrap/>
          </w:tcPr>
          <w:p w:rsidRPr="00550203" w:rsidR="0091228B" w:rsidP="00423FB8" w:rsidRDefault="0091228B" w14:paraId="16967F1D"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2026</w:t>
            </w:r>
          </w:p>
        </w:tc>
        <w:tc>
          <w:tcPr>
            <w:tcW w:w="1299" w:type="dxa"/>
            <w:noWrap/>
          </w:tcPr>
          <w:p w:rsidRPr="00550203" w:rsidR="0091228B" w:rsidP="00423FB8" w:rsidRDefault="0091228B" w14:paraId="2697389B"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2027</w:t>
            </w:r>
          </w:p>
        </w:tc>
        <w:tc>
          <w:tcPr>
            <w:tcW w:w="2080" w:type="dxa"/>
            <w:noWrap/>
          </w:tcPr>
          <w:p w:rsidRPr="00550203" w:rsidR="0091228B" w:rsidP="00423FB8" w:rsidRDefault="0091228B" w14:paraId="12634736"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2028</w:t>
            </w:r>
          </w:p>
        </w:tc>
        <w:tc>
          <w:tcPr>
            <w:tcW w:w="1233" w:type="dxa"/>
            <w:noWrap/>
          </w:tcPr>
          <w:p w:rsidRPr="00550203" w:rsidR="0091228B" w:rsidP="00423FB8" w:rsidRDefault="0091228B" w14:paraId="05AF9F3D"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2029</w:t>
            </w:r>
          </w:p>
        </w:tc>
        <w:tc>
          <w:tcPr>
            <w:tcW w:w="1233" w:type="dxa"/>
            <w:noWrap/>
          </w:tcPr>
          <w:p w:rsidRPr="00550203" w:rsidR="0091228B" w:rsidP="00423FB8" w:rsidRDefault="0091228B" w14:paraId="3D7C989D" w14:textId="77777777">
            <w:pPr>
              <w:jc w:val="righ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2030</w:t>
            </w:r>
          </w:p>
        </w:tc>
      </w:tr>
      <w:tr w:rsidRPr="00550203" w:rsidR="0091228B" w:rsidTr="0091228B" w14:paraId="4B750609" w14:textId="7777777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52" w:type="dxa"/>
            <w:noWrap/>
          </w:tcPr>
          <w:p w:rsidRPr="00550203" w:rsidR="0091228B" w:rsidP="00423FB8" w:rsidRDefault="0091228B" w14:paraId="080422CF" w14:textId="7BF24A53">
            <w:pPr>
              <w:rPr>
                <w:rFonts w:ascii="Calibri" w:hAnsi="Calibri" w:eastAsia="Times New Roman" w:cs="Calibri"/>
                <w:b w:val="0"/>
                <w:bCs w:val="0"/>
                <w:color w:val="000000"/>
                <w:lang w:eastAsia="nl-NL"/>
              </w:rPr>
            </w:pPr>
            <w:r w:rsidRPr="00550203">
              <w:rPr>
                <w:rFonts w:ascii="Calibri" w:hAnsi="Calibri" w:eastAsia="Times New Roman" w:cs="Calibri"/>
                <w:b w:val="0"/>
                <w:bCs w:val="0"/>
                <w:color w:val="000000"/>
                <w:lang w:eastAsia="nl-NL"/>
              </w:rPr>
              <w:t>Opbrengst totale CO</w:t>
            </w:r>
            <w:r w:rsidRPr="00B51D29">
              <w:rPr>
                <w:rFonts w:ascii="Calibri" w:hAnsi="Calibri" w:eastAsia="Times New Roman" w:cs="Calibri"/>
                <w:color w:val="000000"/>
                <w:vertAlign w:val="subscript"/>
                <w:lang w:eastAsia="nl-NL"/>
              </w:rPr>
              <w:t>2</w:t>
            </w:r>
            <w:r w:rsidRPr="00550203">
              <w:rPr>
                <w:rFonts w:ascii="Calibri" w:hAnsi="Calibri" w:eastAsia="Times New Roman" w:cs="Calibri"/>
                <w:b w:val="0"/>
                <w:bCs w:val="0"/>
                <w:color w:val="000000"/>
                <w:lang w:eastAsia="nl-NL"/>
              </w:rPr>
              <w:t>-heffing</w:t>
            </w:r>
          </w:p>
        </w:tc>
        <w:tc>
          <w:tcPr>
            <w:tcW w:w="1060" w:type="dxa"/>
            <w:noWrap/>
          </w:tcPr>
          <w:p w:rsidRPr="00550203" w:rsidR="0091228B" w:rsidP="0091228B" w:rsidRDefault="00593910" w14:paraId="21B82376" w14:textId="544C477B">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48</w:t>
            </w:r>
          </w:p>
        </w:tc>
        <w:tc>
          <w:tcPr>
            <w:tcW w:w="1060" w:type="dxa"/>
            <w:noWrap/>
          </w:tcPr>
          <w:p w:rsidRPr="00550203" w:rsidR="0091228B" w:rsidP="0091228B" w:rsidRDefault="0091228B" w14:paraId="30352B8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51</w:t>
            </w:r>
          </w:p>
        </w:tc>
        <w:tc>
          <w:tcPr>
            <w:tcW w:w="1299" w:type="dxa"/>
            <w:noWrap/>
          </w:tcPr>
          <w:p w:rsidRPr="00550203" w:rsidR="0091228B" w:rsidP="0091228B" w:rsidRDefault="0091228B" w14:paraId="02D49738"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54</w:t>
            </w:r>
          </w:p>
        </w:tc>
        <w:tc>
          <w:tcPr>
            <w:tcW w:w="2080" w:type="dxa"/>
            <w:noWrap/>
          </w:tcPr>
          <w:p w:rsidRPr="00550203" w:rsidR="0091228B" w:rsidP="0091228B" w:rsidRDefault="0091228B" w14:paraId="30B9EE6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54</w:t>
            </w:r>
          </w:p>
        </w:tc>
        <w:tc>
          <w:tcPr>
            <w:tcW w:w="1233" w:type="dxa"/>
            <w:noWrap/>
          </w:tcPr>
          <w:p w:rsidRPr="00550203" w:rsidR="0091228B" w:rsidP="0091228B" w:rsidRDefault="0091228B" w14:paraId="67FB9B97"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54</w:t>
            </w:r>
          </w:p>
        </w:tc>
        <w:tc>
          <w:tcPr>
            <w:tcW w:w="1233" w:type="dxa"/>
            <w:noWrap/>
          </w:tcPr>
          <w:p w:rsidRPr="00550203" w:rsidR="0091228B" w:rsidP="0091228B" w:rsidRDefault="0091228B" w14:paraId="3A8CED3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55</w:t>
            </w:r>
          </w:p>
        </w:tc>
      </w:tr>
      <w:tr w:rsidRPr="00550203" w:rsidR="0091228B" w:rsidTr="0091228B" w14:paraId="53BD1A02" w14:textId="77777777">
        <w:trPr>
          <w:trHeight w:val="237"/>
        </w:trPr>
        <w:tc>
          <w:tcPr>
            <w:cnfStyle w:val="001000000000" w:firstRow="0" w:lastRow="0" w:firstColumn="1" w:lastColumn="0" w:oddVBand="0" w:evenVBand="0" w:oddHBand="0" w:evenHBand="0" w:firstRowFirstColumn="0" w:firstRowLastColumn="0" w:lastRowFirstColumn="0" w:lastRowLastColumn="0"/>
            <w:tcW w:w="1852" w:type="dxa"/>
            <w:noWrap/>
          </w:tcPr>
          <w:p w:rsidRPr="00550203" w:rsidR="0091228B" w:rsidP="00423FB8" w:rsidRDefault="0091228B" w14:paraId="637563CE" w14:textId="77777777">
            <w:pPr>
              <w:rPr>
                <w:rFonts w:ascii="Calibri" w:hAnsi="Calibri" w:eastAsia="Times New Roman" w:cs="Calibri"/>
                <w:b w:val="0"/>
                <w:bCs w:val="0"/>
                <w:color w:val="000000"/>
                <w:lang w:eastAsia="nl-NL"/>
              </w:rPr>
            </w:pPr>
            <w:proofErr w:type="gramStart"/>
            <w:r w:rsidRPr="00550203">
              <w:rPr>
                <w:rFonts w:ascii="Calibri" w:hAnsi="Calibri" w:eastAsia="Times New Roman" w:cs="Calibri"/>
                <w:b w:val="0"/>
                <w:bCs w:val="0"/>
                <w:color w:val="000000"/>
                <w:lang w:eastAsia="nl-NL"/>
              </w:rPr>
              <w:t>Reeds</w:t>
            </w:r>
            <w:proofErr w:type="gramEnd"/>
            <w:r w:rsidRPr="00550203">
              <w:rPr>
                <w:rFonts w:ascii="Calibri" w:hAnsi="Calibri" w:eastAsia="Times New Roman" w:cs="Calibri"/>
                <w:b w:val="0"/>
                <w:bCs w:val="0"/>
                <w:color w:val="000000"/>
                <w:lang w:eastAsia="nl-NL"/>
              </w:rPr>
              <w:t xml:space="preserve"> ingeboekt in inkomstenkader</w:t>
            </w:r>
          </w:p>
        </w:tc>
        <w:tc>
          <w:tcPr>
            <w:tcW w:w="1060" w:type="dxa"/>
            <w:noWrap/>
          </w:tcPr>
          <w:p w:rsidRPr="00550203" w:rsidR="0091228B" w:rsidP="0091228B" w:rsidRDefault="0091228B" w14:paraId="2982BC31"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3</w:t>
            </w:r>
          </w:p>
        </w:tc>
        <w:tc>
          <w:tcPr>
            <w:tcW w:w="1060" w:type="dxa"/>
            <w:noWrap/>
          </w:tcPr>
          <w:p w:rsidRPr="00550203" w:rsidR="0091228B" w:rsidP="0091228B" w:rsidRDefault="0091228B" w14:paraId="177A5BED"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5</w:t>
            </w:r>
          </w:p>
        </w:tc>
        <w:tc>
          <w:tcPr>
            <w:tcW w:w="1299" w:type="dxa"/>
            <w:noWrap/>
          </w:tcPr>
          <w:p w:rsidRPr="00550203" w:rsidR="0091228B" w:rsidP="0091228B" w:rsidRDefault="0091228B" w14:paraId="4C254872"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7</w:t>
            </w:r>
          </w:p>
        </w:tc>
        <w:tc>
          <w:tcPr>
            <w:tcW w:w="2080" w:type="dxa"/>
            <w:noWrap/>
          </w:tcPr>
          <w:p w:rsidRPr="00550203" w:rsidR="0091228B" w:rsidP="0091228B" w:rsidRDefault="0091228B" w14:paraId="4D5923D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9</w:t>
            </w:r>
          </w:p>
        </w:tc>
        <w:tc>
          <w:tcPr>
            <w:tcW w:w="1233" w:type="dxa"/>
            <w:noWrap/>
          </w:tcPr>
          <w:p w:rsidRPr="00550203" w:rsidR="0091228B" w:rsidP="0091228B" w:rsidRDefault="0091228B" w14:paraId="6FC0D48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11</w:t>
            </w:r>
          </w:p>
        </w:tc>
        <w:tc>
          <w:tcPr>
            <w:tcW w:w="1233" w:type="dxa"/>
            <w:noWrap/>
          </w:tcPr>
          <w:p w:rsidRPr="00550203" w:rsidR="0091228B" w:rsidP="0091228B" w:rsidRDefault="0091228B" w14:paraId="53A7498A"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13</w:t>
            </w:r>
          </w:p>
        </w:tc>
      </w:tr>
      <w:tr w:rsidRPr="00550203" w:rsidR="0091228B" w:rsidTr="0091228B" w14:paraId="5709AE24" w14:textId="7777777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52" w:type="dxa"/>
            <w:noWrap/>
            <w:hideMark/>
          </w:tcPr>
          <w:p w:rsidRPr="00550203" w:rsidR="0091228B" w:rsidP="00423FB8" w:rsidRDefault="0091228B" w14:paraId="189BA7A1" w14:textId="04ACAD60">
            <w:pPr>
              <w:rPr>
                <w:rFonts w:ascii="Calibri" w:hAnsi="Calibri" w:eastAsia="Times New Roman" w:cs="Calibri"/>
                <w:color w:val="000000"/>
                <w:lang w:eastAsia="nl-NL"/>
              </w:rPr>
            </w:pPr>
            <w:r w:rsidRPr="00550203">
              <w:rPr>
                <w:rFonts w:ascii="Calibri" w:hAnsi="Calibri" w:eastAsia="Times New Roman" w:cs="Calibri"/>
                <w:color w:val="000000"/>
                <w:lang w:eastAsia="nl-NL"/>
              </w:rPr>
              <w:t>Dekking CO</w:t>
            </w:r>
            <w:r w:rsidRPr="00550203">
              <w:rPr>
                <w:rFonts w:ascii="Calibri" w:hAnsi="Calibri" w:eastAsia="Times New Roman" w:cs="Calibri"/>
                <w:color w:val="000000"/>
                <w:vertAlign w:val="subscript"/>
                <w:lang w:eastAsia="nl-NL"/>
              </w:rPr>
              <w:t>2</w:t>
            </w:r>
            <w:r w:rsidRPr="00550203">
              <w:rPr>
                <w:rFonts w:ascii="Calibri" w:hAnsi="Calibri" w:eastAsia="Times New Roman" w:cs="Calibri"/>
                <w:color w:val="000000"/>
                <w:lang w:eastAsia="nl-NL"/>
              </w:rPr>
              <w:t>-heffing</w:t>
            </w:r>
          </w:p>
        </w:tc>
        <w:tc>
          <w:tcPr>
            <w:tcW w:w="1060" w:type="dxa"/>
            <w:noWrap/>
          </w:tcPr>
          <w:p w:rsidRPr="00550203" w:rsidR="0091228B" w:rsidP="0091228B" w:rsidRDefault="00593910" w14:paraId="267A8A5B" w14:textId="140F66C2">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cs="Calibri"/>
                <w:b/>
                <w:bCs/>
                <w:color w:val="000000"/>
              </w:rPr>
              <w:t>45</w:t>
            </w:r>
          </w:p>
        </w:tc>
        <w:tc>
          <w:tcPr>
            <w:tcW w:w="1060" w:type="dxa"/>
            <w:noWrap/>
          </w:tcPr>
          <w:p w:rsidRPr="00550203" w:rsidR="0091228B" w:rsidP="0091228B" w:rsidRDefault="0091228B" w14:paraId="461A87BF"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cs="Calibri"/>
                <w:b/>
                <w:bCs/>
                <w:color w:val="000000"/>
              </w:rPr>
              <w:t>46</w:t>
            </w:r>
          </w:p>
        </w:tc>
        <w:tc>
          <w:tcPr>
            <w:tcW w:w="1299" w:type="dxa"/>
            <w:noWrap/>
            <w:hideMark/>
          </w:tcPr>
          <w:p w:rsidRPr="00550203" w:rsidR="0091228B" w:rsidP="0091228B" w:rsidRDefault="0091228B" w14:paraId="02D6773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47</w:t>
            </w:r>
          </w:p>
        </w:tc>
        <w:tc>
          <w:tcPr>
            <w:tcW w:w="2080" w:type="dxa"/>
            <w:noWrap/>
            <w:hideMark/>
          </w:tcPr>
          <w:p w:rsidRPr="00550203" w:rsidR="0091228B" w:rsidP="0091228B" w:rsidRDefault="0091228B" w14:paraId="78A74D3E"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45</w:t>
            </w:r>
          </w:p>
        </w:tc>
        <w:tc>
          <w:tcPr>
            <w:tcW w:w="1233" w:type="dxa"/>
            <w:noWrap/>
            <w:hideMark/>
          </w:tcPr>
          <w:p w:rsidRPr="00550203" w:rsidR="0091228B" w:rsidP="0091228B" w:rsidRDefault="0091228B" w14:paraId="454B377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43</w:t>
            </w:r>
          </w:p>
        </w:tc>
        <w:tc>
          <w:tcPr>
            <w:tcW w:w="1233" w:type="dxa"/>
            <w:noWrap/>
            <w:hideMark/>
          </w:tcPr>
          <w:p w:rsidRPr="00550203" w:rsidR="0091228B" w:rsidP="0091228B" w:rsidRDefault="0091228B" w14:paraId="719AB474"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42</w:t>
            </w:r>
          </w:p>
        </w:tc>
      </w:tr>
      <w:tr w:rsidRPr="00550203" w:rsidR="0091228B" w:rsidTr="0091228B" w14:paraId="50908862" w14:textId="77777777">
        <w:trPr>
          <w:trHeight w:val="237"/>
        </w:trPr>
        <w:tc>
          <w:tcPr>
            <w:cnfStyle w:val="001000000000" w:firstRow="0" w:lastRow="0" w:firstColumn="1" w:lastColumn="0" w:oddVBand="0" w:evenVBand="0" w:oddHBand="0" w:evenHBand="0" w:firstRowFirstColumn="0" w:firstRowLastColumn="0" w:lastRowFirstColumn="0" w:lastRowLastColumn="0"/>
            <w:tcW w:w="1852" w:type="dxa"/>
            <w:noWrap/>
            <w:hideMark/>
          </w:tcPr>
          <w:p w:rsidRPr="00550203" w:rsidR="0091228B" w:rsidP="00423FB8" w:rsidRDefault="0091228B" w14:paraId="296A796A" w14:textId="77777777">
            <w:pPr>
              <w:rPr>
                <w:rFonts w:ascii="Calibri" w:hAnsi="Calibri" w:eastAsia="Times New Roman" w:cs="Calibri"/>
                <w:color w:val="000000"/>
                <w:lang w:eastAsia="nl-NL"/>
              </w:rPr>
            </w:pPr>
            <w:r w:rsidRPr="00550203">
              <w:rPr>
                <w:rFonts w:ascii="Calibri" w:hAnsi="Calibri" w:eastAsia="Times New Roman" w:cs="Calibri"/>
                <w:color w:val="000000"/>
                <w:lang w:eastAsia="nl-NL"/>
              </w:rPr>
              <w:t>Inputvrijstelling</w:t>
            </w:r>
          </w:p>
        </w:tc>
        <w:tc>
          <w:tcPr>
            <w:tcW w:w="1060" w:type="dxa"/>
            <w:noWrap/>
          </w:tcPr>
          <w:p w:rsidRPr="00550203" w:rsidR="0091228B" w:rsidP="0091228B" w:rsidRDefault="00593910" w14:paraId="74C0A548" w14:textId="2DE5E783">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 xml:space="preserve">31 </w:t>
            </w:r>
          </w:p>
        </w:tc>
        <w:tc>
          <w:tcPr>
            <w:tcW w:w="1060" w:type="dxa"/>
            <w:noWrap/>
          </w:tcPr>
          <w:p w:rsidRPr="00550203" w:rsidR="0091228B" w:rsidP="0091228B" w:rsidRDefault="0091228B" w14:paraId="1D91A9D4" w14:textId="00AFE82A">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cs="Calibri"/>
                <w:color w:val="000000"/>
              </w:rPr>
              <w:t>46</w:t>
            </w:r>
          </w:p>
        </w:tc>
        <w:tc>
          <w:tcPr>
            <w:tcW w:w="1299" w:type="dxa"/>
            <w:noWrap/>
            <w:hideMark/>
          </w:tcPr>
          <w:p w:rsidRPr="00550203" w:rsidR="0091228B" w:rsidP="0091228B" w:rsidRDefault="0091228B" w14:paraId="782CE86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33</w:t>
            </w:r>
          </w:p>
        </w:tc>
        <w:tc>
          <w:tcPr>
            <w:tcW w:w="2080" w:type="dxa"/>
            <w:noWrap/>
            <w:hideMark/>
          </w:tcPr>
          <w:p w:rsidRPr="00550203" w:rsidR="0091228B" w:rsidP="0091228B" w:rsidRDefault="0091228B" w14:paraId="6DDDA990"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24</w:t>
            </w:r>
          </w:p>
        </w:tc>
        <w:tc>
          <w:tcPr>
            <w:tcW w:w="1233" w:type="dxa"/>
            <w:noWrap/>
            <w:hideMark/>
          </w:tcPr>
          <w:p w:rsidRPr="00550203" w:rsidR="0091228B" w:rsidP="0091228B" w:rsidRDefault="0091228B" w14:paraId="6BBEDED7"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13</w:t>
            </w:r>
          </w:p>
        </w:tc>
        <w:tc>
          <w:tcPr>
            <w:tcW w:w="1233" w:type="dxa"/>
            <w:noWrap/>
            <w:hideMark/>
          </w:tcPr>
          <w:p w:rsidRPr="00550203" w:rsidR="0091228B" w:rsidP="0091228B" w:rsidRDefault="0091228B" w14:paraId="1477BCBE" w14:textId="77777777">
            <w:pPr>
              <w:jc w:val="right"/>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nl-NL"/>
              </w:rPr>
            </w:pPr>
            <w:r w:rsidRPr="00550203">
              <w:rPr>
                <w:rFonts w:ascii="Calibri" w:hAnsi="Calibri" w:eastAsia="Times New Roman" w:cs="Calibri"/>
                <w:color w:val="000000"/>
                <w:lang w:eastAsia="nl-NL"/>
              </w:rPr>
              <w:t>0</w:t>
            </w:r>
          </w:p>
        </w:tc>
      </w:tr>
      <w:tr w:rsidRPr="00550203" w:rsidR="0091228B" w:rsidTr="00423FB8" w14:paraId="1000DA11" w14:textId="7777777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852" w:type="dxa"/>
            <w:noWrap/>
            <w:hideMark/>
          </w:tcPr>
          <w:p w:rsidRPr="00550203" w:rsidR="0091228B" w:rsidP="00423FB8" w:rsidRDefault="0091228B" w14:paraId="53CCFCC1" w14:textId="77777777">
            <w:pPr>
              <w:rPr>
                <w:rFonts w:ascii="Calibri" w:hAnsi="Calibri" w:eastAsia="Times New Roman" w:cs="Calibri"/>
                <w:color w:val="000000"/>
                <w:lang w:eastAsia="nl-NL"/>
              </w:rPr>
            </w:pPr>
            <w:r w:rsidRPr="00550203">
              <w:rPr>
                <w:rFonts w:ascii="Calibri" w:hAnsi="Calibri" w:eastAsia="Times New Roman" w:cs="Calibri"/>
                <w:color w:val="000000"/>
                <w:lang w:eastAsia="nl-NL"/>
              </w:rPr>
              <w:t>Totaal</w:t>
            </w:r>
          </w:p>
        </w:tc>
        <w:tc>
          <w:tcPr>
            <w:tcW w:w="1060" w:type="dxa"/>
            <w:noWrap/>
            <w:hideMark/>
          </w:tcPr>
          <w:p w:rsidRPr="00550203" w:rsidR="0091228B" w:rsidP="00423FB8" w:rsidRDefault="0091228B" w14:paraId="7A095A31"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75</w:t>
            </w:r>
          </w:p>
        </w:tc>
        <w:tc>
          <w:tcPr>
            <w:tcW w:w="1060" w:type="dxa"/>
            <w:noWrap/>
            <w:hideMark/>
          </w:tcPr>
          <w:p w:rsidRPr="00550203" w:rsidR="0091228B" w:rsidP="00423FB8" w:rsidRDefault="0091228B" w14:paraId="53D60116"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93</w:t>
            </w:r>
          </w:p>
        </w:tc>
        <w:tc>
          <w:tcPr>
            <w:tcW w:w="1299" w:type="dxa"/>
            <w:noWrap/>
            <w:hideMark/>
          </w:tcPr>
          <w:p w:rsidRPr="00550203" w:rsidR="0091228B" w:rsidP="00423FB8" w:rsidRDefault="0091228B" w14:paraId="53F4896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79</w:t>
            </w:r>
          </w:p>
        </w:tc>
        <w:tc>
          <w:tcPr>
            <w:tcW w:w="2080" w:type="dxa"/>
            <w:noWrap/>
            <w:hideMark/>
          </w:tcPr>
          <w:p w:rsidRPr="00550203" w:rsidR="0091228B" w:rsidP="00423FB8" w:rsidRDefault="0091228B" w14:paraId="6748EBAB"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68</w:t>
            </w:r>
          </w:p>
        </w:tc>
        <w:tc>
          <w:tcPr>
            <w:tcW w:w="1233" w:type="dxa"/>
            <w:noWrap/>
            <w:hideMark/>
          </w:tcPr>
          <w:p w:rsidRPr="00550203" w:rsidR="0091228B" w:rsidP="00423FB8" w:rsidRDefault="0091228B" w14:paraId="7385ED7D"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55</w:t>
            </w:r>
          </w:p>
        </w:tc>
        <w:tc>
          <w:tcPr>
            <w:tcW w:w="1233" w:type="dxa"/>
            <w:noWrap/>
            <w:hideMark/>
          </w:tcPr>
          <w:p w:rsidRPr="00550203" w:rsidR="0091228B" w:rsidP="00423FB8" w:rsidRDefault="0091228B" w14:paraId="73F4C39A" w14:textId="77777777">
            <w:pPr>
              <w:jc w:val="right"/>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nl-NL"/>
              </w:rPr>
            </w:pPr>
            <w:r w:rsidRPr="00550203">
              <w:rPr>
                <w:rFonts w:ascii="Calibri" w:hAnsi="Calibri" w:eastAsia="Times New Roman" w:cs="Calibri"/>
                <w:b/>
                <w:bCs/>
                <w:color w:val="000000"/>
                <w:lang w:eastAsia="nl-NL"/>
              </w:rPr>
              <w:t>42</w:t>
            </w:r>
          </w:p>
        </w:tc>
      </w:tr>
    </w:tbl>
    <w:p w:rsidRPr="00550203" w:rsidR="0091228B" w:rsidP="0091228B" w:rsidRDefault="0091228B" w14:paraId="38E46FE6" w14:textId="77777777"/>
    <w:p w:rsidRPr="00550203" w:rsidR="000637ED" w:rsidP="00C34CC9" w:rsidRDefault="000637ED" w14:paraId="3B092DEF" w14:textId="73FBD192">
      <w:pPr>
        <w:spacing w:after="0" w:line="360" w:lineRule="auto"/>
        <w:ind w:left="708" w:firstLine="708"/>
        <w:rPr>
          <w:rFonts w:ascii="Verdana" w:hAnsi="Verdana"/>
          <w:sz w:val="18"/>
          <w:szCs w:val="18"/>
          <w:u w:val="single"/>
        </w:rPr>
      </w:pPr>
      <w:r w:rsidRPr="00550203">
        <w:rPr>
          <w:rFonts w:ascii="Verdana" w:hAnsi="Verdana"/>
          <w:sz w:val="18"/>
          <w:szCs w:val="18"/>
          <w:u w:val="single"/>
        </w:rPr>
        <w:t>Uitvoeringsgevolgen</w:t>
      </w:r>
    </w:p>
    <w:p w:rsidRPr="00550203" w:rsidR="000637ED" w:rsidP="00325774" w:rsidRDefault="00550203" w14:paraId="6929DAAB" w14:textId="0819C295">
      <w:pPr>
        <w:spacing w:after="0" w:line="360" w:lineRule="auto"/>
        <w:ind w:left="708" w:firstLine="708"/>
        <w:rPr>
          <w:rFonts w:ascii="Verdana" w:hAnsi="Verdana"/>
          <w:sz w:val="18"/>
          <w:szCs w:val="18"/>
        </w:rPr>
      </w:pPr>
      <w:r>
        <w:rPr>
          <w:rFonts w:ascii="Verdana" w:hAnsi="Verdana"/>
          <w:sz w:val="18"/>
          <w:szCs w:val="18"/>
        </w:rPr>
        <w:lastRenderedPageBreak/>
        <w:t>Op deze nota van wijziging is een uitvoeringstoets uitgevoerd.</w:t>
      </w:r>
      <w:r w:rsidRPr="0050617C" w:rsidR="0050617C">
        <w:rPr>
          <w:rFonts w:ascii="Verdana" w:hAnsi="Verdana"/>
          <w:sz w:val="16"/>
          <w:szCs w:val="16"/>
        </w:rPr>
        <w:t xml:space="preserve"> </w:t>
      </w:r>
      <w:r w:rsidRPr="0050617C" w:rsidR="0050617C">
        <w:rPr>
          <w:rFonts w:ascii="Verdana" w:hAnsi="Verdana"/>
          <w:sz w:val="18"/>
          <w:szCs w:val="18"/>
        </w:rPr>
        <w:t>Het is onduidelijk of het aantal belastingplichtigen zal toenemen. Aangezien ook een beperkte toename grote impact heeft op de uitvoerbaarheid door de Belastingdienst, zal monitoring plaatsvinden op de toename van het aantal belastingplichtigen als gevolg van dit voorstel. Op basis van deze monitoring zal worden beoordeeld of aanpassing in de uitvoering of in beleid noodzakelijk is.</w:t>
      </w:r>
    </w:p>
    <w:p w:rsidRPr="00550203" w:rsidR="00325774" w:rsidP="00C34CC9" w:rsidRDefault="00325774" w14:paraId="5C7D9708" w14:textId="77777777">
      <w:pPr>
        <w:spacing w:after="0" w:line="360" w:lineRule="auto"/>
        <w:ind w:left="708"/>
        <w:rPr>
          <w:rFonts w:ascii="Verdana" w:hAnsi="Verdana"/>
          <w:sz w:val="18"/>
          <w:szCs w:val="18"/>
        </w:rPr>
      </w:pPr>
    </w:p>
    <w:p w:rsidRPr="00550203" w:rsidR="000637ED" w:rsidP="00C34CC9" w:rsidRDefault="000637ED" w14:paraId="05B6C0CB" w14:textId="09309ED1">
      <w:pPr>
        <w:spacing w:after="0" w:line="360" w:lineRule="auto"/>
        <w:ind w:left="708" w:firstLine="708"/>
        <w:rPr>
          <w:rFonts w:ascii="Verdana" w:hAnsi="Verdana"/>
          <w:b/>
          <w:bCs/>
          <w:sz w:val="18"/>
          <w:szCs w:val="18"/>
        </w:rPr>
      </w:pPr>
      <w:r w:rsidRPr="00550203">
        <w:rPr>
          <w:rFonts w:ascii="Verdana" w:hAnsi="Verdana"/>
          <w:b/>
          <w:bCs/>
          <w:sz w:val="18"/>
          <w:szCs w:val="18"/>
        </w:rPr>
        <w:t xml:space="preserve">II. </w:t>
      </w:r>
      <w:proofErr w:type="spellStart"/>
      <w:r w:rsidRPr="00550203">
        <w:rPr>
          <w:rFonts w:ascii="Verdana" w:hAnsi="Verdana"/>
          <w:b/>
          <w:bCs/>
          <w:sz w:val="18"/>
          <w:szCs w:val="18"/>
        </w:rPr>
        <w:t>Onderdeelsgewijze</w:t>
      </w:r>
      <w:proofErr w:type="spellEnd"/>
      <w:r w:rsidRPr="00550203">
        <w:rPr>
          <w:rFonts w:ascii="Verdana" w:hAnsi="Verdana"/>
          <w:b/>
          <w:bCs/>
          <w:sz w:val="18"/>
          <w:szCs w:val="18"/>
        </w:rPr>
        <w:t xml:space="preserve"> toelichting</w:t>
      </w:r>
    </w:p>
    <w:p w:rsidRPr="00550203" w:rsidR="00775B8E" w:rsidP="00C34CC9" w:rsidRDefault="00775B8E" w14:paraId="111FC5E1" w14:textId="77777777">
      <w:pPr>
        <w:spacing w:after="0" w:line="360" w:lineRule="auto"/>
        <w:ind w:left="708" w:firstLine="708"/>
        <w:rPr>
          <w:rFonts w:ascii="Verdana" w:hAnsi="Verdana"/>
          <w:sz w:val="18"/>
          <w:szCs w:val="18"/>
        </w:rPr>
      </w:pPr>
    </w:p>
    <w:p w:rsidRPr="00550203" w:rsidR="00E87FD0" w:rsidP="00C34CC9" w:rsidRDefault="00BE58AC" w14:paraId="27CB7E1E" w14:textId="346B3D69">
      <w:pPr>
        <w:spacing w:after="0" w:line="360" w:lineRule="auto"/>
        <w:ind w:left="708" w:firstLine="708"/>
        <w:rPr>
          <w:rFonts w:ascii="Verdana" w:hAnsi="Verdana"/>
          <w:i/>
          <w:iCs/>
          <w:sz w:val="18"/>
          <w:szCs w:val="18"/>
        </w:rPr>
      </w:pPr>
      <w:r w:rsidRPr="00550203">
        <w:rPr>
          <w:rFonts w:ascii="Verdana" w:hAnsi="Verdana"/>
          <w:i/>
          <w:iCs/>
          <w:sz w:val="18"/>
          <w:szCs w:val="18"/>
        </w:rPr>
        <w:t>Onderdeel 1</w:t>
      </w:r>
    </w:p>
    <w:p w:rsidRPr="00550203" w:rsidR="00083017" w:rsidP="00083017" w:rsidRDefault="00903AD5" w14:paraId="481B63B7" w14:textId="7B35A5E7">
      <w:pPr>
        <w:spacing w:after="0" w:line="360" w:lineRule="auto"/>
        <w:ind w:left="708" w:firstLine="708"/>
        <w:rPr>
          <w:rFonts w:ascii="Verdana" w:hAnsi="Verdana" w:eastAsia="Calibri" w:cs="Times New Roman"/>
          <w:sz w:val="18"/>
          <w:szCs w:val="18"/>
        </w:rPr>
      </w:pPr>
      <w:r w:rsidRPr="00550203">
        <w:rPr>
          <w:rFonts w:ascii="Verdana" w:hAnsi="Verdana" w:eastAsia="Calibri" w:cs="Times New Roman"/>
          <w:sz w:val="18"/>
          <w:szCs w:val="18"/>
        </w:rPr>
        <w:t xml:space="preserve">In het wetsvoorstel wordt </w:t>
      </w:r>
      <w:r w:rsidRPr="00550203" w:rsidR="00BE58AC">
        <w:rPr>
          <w:rFonts w:ascii="Verdana" w:hAnsi="Verdana" w:eastAsia="Calibri" w:cs="Times New Roman"/>
          <w:sz w:val="18"/>
          <w:szCs w:val="18"/>
        </w:rPr>
        <w:t xml:space="preserve">artikel 64, </w:t>
      </w:r>
      <w:r w:rsidRPr="00550203" w:rsidR="00BF4D67">
        <w:rPr>
          <w:rFonts w:ascii="Verdana" w:hAnsi="Verdana" w:eastAsia="Calibri" w:cs="Times New Roman"/>
          <w:sz w:val="18"/>
          <w:szCs w:val="18"/>
        </w:rPr>
        <w:t xml:space="preserve">tweede </w:t>
      </w:r>
      <w:r w:rsidRPr="00550203" w:rsidR="00BE58AC">
        <w:rPr>
          <w:rFonts w:ascii="Verdana" w:hAnsi="Verdana" w:eastAsia="Calibri" w:cs="Times New Roman"/>
          <w:sz w:val="18"/>
          <w:szCs w:val="18"/>
        </w:rPr>
        <w:t>lid, van de Wet belasting</w:t>
      </w:r>
      <w:r w:rsidRPr="00550203" w:rsidR="008A0221">
        <w:rPr>
          <w:rFonts w:ascii="Verdana" w:hAnsi="Verdana" w:eastAsia="Calibri" w:cs="Times New Roman"/>
          <w:sz w:val="18"/>
          <w:szCs w:val="18"/>
        </w:rPr>
        <w:t>en</w:t>
      </w:r>
      <w:r w:rsidRPr="00550203" w:rsidR="00BE58AC">
        <w:rPr>
          <w:rFonts w:ascii="Verdana" w:hAnsi="Verdana" w:eastAsia="Calibri" w:cs="Times New Roman"/>
          <w:sz w:val="18"/>
          <w:szCs w:val="18"/>
        </w:rPr>
        <w:t xml:space="preserve"> op milieugrondslag</w:t>
      </w:r>
      <w:r w:rsidRPr="00550203" w:rsidR="00083017">
        <w:rPr>
          <w:rFonts w:ascii="Verdana" w:hAnsi="Verdana" w:eastAsia="Calibri" w:cs="Times New Roman"/>
          <w:sz w:val="18"/>
          <w:szCs w:val="18"/>
        </w:rPr>
        <w:t xml:space="preserve"> (</w:t>
      </w:r>
      <w:proofErr w:type="spellStart"/>
      <w:r w:rsidRPr="00550203" w:rsidR="00083017">
        <w:rPr>
          <w:rFonts w:ascii="Verdana" w:hAnsi="Verdana" w:eastAsia="Calibri" w:cs="Times New Roman"/>
          <w:sz w:val="18"/>
          <w:szCs w:val="18"/>
        </w:rPr>
        <w:t>Wbm</w:t>
      </w:r>
      <w:proofErr w:type="spellEnd"/>
      <w:r w:rsidRPr="00550203" w:rsidR="00083017">
        <w:rPr>
          <w:rFonts w:ascii="Verdana" w:hAnsi="Verdana" w:eastAsia="Calibri" w:cs="Times New Roman"/>
          <w:sz w:val="18"/>
          <w:szCs w:val="18"/>
        </w:rPr>
        <w:t>)</w:t>
      </w:r>
      <w:r w:rsidRPr="00550203" w:rsidR="00BE58AC">
        <w:rPr>
          <w:rFonts w:ascii="Verdana" w:hAnsi="Verdana" w:eastAsia="Calibri" w:cs="Times New Roman"/>
          <w:sz w:val="18"/>
          <w:szCs w:val="18"/>
        </w:rPr>
        <w:t xml:space="preserve"> </w:t>
      </w:r>
      <w:r w:rsidRPr="00550203">
        <w:rPr>
          <w:rFonts w:ascii="Verdana" w:hAnsi="Verdana" w:eastAsia="Calibri" w:cs="Times New Roman"/>
          <w:sz w:val="18"/>
          <w:szCs w:val="18"/>
        </w:rPr>
        <w:t xml:space="preserve">aangepast </w:t>
      </w:r>
      <w:proofErr w:type="gramStart"/>
      <w:r w:rsidRPr="00550203">
        <w:rPr>
          <w:rFonts w:ascii="Verdana" w:hAnsi="Verdana" w:eastAsia="Calibri" w:cs="Times New Roman"/>
          <w:sz w:val="18"/>
          <w:szCs w:val="18"/>
        </w:rPr>
        <w:t>teneinde</w:t>
      </w:r>
      <w:proofErr w:type="gramEnd"/>
      <w:r w:rsidRPr="00550203">
        <w:rPr>
          <w:rFonts w:ascii="Verdana" w:hAnsi="Verdana" w:eastAsia="Calibri" w:cs="Times New Roman"/>
          <w:sz w:val="18"/>
          <w:szCs w:val="18"/>
        </w:rPr>
        <w:t xml:space="preserve"> te </w:t>
      </w:r>
      <w:r w:rsidRPr="00550203" w:rsidR="00BE58AC">
        <w:rPr>
          <w:rFonts w:ascii="Verdana" w:hAnsi="Verdana" w:eastAsia="Calibri" w:cs="Times New Roman"/>
          <w:sz w:val="18"/>
          <w:szCs w:val="18"/>
        </w:rPr>
        <w:t>regel</w:t>
      </w:r>
      <w:r w:rsidRPr="00550203">
        <w:rPr>
          <w:rFonts w:ascii="Verdana" w:hAnsi="Verdana" w:eastAsia="Calibri" w:cs="Times New Roman"/>
          <w:sz w:val="18"/>
          <w:szCs w:val="18"/>
        </w:rPr>
        <w:t>en</w:t>
      </w:r>
      <w:r w:rsidRPr="00550203" w:rsidR="00BE58AC">
        <w:rPr>
          <w:rFonts w:ascii="Verdana" w:hAnsi="Verdana" w:eastAsia="Calibri" w:cs="Times New Roman"/>
          <w:sz w:val="18"/>
          <w:szCs w:val="18"/>
        </w:rPr>
        <w:t xml:space="preserve"> dat de inputvrijstelling</w:t>
      </w:r>
      <w:r w:rsidRPr="00550203" w:rsidR="00083017">
        <w:rPr>
          <w:rFonts w:ascii="Verdana" w:hAnsi="Verdana" w:eastAsia="Calibri" w:cs="Times New Roman"/>
          <w:sz w:val="18"/>
          <w:szCs w:val="18"/>
        </w:rPr>
        <w:t xml:space="preserve"> voor aardgas</w:t>
      </w:r>
      <w:r w:rsidRPr="00550203" w:rsidR="00BE58AC">
        <w:rPr>
          <w:rFonts w:ascii="Verdana" w:hAnsi="Verdana" w:eastAsia="Calibri" w:cs="Times New Roman"/>
          <w:sz w:val="18"/>
          <w:szCs w:val="18"/>
        </w:rPr>
        <w:t xml:space="preserve"> voor installaties met een totaal opgesteld thermisch vermogen van niet meer dan 20 </w:t>
      </w:r>
      <w:r w:rsidRPr="00550203" w:rsidR="008A0221">
        <w:rPr>
          <w:rFonts w:ascii="Verdana" w:hAnsi="Verdana" w:eastAsia="Calibri" w:cs="Times New Roman"/>
          <w:sz w:val="18"/>
          <w:szCs w:val="18"/>
        </w:rPr>
        <w:t xml:space="preserve">MW </w:t>
      </w:r>
      <w:r w:rsidRPr="00550203" w:rsidR="00BE58AC">
        <w:rPr>
          <w:rFonts w:ascii="Verdana" w:hAnsi="Verdana" w:eastAsia="Calibri" w:cs="Times New Roman"/>
          <w:sz w:val="18"/>
          <w:szCs w:val="18"/>
        </w:rPr>
        <w:t xml:space="preserve">beperkt wordt. </w:t>
      </w:r>
      <w:r w:rsidRPr="00550203" w:rsidR="008A0221">
        <w:rPr>
          <w:rFonts w:ascii="Verdana" w:hAnsi="Verdana" w:eastAsia="Calibri" w:cs="Times New Roman"/>
          <w:sz w:val="18"/>
          <w:szCs w:val="18"/>
        </w:rPr>
        <w:t xml:space="preserve">De </w:t>
      </w:r>
      <w:r w:rsidRPr="00550203" w:rsidR="009E14A3">
        <w:rPr>
          <w:rFonts w:ascii="Verdana" w:hAnsi="Verdana" w:eastAsia="Calibri" w:cs="Times New Roman"/>
          <w:sz w:val="18"/>
          <w:szCs w:val="18"/>
        </w:rPr>
        <w:t xml:space="preserve">in deze nota van wijziging </w:t>
      </w:r>
      <w:r w:rsidRPr="00550203" w:rsidR="00173AB9">
        <w:rPr>
          <w:rFonts w:ascii="Verdana" w:hAnsi="Verdana" w:eastAsia="Calibri" w:cs="Times New Roman"/>
          <w:sz w:val="18"/>
          <w:szCs w:val="18"/>
        </w:rPr>
        <w:t>opgenomen</w:t>
      </w:r>
      <w:r w:rsidRPr="00550203" w:rsidR="00BE58AC">
        <w:rPr>
          <w:rFonts w:ascii="Verdana" w:hAnsi="Verdana" w:eastAsia="Calibri" w:cs="Times New Roman"/>
          <w:sz w:val="18"/>
          <w:szCs w:val="18"/>
        </w:rPr>
        <w:t xml:space="preserve"> </w:t>
      </w:r>
      <w:r w:rsidRPr="00550203" w:rsidR="009E14A3">
        <w:rPr>
          <w:rFonts w:ascii="Verdana" w:hAnsi="Verdana" w:eastAsia="Calibri" w:cs="Times New Roman"/>
          <w:sz w:val="18"/>
          <w:szCs w:val="18"/>
        </w:rPr>
        <w:t>aanpassing</w:t>
      </w:r>
      <w:r w:rsidRPr="00550203" w:rsidR="00BE58AC">
        <w:rPr>
          <w:rFonts w:ascii="Verdana" w:hAnsi="Verdana" w:eastAsia="Calibri" w:cs="Times New Roman"/>
          <w:sz w:val="18"/>
          <w:szCs w:val="18"/>
        </w:rPr>
        <w:t xml:space="preserve"> </w:t>
      </w:r>
      <w:r w:rsidRPr="00550203" w:rsidR="00083017">
        <w:rPr>
          <w:rFonts w:ascii="Verdana" w:hAnsi="Verdana" w:eastAsia="Calibri" w:cs="Times New Roman"/>
          <w:sz w:val="18"/>
          <w:szCs w:val="18"/>
        </w:rPr>
        <w:t>van artikel I</w:t>
      </w:r>
      <w:r w:rsidRPr="00550203" w:rsidR="002E7163">
        <w:rPr>
          <w:rFonts w:ascii="Verdana" w:hAnsi="Verdana" w:eastAsia="Calibri" w:cs="Times New Roman"/>
          <w:sz w:val="18"/>
          <w:szCs w:val="18"/>
        </w:rPr>
        <w:t>, onderdeel E, onder 1,</w:t>
      </w:r>
      <w:r w:rsidRPr="00550203" w:rsidR="00083017">
        <w:rPr>
          <w:rFonts w:ascii="Verdana" w:hAnsi="Verdana" w:eastAsia="Calibri" w:cs="Times New Roman"/>
          <w:sz w:val="18"/>
          <w:szCs w:val="18"/>
        </w:rPr>
        <w:t xml:space="preserve"> regelt dat de inputvrijstelling wordt uitgebreid voor deze installaties met </w:t>
      </w:r>
      <w:r w:rsidRPr="00550203" w:rsidR="00AE06E2">
        <w:rPr>
          <w:rFonts w:ascii="Verdana" w:hAnsi="Verdana" w:eastAsia="Calibri" w:cs="Times New Roman"/>
          <w:sz w:val="18"/>
          <w:szCs w:val="18"/>
        </w:rPr>
        <w:t>0,162</w:t>
      </w:r>
      <w:r w:rsidRPr="00550203" w:rsidR="00083017">
        <w:rPr>
          <w:rFonts w:ascii="Verdana" w:hAnsi="Verdana" w:eastAsia="Calibri" w:cs="Times New Roman"/>
          <w:sz w:val="18"/>
          <w:szCs w:val="18"/>
        </w:rPr>
        <w:t xml:space="preserve"> Nm</w:t>
      </w:r>
      <w:r w:rsidRPr="00550203" w:rsidR="00083017">
        <w:rPr>
          <w:rFonts w:ascii="Verdana" w:hAnsi="Verdana" w:eastAsia="Calibri" w:cs="Times New Roman"/>
          <w:sz w:val="18"/>
          <w:szCs w:val="18"/>
          <w:vertAlign w:val="superscript"/>
        </w:rPr>
        <w:t>3</w:t>
      </w:r>
      <w:r w:rsidRPr="00550203" w:rsidR="00083017">
        <w:rPr>
          <w:rFonts w:ascii="Verdana" w:hAnsi="Verdana" w:eastAsia="Calibri" w:cs="Times New Roman"/>
          <w:sz w:val="18"/>
          <w:szCs w:val="18"/>
        </w:rPr>
        <w:t xml:space="preserve"> per opwekte kWh die niet aan een distributienet geleverd wordt. Daartoe wordt een zins</w:t>
      </w:r>
      <w:r w:rsidRPr="00550203" w:rsidR="00332861">
        <w:rPr>
          <w:rFonts w:ascii="Verdana" w:hAnsi="Verdana" w:eastAsia="Calibri" w:cs="Times New Roman"/>
          <w:sz w:val="18"/>
          <w:szCs w:val="18"/>
        </w:rPr>
        <w:t>ne</w:t>
      </w:r>
      <w:r w:rsidRPr="00550203" w:rsidR="00083017">
        <w:rPr>
          <w:rFonts w:ascii="Verdana" w:hAnsi="Verdana" w:eastAsia="Calibri" w:cs="Times New Roman"/>
          <w:sz w:val="18"/>
          <w:szCs w:val="18"/>
        </w:rPr>
        <w:t>de</w:t>
      </w:r>
      <w:r w:rsidRPr="00550203" w:rsidR="009E14A3">
        <w:rPr>
          <w:rFonts w:ascii="Verdana" w:hAnsi="Verdana" w:eastAsia="Calibri" w:cs="Times New Roman"/>
          <w:sz w:val="18"/>
          <w:szCs w:val="18"/>
        </w:rPr>
        <w:t xml:space="preserve"> toegevoegd</w:t>
      </w:r>
      <w:r w:rsidRPr="00550203" w:rsidR="00083017">
        <w:rPr>
          <w:rFonts w:ascii="Verdana" w:hAnsi="Verdana" w:eastAsia="Calibri" w:cs="Times New Roman"/>
          <w:sz w:val="18"/>
          <w:szCs w:val="18"/>
        </w:rPr>
        <w:t xml:space="preserve"> aan </w:t>
      </w:r>
      <w:r w:rsidRPr="00550203" w:rsidR="002E7163">
        <w:rPr>
          <w:rFonts w:ascii="Verdana" w:hAnsi="Verdana" w:eastAsia="Calibri" w:cs="Times New Roman"/>
          <w:sz w:val="18"/>
          <w:szCs w:val="18"/>
        </w:rPr>
        <w:t>de eerste zin van</w:t>
      </w:r>
      <w:r w:rsidRPr="00550203" w:rsidR="00083017">
        <w:rPr>
          <w:rFonts w:ascii="Verdana" w:hAnsi="Verdana" w:eastAsia="Calibri" w:cs="Times New Roman"/>
          <w:sz w:val="18"/>
          <w:szCs w:val="18"/>
        </w:rPr>
        <w:t xml:space="preserve"> </w:t>
      </w:r>
      <w:r w:rsidRPr="00550203" w:rsidR="009E14A3">
        <w:rPr>
          <w:rFonts w:ascii="Verdana" w:hAnsi="Verdana" w:eastAsia="Calibri" w:cs="Times New Roman"/>
          <w:sz w:val="18"/>
          <w:szCs w:val="18"/>
        </w:rPr>
        <w:t>artikel 64, tweede</w:t>
      </w:r>
      <w:r w:rsidRPr="00550203" w:rsidR="002E7163">
        <w:rPr>
          <w:rFonts w:ascii="Verdana" w:hAnsi="Verdana" w:eastAsia="Calibri" w:cs="Times New Roman"/>
          <w:sz w:val="18"/>
          <w:szCs w:val="18"/>
        </w:rPr>
        <w:t xml:space="preserve"> </w:t>
      </w:r>
      <w:r w:rsidRPr="00550203" w:rsidR="00083017">
        <w:rPr>
          <w:rFonts w:ascii="Verdana" w:hAnsi="Verdana" w:eastAsia="Calibri" w:cs="Times New Roman"/>
          <w:sz w:val="18"/>
          <w:szCs w:val="18"/>
        </w:rPr>
        <w:t>lid</w:t>
      </w:r>
      <w:r w:rsidRPr="00550203" w:rsidR="009E14A3">
        <w:rPr>
          <w:rFonts w:ascii="Verdana" w:hAnsi="Verdana" w:eastAsia="Calibri" w:cs="Times New Roman"/>
          <w:sz w:val="18"/>
          <w:szCs w:val="18"/>
        </w:rPr>
        <w:t xml:space="preserve">, </w:t>
      </w:r>
      <w:proofErr w:type="spellStart"/>
      <w:r w:rsidRPr="00550203" w:rsidR="009E14A3">
        <w:rPr>
          <w:rFonts w:ascii="Verdana" w:hAnsi="Verdana" w:eastAsia="Calibri" w:cs="Times New Roman"/>
          <w:sz w:val="18"/>
          <w:szCs w:val="18"/>
        </w:rPr>
        <w:t>Wbm</w:t>
      </w:r>
      <w:proofErr w:type="spellEnd"/>
      <w:r w:rsidRPr="00550203" w:rsidR="00083017">
        <w:rPr>
          <w:rFonts w:ascii="Verdana" w:hAnsi="Verdana" w:eastAsia="Calibri" w:cs="Times New Roman"/>
          <w:sz w:val="18"/>
          <w:szCs w:val="18"/>
        </w:rPr>
        <w:t>.</w:t>
      </w:r>
    </w:p>
    <w:p w:rsidRPr="00550203" w:rsidR="00083017" w:rsidP="00083017" w:rsidRDefault="00083017" w14:paraId="2B1BF334" w14:textId="5B82C58D">
      <w:pPr>
        <w:spacing w:after="0" w:line="360" w:lineRule="auto"/>
        <w:ind w:left="708" w:firstLine="708"/>
        <w:rPr>
          <w:rFonts w:ascii="Verdana" w:hAnsi="Verdana" w:eastAsia="Calibri" w:cs="Times New Roman"/>
          <w:sz w:val="18"/>
          <w:szCs w:val="18"/>
        </w:rPr>
      </w:pPr>
      <w:r w:rsidRPr="00550203">
        <w:rPr>
          <w:rFonts w:ascii="Verdana" w:hAnsi="Verdana" w:eastAsia="Calibri" w:cs="Times New Roman"/>
          <w:sz w:val="18"/>
          <w:szCs w:val="18"/>
        </w:rPr>
        <w:t xml:space="preserve">De dekking voor bovengenoemde maatregel wordt gevonden in een aanpassing van het </w:t>
      </w:r>
      <w:proofErr w:type="spellStart"/>
      <w:r w:rsidRPr="00550203">
        <w:rPr>
          <w:rFonts w:ascii="Verdana" w:hAnsi="Verdana" w:eastAsia="Calibri" w:cs="Times New Roman"/>
          <w:sz w:val="18"/>
          <w:szCs w:val="18"/>
        </w:rPr>
        <w:t>ingroeipad</w:t>
      </w:r>
      <w:proofErr w:type="spellEnd"/>
      <w:r w:rsidRPr="00550203">
        <w:rPr>
          <w:rFonts w:ascii="Verdana" w:hAnsi="Verdana" w:eastAsia="Calibri" w:cs="Times New Roman"/>
          <w:sz w:val="18"/>
          <w:szCs w:val="18"/>
        </w:rPr>
        <w:t xml:space="preserve"> van de inputvrijstelling voor grote installaties en elektriciteit die aan het net geleverd wordt. Daartoe worden de vrijgestelde Nm</w:t>
      </w:r>
      <w:r w:rsidRPr="00550203">
        <w:rPr>
          <w:rFonts w:ascii="Verdana" w:hAnsi="Verdana" w:eastAsia="Calibri" w:cs="Times New Roman"/>
          <w:sz w:val="18"/>
          <w:szCs w:val="18"/>
          <w:vertAlign w:val="superscript"/>
        </w:rPr>
        <w:t>3</w:t>
      </w:r>
      <w:r w:rsidRPr="00550203">
        <w:rPr>
          <w:rFonts w:ascii="Verdana" w:hAnsi="Verdana" w:eastAsia="Calibri" w:cs="Times New Roman"/>
          <w:sz w:val="18"/>
          <w:szCs w:val="18"/>
        </w:rPr>
        <w:t xml:space="preserve"> aardgas per opgewerkte kWh elektriciteit in 2025 aangepast.</w:t>
      </w:r>
    </w:p>
    <w:p w:rsidRPr="00550203" w:rsidR="008A0221" w:rsidP="00083017" w:rsidRDefault="00083017" w14:paraId="0C93A676" w14:textId="5D9C3234">
      <w:pPr>
        <w:spacing w:after="0" w:line="360" w:lineRule="auto"/>
        <w:ind w:left="708" w:firstLine="708"/>
        <w:rPr>
          <w:rFonts w:ascii="Verdana" w:hAnsi="Verdana" w:eastAsia="Calibri" w:cs="Times New Roman"/>
          <w:sz w:val="18"/>
          <w:szCs w:val="18"/>
        </w:rPr>
      </w:pPr>
      <w:r w:rsidRPr="00550203">
        <w:rPr>
          <w:rFonts w:ascii="Verdana" w:hAnsi="Verdana" w:eastAsia="Calibri" w:cs="Times New Roman"/>
          <w:sz w:val="18"/>
          <w:szCs w:val="18"/>
        </w:rPr>
        <w:t xml:space="preserve">Naast de aanpassing </w:t>
      </w:r>
      <w:r w:rsidRPr="00550203" w:rsidR="008A0221">
        <w:rPr>
          <w:rFonts w:ascii="Verdana" w:hAnsi="Verdana" w:eastAsia="Calibri" w:cs="Times New Roman"/>
          <w:sz w:val="18"/>
          <w:szCs w:val="18"/>
        </w:rPr>
        <w:t xml:space="preserve">van </w:t>
      </w:r>
      <w:r w:rsidRPr="00550203">
        <w:rPr>
          <w:rFonts w:ascii="Verdana" w:hAnsi="Verdana" w:eastAsia="Calibri" w:cs="Times New Roman"/>
          <w:sz w:val="18"/>
          <w:szCs w:val="18"/>
        </w:rPr>
        <w:t xml:space="preserve">de ingroeipaden wordt ook het </w:t>
      </w:r>
      <w:proofErr w:type="spellStart"/>
      <w:r w:rsidRPr="00550203">
        <w:rPr>
          <w:rFonts w:ascii="Verdana" w:hAnsi="Verdana" w:eastAsia="Calibri" w:cs="Times New Roman"/>
          <w:sz w:val="18"/>
          <w:szCs w:val="18"/>
        </w:rPr>
        <w:t>tariefpad</w:t>
      </w:r>
      <w:proofErr w:type="spellEnd"/>
      <w:r w:rsidRPr="00550203">
        <w:rPr>
          <w:rFonts w:ascii="Verdana" w:hAnsi="Verdana" w:eastAsia="Calibri" w:cs="Times New Roman"/>
          <w:sz w:val="18"/>
          <w:szCs w:val="18"/>
        </w:rPr>
        <w:t xml:space="preserve"> voor de CO</w:t>
      </w:r>
      <w:r w:rsidRPr="00550203">
        <w:rPr>
          <w:rFonts w:ascii="Verdana" w:hAnsi="Verdana" w:eastAsia="Calibri" w:cs="Times New Roman"/>
          <w:sz w:val="18"/>
          <w:szCs w:val="18"/>
          <w:vertAlign w:val="subscript"/>
        </w:rPr>
        <w:t>2</w:t>
      </w:r>
      <w:r w:rsidRPr="00550203" w:rsidR="0045665B">
        <w:rPr>
          <w:rFonts w:ascii="Verdana" w:hAnsi="Verdana" w:eastAsia="Calibri" w:cs="Times New Roman"/>
          <w:sz w:val="18"/>
          <w:szCs w:val="18"/>
          <w:vertAlign w:val="subscript"/>
        </w:rPr>
        <w:t>-</w:t>
      </w:r>
      <w:r w:rsidRPr="00550203">
        <w:rPr>
          <w:rFonts w:ascii="Verdana" w:hAnsi="Verdana" w:eastAsia="Calibri" w:cs="Times New Roman"/>
          <w:sz w:val="18"/>
          <w:szCs w:val="18"/>
        </w:rPr>
        <w:t xml:space="preserve">heffing glastuinbouw aangepast. Daartoe wordt een </w:t>
      </w:r>
      <w:proofErr w:type="spellStart"/>
      <w:r w:rsidRPr="00550203">
        <w:rPr>
          <w:rFonts w:ascii="Verdana" w:hAnsi="Verdana" w:eastAsia="Calibri" w:cs="Times New Roman"/>
          <w:sz w:val="18"/>
          <w:szCs w:val="18"/>
        </w:rPr>
        <w:t>tariefpad</w:t>
      </w:r>
      <w:proofErr w:type="spellEnd"/>
      <w:r w:rsidRPr="00550203">
        <w:rPr>
          <w:rFonts w:ascii="Verdana" w:hAnsi="Verdana" w:eastAsia="Calibri" w:cs="Times New Roman"/>
          <w:sz w:val="18"/>
          <w:szCs w:val="18"/>
        </w:rPr>
        <w:t xml:space="preserve"> opgenomen in </w:t>
      </w:r>
      <w:r w:rsidRPr="00550203" w:rsidR="00173AB9">
        <w:rPr>
          <w:rFonts w:ascii="Verdana" w:hAnsi="Verdana" w:eastAsia="Calibri" w:cs="Times New Roman"/>
          <w:sz w:val="18"/>
          <w:szCs w:val="18"/>
        </w:rPr>
        <w:t xml:space="preserve">het voorgestelde </w:t>
      </w:r>
      <w:r w:rsidRPr="00550203">
        <w:rPr>
          <w:rFonts w:ascii="Verdana" w:hAnsi="Verdana" w:eastAsia="Calibri" w:cs="Times New Roman"/>
          <w:sz w:val="18"/>
          <w:szCs w:val="18"/>
        </w:rPr>
        <w:t>artikel 71</w:t>
      </w:r>
      <w:r w:rsidRPr="00550203" w:rsidR="008A0221">
        <w:rPr>
          <w:rFonts w:ascii="Verdana" w:hAnsi="Verdana" w:eastAsia="Calibri" w:cs="Times New Roman"/>
          <w:sz w:val="18"/>
          <w:szCs w:val="18"/>
        </w:rPr>
        <w:t>y</w:t>
      </w:r>
      <w:r w:rsidRPr="00550203">
        <w:rPr>
          <w:rFonts w:ascii="Verdana" w:hAnsi="Verdana" w:eastAsia="Calibri" w:cs="Times New Roman"/>
          <w:sz w:val="18"/>
          <w:szCs w:val="18"/>
        </w:rPr>
        <w:t xml:space="preserve">, </w:t>
      </w:r>
      <w:r w:rsidRPr="00550203" w:rsidR="009E14A3">
        <w:rPr>
          <w:rFonts w:ascii="Verdana" w:hAnsi="Verdana" w:eastAsia="Calibri" w:cs="Times New Roman"/>
          <w:sz w:val="18"/>
          <w:szCs w:val="18"/>
        </w:rPr>
        <w:t xml:space="preserve">eerste </w:t>
      </w:r>
      <w:r w:rsidRPr="00550203">
        <w:rPr>
          <w:rFonts w:ascii="Verdana" w:hAnsi="Verdana" w:eastAsia="Calibri" w:cs="Times New Roman"/>
          <w:sz w:val="18"/>
          <w:szCs w:val="18"/>
        </w:rPr>
        <w:t>lid</w:t>
      </w:r>
      <w:r w:rsidRPr="00550203" w:rsidR="008A0221">
        <w:rPr>
          <w:rFonts w:ascii="Verdana" w:hAnsi="Verdana" w:eastAsia="Calibri" w:cs="Times New Roman"/>
          <w:sz w:val="18"/>
          <w:szCs w:val="18"/>
        </w:rPr>
        <w:t>,</w:t>
      </w:r>
      <w:r w:rsidRPr="00550203">
        <w:rPr>
          <w:rFonts w:ascii="Verdana" w:hAnsi="Verdana" w:eastAsia="Calibri" w:cs="Times New Roman"/>
          <w:sz w:val="18"/>
          <w:szCs w:val="18"/>
        </w:rPr>
        <w:t xml:space="preserve"> </w:t>
      </w:r>
      <w:proofErr w:type="spellStart"/>
      <w:r w:rsidRPr="00550203">
        <w:rPr>
          <w:rFonts w:ascii="Verdana" w:hAnsi="Verdana" w:eastAsia="Calibri" w:cs="Times New Roman"/>
          <w:sz w:val="18"/>
          <w:szCs w:val="18"/>
        </w:rPr>
        <w:t>Wbm</w:t>
      </w:r>
      <w:proofErr w:type="spellEnd"/>
      <w:r w:rsidRPr="00550203">
        <w:rPr>
          <w:rFonts w:ascii="Verdana" w:hAnsi="Verdana" w:eastAsia="Calibri" w:cs="Times New Roman"/>
          <w:sz w:val="18"/>
          <w:szCs w:val="18"/>
        </w:rPr>
        <w:t>.</w:t>
      </w:r>
      <w:r w:rsidRPr="00550203" w:rsidR="0045665B">
        <w:rPr>
          <w:rFonts w:ascii="Verdana" w:hAnsi="Verdana" w:eastAsia="Calibri" w:cs="Times New Roman"/>
          <w:sz w:val="18"/>
          <w:szCs w:val="18"/>
        </w:rPr>
        <w:t xml:space="preserve"> </w:t>
      </w:r>
      <w:r w:rsidRPr="00550203" w:rsidR="009E14A3">
        <w:rPr>
          <w:rFonts w:ascii="Verdana" w:hAnsi="Verdana" w:eastAsia="Calibri" w:cs="Times New Roman"/>
          <w:sz w:val="18"/>
          <w:szCs w:val="18"/>
        </w:rPr>
        <w:t>Dit vervangt het tarief in het eerste lid en de verhogingen in het tweede lid</w:t>
      </w:r>
      <w:r w:rsidRPr="00550203" w:rsidR="00173AB9">
        <w:rPr>
          <w:rFonts w:ascii="Verdana" w:hAnsi="Verdana" w:eastAsia="Calibri" w:cs="Times New Roman"/>
          <w:sz w:val="18"/>
          <w:szCs w:val="18"/>
        </w:rPr>
        <w:t xml:space="preserve"> van het voorgestelde artikel 71y</w:t>
      </w:r>
      <w:r w:rsidRPr="00550203" w:rsidR="009E14A3">
        <w:rPr>
          <w:rFonts w:ascii="Verdana" w:hAnsi="Verdana" w:eastAsia="Calibri" w:cs="Times New Roman"/>
          <w:sz w:val="18"/>
          <w:szCs w:val="18"/>
        </w:rPr>
        <w:t xml:space="preserve">. Daardoor kan </w:t>
      </w:r>
      <w:r w:rsidRPr="00550203" w:rsidR="00173AB9">
        <w:rPr>
          <w:rFonts w:ascii="Verdana" w:hAnsi="Verdana" w:eastAsia="Calibri" w:cs="Times New Roman"/>
          <w:sz w:val="18"/>
          <w:szCs w:val="18"/>
        </w:rPr>
        <w:t>genoemd tweede</w:t>
      </w:r>
      <w:r w:rsidRPr="00550203" w:rsidR="009E14A3">
        <w:rPr>
          <w:rFonts w:ascii="Verdana" w:hAnsi="Verdana" w:eastAsia="Calibri" w:cs="Times New Roman"/>
          <w:sz w:val="18"/>
          <w:szCs w:val="18"/>
        </w:rPr>
        <w:t xml:space="preserve"> lid komen te vervallen en wordt het derde lid </w:t>
      </w:r>
      <w:r w:rsidRPr="00550203" w:rsidR="00173AB9">
        <w:rPr>
          <w:rFonts w:ascii="Verdana" w:hAnsi="Verdana" w:eastAsia="Calibri" w:cs="Times New Roman"/>
          <w:sz w:val="18"/>
          <w:szCs w:val="18"/>
        </w:rPr>
        <w:t xml:space="preserve">van artikel 71y </w:t>
      </w:r>
      <w:r w:rsidRPr="00550203" w:rsidR="009E14A3">
        <w:rPr>
          <w:rFonts w:ascii="Verdana" w:hAnsi="Verdana" w:eastAsia="Calibri" w:cs="Times New Roman"/>
          <w:sz w:val="18"/>
          <w:szCs w:val="18"/>
        </w:rPr>
        <w:t xml:space="preserve">vernummerd tot </w:t>
      </w:r>
      <w:r w:rsidRPr="00550203" w:rsidR="00173AB9">
        <w:rPr>
          <w:rFonts w:ascii="Verdana" w:hAnsi="Verdana" w:eastAsia="Calibri" w:cs="Times New Roman"/>
          <w:sz w:val="18"/>
          <w:szCs w:val="18"/>
        </w:rPr>
        <w:t xml:space="preserve">het </w:t>
      </w:r>
      <w:r w:rsidRPr="00550203" w:rsidR="009E14A3">
        <w:rPr>
          <w:rFonts w:ascii="Verdana" w:hAnsi="Verdana" w:eastAsia="Calibri" w:cs="Times New Roman"/>
          <w:sz w:val="18"/>
          <w:szCs w:val="18"/>
        </w:rPr>
        <w:t>tweede lid</w:t>
      </w:r>
      <w:r w:rsidRPr="00550203" w:rsidR="00173AB9">
        <w:rPr>
          <w:rFonts w:ascii="Verdana" w:hAnsi="Verdana" w:eastAsia="Calibri" w:cs="Times New Roman"/>
          <w:sz w:val="18"/>
          <w:szCs w:val="18"/>
        </w:rPr>
        <w:t xml:space="preserve"> van dat artikel</w:t>
      </w:r>
      <w:r w:rsidRPr="00550203" w:rsidR="009E14A3">
        <w:rPr>
          <w:rFonts w:ascii="Verdana" w:hAnsi="Verdana" w:eastAsia="Calibri" w:cs="Times New Roman"/>
          <w:sz w:val="18"/>
          <w:szCs w:val="18"/>
        </w:rPr>
        <w:t>.</w:t>
      </w:r>
    </w:p>
    <w:p w:rsidRPr="00550203" w:rsidR="00083017" w:rsidP="00083017" w:rsidRDefault="00083017" w14:paraId="7C9C4D9F" w14:textId="0F3F3D8D">
      <w:pPr>
        <w:spacing w:after="0" w:line="360" w:lineRule="auto"/>
        <w:ind w:left="708" w:firstLine="708"/>
        <w:rPr>
          <w:rFonts w:ascii="Verdana" w:hAnsi="Verdana" w:eastAsia="Calibri" w:cs="Times New Roman"/>
          <w:sz w:val="18"/>
          <w:szCs w:val="18"/>
        </w:rPr>
      </w:pPr>
      <w:r w:rsidRPr="00550203">
        <w:rPr>
          <w:rFonts w:ascii="Verdana" w:hAnsi="Verdana" w:eastAsia="Calibri" w:cs="Times New Roman"/>
          <w:sz w:val="18"/>
          <w:szCs w:val="18"/>
        </w:rPr>
        <w:t xml:space="preserve">Artikel 90 </w:t>
      </w:r>
      <w:proofErr w:type="spellStart"/>
      <w:r w:rsidRPr="00550203">
        <w:rPr>
          <w:rFonts w:ascii="Verdana" w:hAnsi="Verdana" w:eastAsia="Calibri" w:cs="Times New Roman"/>
          <w:sz w:val="18"/>
          <w:szCs w:val="18"/>
        </w:rPr>
        <w:t>Wbm</w:t>
      </w:r>
      <w:proofErr w:type="spellEnd"/>
      <w:r w:rsidRPr="00550203">
        <w:rPr>
          <w:rFonts w:ascii="Verdana" w:hAnsi="Verdana" w:eastAsia="Calibri" w:cs="Times New Roman"/>
          <w:sz w:val="18"/>
          <w:szCs w:val="18"/>
        </w:rPr>
        <w:t xml:space="preserve"> regelt de inflatiecorrectie voor verschillende </w:t>
      </w:r>
      <w:r w:rsidRPr="00550203" w:rsidR="00903AD5">
        <w:rPr>
          <w:rFonts w:ascii="Verdana" w:hAnsi="Verdana" w:eastAsia="Calibri" w:cs="Times New Roman"/>
          <w:sz w:val="18"/>
          <w:szCs w:val="18"/>
        </w:rPr>
        <w:t>belasting</w:t>
      </w:r>
      <w:r w:rsidRPr="00550203">
        <w:rPr>
          <w:rFonts w:ascii="Verdana" w:hAnsi="Verdana" w:eastAsia="Calibri" w:cs="Times New Roman"/>
          <w:sz w:val="18"/>
          <w:szCs w:val="18"/>
        </w:rPr>
        <w:t xml:space="preserve">tarieven in de </w:t>
      </w:r>
      <w:proofErr w:type="spellStart"/>
      <w:r w:rsidRPr="00550203">
        <w:rPr>
          <w:rFonts w:ascii="Verdana" w:hAnsi="Verdana" w:eastAsia="Calibri" w:cs="Times New Roman"/>
          <w:sz w:val="18"/>
          <w:szCs w:val="18"/>
        </w:rPr>
        <w:t>Wbm</w:t>
      </w:r>
      <w:proofErr w:type="spellEnd"/>
      <w:r w:rsidRPr="00550203">
        <w:rPr>
          <w:rFonts w:ascii="Verdana" w:hAnsi="Verdana" w:eastAsia="Calibri" w:cs="Times New Roman"/>
          <w:sz w:val="18"/>
          <w:szCs w:val="18"/>
        </w:rPr>
        <w:t xml:space="preserve">. Voorgesteld wordt </w:t>
      </w:r>
      <w:r w:rsidRPr="00550203" w:rsidR="0045665B">
        <w:rPr>
          <w:rFonts w:ascii="Verdana" w:hAnsi="Verdana" w:eastAsia="Calibri" w:cs="Times New Roman"/>
          <w:sz w:val="18"/>
          <w:szCs w:val="18"/>
        </w:rPr>
        <w:t xml:space="preserve">om het </w:t>
      </w:r>
      <w:proofErr w:type="spellStart"/>
      <w:r w:rsidRPr="00550203" w:rsidR="0045665B">
        <w:rPr>
          <w:rFonts w:ascii="Verdana" w:hAnsi="Verdana" w:eastAsia="Calibri" w:cs="Times New Roman"/>
          <w:sz w:val="18"/>
          <w:szCs w:val="18"/>
        </w:rPr>
        <w:t>tariefpad</w:t>
      </w:r>
      <w:proofErr w:type="spellEnd"/>
      <w:r w:rsidRPr="00550203" w:rsidR="0045665B">
        <w:rPr>
          <w:rFonts w:ascii="Verdana" w:hAnsi="Verdana" w:eastAsia="Calibri" w:cs="Times New Roman"/>
          <w:sz w:val="18"/>
          <w:szCs w:val="18"/>
        </w:rPr>
        <w:t xml:space="preserve"> van de CO</w:t>
      </w:r>
      <w:r w:rsidRPr="00550203" w:rsidR="0045665B">
        <w:rPr>
          <w:rFonts w:ascii="Verdana" w:hAnsi="Verdana" w:eastAsia="Calibri" w:cs="Times New Roman"/>
          <w:sz w:val="18"/>
          <w:szCs w:val="18"/>
          <w:vertAlign w:val="subscript"/>
        </w:rPr>
        <w:t>2-</w:t>
      </w:r>
      <w:r w:rsidRPr="00550203" w:rsidR="0045665B">
        <w:rPr>
          <w:rFonts w:ascii="Verdana" w:hAnsi="Verdana" w:eastAsia="Calibri" w:cs="Times New Roman"/>
          <w:sz w:val="18"/>
          <w:szCs w:val="18"/>
        </w:rPr>
        <w:t xml:space="preserve">heffing glastuinbouw </w:t>
      </w:r>
      <w:r w:rsidRPr="00550203">
        <w:rPr>
          <w:rFonts w:ascii="Verdana" w:hAnsi="Verdana" w:eastAsia="Calibri" w:cs="Times New Roman"/>
          <w:sz w:val="18"/>
          <w:szCs w:val="18"/>
        </w:rPr>
        <w:t xml:space="preserve">toe te voegen aan </w:t>
      </w:r>
      <w:r w:rsidRPr="00550203" w:rsidR="00173AB9">
        <w:rPr>
          <w:rFonts w:ascii="Verdana" w:hAnsi="Verdana" w:eastAsia="Calibri" w:cs="Times New Roman"/>
          <w:sz w:val="18"/>
          <w:szCs w:val="18"/>
        </w:rPr>
        <w:t xml:space="preserve">de </w:t>
      </w:r>
      <w:proofErr w:type="gramStart"/>
      <w:r w:rsidRPr="00550203" w:rsidR="00173AB9">
        <w:rPr>
          <w:rFonts w:ascii="Verdana" w:hAnsi="Verdana" w:eastAsia="Calibri" w:cs="Times New Roman"/>
          <w:sz w:val="18"/>
          <w:szCs w:val="18"/>
        </w:rPr>
        <w:t>ingevolge</w:t>
      </w:r>
      <w:proofErr w:type="gramEnd"/>
      <w:r w:rsidRPr="00550203" w:rsidR="00173AB9">
        <w:rPr>
          <w:rFonts w:ascii="Verdana" w:hAnsi="Verdana" w:eastAsia="Calibri" w:cs="Times New Roman"/>
          <w:sz w:val="18"/>
          <w:szCs w:val="18"/>
        </w:rPr>
        <w:t xml:space="preserve"> het wetsvoorstel Wet fiscale klimaatmaatregelen industrie en elektriciteit op te nemen tweede zin van </w:t>
      </w:r>
      <w:r w:rsidRPr="00550203">
        <w:rPr>
          <w:rFonts w:ascii="Verdana" w:hAnsi="Verdana" w:eastAsia="Calibri" w:cs="Times New Roman"/>
          <w:sz w:val="18"/>
          <w:szCs w:val="18"/>
        </w:rPr>
        <w:t xml:space="preserve">artikel 90 </w:t>
      </w:r>
      <w:proofErr w:type="spellStart"/>
      <w:r w:rsidRPr="00550203">
        <w:rPr>
          <w:rFonts w:ascii="Verdana" w:hAnsi="Verdana" w:eastAsia="Calibri" w:cs="Times New Roman"/>
          <w:sz w:val="18"/>
          <w:szCs w:val="18"/>
        </w:rPr>
        <w:t>Wbm</w:t>
      </w:r>
      <w:proofErr w:type="spellEnd"/>
      <w:r w:rsidRPr="00550203" w:rsidR="00903AD5">
        <w:rPr>
          <w:rFonts w:ascii="Verdana" w:hAnsi="Verdana" w:eastAsia="Calibri" w:cs="Times New Roman"/>
          <w:sz w:val="18"/>
          <w:szCs w:val="18"/>
        </w:rPr>
        <w:t>.</w:t>
      </w:r>
      <w:r w:rsidRPr="00550203">
        <w:rPr>
          <w:rFonts w:ascii="Verdana" w:hAnsi="Verdana" w:eastAsia="Calibri" w:cs="Times New Roman"/>
          <w:sz w:val="18"/>
          <w:szCs w:val="18"/>
        </w:rPr>
        <w:t xml:space="preserve"> </w:t>
      </w:r>
      <w:r w:rsidRPr="00550203" w:rsidR="00903AD5">
        <w:rPr>
          <w:rFonts w:ascii="Verdana" w:hAnsi="Verdana" w:eastAsia="Calibri" w:cs="Times New Roman"/>
          <w:sz w:val="18"/>
          <w:szCs w:val="18"/>
        </w:rPr>
        <w:t>Op die manier wordt geregeld</w:t>
      </w:r>
      <w:r w:rsidRPr="00550203">
        <w:rPr>
          <w:rFonts w:ascii="Verdana" w:hAnsi="Verdana" w:eastAsia="Calibri" w:cs="Times New Roman"/>
          <w:sz w:val="18"/>
          <w:szCs w:val="18"/>
        </w:rPr>
        <w:t xml:space="preserve"> dat de inflatiecorrectie wordt toegepast op het </w:t>
      </w:r>
      <w:proofErr w:type="spellStart"/>
      <w:r w:rsidRPr="00550203">
        <w:rPr>
          <w:rFonts w:ascii="Verdana" w:hAnsi="Verdana" w:eastAsia="Calibri" w:cs="Times New Roman"/>
          <w:sz w:val="18"/>
          <w:szCs w:val="18"/>
        </w:rPr>
        <w:t>prijspad</w:t>
      </w:r>
      <w:proofErr w:type="spellEnd"/>
      <w:r w:rsidRPr="00550203">
        <w:rPr>
          <w:rFonts w:ascii="Verdana" w:hAnsi="Verdana" w:eastAsia="Calibri" w:cs="Times New Roman"/>
          <w:sz w:val="18"/>
          <w:szCs w:val="18"/>
        </w:rPr>
        <w:t xml:space="preserve"> van de </w:t>
      </w:r>
      <w:r w:rsidRPr="00550203" w:rsidR="0045665B">
        <w:rPr>
          <w:rFonts w:ascii="Verdana" w:hAnsi="Verdana" w:eastAsia="Calibri" w:cs="Times New Roman"/>
          <w:sz w:val="18"/>
          <w:szCs w:val="18"/>
        </w:rPr>
        <w:t>CO</w:t>
      </w:r>
      <w:r w:rsidRPr="00550203" w:rsidR="0045665B">
        <w:rPr>
          <w:rFonts w:ascii="Verdana" w:hAnsi="Verdana" w:eastAsia="Calibri" w:cs="Times New Roman"/>
          <w:sz w:val="18"/>
          <w:szCs w:val="18"/>
          <w:vertAlign w:val="subscript"/>
        </w:rPr>
        <w:t>2-</w:t>
      </w:r>
      <w:r w:rsidRPr="00550203" w:rsidR="0045665B">
        <w:rPr>
          <w:rFonts w:ascii="Verdana" w:hAnsi="Verdana" w:eastAsia="Calibri" w:cs="Times New Roman"/>
          <w:sz w:val="18"/>
          <w:szCs w:val="18"/>
        </w:rPr>
        <w:t>heffing glastuinbouw</w:t>
      </w:r>
      <w:r w:rsidRPr="00550203" w:rsidR="009E14A3">
        <w:rPr>
          <w:rFonts w:ascii="Verdana" w:hAnsi="Verdana" w:eastAsia="Calibri" w:cs="Times New Roman"/>
          <w:sz w:val="18"/>
          <w:szCs w:val="18"/>
        </w:rPr>
        <w:t xml:space="preserve"> in artikel 71y, eerste lid, </w:t>
      </w:r>
      <w:proofErr w:type="spellStart"/>
      <w:r w:rsidRPr="00550203" w:rsidR="009E14A3">
        <w:rPr>
          <w:rFonts w:ascii="Verdana" w:hAnsi="Verdana" w:eastAsia="Calibri" w:cs="Times New Roman"/>
          <w:sz w:val="18"/>
          <w:szCs w:val="18"/>
        </w:rPr>
        <w:t>Wbm</w:t>
      </w:r>
      <w:proofErr w:type="spellEnd"/>
      <w:r w:rsidRPr="00550203">
        <w:rPr>
          <w:rFonts w:ascii="Verdana" w:hAnsi="Verdana" w:eastAsia="Calibri" w:cs="Times New Roman"/>
          <w:sz w:val="18"/>
          <w:szCs w:val="18"/>
        </w:rPr>
        <w:t>. Door</w:t>
      </w:r>
      <w:r w:rsidRPr="00550203" w:rsidR="00173AB9">
        <w:rPr>
          <w:rFonts w:ascii="Verdana" w:hAnsi="Verdana" w:eastAsia="Calibri" w:cs="Times New Roman"/>
          <w:sz w:val="18"/>
          <w:szCs w:val="18"/>
        </w:rPr>
        <w:t>dat in genoemde tweede zin is bepaald</w:t>
      </w:r>
      <w:r w:rsidRPr="00550203">
        <w:rPr>
          <w:rFonts w:ascii="Verdana" w:hAnsi="Verdana" w:eastAsia="Calibri" w:cs="Times New Roman"/>
          <w:sz w:val="18"/>
          <w:szCs w:val="18"/>
        </w:rPr>
        <w:t xml:space="preserve"> dat de indexatie uitsluitend wordt toegepast op de bedragen voor het aankomende kalenderjaar en op de bedragen voor de kalenderjaren die op dat kalenderjaar volgen, wordt geborgd dat het </w:t>
      </w:r>
      <w:proofErr w:type="spellStart"/>
      <w:r w:rsidRPr="00550203">
        <w:rPr>
          <w:rFonts w:ascii="Verdana" w:hAnsi="Verdana" w:eastAsia="Calibri" w:cs="Times New Roman"/>
          <w:sz w:val="18"/>
          <w:szCs w:val="18"/>
        </w:rPr>
        <w:t>prijspad</w:t>
      </w:r>
      <w:proofErr w:type="spellEnd"/>
      <w:r w:rsidRPr="00550203">
        <w:rPr>
          <w:rFonts w:ascii="Verdana" w:hAnsi="Verdana" w:eastAsia="Calibri" w:cs="Times New Roman"/>
          <w:sz w:val="18"/>
          <w:szCs w:val="18"/>
        </w:rPr>
        <w:t xml:space="preserve"> voor de volgende jaren wordt gecorrigeerd voor inflatie en bedragen van eerdere jaren niet achteraf nog zouden worden geïndexeerd.</w:t>
      </w:r>
      <w:r w:rsidRPr="00550203" w:rsidR="0045665B">
        <w:rPr>
          <w:rFonts w:ascii="Verdana" w:hAnsi="Verdana" w:eastAsia="Calibri" w:cs="Times New Roman"/>
          <w:sz w:val="18"/>
          <w:szCs w:val="18"/>
        </w:rPr>
        <w:t xml:space="preserve"> </w:t>
      </w:r>
      <w:r w:rsidRPr="00550203" w:rsidR="00173AB9">
        <w:rPr>
          <w:rFonts w:ascii="Verdana" w:hAnsi="Verdana" w:eastAsia="Calibri" w:cs="Times New Roman"/>
          <w:sz w:val="18"/>
          <w:szCs w:val="18"/>
        </w:rPr>
        <w:t xml:space="preserve">Bij deze voorgestelde wijziging van artikel 90 </w:t>
      </w:r>
      <w:proofErr w:type="spellStart"/>
      <w:r w:rsidRPr="00550203" w:rsidR="00173AB9">
        <w:rPr>
          <w:rFonts w:ascii="Verdana" w:hAnsi="Verdana" w:eastAsia="Calibri" w:cs="Times New Roman"/>
          <w:sz w:val="18"/>
          <w:szCs w:val="18"/>
        </w:rPr>
        <w:t>Wbm</w:t>
      </w:r>
      <w:proofErr w:type="spellEnd"/>
      <w:r w:rsidRPr="00550203" w:rsidR="0045665B">
        <w:rPr>
          <w:rFonts w:ascii="Verdana" w:hAnsi="Verdana" w:eastAsia="Calibri" w:cs="Times New Roman"/>
          <w:sz w:val="18"/>
          <w:szCs w:val="18"/>
        </w:rPr>
        <w:t xml:space="preserve"> wordt </w:t>
      </w:r>
      <w:r w:rsidRPr="00550203" w:rsidR="000C1979">
        <w:rPr>
          <w:rFonts w:ascii="Verdana" w:hAnsi="Verdana" w:eastAsia="Calibri" w:cs="Times New Roman"/>
          <w:sz w:val="18"/>
          <w:szCs w:val="18"/>
        </w:rPr>
        <w:t xml:space="preserve">ervan </w:t>
      </w:r>
      <w:r w:rsidRPr="00550203" w:rsidR="0045665B">
        <w:rPr>
          <w:rFonts w:ascii="Verdana" w:hAnsi="Verdana" w:eastAsia="Calibri" w:cs="Times New Roman"/>
          <w:sz w:val="18"/>
          <w:szCs w:val="18"/>
        </w:rPr>
        <w:t xml:space="preserve">uitgegaan </w:t>
      </w:r>
      <w:r w:rsidRPr="00550203" w:rsidR="000C1979">
        <w:rPr>
          <w:rFonts w:ascii="Verdana" w:hAnsi="Verdana" w:eastAsia="Calibri" w:cs="Times New Roman"/>
          <w:sz w:val="18"/>
          <w:szCs w:val="18"/>
        </w:rPr>
        <w:t>dat</w:t>
      </w:r>
      <w:r w:rsidRPr="00550203" w:rsidR="0045665B">
        <w:rPr>
          <w:rFonts w:ascii="Verdana" w:hAnsi="Verdana" w:eastAsia="Calibri" w:cs="Times New Roman"/>
          <w:sz w:val="18"/>
          <w:szCs w:val="18"/>
        </w:rPr>
        <w:t xml:space="preserve"> het wetsvoorstel </w:t>
      </w:r>
      <w:r w:rsidRPr="00550203" w:rsidR="008A0221">
        <w:rPr>
          <w:rFonts w:ascii="Verdana" w:hAnsi="Verdana" w:eastAsia="Calibri" w:cs="Times New Roman"/>
          <w:sz w:val="18"/>
          <w:szCs w:val="18"/>
        </w:rPr>
        <w:t xml:space="preserve">Wet </w:t>
      </w:r>
      <w:r w:rsidRPr="00550203" w:rsidR="0045665B">
        <w:rPr>
          <w:rFonts w:ascii="Verdana" w:hAnsi="Verdana" w:eastAsia="Calibri" w:cs="Times New Roman"/>
          <w:sz w:val="18"/>
          <w:szCs w:val="18"/>
        </w:rPr>
        <w:t>fiscale klimaatmaatregelen industrie en elektriciteit tot wet</w:t>
      </w:r>
      <w:r w:rsidRPr="00550203" w:rsidR="008A0221">
        <w:rPr>
          <w:rFonts w:ascii="Verdana" w:hAnsi="Verdana" w:eastAsia="Calibri" w:cs="Times New Roman"/>
          <w:sz w:val="18"/>
          <w:szCs w:val="18"/>
        </w:rPr>
        <w:t xml:space="preserve"> </w:t>
      </w:r>
      <w:r w:rsidRPr="00550203" w:rsidR="000C1979">
        <w:rPr>
          <w:rFonts w:ascii="Verdana" w:hAnsi="Verdana" w:eastAsia="Calibri" w:cs="Times New Roman"/>
          <w:sz w:val="18"/>
          <w:szCs w:val="18"/>
        </w:rPr>
        <w:t>wordt verheven</w:t>
      </w:r>
      <w:r w:rsidRPr="00550203" w:rsidR="0045665B">
        <w:rPr>
          <w:rFonts w:ascii="Verdana" w:hAnsi="Verdana" w:eastAsia="Calibri" w:cs="Times New Roman"/>
          <w:sz w:val="18"/>
          <w:szCs w:val="18"/>
        </w:rPr>
        <w:t>.</w:t>
      </w:r>
      <w:r w:rsidRPr="00550203" w:rsidR="0045665B">
        <w:rPr>
          <w:rFonts w:ascii="Verdana" w:hAnsi="Verdana" w:eastAsia="Times New Roman" w:cs="Verdana"/>
          <w:sz w:val="18"/>
          <w:szCs w:val="18"/>
          <w:lang w:eastAsia="nl-NL"/>
        </w:rPr>
        <w:t xml:space="preserve"> </w:t>
      </w:r>
      <w:r w:rsidRPr="00550203" w:rsidR="00903AD5">
        <w:rPr>
          <w:rFonts w:ascii="Verdana" w:hAnsi="Verdana" w:eastAsia="Times New Roman" w:cs="Verdana"/>
          <w:sz w:val="18"/>
          <w:szCs w:val="18"/>
          <w:lang w:eastAsia="nl-NL"/>
        </w:rPr>
        <w:t xml:space="preserve">Als dat wetsvoorstel tot wet wordt verheven, wordt </w:t>
      </w:r>
      <w:r w:rsidRPr="00550203" w:rsidR="00173AB9">
        <w:rPr>
          <w:rFonts w:ascii="Verdana" w:hAnsi="Verdana" w:eastAsia="Times New Roman" w:cs="Verdana"/>
          <w:sz w:val="18"/>
          <w:szCs w:val="18"/>
          <w:lang w:eastAsia="nl-NL"/>
        </w:rPr>
        <w:t xml:space="preserve">namelijk </w:t>
      </w:r>
      <w:r w:rsidRPr="00550203" w:rsidR="00903AD5">
        <w:rPr>
          <w:rFonts w:ascii="Verdana" w:hAnsi="Verdana" w:eastAsia="Times New Roman" w:cs="Verdana"/>
          <w:sz w:val="18"/>
          <w:szCs w:val="18"/>
          <w:lang w:eastAsia="nl-NL"/>
        </w:rPr>
        <w:t xml:space="preserve">door de wijziging </w:t>
      </w:r>
      <w:proofErr w:type="gramStart"/>
      <w:r w:rsidRPr="00550203" w:rsidR="00903AD5">
        <w:rPr>
          <w:rFonts w:ascii="Verdana" w:hAnsi="Verdana" w:eastAsia="Times New Roman" w:cs="Verdana"/>
          <w:sz w:val="18"/>
          <w:szCs w:val="18"/>
          <w:lang w:eastAsia="nl-NL"/>
        </w:rPr>
        <w:t>in</w:t>
      </w:r>
      <w:r w:rsidRPr="00550203" w:rsidR="00173AB9">
        <w:rPr>
          <w:rFonts w:ascii="Verdana" w:hAnsi="Verdana" w:eastAsia="Times New Roman" w:cs="Verdana"/>
          <w:sz w:val="18"/>
          <w:szCs w:val="18"/>
          <w:lang w:eastAsia="nl-NL"/>
        </w:rPr>
        <w:t>gevolge</w:t>
      </w:r>
      <w:proofErr w:type="gramEnd"/>
      <w:r w:rsidRPr="00550203" w:rsidR="00903AD5">
        <w:rPr>
          <w:rFonts w:ascii="Verdana" w:hAnsi="Verdana" w:eastAsia="Times New Roman" w:cs="Verdana"/>
          <w:sz w:val="18"/>
          <w:szCs w:val="18"/>
          <w:lang w:eastAsia="nl-NL"/>
        </w:rPr>
        <w:t xml:space="preserve"> a</w:t>
      </w:r>
      <w:r w:rsidRPr="00550203" w:rsidR="0045665B">
        <w:rPr>
          <w:rFonts w:ascii="Verdana" w:hAnsi="Verdana" w:eastAsia="Times New Roman" w:cs="Verdana"/>
          <w:sz w:val="18"/>
          <w:szCs w:val="18"/>
          <w:lang w:eastAsia="nl-NL"/>
        </w:rPr>
        <w:t>rtikel I</w:t>
      </w:r>
      <w:r w:rsidRPr="00550203" w:rsidR="008A0221">
        <w:rPr>
          <w:rFonts w:ascii="Verdana" w:hAnsi="Verdana" w:eastAsia="Times New Roman" w:cs="Verdana"/>
          <w:sz w:val="18"/>
          <w:szCs w:val="18"/>
          <w:lang w:eastAsia="nl-NL"/>
        </w:rPr>
        <w:t>,</w:t>
      </w:r>
      <w:r w:rsidRPr="00550203" w:rsidR="0045665B">
        <w:rPr>
          <w:rFonts w:ascii="Verdana" w:hAnsi="Verdana" w:eastAsia="Times New Roman" w:cs="Verdana"/>
          <w:sz w:val="18"/>
          <w:szCs w:val="18"/>
          <w:lang w:eastAsia="nl-NL"/>
        </w:rPr>
        <w:t xml:space="preserve"> onderdeel B</w:t>
      </w:r>
      <w:r w:rsidRPr="00550203" w:rsidR="008A0221">
        <w:rPr>
          <w:rFonts w:ascii="Verdana" w:hAnsi="Verdana" w:eastAsia="Times New Roman" w:cs="Verdana"/>
          <w:sz w:val="18"/>
          <w:szCs w:val="18"/>
          <w:lang w:eastAsia="nl-NL"/>
        </w:rPr>
        <w:t>,</w:t>
      </w:r>
      <w:r w:rsidRPr="00550203" w:rsidR="0045665B">
        <w:rPr>
          <w:rFonts w:ascii="Verdana" w:hAnsi="Verdana" w:eastAsia="Times New Roman" w:cs="Verdana"/>
          <w:sz w:val="18"/>
          <w:szCs w:val="18"/>
          <w:lang w:eastAsia="nl-NL"/>
        </w:rPr>
        <w:t xml:space="preserve"> van </w:t>
      </w:r>
      <w:r w:rsidRPr="00550203" w:rsidR="008A0221">
        <w:rPr>
          <w:rFonts w:ascii="Verdana" w:hAnsi="Verdana" w:eastAsia="Times New Roman" w:cs="Verdana"/>
          <w:sz w:val="18"/>
          <w:szCs w:val="18"/>
          <w:lang w:eastAsia="nl-NL"/>
        </w:rPr>
        <w:t>dat wetsvoorstel</w:t>
      </w:r>
      <w:r w:rsidRPr="00550203" w:rsidR="00903AD5">
        <w:rPr>
          <w:rFonts w:ascii="Verdana" w:hAnsi="Verdana" w:eastAsia="Times New Roman" w:cs="Verdana"/>
          <w:sz w:val="18"/>
          <w:szCs w:val="18"/>
          <w:lang w:eastAsia="nl-NL"/>
        </w:rPr>
        <w:t xml:space="preserve"> met ingang van 1 januari 2024 </w:t>
      </w:r>
      <w:r w:rsidRPr="00550203" w:rsidR="00173AB9">
        <w:rPr>
          <w:rFonts w:ascii="Verdana" w:hAnsi="Verdana" w:eastAsia="Times New Roman" w:cs="Verdana"/>
          <w:sz w:val="18"/>
          <w:szCs w:val="18"/>
          <w:lang w:eastAsia="nl-NL"/>
        </w:rPr>
        <w:t>voornoemde</w:t>
      </w:r>
      <w:r w:rsidRPr="00550203" w:rsidR="00903AD5">
        <w:rPr>
          <w:rFonts w:ascii="Verdana" w:hAnsi="Verdana" w:eastAsia="Times New Roman" w:cs="Verdana"/>
          <w:sz w:val="18"/>
          <w:szCs w:val="18"/>
          <w:lang w:eastAsia="nl-NL"/>
        </w:rPr>
        <w:t xml:space="preserve"> tweede zin toegevoegd</w:t>
      </w:r>
      <w:r w:rsidRPr="00550203" w:rsidR="0045665B">
        <w:rPr>
          <w:rFonts w:ascii="Verdana" w:hAnsi="Verdana" w:eastAsia="Times New Roman" w:cs="Verdana"/>
          <w:sz w:val="18"/>
          <w:szCs w:val="18"/>
          <w:lang w:eastAsia="nl-NL"/>
        </w:rPr>
        <w:t xml:space="preserve"> </w:t>
      </w:r>
      <w:r w:rsidRPr="00550203" w:rsidR="00903AD5">
        <w:rPr>
          <w:rFonts w:ascii="Verdana" w:hAnsi="Verdana" w:eastAsia="Times New Roman" w:cs="Verdana"/>
          <w:sz w:val="18"/>
          <w:szCs w:val="18"/>
          <w:lang w:eastAsia="nl-NL"/>
        </w:rPr>
        <w:t xml:space="preserve">aan artikel 90 </w:t>
      </w:r>
      <w:proofErr w:type="spellStart"/>
      <w:r w:rsidRPr="00550203" w:rsidR="00903AD5">
        <w:rPr>
          <w:rFonts w:ascii="Verdana" w:hAnsi="Verdana" w:eastAsia="Times New Roman" w:cs="Verdana"/>
          <w:sz w:val="18"/>
          <w:szCs w:val="18"/>
          <w:lang w:eastAsia="nl-NL"/>
        </w:rPr>
        <w:t>Wbm</w:t>
      </w:r>
      <w:proofErr w:type="spellEnd"/>
      <w:r w:rsidRPr="00550203" w:rsidR="00903AD5">
        <w:rPr>
          <w:rFonts w:ascii="Verdana" w:hAnsi="Verdana" w:eastAsia="Times New Roman" w:cs="Verdana"/>
          <w:sz w:val="18"/>
          <w:szCs w:val="18"/>
          <w:lang w:eastAsia="nl-NL"/>
        </w:rPr>
        <w:t xml:space="preserve">. </w:t>
      </w:r>
      <w:proofErr w:type="gramStart"/>
      <w:r w:rsidRPr="00550203" w:rsidR="00903AD5">
        <w:rPr>
          <w:rFonts w:ascii="Verdana" w:hAnsi="Verdana" w:eastAsia="Times New Roman" w:cs="Verdana"/>
          <w:sz w:val="18"/>
          <w:szCs w:val="18"/>
          <w:lang w:eastAsia="nl-NL"/>
        </w:rPr>
        <w:t>Teneinde</w:t>
      </w:r>
      <w:proofErr w:type="gramEnd"/>
      <w:r w:rsidRPr="00550203" w:rsidR="00903AD5">
        <w:rPr>
          <w:rFonts w:ascii="Verdana" w:hAnsi="Verdana" w:eastAsia="Times New Roman" w:cs="Verdana"/>
          <w:sz w:val="18"/>
          <w:szCs w:val="18"/>
          <w:lang w:eastAsia="nl-NL"/>
        </w:rPr>
        <w:t xml:space="preserve"> het</w:t>
      </w:r>
      <w:r w:rsidRPr="00550203" w:rsidR="001B2DB2">
        <w:rPr>
          <w:rFonts w:ascii="Verdana" w:hAnsi="Verdana" w:eastAsia="Times New Roman" w:cs="Verdana"/>
          <w:sz w:val="18"/>
          <w:szCs w:val="18"/>
          <w:lang w:eastAsia="nl-NL"/>
        </w:rPr>
        <w:t>geen</w:t>
      </w:r>
      <w:r w:rsidRPr="00550203" w:rsidR="00903AD5">
        <w:rPr>
          <w:rFonts w:ascii="Verdana" w:hAnsi="Verdana" w:eastAsia="Times New Roman" w:cs="Verdana"/>
          <w:sz w:val="18"/>
          <w:szCs w:val="18"/>
          <w:lang w:eastAsia="nl-NL"/>
        </w:rPr>
        <w:t xml:space="preserve"> hiervoor </w:t>
      </w:r>
      <w:r w:rsidRPr="00550203" w:rsidR="001B2DB2">
        <w:rPr>
          <w:rFonts w:ascii="Verdana" w:hAnsi="Verdana" w:eastAsia="Times New Roman" w:cs="Verdana"/>
          <w:sz w:val="18"/>
          <w:szCs w:val="18"/>
          <w:lang w:eastAsia="nl-NL"/>
        </w:rPr>
        <w:t xml:space="preserve">is </w:t>
      </w:r>
      <w:r w:rsidRPr="00550203" w:rsidR="00903AD5">
        <w:rPr>
          <w:rFonts w:ascii="Verdana" w:hAnsi="Verdana" w:eastAsia="Times New Roman" w:cs="Verdana"/>
          <w:sz w:val="18"/>
          <w:szCs w:val="18"/>
          <w:lang w:eastAsia="nl-NL"/>
        </w:rPr>
        <w:t>toegelicht te regelen, wordt in deze</w:t>
      </w:r>
      <w:r w:rsidRPr="00550203" w:rsidR="000C1979">
        <w:rPr>
          <w:rFonts w:ascii="Verdana" w:hAnsi="Verdana" w:eastAsia="Times New Roman" w:cs="Verdana"/>
          <w:sz w:val="18"/>
          <w:szCs w:val="18"/>
          <w:lang w:eastAsia="nl-NL"/>
        </w:rPr>
        <w:t xml:space="preserve"> nota van wijziging </w:t>
      </w:r>
      <w:r w:rsidRPr="00550203" w:rsidR="00903AD5">
        <w:rPr>
          <w:rFonts w:ascii="Verdana" w:hAnsi="Verdana" w:eastAsia="Times New Roman" w:cs="Verdana"/>
          <w:sz w:val="18"/>
          <w:szCs w:val="18"/>
          <w:lang w:eastAsia="nl-NL"/>
        </w:rPr>
        <w:t>die tweede zin gewijzigd met i</w:t>
      </w:r>
      <w:r w:rsidRPr="00550203" w:rsidR="00EC6F22">
        <w:rPr>
          <w:rFonts w:ascii="Verdana" w:hAnsi="Verdana" w:eastAsia="Times New Roman" w:cs="Verdana"/>
          <w:sz w:val="18"/>
          <w:szCs w:val="18"/>
          <w:lang w:eastAsia="nl-NL"/>
        </w:rPr>
        <w:t>ngang van 1 januari 2025</w:t>
      </w:r>
      <w:r w:rsidRPr="00550203" w:rsidR="0045665B">
        <w:rPr>
          <w:rFonts w:ascii="Verdana" w:hAnsi="Verdana" w:eastAsia="Times New Roman" w:cs="Verdana"/>
          <w:sz w:val="18"/>
          <w:szCs w:val="18"/>
          <w:lang w:eastAsia="nl-NL"/>
        </w:rPr>
        <w:t>.</w:t>
      </w:r>
    </w:p>
    <w:p w:rsidRPr="00550203" w:rsidR="00083017" w:rsidP="00083017" w:rsidRDefault="00083017" w14:paraId="6EDF5374" w14:textId="31707500">
      <w:pPr>
        <w:spacing w:after="0" w:line="360" w:lineRule="auto"/>
        <w:ind w:left="708" w:firstLine="708"/>
        <w:rPr>
          <w:rFonts w:ascii="Verdana" w:hAnsi="Verdana"/>
          <w:i/>
          <w:iCs/>
          <w:sz w:val="18"/>
          <w:szCs w:val="18"/>
        </w:rPr>
      </w:pPr>
      <w:r w:rsidRPr="00550203">
        <w:rPr>
          <w:rFonts w:ascii="Verdana" w:hAnsi="Verdana"/>
          <w:i/>
          <w:iCs/>
          <w:sz w:val="18"/>
          <w:szCs w:val="18"/>
        </w:rPr>
        <w:lastRenderedPageBreak/>
        <w:t>Onderde</w:t>
      </w:r>
      <w:r w:rsidRPr="00550203" w:rsidR="00123DC3">
        <w:rPr>
          <w:rFonts w:ascii="Verdana" w:hAnsi="Verdana"/>
          <w:i/>
          <w:iCs/>
          <w:sz w:val="18"/>
          <w:szCs w:val="18"/>
        </w:rPr>
        <w:t>len</w:t>
      </w:r>
      <w:r w:rsidRPr="00550203">
        <w:rPr>
          <w:rFonts w:ascii="Verdana" w:hAnsi="Verdana"/>
          <w:i/>
          <w:iCs/>
          <w:sz w:val="18"/>
          <w:szCs w:val="18"/>
        </w:rPr>
        <w:t xml:space="preserve"> 2 tot en met 6</w:t>
      </w:r>
    </w:p>
    <w:p w:rsidRPr="00550203" w:rsidR="00123DC3" w:rsidP="00083017" w:rsidRDefault="002B1B80" w14:paraId="47A871DC" w14:textId="50AD93C0">
      <w:pPr>
        <w:spacing w:after="0" w:line="360" w:lineRule="auto"/>
        <w:ind w:left="708" w:firstLine="708"/>
        <w:rPr>
          <w:rFonts w:ascii="Verdana" w:hAnsi="Verdana"/>
          <w:sz w:val="18"/>
          <w:szCs w:val="18"/>
        </w:rPr>
      </w:pPr>
      <w:r w:rsidRPr="00550203">
        <w:rPr>
          <w:rFonts w:ascii="Verdana" w:hAnsi="Verdana"/>
          <w:sz w:val="18"/>
          <w:szCs w:val="18"/>
        </w:rPr>
        <w:t>In de onderdelen 2 tot en met 6 worden ook d</w:t>
      </w:r>
      <w:r w:rsidRPr="00550203" w:rsidR="00083017">
        <w:rPr>
          <w:rFonts w:ascii="Verdana" w:hAnsi="Verdana"/>
          <w:sz w:val="18"/>
          <w:szCs w:val="18"/>
        </w:rPr>
        <w:t xml:space="preserve">e ingroeipaden voor </w:t>
      </w:r>
      <w:r w:rsidRPr="00550203" w:rsidR="00083017">
        <w:rPr>
          <w:rFonts w:ascii="Verdana" w:hAnsi="Verdana" w:eastAsia="Calibri" w:cs="Times New Roman"/>
          <w:sz w:val="18"/>
          <w:szCs w:val="18"/>
        </w:rPr>
        <w:t>de vrijgestelde Nm</w:t>
      </w:r>
      <w:r w:rsidRPr="00550203" w:rsidR="00083017">
        <w:rPr>
          <w:rFonts w:ascii="Verdana" w:hAnsi="Verdana" w:eastAsia="Calibri" w:cs="Times New Roman"/>
          <w:sz w:val="18"/>
          <w:szCs w:val="18"/>
          <w:vertAlign w:val="superscript"/>
        </w:rPr>
        <w:t>3</w:t>
      </w:r>
      <w:r w:rsidRPr="00550203" w:rsidR="00083017">
        <w:rPr>
          <w:rFonts w:ascii="Verdana" w:hAnsi="Verdana" w:eastAsia="Calibri" w:cs="Times New Roman"/>
          <w:sz w:val="18"/>
          <w:szCs w:val="18"/>
        </w:rPr>
        <w:t xml:space="preserve"> aardgas per opgewerkte kWh </w:t>
      </w:r>
      <w:r w:rsidRPr="00550203" w:rsidR="00083017">
        <w:rPr>
          <w:rFonts w:ascii="Verdana" w:hAnsi="Verdana"/>
          <w:sz w:val="18"/>
          <w:szCs w:val="18"/>
        </w:rPr>
        <w:t>van de verschillende inputvrijstellingen in artikel 64, eerste en derde lid</w:t>
      </w:r>
      <w:r w:rsidRPr="00550203">
        <w:rPr>
          <w:rFonts w:ascii="Verdana" w:hAnsi="Verdana"/>
          <w:sz w:val="18"/>
          <w:szCs w:val="18"/>
        </w:rPr>
        <w:t>,</w:t>
      </w:r>
      <w:r w:rsidRPr="00550203" w:rsidR="00083017">
        <w:rPr>
          <w:rFonts w:ascii="Verdana" w:hAnsi="Verdana"/>
          <w:sz w:val="18"/>
          <w:szCs w:val="18"/>
        </w:rPr>
        <w:t xml:space="preserve"> </w:t>
      </w:r>
      <w:proofErr w:type="spellStart"/>
      <w:r w:rsidRPr="00550203" w:rsidR="00083017">
        <w:rPr>
          <w:rFonts w:ascii="Verdana" w:hAnsi="Verdana"/>
          <w:sz w:val="18"/>
          <w:szCs w:val="18"/>
        </w:rPr>
        <w:t>Wbm</w:t>
      </w:r>
      <w:proofErr w:type="spellEnd"/>
      <w:r w:rsidRPr="00550203" w:rsidR="00083017">
        <w:rPr>
          <w:rFonts w:ascii="Verdana" w:hAnsi="Verdana"/>
          <w:sz w:val="18"/>
          <w:szCs w:val="18"/>
        </w:rPr>
        <w:t xml:space="preserve"> aangepast voor de </w:t>
      </w:r>
      <w:r w:rsidRPr="00550203" w:rsidR="00903AD5">
        <w:rPr>
          <w:rFonts w:ascii="Verdana" w:hAnsi="Verdana"/>
          <w:sz w:val="18"/>
          <w:szCs w:val="18"/>
        </w:rPr>
        <w:t xml:space="preserve">periode </w:t>
      </w:r>
      <w:r w:rsidRPr="00550203" w:rsidR="00083017">
        <w:rPr>
          <w:rFonts w:ascii="Verdana" w:hAnsi="Verdana"/>
          <w:sz w:val="18"/>
          <w:szCs w:val="18"/>
        </w:rPr>
        <w:t>2026</w:t>
      </w:r>
      <w:r w:rsidRPr="00550203" w:rsidR="00903AD5">
        <w:rPr>
          <w:rFonts w:ascii="Verdana" w:hAnsi="Verdana"/>
          <w:sz w:val="18"/>
          <w:szCs w:val="18"/>
        </w:rPr>
        <w:t>-</w:t>
      </w:r>
      <w:r w:rsidRPr="00550203" w:rsidR="00083017">
        <w:rPr>
          <w:rFonts w:ascii="Verdana" w:hAnsi="Verdana"/>
          <w:sz w:val="18"/>
          <w:szCs w:val="18"/>
        </w:rPr>
        <w:t>2030.</w:t>
      </w:r>
    </w:p>
    <w:p w:rsidRPr="00550203" w:rsidR="00083017" w:rsidP="00C34CC9" w:rsidRDefault="00083017" w14:paraId="51DEABAF" w14:textId="77777777">
      <w:pPr>
        <w:spacing w:after="0" w:line="360" w:lineRule="auto"/>
        <w:ind w:left="708" w:firstLine="708"/>
        <w:rPr>
          <w:rFonts w:ascii="Verdana" w:hAnsi="Verdana" w:eastAsia="Calibri" w:cs="Times New Roman"/>
          <w:sz w:val="18"/>
          <w:szCs w:val="18"/>
        </w:rPr>
      </w:pPr>
    </w:p>
    <w:p w:rsidR="00550203" w:rsidP="00550203" w:rsidRDefault="00550203" w14:paraId="482AC44A" w14:textId="77777777">
      <w:pPr>
        <w:spacing w:after="0" w:line="360" w:lineRule="auto"/>
        <w:ind w:left="708" w:firstLine="708"/>
        <w:rPr>
          <w:rFonts w:ascii="Verdana" w:hAnsi="Verdana" w:eastAsia="Calibri" w:cs="Times New Roman"/>
          <w:sz w:val="18"/>
          <w:szCs w:val="18"/>
        </w:rPr>
      </w:pPr>
    </w:p>
    <w:p w:rsidRPr="00550203" w:rsidR="00113C89" w:rsidP="00550203" w:rsidRDefault="00452B93" w14:paraId="1BF3E03B" w14:textId="619910EA">
      <w:pPr>
        <w:spacing w:after="0" w:line="360" w:lineRule="auto"/>
        <w:ind w:left="708" w:firstLine="708"/>
        <w:rPr>
          <w:rFonts w:ascii="Verdana" w:hAnsi="Verdana" w:eastAsia="Calibri" w:cs="Times New Roman"/>
          <w:sz w:val="18"/>
          <w:szCs w:val="18"/>
        </w:rPr>
      </w:pPr>
      <w:r w:rsidRPr="00550203">
        <w:rPr>
          <w:rFonts w:ascii="Verdana" w:hAnsi="Verdana" w:eastAsia="Calibri" w:cs="Times New Roman"/>
          <w:sz w:val="18"/>
          <w:szCs w:val="18"/>
        </w:rPr>
        <w:t>De Staatssecretaris van Financiën,</w:t>
      </w:r>
    </w:p>
    <w:sectPr w:rsidRPr="00550203" w:rsidR="00113C8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7F0E" w14:textId="77777777" w:rsidR="000856F8" w:rsidRDefault="000856F8" w:rsidP="00206912">
      <w:pPr>
        <w:spacing w:after="0" w:line="240" w:lineRule="auto"/>
      </w:pPr>
      <w:r>
        <w:separator/>
      </w:r>
    </w:p>
  </w:endnote>
  <w:endnote w:type="continuationSeparator" w:id="0">
    <w:p w14:paraId="696C1E15" w14:textId="77777777" w:rsidR="000856F8" w:rsidRDefault="000856F8" w:rsidP="0020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564" w14:textId="77777777" w:rsidR="000856F8" w:rsidRDefault="000856F8" w:rsidP="00374CCD">
      <w:pPr>
        <w:spacing w:after="0" w:line="240" w:lineRule="auto"/>
        <w:ind w:left="1418"/>
      </w:pPr>
      <w:r>
        <w:separator/>
      </w:r>
    </w:p>
  </w:footnote>
  <w:footnote w:type="continuationSeparator" w:id="0">
    <w:p w14:paraId="0473FC77" w14:textId="77777777" w:rsidR="000856F8" w:rsidRDefault="000856F8" w:rsidP="00206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B4F"/>
    <w:multiLevelType w:val="hybridMultilevel"/>
    <w:tmpl w:val="4B162290"/>
    <w:lvl w:ilvl="0" w:tplc="7CC2AD28">
      <w:start w:val="1"/>
      <w:numFmt w:val="lowerLetter"/>
      <w:lvlText w:val="%1."/>
      <w:lvlJc w:val="left"/>
      <w:pPr>
        <w:ind w:left="1032" w:hanging="360"/>
      </w:pPr>
      <w:rPr>
        <w:rFonts w:asciiTheme="minorHAnsi" w:hAnsiTheme="minorHAnsi" w:cstheme="minorBidi"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1" w15:restartNumberingAfterBreak="0">
    <w:nsid w:val="14B9406D"/>
    <w:multiLevelType w:val="hybridMultilevel"/>
    <w:tmpl w:val="4AC01F88"/>
    <w:lvl w:ilvl="0" w:tplc="21AA0000">
      <w:start w:val="1"/>
      <w:numFmt w:val="lowerLetter"/>
      <w:lvlText w:val="%1."/>
      <w:lvlJc w:val="left"/>
      <w:pPr>
        <w:ind w:left="360" w:hanging="360"/>
      </w:pPr>
      <w:rPr>
        <w:rFonts w:asciiTheme="minorHAnsi" w:eastAsiaTheme="minorHAnsi" w:hAnsiTheme="minorHAnsi" w:cstheme="minorBidi"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5F43AA4"/>
    <w:multiLevelType w:val="hybridMultilevel"/>
    <w:tmpl w:val="1F8A3B9A"/>
    <w:lvl w:ilvl="0" w:tplc="B442F97E">
      <w:start w:val="1"/>
      <w:numFmt w:val="lowerLetter"/>
      <w:lvlText w:val="%1."/>
      <w:lvlJc w:val="left"/>
      <w:pPr>
        <w:ind w:left="711" w:hanging="360"/>
      </w:pPr>
      <w:rPr>
        <w:rFonts w:asciiTheme="minorHAnsi" w:hAnsiTheme="minorHAnsi" w:cstheme="minorBidi" w:hint="default"/>
      </w:rPr>
    </w:lvl>
    <w:lvl w:ilvl="1" w:tplc="04130019" w:tentative="1">
      <w:start w:val="1"/>
      <w:numFmt w:val="lowerLetter"/>
      <w:lvlText w:val="%2."/>
      <w:lvlJc w:val="left"/>
      <w:pPr>
        <w:ind w:left="1431" w:hanging="360"/>
      </w:pPr>
    </w:lvl>
    <w:lvl w:ilvl="2" w:tplc="0413001B" w:tentative="1">
      <w:start w:val="1"/>
      <w:numFmt w:val="lowerRoman"/>
      <w:lvlText w:val="%3."/>
      <w:lvlJc w:val="right"/>
      <w:pPr>
        <w:ind w:left="2151" w:hanging="180"/>
      </w:pPr>
    </w:lvl>
    <w:lvl w:ilvl="3" w:tplc="0413000F" w:tentative="1">
      <w:start w:val="1"/>
      <w:numFmt w:val="decimal"/>
      <w:lvlText w:val="%4."/>
      <w:lvlJc w:val="left"/>
      <w:pPr>
        <w:ind w:left="2871" w:hanging="360"/>
      </w:pPr>
    </w:lvl>
    <w:lvl w:ilvl="4" w:tplc="04130019" w:tentative="1">
      <w:start w:val="1"/>
      <w:numFmt w:val="lowerLetter"/>
      <w:lvlText w:val="%5."/>
      <w:lvlJc w:val="left"/>
      <w:pPr>
        <w:ind w:left="3591" w:hanging="360"/>
      </w:pPr>
    </w:lvl>
    <w:lvl w:ilvl="5" w:tplc="0413001B" w:tentative="1">
      <w:start w:val="1"/>
      <w:numFmt w:val="lowerRoman"/>
      <w:lvlText w:val="%6."/>
      <w:lvlJc w:val="right"/>
      <w:pPr>
        <w:ind w:left="4311" w:hanging="180"/>
      </w:pPr>
    </w:lvl>
    <w:lvl w:ilvl="6" w:tplc="0413000F" w:tentative="1">
      <w:start w:val="1"/>
      <w:numFmt w:val="decimal"/>
      <w:lvlText w:val="%7."/>
      <w:lvlJc w:val="left"/>
      <w:pPr>
        <w:ind w:left="5031" w:hanging="360"/>
      </w:pPr>
    </w:lvl>
    <w:lvl w:ilvl="7" w:tplc="04130019" w:tentative="1">
      <w:start w:val="1"/>
      <w:numFmt w:val="lowerLetter"/>
      <w:lvlText w:val="%8."/>
      <w:lvlJc w:val="left"/>
      <w:pPr>
        <w:ind w:left="5751" w:hanging="360"/>
      </w:pPr>
    </w:lvl>
    <w:lvl w:ilvl="8" w:tplc="0413001B" w:tentative="1">
      <w:start w:val="1"/>
      <w:numFmt w:val="lowerRoman"/>
      <w:lvlText w:val="%9."/>
      <w:lvlJc w:val="right"/>
      <w:pPr>
        <w:ind w:left="6471" w:hanging="180"/>
      </w:pPr>
    </w:lvl>
  </w:abstractNum>
  <w:abstractNum w:abstractNumId="3" w15:restartNumberingAfterBreak="0">
    <w:nsid w:val="296716E4"/>
    <w:multiLevelType w:val="hybridMultilevel"/>
    <w:tmpl w:val="93000172"/>
    <w:lvl w:ilvl="0" w:tplc="102E1E7A">
      <w:start w:val="1"/>
      <w:numFmt w:val="lowerLetter"/>
      <w:lvlText w:val="%1."/>
      <w:lvlJc w:val="left"/>
      <w:pPr>
        <w:ind w:left="720" w:hanging="36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F92BAE"/>
    <w:multiLevelType w:val="hybridMultilevel"/>
    <w:tmpl w:val="4CD04A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54458D"/>
    <w:multiLevelType w:val="hybridMultilevel"/>
    <w:tmpl w:val="F19C97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571476"/>
    <w:multiLevelType w:val="hybridMultilevel"/>
    <w:tmpl w:val="447EE51C"/>
    <w:lvl w:ilvl="0" w:tplc="A1B65006">
      <w:start w:val="1"/>
      <w:numFmt w:val="lowerLetter"/>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7" w15:restartNumberingAfterBreak="0">
    <w:nsid w:val="3A980E38"/>
    <w:multiLevelType w:val="hybridMultilevel"/>
    <w:tmpl w:val="9C40F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6A7578"/>
    <w:multiLevelType w:val="hybridMultilevel"/>
    <w:tmpl w:val="BE508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3E5C21"/>
    <w:multiLevelType w:val="hybridMultilevel"/>
    <w:tmpl w:val="D85E0564"/>
    <w:lvl w:ilvl="0" w:tplc="CE288FD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5F42F4"/>
    <w:multiLevelType w:val="hybridMultilevel"/>
    <w:tmpl w:val="9DC07D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A7B432A"/>
    <w:multiLevelType w:val="hybridMultilevel"/>
    <w:tmpl w:val="3B44EBEC"/>
    <w:lvl w:ilvl="0" w:tplc="BCDA7A4C">
      <w:start w:val="3"/>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6DBB6212"/>
    <w:multiLevelType w:val="hybridMultilevel"/>
    <w:tmpl w:val="9D2E5FAE"/>
    <w:lvl w:ilvl="0" w:tplc="B04E4670">
      <w:start w:val="1"/>
      <w:numFmt w:val="lowerLetter"/>
      <w:lvlText w:val="%1."/>
      <w:lvlJc w:val="left"/>
      <w:pPr>
        <w:ind w:left="720" w:hanging="36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9A24D7"/>
    <w:multiLevelType w:val="hybridMultilevel"/>
    <w:tmpl w:val="27287ABE"/>
    <w:lvl w:ilvl="0" w:tplc="4CA232B0">
      <w:start w:val="1"/>
      <w:numFmt w:val="bullet"/>
      <w:lvlText w:val=""/>
      <w:lvlJc w:val="left"/>
      <w:pPr>
        <w:ind w:left="1440" w:hanging="360"/>
      </w:pPr>
      <w:rPr>
        <w:rFonts w:ascii="Symbol" w:hAnsi="Symbol"/>
      </w:rPr>
    </w:lvl>
    <w:lvl w:ilvl="1" w:tplc="0FC2F654">
      <w:start w:val="1"/>
      <w:numFmt w:val="bullet"/>
      <w:lvlText w:val=""/>
      <w:lvlJc w:val="left"/>
      <w:pPr>
        <w:ind w:left="1440" w:hanging="360"/>
      </w:pPr>
      <w:rPr>
        <w:rFonts w:ascii="Symbol" w:hAnsi="Symbol"/>
      </w:rPr>
    </w:lvl>
    <w:lvl w:ilvl="2" w:tplc="AFB66FCE">
      <w:start w:val="1"/>
      <w:numFmt w:val="bullet"/>
      <w:lvlText w:val=""/>
      <w:lvlJc w:val="left"/>
      <w:pPr>
        <w:ind w:left="1440" w:hanging="360"/>
      </w:pPr>
      <w:rPr>
        <w:rFonts w:ascii="Symbol" w:hAnsi="Symbol"/>
      </w:rPr>
    </w:lvl>
    <w:lvl w:ilvl="3" w:tplc="98962512">
      <w:start w:val="1"/>
      <w:numFmt w:val="bullet"/>
      <w:lvlText w:val=""/>
      <w:lvlJc w:val="left"/>
      <w:pPr>
        <w:ind w:left="1440" w:hanging="360"/>
      </w:pPr>
      <w:rPr>
        <w:rFonts w:ascii="Symbol" w:hAnsi="Symbol"/>
      </w:rPr>
    </w:lvl>
    <w:lvl w:ilvl="4" w:tplc="9B32399C">
      <w:start w:val="1"/>
      <w:numFmt w:val="bullet"/>
      <w:lvlText w:val=""/>
      <w:lvlJc w:val="left"/>
      <w:pPr>
        <w:ind w:left="1440" w:hanging="360"/>
      </w:pPr>
      <w:rPr>
        <w:rFonts w:ascii="Symbol" w:hAnsi="Symbol"/>
      </w:rPr>
    </w:lvl>
    <w:lvl w:ilvl="5" w:tplc="809AFBFC">
      <w:start w:val="1"/>
      <w:numFmt w:val="bullet"/>
      <w:lvlText w:val=""/>
      <w:lvlJc w:val="left"/>
      <w:pPr>
        <w:ind w:left="1440" w:hanging="360"/>
      </w:pPr>
      <w:rPr>
        <w:rFonts w:ascii="Symbol" w:hAnsi="Symbol"/>
      </w:rPr>
    </w:lvl>
    <w:lvl w:ilvl="6" w:tplc="837CAF6C">
      <w:start w:val="1"/>
      <w:numFmt w:val="bullet"/>
      <w:lvlText w:val=""/>
      <w:lvlJc w:val="left"/>
      <w:pPr>
        <w:ind w:left="1440" w:hanging="360"/>
      </w:pPr>
      <w:rPr>
        <w:rFonts w:ascii="Symbol" w:hAnsi="Symbol"/>
      </w:rPr>
    </w:lvl>
    <w:lvl w:ilvl="7" w:tplc="6018F864">
      <w:start w:val="1"/>
      <w:numFmt w:val="bullet"/>
      <w:lvlText w:val=""/>
      <w:lvlJc w:val="left"/>
      <w:pPr>
        <w:ind w:left="1440" w:hanging="360"/>
      </w:pPr>
      <w:rPr>
        <w:rFonts w:ascii="Symbol" w:hAnsi="Symbol"/>
      </w:rPr>
    </w:lvl>
    <w:lvl w:ilvl="8" w:tplc="A1CEEDF0">
      <w:start w:val="1"/>
      <w:numFmt w:val="bullet"/>
      <w:lvlText w:val=""/>
      <w:lvlJc w:val="left"/>
      <w:pPr>
        <w:ind w:left="1440" w:hanging="360"/>
      </w:pPr>
      <w:rPr>
        <w:rFonts w:ascii="Symbol" w:hAnsi="Symbol"/>
      </w:rPr>
    </w:lvl>
  </w:abstractNum>
  <w:num w:numId="1" w16cid:durableId="1256784220">
    <w:abstractNumId w:val="6"/>
  </w:num>
  <w:num w:numId="2" w16cid:durableId="458184669">
    <w:abstractNumId w:val="5"/>
  </w:num>
  <w:num w:numId="3" w16cid:durableId="167911837">
    <w:abstractNumId w:val="8"/>
  </w:num>
  <w:num w:numId="4" w16cid:durableId="1016275935">
    <w:abstractNumId w:val="10"/>
  </w:num>
  <w:num w:numId="5" w16cid:durableId="1260601320">
    <w:abstractNumId w:val="9"/>
  </w:num>
  <w:num w:numId="6" w16cid:durableId="1725324765">
    <w:abstractNumId w:val="4"/>
  </w:num>
  <w:num w:numId="7" w16cid:durableId="1657227041">
    <w:abstractNumId w:val="3"/>
  </w:num>
  <w:num w:numId="8" w16cid:durableId="1661537275">
    <w:abstractNumId w:val="12"/>
  </w:num>
  <w:num w:numId="9" w16cid:durableId="1160538297">
    <w:abstractNumId w:val="0"/>
  </w:num>
  <w:num w:numId="10" w16cid:durableId="656156841">
    <w:abstractNumId w:val="1"/>
  </w:num>
  <w:num w:numId="11" w16cid:durableId="1808009374">
    <w:abstractNumId w:val="7"/>
  </w:num>
  <w:num w:numId="12" w16cid:durableId="1013410221">
    <w:abstractNumId w:val="2"/>
  </w:num>
  <w:num w:numId="13" w16cid:durableId="1111439852">
    <w:abstractNumId w:val="11"/>
  </w:num>
  <w:num w:numId="14" w16cid:durableId="1803689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3C"/>
    <w:rsid w:val="00000529"/>
    <w:rsid w:val="000251D7"/>
    <w:rsid w:val="000272D1"/>
    <w:rsid w:val="000312CC"/>
    <w:rsid w:val="0004408C"/>
    <w:rsid w:val="0005226B"/>
    <w:rsid w:val="000637ED"/>
    <w:rsid w:val="0006720E"/>
    <w:rsid w:val="0007282E"/>
    <w:rsid w:val="00075692"/>
    <w:rsid w:val="00080564"/>
    <w:rsid w:val="0008193C"/>
    <w:rsid w:val="00083017"/>
    <w:rsid w:val="000856F8"/>
    <w:rsid w:val="000A0635"/>
    <w:rsid w:val="000A1B82"/>
    <w:rsid w:val="000A7990"/>
    <w:rsid w:val="000B353E"/>
    <w:rsid w:val="000C1979"/>
    <w:rsid w:val="000C25E4"/>
    <w:rsid w:val="000D5896"/>
    <w:rsid w:val="000D7ADE"/>
    <w:rsid w:val="000F4F77"/>
    <w:rsid w:val="00101FF5"/>
    <w:rsid w:val="00103DD2"/>
    <w:rsid w:val="00113C89"/>
    <w:rsid w:val="0011557B"/>
    <w:rsid w:val="00123DC3"/>
    <w:rsid w:val="0013441E"/>
    <w:rsid w:val="001349BA"/>
    <w:rsid w:val="00162F78"/>
    <w:rsid w:val="00170978"/>
    <w:rsid w:val="00173AB9"/>
    <w:rsid w:val="00174456"/>
    <w:rsid w:val="0017454B"/>
    <w:rsid w:val="0017699E"/>
    <w:rsid w:val="00180C3C"/>
    <w:rsid w:val="00183592"/>
    <w:rsid w:val="001B19F3"/>
    <w:rsid w:val="001B2DB2"/>
    <w:rsid w:val="001B377D"/>
    <w:rsid w:val="001B53DA"/>
    <w:rsid w:val="001D017F"/>
    <w:rsid w:val="001E4910"/>
    <w:rsid w:val="001E4C73"/>
    <w:rsid w:val="00203649"/>
    <w:rsid w:val="00206912"/>
    <w:rsid w:val="002168DD"/>
    <w:rsid w:val="00216973"/>
    <w:rsid w:val="00220167"/>
    <w:rsid w:val="0022189D"/>
    <w:rsid w:val="002259DF"/>
    <w:rsid w:val="00226889"/>
    <w:rsid w:val="0022737F"/>
    <w:rsid w:val="0023697C"/>
    <w:rsid w:val="00241786"/>
    <w:rsid w:val="00255E3C"/>
    <w:rsid w:val="002757C0"/>
    <w:rsid w:val="00275FE0"/>
    <w:rsid w:val="00284497"/>
    <w:rsid w:val="0029103C"/>
    <w:rsid w:val="00292ACA"/>
    <w:rsid w:val="002B1A02"/>
    <w:rsid w:val="002B1B80"/>
    <w:rsid w:val="002B59BA"/>
    <w:rsid w:val="002B75FB"/>
    <w:rsid w:val="002B7BD6"/>
    <w:rsid w:val="002D4507"/>
    <w:rsid w:val="002D4C21"/>
    <w:rsid w:val="002E7163"/>
    <w:rsid w:val="00325774"/>
    <w:rsid w:val="00325F37"/>
    <w:rsid w:val="003315C8"/>
    <w:rsid w:val="00332861"/>
    <w:rsid w:val="00334832"/>
    <w:rsid w:val="0035295A"/>
    <w:rsid w:val="00370E0E"/>
    <w:rsid w:val="00374CCD"/>
    <w:rsid w:val="003863D4"/>
    <w:rsid w:val="003866C4"/>
    <w:rsid w:val="003C634E"/>
    <w:rsid w:val="003D02E0"/>
    <w:rsid w:val="003E0239"/>
    <w:rsid w:val="003F0F38"/>
    <w:rsid w:val="004018D7"/>
    <w:rsid w:val="004160B2"/>
    <w:rsid w:val="0042543C"/>
    <w:rsid w:val="004258B1"/>
    <w:rsid w:val="00432386"/>
    <w:rsid w:val="00433431"/>
    <w:rsid w:val="00433AB6"/>
    <w:rsid w:val="00436478"/>
    <w:rsid w:val="0044063D"/>
    <w:rsid w:val="00452B93"/>
    <w:rsid w:val="0045665B"/>
    <w:rsid w:val="004607CD"/>
    <w:rsid w:val="00463C98"/>
    <w:rsid w:val="00464FE5"/>
    <w:rsid w:val="00465B60"/>
    <w:rsid w:val="00480342"/>
    <w:rsid w:val="004861C0"/>
    <w:rsid w:val="004C5916"/>
    <w:rsid w:val="004D05FD"/>
    <w:rsid w:val="004D52B0"/>
    <w:rsid w:val="004E3EC2"/>
    <w:rsid w:val="004E6E89"/>
    <w:rsid w:val="004F3632"/>
    <w:rsid w:val="004F3A2B"/>
    <w:rsid w:val="004F7390"/>
    <w:rsid w:val="00502D88"/>
    <w:rsid w:val="0050617C"/>
    <w:rsid w:val="0052361F"/>
    <w:rsid w:val="00550203"/>
    <w:rsid w:val="00565A31"/>
    <w:rsid w:val="00565D41"/>
    <w:rsid w:val="00570154"/>
    <w:rsid w:val="005906DB"/>
    <w:rsid w:val="00591C22"/>
    <w:rsid w:val="00593910"/>
    <w:rsid w:val="00597536"/>
    <w:rsid w:val="005A0754"/>
    <w:rsid w:val="005D4332"/>
    <w:rsid w:val="005D7575"/>
    <w:rsid w:val="005E119A"/>
    <w:rsid w:val="005F59A8"/>
    <w:rsid w:val="005F7D85"/>
    <w:rsid w:val="00602526"/>
    <w:rsid w:val="006138C9"/>
    <w:rsid w:val="00613CCF"/>
    <w:rsid w:val="00621A39"/>
    <w:rsid w:val="00626E8A"/>
    <w:rsid w:val="00640393"/>
    <w:rsid w:val="00640E43"/>
    <w:rsid w:val="0064163F"/>
    <w:rsid w:val="006416FD"/>
    <w:rsid w:val="00642157"/>
    <w:rsid w:val="00650EB1"/>
    <w:rsid w:val="0065271B"/>
    <w:rsid w:val="006564FF"/>
    <w:rsid w:val="00661E25"/>
    <w:rsid w:val="006A0E1B"/>
    <w:rsid w:val="006B2EB5"/>
    <w:rsid w:val="006E5563"/>
    <w:rsid w:val="006E714C"/>
    <w:rsid w:val="00717C96"/>
    <w:rsid w:val="007218D0"/>
    <w:rsid w:val="00723CF9"/>
    <w:rsid w:val="007326AE"/>
    <w:rsid w:val="00743968"/>
    <w:rsid w:val="007463A9"/>
    <w:rsid w:val="007545AD"/>
    <w:rsid w:val="0075599C"/>
    <w:rsid w:val="0077354C"/>
    <w:rsid w:val="007744C5"/>
    <w:rsid w:val="00775B8E"/>
    <w:rsid w:val="00790FE0"/>
    <w:rsid w:val="007B25EE"/>
    <w:rsid w:val="007C5D99"/>
    <w:rsid w:val="007D6420"/>
    <w:rsid w:val="007D6A35"/>
    <w:rsid w:val="007D6A92"/>
    <w:rsid w:val="007E0B9E"/>
    <w:rsid w:val="007F3816"/>
    <w:rsid w:val="00821AC2"/>
    <w:rsid w:val="00832F16"/>
    <w:rsid w:val="00845B1A"/>
    <w:rsid w:val="00850EEB"/>
    <w:rsid w:val="008537E1"/>
    <w:rsid w:val="00854BA9"/>
    <w:rsid w:val="00856070"/>
    <w:rsid w:val="008626FD"/>
    <w:rsid w:val="00866684"/>
    <w:rsid w:val="00870991"/>
    <w:rsid w:val="00875EB3"/>
    <w:rsid w:val="00880C13"/>
    <w:rsid w:val="00885DC5"/>
    <w:rsid w:val="00886E87"/>
    <w:rsid w:val="008A0221"/>
    <w:rsid w:val="008A497E"/>
    <w:rsid w:val="008C73F3"/>
    <w:rsid w:val="008D51A4"/>
    <w:rsid w:val="008E5C85"/>
    <w:rsid w:val="008F0AB8"/>
    <w:rsid w:val="008F4D7C"/>
    <w:rsid w:val="00903AD5"/>
    <w:rsid w:val="0091228B"/>
    <w:rsid w:val="009214A9"/>
    <w:rsid w:val="009367F2"/>
    <w:rsid w:val="00936EF7"/>
    <w:rsid w:val="00947BBA"/>
    <w:rsid w:val="0095554C"/>
    <w:rsid w:val="00981B6C"/>
    <w:rsid w:val="009934F8"/>
    <w:rsid w:val="009A2451"/>
    <w:rsid w:val="009A354C"/>
    <w:rsid w:val="009A5945"/>
    <w:rsid w:val="009D77BD"/>
    <w:rsid w:val="009D7804"/>
    <w:rsid w:val="009E14A3"/>
    <w:rsid w:val="009E1D44"/>
    <w:rsid w:val="009F08FB"/>
    <w:rsid w:val="009F3A16"/>
    <w:rsid w:val="009F3CD4"/>
    <w:rsid w:val="00A05CFC"/>
    <w:rsid w:val="00A122A7"/>
    <w:rsid w:val="00A135A5"/>
    <w:rsid w:val="00A41777"/>
    <w:rsid w:val="00A445EB"/>
    <w:rsid w:val="00A44B94"/>
    <w:rsid w:val="00A51385"/>
    <w:rsid w:val="00A94B2D"/>
    <w:rsid w:val="00A9664A"/>
    <w:rsid w:val="00AB10AC"/>
    <w:rsid w:val="00AC0AA7"/>
    <w:rsid w:val="00AD2116"/>
    <w:rsid w:val="00AD4F08"/>
    <w:rsid w:val="00AD67E1"/>
    <w:rsid w:val="00AE06E2"/>
    <w:rsid w:val="00AF1F2B"/>
    <w:rsid w:val="00AF77AA"/>
    <w:rsid w:val="00B026F1"/>
    <w:rsid w:val="00B05999"/>
    <w:rsid w:val="00B06200"/>
    <w:rsid w:val="00B108B6"/>
    <w:rsid w:val="00B2775F"/>
    <w:rsid w:val="00B44493"/>
    <w:rsid w:val="00B51D29"/>
    <w:rsid w:val="00B5330F"/>
    <w:rsid w:val="00B5687E"/>
    <w:rsid w:val="00B5786B"/>
    <w:rsid w:val="00B61537"/>
    <w:rsid w:val="00B75067"/>
    <w:rsid w:val="00B758E0"/>
    <w:rsid w:val="00B76D0E"/>
    <w:rsid w:val="00B77CDC"/>
    <w:rsid w:val="00BA6FE6"/>
    <w:rsid w:val="00BB2C64"/>
    <w:rsid w:val="00BB3B70"/>
    <w:rsid w:val="00BB51AF"/>
    <w:rsid w:val="00BC2004"/>
    <w:rsid w:val="00BC2103"/>
    <w:rsid w:val="00BC5816"/>
    <w:rsid w:val="00BC6709"/>
    <w:rsid w:val="00BD01DC"/>
    <w:rsid w:val="00BD437F"/>
    <w:rsid w:val="00BD6C7B"/>
    <w:rsid w:val="00BE0129"/>
    <w:rsid w:val="00BE47AF"/>
    <w:rsid w:val="00BE58AC"/>
    <w:rsid w:val="00BF00A8"/>
    <w:rsid w:val="00BF0F96"/>
    <w:rsid w:val="00BF4D67"/>
    <w:rsid w:val="00C167D2"/>
    <w:rsid w:val="00C17DC3"/>
    <w:rsid w:val="00C209EE"/>
    <w:rsid w:val="00C27538"/>
    <w:rsid w:val="00C34CC9"/>
    <w:rsid w:val="00C44DE3"/>
    <w:rsid w:val="00C731D8"/>
    <w:rsid w:val="00C74BDB"/>
    <w:rsid w:val="00C820F6"/>
    <w:rsid w:val="00C84122"/>
    <w:rsid w:val="00C84DF7"/>
    <w:rsid w:val="00CC0FAE"/>
    <w:rsid w:val="00CC4014"/>
    <w:rsid w:val="00CF1155"/>
    <w:rsid w:val="00D10DFE"/>
    <w:rsid w:val="00D173C3"/>
    <w:rsid w:val="00D321AF"/>
    <w:rsid w:val="00D44DE9"/>
    <w:rsid w:val="00D90CE3"/>
    <w:rsid w:val="00DA1EE0"/>
    <w:rsid w:val="00DA4EF9"/>
    <w:rsid w:val="00DD5ADB"/>
    <w:rsid w:val="00DE27C4"/>
    <w:rsid w:val="00DF0C11"/>
    <w:rsid w:val="00DF3404"/>
    <w:rsid w:val="00E069F1"/>
    <w:rsid w:val="00E141F8"/>
    <w:rsid w:val="00E17E22"/>
    <w:rsid w:val="00E212FD"/>
    <w:rsid w:val="00E4246F"/>
    <w:rsid w:val="00E5305C"/>
    <w:rsid w:val="00E6411A"/>
    <w:rsid w:val="00E71C50"/>
    <w:rsid w:val="00E72A18"/>
    <w:rsid w:val="00E73CCF"/>
    <w:rsid w:val="00E87FD0"/>
    <w:rsid w:val="00E90373"/>
    <w:rsid w:val="00EA03DF"/>
    <w:rsid w:val="00EB105C"/>
    <w:rsid w:val="00EB35E0"/>
    <w:rsid w:val="00EB6DA7"/>
    <w:rsid w:val="00EC6F22"/>
    <w:rsid w:val="00ED453C"/>
    <w:rsid w:val="00EE01A2"/>
    <w:rsid w:val="00EE25AE"/>
    <w:rsid w:val="00EF4FCC"/>
    <w:rsid w:val="00EF7788"/>
    <w:rsid w:val="00F06B74"/>
    <w:rsid w:val="00F12367"/>
    <w:rsid w:val="00F15B7E"/>
    <w:rsid w:val="00F20EAE"/>
    <w:rsid w:val="00F224E4"/>
    <w:rsid w:val="00F2287B"/>
    <w:rsid w:val="00F32CFF"/>
    <w:rsid w:val="00F35313"/>
    <w:rsid w:val="00F45674"/>
    <w:rsid w:val="00F45E12"/>
    <w:rsid w:val="00F54B7D"/>
    <w:rsid w:val="00F71F96"/>
    <w:rsid w:val="00F72684"/>
    <w:rsid w:val="00F81A24"/>
    <w:rsid w:val="00F87BE4"/>
    <w:rsid w:val="00FB38ED"/>
    <w:rsid w:val="00FC060B"/>
    <w:rsid w:val="00FD3B05"/>
    <w:rsid w:val="00FE0811"/>
    <w:rsid w:val="00FE486F"/>
    <w:rsid w:val="00FF65F9"/>
    <w:rsid w:val="00FF7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94852"/>
  <w15:chartTrackingRefBased/>
  <w15:docId w15:val="{B4909260-0FB5-417A-A9AB-518AE848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77D"/>
    <w:pPr>
      <w:spacing w:after="160" w:line="259" w:lineRule="auto"/>
    </w:pPr>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377D"/>
    <w:pPr>
      <w:ind w:left="720"/>
      <w:contextualSpacing/>
    </w:pPr>
  </w:style>
  <w:style w:type="paragraph" w:styleId="Voetnoottekst">
    <w:name w:val="footnote text"/>
    <w:basedOn w:val="Standaard"/>
    <w:link w:val="VoetnoottekstChar"/>
    <w:uiPriority w:val="99"/>
    <w:semiHidden/>
    <w:unhideWhenUsed/>
    <w:rsid w:val="002069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06912"/>
    <w:rPr>
      <w:rFonts w:asciiTheme="minorHAnsi" w:hAnsiTheme="minorHAnsi"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206912"/>
    <w:rPr>
      <w:vertAlign w:val="superscript"/>
    </w:rPr>
  </w:style>
  <w:style w:type="character" w:styleId="Verwijzingopmerking">
    <w:name w:val="annotation reference"/>
    <w:basedOn w:val="Standaardalinea-lettertype"/>
    <w:uiPriority w:val="99"/>
    <w:semiHidden/>
    <w:unhideWhenUsed/>
    <w:rsid w:val="008D51A4"/>
    <w:rPr>
      <w:sz w:val="16"/>
      <w:szCs w:val="16"/>
    </w:rPr>
  </w:style>
  <w:style w:type="paragraph" w:styleId="Tekstopmerking">
    <w:name w:val="annotation text"/>
    <w:basedOn w:val="Standaard"/>
    <w:link w:val="TekstopmerkingChar"/>
    <w:uiPriority w:val="99"/>
    <w:unhideWhenUsed/>
    <w:rsid w:val="008D51A4"/>
    <w:pPr>
      <w:spacing w:line="240" w:lineRule="auto"/>
    </w:pPr>
    <w:rPr>
      <w:sz w:val="20"/>
      <w:szCs w:val="20"/>
    </w:rPr>
  </w:style>
  <w:style w:type="character" w:customStyle="1" w:styleId="TekstopmerkingChar">
    <w:name w:val="Tekst opmerking Char"/>
    <w:basedOn w:val="Standaardalinea-lettertype"/>
    <w:link w:val="Tekstopmerking"/>
    <w:uiPriority w:val="99"/>
    <w:rsid w:val="008D51A4"/>
    <w:rPr>
      <w:rFonts w:asciiTheme="minorHAnsi"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8D51A4"/>
    <w:rPr>
      <w:b/>
      <w:bCs/>
    </w:rPr>
  </w:style>
  <w:style w:type="character" w:customStyle="1" w:styleId="OnderwerpvanopmerkingChar">
    <w:name w:val="Onderwerp van opmerking Char"/>
    <w:basedOn w:val="TekstopmerkingChar"/>
    <w:link w:val="Onderwerpvanopmerking"/>
    <w:uiPriority w:val="99"/>
    <w:semiHidden/>
    <w:rsid w:val="008D51A4"/>
    <w:rPr>
      <w:rFonts w:asciiTheme="minorHAnsi" w:hAnsiTheme="minorHAnsi" w:cstheme="minorBidi"/>
      <w:b/>
      <w:bCs/>
    </w:rPr>
  </w:style>
  <w:style w:type="paragraph" w:styleId="Revisie">
    <w:name w:val="Revision"/>
    <w:hidden/>
    <w:uiPriority w:val="99"/>
    <w:semiHidden/>
    <w:rsid w:val="00170978"/>
    <w:rPr>
      <w:rFonts w:asciiTheme="minorHAnsi" w:hAnsiTheme="minorHAnsi" w:cstheme="minorBidi"/>
      <w:sz w:val="22"/>
      <w:szCs w:val="22"/>
    </w:rPr>
  </w:style>
  <w:style w:type="paragraph" w:customStyle="1" w:styleId="Artikel">
    <w:name w:val="Artikel"/>
    <w:basedOn w:val="Standaard"/>
    <w:next w:val="Standaard"/>
    <w:rsid w:val="0029103C"/>
    <w:pPr>
      <w:spacing w:after="0" w:line="360" w:lineRule="auto"/>
      <w:ind w:firstLine="709"/>
    </w:pPr>
    <w:rPr>
      <w:rFonts w:ascii="Verdana" w:eastAsia="Times New Roman" w:hAnsi="Verdana" w:cs="Times New Roman"/>
      <w:b/>
      <w:sz w:val="18"/>
      <w:szCs w:val="20"/>
      <w:lang w:eastAsia="nl-NL"/>
    </w:rPr>
  </w:style>
  <w:style w:type="character" w:styleId="Tekstvantijdelijkeaanduiding">
    <w:name w:val="Placeholder Text"/>
    <w:basedOn w:val="Standaardalinea-lettertype"/>
    <w:uiPriority w:val="99"/>
    <w:semiHidden/>
    <w:rsid w:val="0017454B"/>
    <w:rPr>
      <w:color w:val="808080"/>
    </w:rPr>
  </w:style>
  <w:style w:type="table" w:styleId="Rastertabel4-Accent1">
    <w:name w:val="Grid Table 4 Accent 1"/>
    <w:basedOn w:val="Standaardtabel"/>
    <w:uiPriority w:val="49"/>
    <w:rsid w:val="0091228B"/>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3-Accent1">
    <w:name w:val="List Table 3 Accent 1"/>
    <w:basedOn w:val="Standaardtabel"/>
    <w:uiPriority w:val="48"/>
    <w:rsid w:val="0091228B"/>
    <w:rPr>
      <w:rFonts w:asciiTheme="minorHAnsi" w:hAnsiTheme="minorHAnsi" w:cstheme="minorBidi"/>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463">
      <w:bodyDiv w:val="1"/>
      <w:marLeft w:val="0"/>
      <w:marRight w:val="0"/>
      <w:marTop w:val="0"/>
      <w:marBottom w:val="0"/>
      <w:divBdr>
        <w:top w:val="none" w:sz="0" w:space="0" w:color="auto"/>
        <w:left w:val="none" w:sz="0" w:space="0" w:color="auto"/>
        <w:bottom w:val="none" w:sz="0" w:space="0" w:color="auto"/>
        <w:right w:val="none" w:sz="0" w:space="0" w:color="auto"/>
      </w:divBdr>
    </w:div>
    <w:div w:id="215437548">
      <w:bodyDiv w:val="1"/>
      <w:marLeft w:val="0"/>
      <w:marRight w:val="0"/>
      <w:marTop w:val="0"/>
      <w:marBottom w:val="0"/>
      <w:divBdr>
        <w:top w:val="none" w:sz="0" w:space="0" w:color="auto"/>
        <w:left w:val="none" w:sz="0" w:space="0" w:color="auto"/>
        <w:bottom w:val="none" w:sz="0" w:space="0" w:color="auto"/>
        <w:right w:val="none" w:sz="0" w:space="0" w:color="auto"/>
      </w:divBdr>
    </w:div>
    <w:div w:id="220748710">
      <w:bodyDiv w:val="1"/>
      <w:marLeft w:val="0"/>
      <w:marRight w:val="0"/>
      <w:marTop w:val="0"/>
      <w:marBottom w:val="0"/>
      <w:divBdr>
        <w:top w:val="none" w:sz="0" w:space="0" w:color="auto"/>
        <w:left w:val="none" w:sz="0" w:space="0" w:color="auto"/>
        <w:bottom w:val="none" w:sz="0" w:space="0" w:color="auto"/>
        <w:right w:val="none" w:sz="0" w:space="0" w:color="auto"/>
      </w:divBdr>
    </w:div>
    <w:div w:id="291787044">
      <w:bodyDiv w:val="1"/>
      <w:marLeft w:val="0"/>
      <w:marRight w:val="0"/>
      <w:marTop w:val="0"/>
      <w:marBottom w:val="0"/>
      <w:divBdr>
        <w:top w:val="none" w:sz="0" w:space="0" w:color="auto"/>
        <w:left w:val="none" w:sz="0" w:space="0" w:color="auto"/>
        <w:bottom w:val="none" w:sz="0" w:space="0" w:color="auto"/>
        <w:right w:val="none" w:sz="0" w:space="0" w:color="auto"/>
      </w:divBdr>
    </w:div>
    <w:div w:id="448284177">
      <w:bodyDiv w:val="1"/>
      <w:marLeft w:val="0"/>
      <w:marRight w:val="0"/>
      <w:marTop w:val="0"/>
      <w:marBottom w:val="0"/>
      <w:divBdr>
        <w:top w:val="none" w:sz="0" w:space="0" w:color="auto"/>
        <w:left w:val="none" w:sz="0" w:space="0" w:color="auto"/>
        <w:bottom w:val="none" w:sz="0" w:space="0" w:color="auto"/>
        <w:right w:val="none" w:sz="0" w:space="0" w:color="auto"/>
      </w:divBdr>
    </w:div>
    <w:div w:id="563755846">
      <w:bodyDiv w:val="1"/>
      <w:marLeft w:val="0"/>
      <w:marRight w:val="0"/>
      <w:marTop w:val="0"/>
      <w:marBottom w:val="0"/>
      <w:divBdr>
        <w:top w:val="none" w:sz="0" w:space="0" w:color="auto"/>
        <w:left w:val="none" w:sz="0" w:space="0" w:color="auto"/>
        <w:bottom w:val="none" w:sz="0" w:space="0" w:color="auto"/>
        <w:right w:val="none" w:sz="0" w:space="0" w:color="auto"/>
      </w:divBdr>
    </w:div>
    <w:div w:id="666785320">
      <w:bodyDiv w:val="1"/>
      <w:marLeft w:val="0"/>
      <w:marRight w:val="0"/>
      <w:marTop w:val="0"/>
      <w:marBottom w:val="0"/>
      <w:divBdr>
        <w:top w:val="none" w:sz="0" w:space="0" w:color="auto"/>
        <w:left w:val="none" w:sz="0" w:space="0" w:color="auto"/>
        <w:bottom w:val="none" w:sz="0" w:space="0" w:color="auto"/>
        <w:right w:val="none" w:sz="0" w:space="0" w:color="auto"/>
      </w:divBdr>
    </w:div>
    <w:div w:id="1211267341">
      <w:bodyDiv w:val="1"/>
      <w:marLeft w:val="0"/>
      <w:marRight w:val="0"/>
      <w:marTop w:val="0"/>
      <w:marBottom w:val="0"/>
      <w:divBdr>
        <w:top w:val="none" w:sz="0" w:space="0" w:color="auto"/>
        <w:left w:val="none" w:sz="0" w:space="0" w:color="auto"/>
        <w:bottom w:val="none" w:sz="0" w:space="0" w:color="auto"/>
        <w:right w:val="none" w:sz="0" w:space="0" w:color="auto"/>
      </w:divBdr>
    </w:div>
    <w:div w:id="1270888493">
      <w:bodyDiv w:val="1"/>
      <w:marLeft w:val="0"/>
      <w:marRight w:val="0"/>
      <w:marTop w:val="0"/>
      <w:marBottom w:val="0"/>
      <w:divBdr>
        <w:top w:val="none" w:sz="0" w:space="0" w:color="auto"/>
        <w:left w:val="none" w:sz="0" w:space="0" w:color="auto"/>
        <w:bottom w:val="none" w:sz="0" w:space="0" w:color="auto"/>
        <w:right w:val="none" w:sz="0" w:space="0" w:color="auto"/>
      </w:divBdr>
    </w:div>
    <w:div w:id="1308437140">
      <w:bodyDiv w:val="1"/>
      <w:marLeft w:val="0"/>
      <w:marRight w:val="0"/>
      <w:marTop w:val="0"/>
      <w:marBottom w:val="0"/>
      <w:divBdr>
        <w:top w:val="none" w:sz="0" w:space="0" w:color="auto"/>
        <w:left w:val="none" w:sz="0" w:space="0" w:color="auto"/>
        <w:bottom w:val="none" w:sz="0" w:space="0" w:color="auto"/>
        <w:right w:val="none" w:sz="0" w:space="0" w:color="auto"/>
      </w:divBdr>
    </w:div>
    <w:div w:id="14395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1414</ap:Words>
  <ap:Characters>7781</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2023-10-13T13:39:00.0000000Z</dcterms:created>
  <dcterms:modified xsi:type="dcterms:W3CDTF">2023-10-13T13:39:00.0000000Z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2022-09-29T13:03:15Z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84c77dcc-7b34-443c-adc6-8cd0484dde0e</vt:lpwstr>
  </property>
  <property fmtid="{D5CDD505-2E9C-101B-9397-08002B2CF9AE}" pid="8" name="MSIP_Label_b2aa6e22-2c82-48c6-bf24-1790f4b9c128_ContentBits">
    <vt:lpwstr>0</vt:lpwstr>
  </property>
</Properties>
</file>